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C0D7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C0D7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C0D7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C0D7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C0D71" w:rsidTr="002E5576">
        <w:tc>
          <w:tcPr>
            <w:tcW w:w="4518" w:type="dxa"/>
          </w:tcPr>
          <w:p w:rsidR="00BF25F3" w:rsidRPr="002E2327" w:rsidRDefault="0017005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7005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C0D7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C0D7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17005E">
              <w:fldChar w:fldCharType="begin"/>
            </w:r>
            <w:r w:rsidR="0017005E" w:rsidRPr="005C0D71">
              <w:rPr>
                <w:lang w:val="fr-CA"/>
              </w:rPr>
              <w:instrText>HYPERLINK "http://www.scc-csc.gc.ca"</w:instrText>
            </w:r>
            <w:r w:rsidR="0017005E">
              <w:fldChar w:fldCharType="separate"/>
            </w:r>
            <w:r w:rsidRPr="00155CF3">
              <w:rPr>
                <w:rStyle w:val="Hyperlink"/>
                <w:rFonts w:ascii="Arial" w:hAnsi="Arial" w:cs="Arial"/>
                <w:i/>
                <w:sz w:val="20"/>
                <w:szCs w:val="20"/>
                <w:lang w:val="fr-CA"/>
              </w:rPr>
              <w:t>www.scc-csc.gc.ca</w:t>
            </w:r>
            <w:r w:rsidR="0017005E">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F0C01"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3</w:t>
      </w:r>
      <w:r w:rsidR="00440E24" w:rsidRPr="00675479">
        <w:rPr>
          <w:lang w:val="fr-CA"/>
        </w:rPr>
        <w:t>, 201</w:t>
      </w:r>
      <w:r w:rsidR="00F761A3">
        <w:rPr>
          <w:lang w:val="fr-CA"/>
        </w:rPr>
        <w:t>3</w:t>
      </w:r>
      <w:r w:rsidR="00F0068D" w:rsidRPr="00675479">
        <w:rPr>
          <w:lang w:val="fr-CA"/>
        </w:rPr>
        <w:tab/>
      </w:r>
      <w:r>
        <w:rPr>
          <w:lang w:val="fr-CA"/>
        </w:rPr>
        <w:t>78</w:t>
      </w:r>
      <w:r w:rsidR="00F0068D" w:rsidRPr="00675479">
        <w:rPr>
          <w:lang w:val="fr-CA"/>
        </w:rPr>
        <w:t xml:space="preserve">1 - </w:t>
      </w:r>
      <w:r w:rsidR="00E34F5F">
        <w:rPr>
          <w:lang w:val="fr-CA"/>
        </w:rPr>
        <w:t>830</w:t>
      </w:r>
      <w:r w:rsidR="00440E24" w:rsidRPr="00675479">
        <w:rPr>
          <w:lang w:val="fr-CA"/>
        </w:rPr>
        <w:tab/>
      </w:r>
      <w:r w:rsidR="00440E24" w:rsidRPr="002E2327">
        <w:rPr>
          <w:lang w:val="fr-CA"/>
        </w:rPr>
        <w:t>Le</w:t>
      </w:r>
      <w:r w:rsidR="00C73D06">
        <w:rPr>
          <w:lang w:val="fr-CA"/>
        </w:rPr>
        <w:t xml:space="preserve"> </w:t>
      </w:r>
      <w:r>
        <w:rPr>
          <w:lang w:val="fr-CA"/>
        </w:rPr>
        <w:t>3</w:t>
      </w:r>
      <w:r w:rsidR="00C73D06">
        <w:rPr>
          <w:lang w:val="fr-CA"/>
        </w:rPr>
        <w:t xml:space="preserve"> </w:t>
      </w:r>
      <w:r>
        <w:rPr>
          <w:lang w:val="fr-CA"/>
        </w:rPr>
        <w:t>m</w:t>
      </w:r>
      <w:r w:rsidR="00440E24" w:rsidRPr="002E2327">
        <w:rPr>
          <w:lang w:val="fr-CA"/>
        </w:rPr>
        <w:t>ai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4F0C01" w:rsidRDefault="00440E24" w:rsidP="00440E24">
      <w:pPr>
        <w:pBdr>
          <w:bottom w:val="single" w:sz="6" w:space="1" w:color="auto"/>
        </w:pBdr>
        <w:tabs>
          <w:tab w:val="right" w:pos="9360"/>
        </w:tabs>
        <w:rPr>
          <w:sz w:val="18"/>
          <w:szCs w:val="18"/>
          <w:lang w:val="fr-CA"/>
        </w:rPr>
      </w:pPr>
      <w:r w:rsidRPr="004F0C01">
        <w:rPr>
          <w:sz w:val="18"/>
          <w:szCs w:val="18"/>
          <w:lang w:val="fr-CA"/>
        </w:rPr>
        <w:t xml:space="preserve">© </w:t>
      </w:r>
      <w:proofErr w:type="spellStart"/>
      <w:r w:rsidRPr="004F0C01">
        <w:rPr>
          <w:sz w:val="18"/>
          <w:szCs w:val="18"/>
          <w:lang w:val="fr-CA"/>
        </w:rPr>
        <w:t>Supreme</w:t>
      </w:r>
      <w:proofErr w:type="spellEnd"/>
      <w:r w:rsidRPr="004F0C01">
        <w:rPr>
          <w:sz w:val="18"/>
          <w:szCs w:val="18"/>
          <w:lang w:val="fr-CA"/>
        </w:rPr>
        <w:t xml:space="preserve"> Court of Canada (201</w:t>
      </w:r>
      <w:r w:rsidR="00F761A3" w:rsidRPr="004F0C01">
        <w:rPr>
          <w:sz w:val="18"/>
          <w:szCs w:val="18"/>
          <w:lang w:val="fr-CA"/>
        </w:rPr>
        <w:t>3</w:t>
      </w:r>
      <w:r w:rsidRPr="004F0C01">
        <w:rPr>
          <w:sz w:val="18"/>
          <w:szCs w:val="18"/>
          <w:lang w:val="fr-CA"/>
        </w:rPr>
        <w:t>)</w:t>
      </w:r>
      <w:r w:rsidRPr="004F0C01">
        <w:rPr>
          <w:sz w:val="18"/>
          <w:szCs w:val="18"/>
          <w:lang w:val="fr-CA"/>
        </w:rPr>
        <w:tab/>
        <w:t>© Cour suprême du Canada (201</w:t>
      </w:r>
      <w:r w:rsidR="00F761A3" w:rsidRPr="004F0C01">
        <w:rPr>
          <w:sz w:val="18"/>
          <w:szCs w:val="18"/>
          <w:lang w:val="fr-CA"/>
        </w:rPr>
        <w:t>3</w:t>
      </w:r>
      <w:r w:rsidRPr="004F0C01">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39552E"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3F642A">
            <w:pPr>
              <w:tabs>
                <w:tab w:val="right" w:pos="9360"/>
              </w:tabs>
              <w:rPr>
                <w:rFonts w:cs="Times New Roman"/>
                <w:sz w:val="20"/>
                <w:szCs w:val="20"/>
              </w:rPr>
            </w:pPr>
          </w:p>
        </w:tc>
        <w:tc>
          <w:tcPr>
            <w:tcW w:w="1980" w:type="dxa"/>
          </w:tcPr>
          <w:p w:rsidR="0095096B" w:rsidRPr="002E2327" w:rsidRDefault="00150281" w:rsidP="0095096B">
            <w:pPr>
              <w:jc w:val="center"/>
              <w:rPr>
                <w:rFonts w:cs="Times New Roman"/>
                <w:sz w:val="20"/>
                <w:szCs w:val="20"/>
              </w:rPr>
            </w:pPr>
            <w:r>
              <w:rPr>
                <w:rFonts w:cs="Times New Roman"/>
                <w:sz w:val="20"/>
                <w:szCs w:val="20"/>
              </w:rPr>
              <w:t xml:space="preserve">781 </w:t>
            </w:r>
            <w:r w:rsidR="0017005E" w:rsidRPr="002E2327">
              <w:rPr>
                <w:rFonts w:cs="Times New Roman"/>
                <w:sz w:val="20"/>
                <w:szCs w:val="20"/>
              </w:rPr>
              <w:fldChar w:fldCharType="begin"/>
            </w:r>
            <w:r w:rsidR="0095096B" w:rsidRPr="002E2327">
              <w:rPr>
                <w:rFonts w:cs="Times New Roman"/>
                <w:sz w:val="20"/>
                <w:szCs w:val="20"/>
              </w:rPr>
              <w:instrText xml:space="preserve"> SEQ CHAPTER \h \r 1</w:instrText>
            </w:r>
            <w:r w:rsidR="0017005E" w:rsidRPr="002E2327">
              <w:rPr>
                <w:rFonts w:cs="Times New Roman"/>
                <w:sz w:val="20"/>
                <w:szCs w:val="20"/>
              </w:rPr>
              <w:fldChar w:fldCharType="end"/>
            </w:r>
            <w:r w:rsidR="0095096B" w:rsidRPr="002E2327">
              <w:rPr>
                <w:rFonts w:cs="Times New Roman"/>
                <w:sz w:val="20"/>
                <w:szCs w:val="20"/>
              </w:rPr>
              <w:t>-</w:t>
            </w:r>
            <w:r w:rsidR="00127BB3">
              <w:rPr>
                <w:rFonts w:cs="Times New Roman"/>
                <w:sz w:val="20"/>
                <w:szCs w:val="20"/>
              </w:rPr>
              <w:t xml:space="preserve"> 782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F0FED" w:rsidP="0095096B">
            <w:pPr>
              <w:jc w:val="center"/>
              <w:rPr>
                <w:rFonts w:cs="Times New Roman"/>
                <w:sz w:val="20"/>
                <w:szCs w:val="20"/>
              </w:rPr>
            </w:pPr>
            <w:r>
              <w:rPr>
                <w:rFonts w:cs="Times New Roman"/>
                <w:sz w:val="20"/>
                <w:szCs w:val="20"/>
              </w:rPr>
              <w:t>783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B323E" w:rsidP="0095096B">
            <w:pPr>
              <w:jc w:val="center"/>
              <w:rPr>
                <w:rFonts w:cs="Times New Roman"/>
                <w:sz w:val="20"/>
                <w:szCs w:val="20"/>
              </w:rPr>
            </w:pPr>
            <w:r>
              <w:rPr>
                <w:rFonts w:cs="Times New Roman"/>
                <w:sz w:val="20"/>
                <w:szCs w:val="20"/>
              </w:rPr>
              <w:t xml:space="preserve">784 </w:t>
            </w:r>
            <w:r w:rsidR="0095096B" w:rsidRPr="002E2327">
              <w:rPr>
                <w:rFonts w:cs="Times New Roman"/>
                <w:sz w:val="20"/>
                <w:szCs w:val="20"/>
              </w:rPr>
              <w:t>-</w:t>
            </w:r>
            <w:r w:rsidR="00E34F5F">
              <w:rPr>
                <w:rFonts w:cs="Times New Roman"/>
                <w:sz w:val="20"/>
                <w:szCs w:val="20"/>
              </w:rPr>
              <w:t xml:space="preserve"> 794</w:t>
            </w:r>
          </w:p>
          <w:p w:rsidR="0095096B" w:rsidRPr="002E2327" w:rsidRDefault="0095096B" w:rsidP="0095096B">
            <w:pPr>
              <w:jc w:val="center"/>
              <w:rPr>
                <w:rFonts w:cs="Times New Roman"/>
                <w:sz w:val="20"/>
                <w:szCs w:val="20"/>
              </w:rPr>
            </w:pPr>
          </w:p>
          <w:p w:rsidR="00E34F5F" w:rsidRDefault="00E34F5F" w:rsidP="0095096B">
            <w:pPr>
              <w:jc w:val="center"/>
              <w:rPr>
                <w:rFonts w:cs="Times New Roman"/>
                <w:sz w:val="20"/>
                <w:szCs w:val="20"/>
              </w:rPr>
            </w:pPr>
          </w:p>
          <w:p w:rsidR="0095096B" w:rsidRPr="002E2327" w:rsidRDefault="00E34F5F" w:rsidP="0095096B">
            <w:pPr>
              <w:jc w:val="center"/>
              <w:rPr>
                <w:rFonts w:cs="Times New Roman"/>
                <w:sz w:val="20"/>
                <w:szCs w:val="20"/>
              </w:rPr>
            </w:pPr>
            <w:r>
              <w:rPr>
                <w:rFonts w:cs="Times New Roman"/>
                <w:sz w:val="20"/>
                <w:szCs w:val="20"/>
              </w:rPr>
              <w:t xml:space="preserve">795 </w:t>
            </w:r>
            <w:r w:rsidR="0095096B" w:rsidRPr="002E2327">
              <w:rPr>
                <w:rFonts w:cs="Times New Roman"/>
                <w:sz w:val="20"/>
                <w:szCs w:val="20"/>
              </w:rPr>
              <w:t>-</w:t>
            </w:r>
            <w:r>
              <w:rPr>
                <w:rFonts w:cs="Times New Roman"/>
                <w:sz w:val="20"/>
                <w:szCs w:val="20"/>
              </w:rPr>
              <w:t xml:space="preserve"> 800</w:t>
            </w:r>
          </w:p>
          <w:p w:rsidR="0095096B" w:rsidRPr="002E2327" w:rsidRDefault="0095096B" w:rsidP="0095096B">
            <w:pPr>
              <w:jc w:val="center"/>
              <w:rPr>
                <w:rFonts w:cs="Times New Roman"/>
                <w:sz w:val="20"/>
                <w:szCs w:val="20"/>
              </w:rPr>
            </w:pPr>
          </w:p>
          <w:p w:rsidR="0095096B" w:rsidRPr="002E2327" w:rsidRDefault="00E34F5F" w:rsidP="0095096B">
            <w:pPr>
              <w:jc w:val="center"/>
              <w:rPr>
                <w:rFonts w:cs="Times New Roman"/>
                <w:sz w:val="20"/>
                <w:szCs w:val="20"/>
              </w:rPr>
            </w:pPr>
            <w:r>
              <w:rPr>
                <w:rFonts w:cs="Times New Roman"/>
                <w:sz w:val="20"/>
                <w:szCs w:val="20"/>
              </w:rPr>
              <w:t>801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4F5F" w:rsidP="0095096B">
            <w:pPr>
              <w:jc w:val="center"/>
              <w:rPr>
                <w:rFonts w:cs="Times New Roman"/>
                <w:sz w:val="20"/>
                <w:szCs w:val="20"/>
              </w:rPr>
            </w:pPr>
            <w:r>
              <w:rPr>
                <w:rFonts w:cs="Times New Roman"/>
                <w:sz w:val="20"/>
                <w:szCs w:val="20"/>
              </w:rPr>
              <w:t xml:space="preserve">802 </w:t>
            </w:r>
            <w:r w:rsidR="0095096B" w:rsidRPr="002E2327">
              <w:rPr>
                <w:rFonts w:cs="Times New Roman"/>
                <w:sz w:val="20"/>
                <w:szCs w:val="20"/>
              </w:rPr>
              <w:t>-</w:t>
            </w:r>
            <w:r>
              <w:rPr>
                <w:rFonts w:cs="Times New Roman"/>
                <w:sz w:val="20"/>
                <w:szCs w:val="20"/>
              </w:rPr>
              <w:t xml:space="preserve"> 803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4F5F" w:rsidP="0095096B">
            <w:pPr>
              <w:jc w:val="center"/>
              <w:rPr>
                <w:rFonts w:cs="Times New Roman"/>
                <w:sz w:val="20"/>
                <w:szCs w:val="20"/>
              </w:rPr>
            </w:pPr>
            <w:r>
              <w:rPr>
                <w:rFonts w:cs="Times New Roman"/>
                <w:sz w:val="20"/>
                <w:szCs w:val="20"/>
              </w:rPr>
              <w:t>804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4F5F" w:rsidP="0095096B">
            <w:pPr>
              <w:jc w:val="center"/>
              <w:rPr>
                <w:rFonts w:cs="Times New Roman"/>
                <w:sz w:val="20"/>
                <w:szCs w:val="20"/>
              </w:rPr>
            </w:pPr>
            <w:r>
              <w:rPr>
                <w:rFonts w:cs="Times New Roman"/>
                <w:sz w:val="20"/>
                <w:szCs w:val="20"/>
              </w:rPr>
              <w:t xml:space="preserve">805 </w:t>
            </w:r>
            <w:r w:rsidR="0095096B" w:rsidRPr="002E2327">
              <w:rPr>
                <w:rFonts w:cs="Times New Roman"/>
                <w:sz w:val="20"/>
                <w:szCs w:val="20"/>
              </w:rPr>
              <w:t>-</w:t>
            </w:r>
            <w:r>
              <w:rPr>
                <w:rFonts w:cs="Times New Roman"/>
                <w:sz w:val="20"/>
                <w:szCs w:val="20"/>
              </w:rPr>
              <w:t xml:space="preserve"> 808</w:t>
            </w:r>
          </w:p>
          <w:p w:rsidR="0095096B" w:rsidRPr="002E2327" w:rsidRDefault="0095096B" w:rsidP="0095096B">
            <w:pPr>
              <w:jc w:val="center"/>
              <w:rPr>
                <w:rFonts w:cs="Times New Roman"/>
                <w:sz w:val="20"/>
                <w:szCs w:val="20"/>
              </w:rPr>
            </w:pPr>
          </w:p>
          <w:p w:rsidR="0095096B" w:rsidRPr="002E2327" w:rsidRDefault="00E34F5F" w:rsidP="0095096B">
            <w:pPr>
              <w:jc w:val="center"/>
              <w:rPr>
                <w:rFonts w:cs="Times New Roman"/>
                <w:sz w:val="20"/>
                <w:szCs w:val="20"/>
              </w:rPr>
            </w:pPr>
            <w:r>
              <w:rPr>
                <w:rFonts w:cs="Times New Roman"/>
                <w:sz w:val="20"/>
                <w:szCs w:val="20"/>
              </w:rPr>
              <w:t xml:space="preserve">809 </w:t>
            </w:r>
            <w:r w:rsidR="0095096B" w:rsidRPr="002E2327">
              <w:rPr>
                <w:rFonts w:cs="Times New Roman"/>
                <w:sz w:val="20"/>
                <w:szCs w:val="20"/>
              </w:rPr>
              <w:t>-</w:t>
            </w:r>
            <w:r>
              <w:rPr>
                <w:rFonts w:cs="Times New Roman"/>
                <w:sz w:val="20"/>
                <w:szCs w:val="20"/>
              </w:rPr>
              <w:t xml:space="preserve"> 810</w:t>
            </w:r>
          </w:p>
          <w:p w:rsidR="0095096B" w:rsidRPr="002E2327" w:rsidRDefault="0095096B" w:rsidP="0095096B">
            <w:pPr>
              <w:jc w:val="center"/>
              <w:rPr>
                <w:rFonts w:cs="Times New Roman"/>
                <w:sz w:val="20"/>
                <w:szCs w:val="20"/>
              </w:rPr>
            </w:pPr>
          </w:p>
          <w:p w:rsidR="0095096B" w:rsidRPr="002E2327" w:rsidRDefault="00E34F5F" w:rsidP="0095096B">
            <w:pPr>
              <w:jc w:val="center"/>
              <w:rPr>
                <w:rFonts w:cs="Times New Roman"/>
                <w:sz w:val="20"/>
                <w:szCs w:val="20"/>
              </w:rPr>
            </w:pPr>
            <w:r>
              <w:rPr>
                <w:rFonts w:cs="Times New Roman"/>
                <w:sz w:val="20"/>
                <w:szCs w:val="20"/>
              </w:rPr>
              <w:t xml:space="preserve">811 </w:t>
            </w:r>
            <w:r w:rsidR="00DF0FED">
              <w:rPr>
                <w:rFonts w:cs="Times New Roman"/>
                <w:sz w:val="20"/>
                <w:szCs w:val="20"/>
              </w:rPr>
              <w:t>-</w:t>
            </w:r>
            <w:r>
              <w:rPr>
                <w:rFonts w:cs="Times New Roman"/>
                <w:sz w:val="20"/>
                <w:szCs w:val="20"/>
              </w:rPr>
              <w:t xml:space="preserve"> 830</w:t>
            </w:r>
          </w:p>
          <w:p w:rsidR="00A87207" w:rsidRPr="002E2327" w:rsidRDefault="00A87207" w:rsidP="00DF0FED">
            <w:pPr>
              <w:jc w:val="center"/>
              <w:rPr>
                <w:rFonts w:cs="Times New Roman"/>
                <w:sz w:val="20"/>
                <w:szCs w:val="20"/>
              </w:rPr>
            </w:pPr>
          </w:p>
        </w:tc>
        <w:tc>
          <w:tcPr>
            <w:tcW w:w="3888" w:type="dxa"/>
          </w:tcPr>
          <w:p w:rsidR="0095096B" w:rsidRPr="002E2327" w:rsidRDefault="0017005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464A9E">
            <w:pPr>
              <w:tabs>
                <w:tab w:val="right" w:pos="9360"/>
              </w:tabs>
              <w:rPr>
                <w:rFonts w:cs="Times New Roman"/>
                <w:sz w:val="20"/>
                <w:szCs w:val="20"/>
                <w:lang w:val="fr-CA"/>
              </w:rPr>
            </w:pPr>
          </w:p>
        </w:tc>
      </w:tr>
    </w:tbl>
    <w:p w:rsidR="0095096B" w:rsidRPr="0039552E" w:rsidRDefault="0095096B" w:rsidP="0095096B">
      <w:pPr>
        <w:tabs>
          <w:tab w:val="right" w:pos="9360"/>
        </w:tabs>
        <w:rPr>
          <w:lang w:val="fr-CA"/>
        </w:rPr>
      </w:pPr>
    </w:p>
    <w:p w:rsidR="003F642A" w:rsidRPr="0039552E" w:rsidRDefault="003F642A" w:rsidP="0095096B">
      <w:pPr>
        <w:tabs>
          <w:tab w:val="right" w:pos="9360"/>
        </w:tabs>
        <w:rPr>
          <w:lang w:val="fr-CA"/>
        </w:rPr>
      </w:pPr>
    </w:p>
    <w:p w:rsidR="003F642A" w:rsidRPr="0039552E" w:rsidRDefault="003F642A" w:rsidP="0095096B">
      <w:pPr>
        <w:tabs>
          <w:tab w:val="right" w:pos="9360"/>
        </w:tabs>
        <w:rPr>
          <w:lang w:val="fr-CA"/>
        </w:rPr>
      </w:pPr>
    </w:p>
    <w:p w:rsidR="003F642A" w:rsidRPr="0039552E" w:rsidRDefault="003F642A" w:rsidP="0095096B">
      <w:pPr>
        <w:tabs>
          <w:tab w:val="right" w:pos="9360"/>
        </w:tabs>
        <w:rPr>
          <w:lang w:val="fr-CA"/>
        </w:rPr>
      </w:pPr>
    </w:p>
    <w:p w:rsidR="003F642A" w:rsidRPr="0039552E" w:rsidRDefault="003F642A" w:rsidP="0095096B">
      <w:pPr>
        <w:tabs>
          <w:tab w:val="right" w:pos="9360"/>
        </w:tabs>
        <w:rPr>
          <w:lang w:val="fr-CA"/>
        </w:rPr>
      </w:pPr>
    </w:p>
    <w:tbl>
      <w:tblPr>
        <w:tblStyle w:val="TableGrid"/>
        <w:tblW w:w="0" w:type="auto"/>
        <w:tblLook w:val="04A0"/>
      </w:tblPr>
      <w:tblGrid>
        <w:gridCol w:w="9576"/>
      </w:tblGrid>
      <w:tr w:rsidR="0079724F" w:rsidRPr="005C0D7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926490" w:rsidTr="003B3977">
        <w:tc>
          <w:tcPr>
            <w:tcW w:w="4320" w:type="dxa"/>
            <w:shd w:val="clear" w:color="auto" w:fill="auto"/>
          </w:tcPr>
          <w:p w:rsidR="00242AEE" w:rsidRPr="00A97C0C" w:rsidRDefault="00926490" w:rsidP="003B3977">
            <w:pPr>
              <w:rPr>
                <w:b/>
                <w:sz w:val="20"/>
                <w:szCs w:val="20"/>
                <w:lang w:val="fr-CA"/>
              </w:rPr>
            </w:pPr>
            <w:proofErr w:type="spellStart"/>
            <w:r w:rsidRPr="00A97C0C">
              <w:rPr>
                <w:b/>
                <w:sz w:val="20"/>
                <w:szCs w:val="20"/>
                <w:lang w:val="fr-CA"/>
              </w:rPr>
              <w:t>Rumi</w:t>
            </w:r>
            <w:proofErr w:type="spellEnd"/>
            <w:r w:rsidRPr="00A97C0C">
              <w:rPr>
                <w:b/>
                <w:sz w:val="20"/>
                <w:szCs w:val="20"/>
                <w:lang w:val="fr-CA"/>
              </w:rPr>
              <w:t xml:space="preserve"> </w:t>
            </w:r>
            <w:proofErr w:type="spellStart"/>
            <w:r w:rsidRPr="00A97C0C">
              <w:rPr>
                <w:b/>
                <w:sz w:val="20"/>
                <w:szCs w:val="20"/>
                <w:lang w:val="fr-CA"/>
              </w:rPr>
              <w:t>Vesuna</w:t>
            </w:r>
            <w:proofErr w:type="spellEnd"/>
          </w:p>
          <w:p w:rsidR="00242AEE" w:rsidRPr="00A97C0C" w:rsidRDefault="00242AEE" w:rsidP="003B3977">
            <w:pPr>
              <w:tabs>
                <w:tab w:val="left" w:pos="-1440"/>
                <w:tab w:val="left" w:pos="-720"/>
              </w:tabs>
              <w:rPr>
                <w:sz w:val="20"/>
                <w:szCs w:val="20"/>
                <w:lang w:val="fr-CA"/>
              </w:rPr>
            </w:pPr>
            <w:r w:rsidRPr="00A97C0C">
              <w:rPr>
                <w:sz w:val="20"/>
                <w:szCs w:val="20"/>
                <w:lang w:val="fr-CA"/>
              </w:rPr>
              <w:tab/>
            </w:r>
            <w:proofErr w:type="spellStart"/>
            <w:r w:rsidR="00926490" w:rsidRPr="00A97C0C">
              <w:rPr>
                <w:sz w:val="20"/>
                <w:szCs w:val="20"/>
                <w:lang w:val="fr-CA"/>
              </w:rPr>
              <w:t>Rumi</w:t>
            </w:r>
            <w:proofErr w:type="spellEnd"/>
            <w:r w:rsidR="00926490" w:rsidRPr="00A97C0C">
              <w:rPr>
                <w:sz w:val="20"/>
                <w:szCs w:val="20"/>
                <w:lang w:val="fr-CA"/>
              </w:rPr>
              <w:t xml:space="preserve"> </w:t>
            </w:r>
            <w:proofErr w:type="spellStart"/>
            <w:r w:rsidR="00926490" w:rsidRPr="00A97C0C">
              <w:rPr>
                <w:sz w:val="20"/>
                <w:szCs w:val="20"/>
                <w:lang w:val="fr-CA"/>
              </w:rPr>
              <w:t>Vesuna</w:t>
            </w:r>
            <w:proofErr w:type="spellEnd"/>
          </w:p>
          <w:p w:rsidR="00242AEE" w:rsidRPr="00A97C0C" w:rsidRDefault="00242AEE" w:rsidP="003B3977">
            <w:pPr>
              <w:tabs>
                <w:tab w:val="left" w:pos="-1440"/>
                <w:tab w:val="left" w:pos="-720"/>
              </w:tabs>
              <w:rPr>
                <w:sz w:val="20"/>
                <w:szCs w:val="20"/>
                <w:lang w:val="fr-CA"/>
              </w:rPr>
            </w:pPr>
          </w:p>
          <w:p w:rsidR="00242AEE" w:rsidRPr="00A97C0C" w:rsidRDefault="00242AEE" w:rsidP="003B3977">
            <w:pPr>
              <w:tabs>
                <w:tab w:val="left" w:pos="-1440"/>
                <w:tab w:val="left" w:pos="-720"/>
              </w:tabs>
              <w:rPr>
                <w:sz w:val="20"/>
                <w:szCs w:val="20"/>
                <w:lang w:val="fr-CA"/>
              </w:rPr>
            </w:pPr>
            <w:r w:rsidRPr="00A97C0C">
              <w:rPr>
                <w:sz w:val="20"/>
                <w:szCs w:val="20"/>
                <w:lang w:val="fr-CA"/>
              </w:rPr>
              <w:tab/>
              <w:t>v. (3</w:t>
            </w:r>
            <w:r w:rsidR="00150281" w:rsidRPr="00A97C0C">
              <w:rPr>
                <w:sz w:val="20"/>
                <w:szCs w:val="20"/>
                <w:lang w:val="fr-CA"/>
              </w:rPr>
              <w:t>5</w:t>
            </w:r>
            <w:r w:rsidR="00926490" w:rsidRPr="00A97C0C">
              <w:rPr>
                <w:sz w:val="20"/>
                <w:szCs w:val="20"/>
                <w:lang w:val="fr-CA"/>
              </w:rPr>
              <w:t>323</w:t>
            </w:r>
            <w:r w:rsidRPr="00A97C0C">
              <w:rPr>
                <w:sz w:val="20"/>
                <w:szCs w:val="20"/>
                <w:lang w:val="fr-CA"/>
              </w:rPr>
              <w:t>)</w:t>
            </w:r>
          </w:p>
          <w:p w:rsidR="00242AEE" w:rsidRPr="00A97C0C" w:rsidRDefault="00242AEE" w:rsidP="003B3977">
            <w:pPr>
              <w:tabs>
                <w:tab w:val="left" w:pos="-1440"/>
                <w:tab w:val="left" w:pos="-720"/>
              </w:tabs>
              <w:rPr>
                <w:sz w:val="20"/>
                <w:szCs w:val="20"/>
                <w:lang w:val="fr-CA"/>
              </w:rPr>
            </w:pPr>
          </w:p>
          <w:p w:rsidR="00242AEE" w:rsidRPr="00A97C0C" w:rsidRDefault="00926490" w:rsidP="003B3977">
            <w:pPr>
              <w:tabs>
                <w:tab w:val="left" w:pos="-1440"/>
                <w:tab w:val="left" w:pos="-720"/>
              </w:tabs>
              <w:rPr>
                <w:b/>
                <w:sz w:val="20"/>
                <w:szCs w:val="20"/>
              </w:rPr>
            </w:pPr>
            <w:r w:rsidRPr="00926490">
              <w:rPr>
                <w:b/>
                <w:sz w:val="20"/>
                <w:szCs w:val="20"/>
                <w:lang w:val="fr-CA"/>
              </w:rPr>
              <w:t xml:space="preserve">Alec </w:t>
            </w:r>
            <w:proofErr w:type="spellStart"/>
            <w:r w:rsidRPr="00926490">
              <w:rPr>
                <w:b/>
                <w:sz w:val="20"/>
                <w:szCs w:val="20"/>
                <w:lang w:val="fr-CA"/>
              </w:rPr>
              <w:t>Drysdale</w:t>
            </w:r>
            <w:proofErr w:type="spellEnd"/>
            <w:r w:rsidR="00242AEE" w:rsidRPr="00926490">
              <w:rPr>
                <w:b/>
                <w:sz w:val="20"/>
                <w:szCs w:val="20"/>
                <w:lang w:val="fr-CA"/>
              </w:rPr>
              <w:t xml:space="preserve"> </w:t>
            </w:r>
            <w:r w:rsidRPr="00926490">
              <w:rPr>
                <w:b/>
                <w:sz w:val="20"/>
                <w:szCs w:val="20"/>
                <w:lang w:val="fr-CA"/>
              </w:rPr>
              <w:t>et al.</w:t>
            </w:r>
            <w:r>
              <w:rPr>
                <w:b/>
                <w:sz w:val="20"/>
                <w:szCs w:val="20"/>
                <w:lang w:val="fr-CA"/>
              </w:rPr>
              <w:t xml:space="preserve"> </w:t>
            </w:r>
            <w:r w:rsidR="00242AEE" w:rsidRPr="00A97C0C">
              <w:rPr>
                <w:b/>
                <w:sz w:val="20"/>
                <w:szCs w:val="20"/>
              </w:rPr>
              <w:t>(B.C.)</w:t>
            </w:r>
          </w:p>
          <w:p w:rsidR="00242AEE" w:rsidRPr="00926490" w:rsidRDefault="00242AEE" w:rsidP="003B3977">
            <w:pPr>
              <w:tabs>
                <w:tab w:val="left" w:pos="-1440"/>
                <w:tab w:val="left" w:pos="-720"/>
              </w:tabs>
              <w:rPr>
                <w:sz w:val="20"/>
                <w:szCs w:val="20"/>
              </w:rPr>
            </w:pPr>
            <w:r w:rsidRPr="00A97C0C">
              <w:rPr>
                <w:sz w:val="20"/>
                <w:szCs w:val="20"/>
              </w:rPr>
              <w:tab/>
            </w:r>
            <w:r w:rsidR="00926490" w:rsidRPr="00926490">
              <w:rPr>
                <w:sz w:val="20"/>
                <w:szCs w:val="20"/>
              </w:rPr>
              <w:t>Karrie Wolfe</w:t>
            </w:r>
          </w:p>
          <w:p w:rsidR="00242AEE" w:rsidRPr="00926490" w:rsidRDefault="00242AEE" w:rsidP="003B3977">
            <w:pPr>
              <w:tabs>
                <w:tab w:val="left" w:pos="-1440"/>
                <w:tab w:val="left" w:pos="-720"/>
              </w:tabs>
              <w:rPr>
                <w:sz w:val="20"/>
                <w:szCs w:val="20"/>
              </w:rPr>
            </w:pPr>
            <w:r w:rsidRPr="00926490">
              <w:rPr>
                <w:sz w:val="20"/>
                <w:szCs w:val="20"/>
              </w:rPr>
              <w:tab/>
            </w:r>
            <w:r w:rsidR="00926490" w:rsidRPr="00926490">
              <w:rPr>
                <w:sz w:val="20"/>
                <w:szCs w:val="20"/>
              </w:rPr>
              <w:t>A.G. of British Columbia</w:t>
            </w:r>
          </w:p>
          <w:p w:rsidR="00242AEE" w:rsidRPr="00926490"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926490">
              <w:rPr>
                <w:sz w:val="20"/>
                <w:szCs w:val="20"/>
              </w:rPr>
              <w:t>13</w:t>
            </w:r>
            <w:r w:rsidRPr="00A935AA">
              <w:rPr>
                <w:sz w:val="20"/>
                <w:szCs w:val="20"/>
              </w:rPr>
              <w:t>.0</w:t>
            </w:r>
            <w:r w:rsidR="00926490">
              <w:rPr>
                <w:sz w:val="20"/>
                <w:szCs w:val="20"/>
              </w:rPr>
              <w:t>3</w:t>
            </w:r>
            <w:r w:rsidRPr="00A935AA">
              <w:rPr>
                <w:sz w:val="20"/>
                <w:szCs w:val="20"/>
              </w:rPr>
              <w:t>.201</w:t>
            </w:r>
            <w:r w:rsidR="00150281">
              <w:rPr>
                <w:sz w:val="20"/>
                <w:szCs w:val="20"/>
              </w:rPr>
              <w:t>3</w:t>
            </w:r>
          </w:p>
          <w:p w:rsidR="00242AEE" w:rsidRPr="00A935AA" w:rsidRDefault="0017005E" w:rsidP="003B3977">
            <w:pPr>
              <w:rPr>
                <w:sz w:val="20"/>
                <w:szCs w:val="20"/>
              </w:rPr>
            </w:pPr>
            <w:r w:rsidRPr="0017005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926490" w:rsidRDefault="00926490" w:rsidP="003B3977">
            <w:pPr>
              <w:keepNext/>
              <w:keepLines/>
              <w:tabs>
                <w:tab w:val="left" w:pos="-1440"/>
                <w:tab w:val="left" w:pos="-720"/>
              </w:tabs>
              <w:rPr>
                <w:b/>
                <w:sz w:val="20"/>
                <w:szCs w:val="20"/>
                <w:lang w:val="fr-CA"/>
              </w:rPr>
            </w:pPr>
            <w:r w:rsidRPr="00926490">
              <w:rPr>
                <w:b/>
                <w:sz w:val="20"/>
                <w:szCs w:val="20"/>
                <w:lang w:val="fr-CA"/>
              </w:rPr>
              <w:t>Marc-Antoine Gagné</w:t>
            </w:r>
          </w:p>
          <w:p w:rsidR="00242AEE" w:rsidRPr="00926490" w:rsidRDefault="00242AEE" w:rsidP="003B3977">
            <w:pPr>
              <w:keepNext/>
              <w:keepLines/>
              <w:tabs>
                <w:tab w:val="left" w:pos="-1440"/>
                <w:tab w:val="left" w:pos="-720"/>
              </w:tabs>
              <w:rPr>
                <w:sz w:val="20"/>
                <w:szCs w:val="20"/>
                <w:lang w:val="fr-CA"/>
              </w:rPr>
            </w:pPr>
            <w:r w:rsidRPr="00926490">
              <w:rPr>
                <w:sz w:val="20"/>
                <w:szCs w:val="20"/>
                <w:lang w:val="fr-CA"/>
              </w:rPr>
              <w:tab/>
            </w:r>
            <w:r w:rsidR="00926490" w:rsidRPr="00926490">
              <w:rPr>
                <w:sz w:val="20"/>
                <w:szCs w:val="20"/>
                <w:lang w:val="fr-CA"/>
              </w:rPr>
              <w:t>Marc-Antoine Gagné</w:t>
            </w:r>
          </w:p>
          <w:p w:rsidR="00242AEE" w:rsidRPr="00926490" w:rsidRDefault="00242AEE" w:rsidP="003B3977">
            <w:pPr>
              <w:keepNext/>
              <w:keepLines/>
              <w:tabs>
                <w:tab w:val="left" w:pos="-1440"/>
                <w:tab w:val="left" w:pos="-720"/>
              </w:tabs>
              <w:rPr>
                <w:sz w:val="20"/>
                <w:szCs w:val="20"/>
                <w:lang w:val="fr-CA"/>
              </w:rPr>
            </w:pPr>
          </w:p>
          <w:p w:rsidR="00242AEE" w:rsidRPr="00A97C0C" w:rsidRDefault="00242AEE" w:rsidP="003B3977">
            <w:pPr>
              <w:keepNext/>
              <w:keepLines/>
              <w:tabs>
                <w:tab w:val="left" w:pos="-1440"/>
                <w:tab w:val="left" w:pos="-720"/>
              </w:tabs>
              <w:rPr>
                <w:sz w:val="20"/>
                <w:szCs w:val="20"/>
                <w:lang w:val="fr-CA"/>
              </w:rPr>
            </w:pPr>
            <w:r w:rsidRPr="00926490">
              <w:rPr>
                <w:sz w:val="20"/>
                <w:szCs w:val="20"/>
                <w:lang w:val="fr-CA"/>
              </w:rPr>
              <w:tab/>
            </w:r>
            <w:r w:rsidR="00926490" w:rsidRPr="00A97C0C">
              <w:rPr>
                <w:sz w:val="20"/>
                <w:szCs w:val="20"/>
                <w:lang w:val="fr-CA"/>
              </w:rPr>
              <w:t>c.</w:t>
            </w:r>
            <w:r w:rsidRPr="00A97C0C">
              <w:rPr>
                <w:sz w:val="20"/>
                <w:szCs w:val="20"/>
                <w:lang w:val="fr-CA"/>
              </w:rPr>
              <w:t xml:space="preserve"> (3</w:t>
            </w:r>
            <w:r w:rsidR="00150281" w:rsidRPr="00A97C0C">
              <w:rPr>
                <w:sz w:val="20"/>
                <w:szCs w:val="20"/>
                <w:lang w:val="fr-CA"/>
              </w:rPr>
              <w:t>5</w:t>
            </w:r>
            <w:r w:rsidR="00926490" w:rsidRPr="00A97C0C">
              <w:rPr>
                <w:sz w:val="20"/>
                <w:szCs w:val="20"/>
                <w:lang w:val="fr-CA"/>
              </w:rPr>
              <w:t>334</w:t>
            </w:r>
            <w:r w:rsidRPr="00A97C0C">
              <w:rPr>
                <w:sz w:val="20"/>
                <w:szCs w:val="20"/>
                <w:lang w:val="fr-CA"/>
              </w:rPr>
              <w:t>)</w:t>
            </w:r>
          </w:p>
          <w:p w:rsidR="00242AEE" w:rsidRPr="00A97C0C" w:rsidRDefault="00242AEE" w:rsidP="003B3977">
            <w:pPr>
              <w:keepNext/>
              <w:keepLines/>
              <w:tabs>
                <w:tab w:val="left" w:pos="-1440"/>
                <w:tab w:val="left" w:pos="-720"/>
              </w:tabs>
              <w:rPr>
                <w:sz w:val="20"/>
                <w:szCs w:val="20"/>
                <w:lang w:val="fr-CA"/>
              </w:rPr>
            </w:pPr>
          </w:p>
          <w:p w:rsidR="00242AEE" w:rsidRPr="00926490" w:rsidRDefault="00926490" w:rsidP="003B3977">
            <w:pPr>
              <w:keepNext/>
              <w:keepLines/>
              <w:tabs>
                <w:tab w:val="left" w:pos="-1440"/>
                <w:tab w:val="left" w:pos="-720"/>
              </w:tabs>
              <w:rPr>
                <w:b/>
                <w:sz w:val="20"/>
                <w:szCs w:val="20"/>
                <w:lang w:val="fr-CA"/>
              </w:rPr>
            </w:pPr>
            <w:r w:rsidRPr="00926490">
              <w:rPr>
                <w:b/>
                <w:sz w:val="20"/>
                <w:szCs w:val="20"/>
                <w:lang w:val="fr-CA"/>
              </w:rPr>
              <w:t>Sa Majesté la Reine</w:t>
            </w:r>
            <w:r w:rsidR="00242AEE" w:rsidRPr="00926490">
              <w:rPr>
                <w:b/>
                <w:sz w:val="20"/>
                <w:szCs w:val="20"/>
                <w:lang w:val="fr-CA"/>
              </w:rPr>
              <w:t xml:space="preserve"> (</w:t>
            </w:r>
            <w:proofErr w:type="spellStart"/>
            <w:r w:rsidRPr="00926490">
              <w:rPr>
                <w:b/>
                <w:sz w:val="20"/>
                <w:szCs w:val="20"/>
                <w:lang w:val="fr-CA"/>
              </w:rPr>
              <w:t>Qc</w:t>
            </w:r>
            <w:proofErr w:type="spellEnd"/>
            <w:r w:rsidR="00242AEE" w:rsidRPr="00926490">
              <w:rPr>
                <w:b/>
                <w:sz w:val="20"/>
                <w:szCs w:val="20"/>
                <w:lang w:val="fr-CA"/>
              </w:rPr>
              <w:t>)</w:t>
            </w:r>
          </w:p>
          <w:p w:rsidR="00242AEE" w:rsidRPr="00926490" w:rsidRDefault="00242AEE" w:rsidP="003B3977">
            <w:pPr>
              <w:keepNext/>
              <w:keepLines/>
              <w:tabs>
                <w:tab w:val="left" w:pos="-1440"/>
                <w:tab w:val="left" w:pos="-720"/>
              </w:tabs>
              <w:rPr>
                <w:sz w:val="20"/>
                <w:szCs w:val="20"/>
                <w:lang w:val="fr-CA"/>
              </w:rPr>
            </w:pPr>
            <w:r w:rsidRPr="00926490">
              <w:rPr>
                <w:sz w:val="20"/>
                <w:szCs w:val="20"/>
                <w:lang w:val="fr-CA"/>
              </w:rPr>
              <w:tab/>
            </w:r>
            <w:r w:rsidR="00926490">
              <w:rPr>
                <w:sz w:val="20"/>
                <w:szCs w:val="20"/>
                <w:lang w:val="fr-CA"/>
              </w:rPr>
              <w:t xml:space="preserve">Mario </w:t>
            </w:r>
            <w:proofErr w:type="spellStart"/>
            <w:r w:rsidR="00926490">
              <w:rPr>
                <w:sz w:val="20"/>
                <w:szCs w:val="20"/>
                <w:lang w:val="fr-CA"/>
              </w:rPr>
              <w:t>Longpré</w:t>
            </w:r>
            <w:proofErr w:type="spellEnd"/>
          </w:p>
          <w:p w:rsidR="00242AEE" w:rsidRPr="00926490" w:rsidRDefault="00242AEE" w:rsidP="003B3977">
            <w:pPr>
              <w:keepNext/>
              <w:keepLines/>
              <w:tabs>
                <w:tab w:val="left" w:pos="-1440"/>
                <w:tab w:val="left" w:pos="-720"/>
              </w:tabs>
              <w:rPr>
                <w:sz w:val="20"/>
                <w:szCs w:val="20"/>
                <w:lang w:val="fr-CA"/>
              </w:rPr>
            </w:pPr>
            <w:r w:rsidRPr="00926490">
              <w:rPr>
                <w:sz w:val="20"/>
                <w:szCs w:val="20"/>
                <w:lang w:val="fr-CA"/>
              </w:rPr>
              <w:tab/>
            </w:r>
            <w:r w:rsidR="00926490">
              <w:rPr>
                <w:sz w:val="20"/>
                <w:szCs w:val="20"/>
                <w:lang w:val="fr-CA"/>
              </w:rPr>
              <w:t xml:space="preserve">Directeur des poursuites criminelles et </w:t>
            </w:r>
            <w:r w:rsidR="00926490">
              <w:rPr>
                <w:sz w:val="20"/>
                <w:szCs w:val="20"/>
                <w:lang w:val="fr-CA"/>
              </w:rPr>
              <w:tab/>
              <w:t xml:space="preserve">pénales du Québec </w:t>
            </w:r>
          </w:p>
          <w:p w:rsidR="00242AEE" w:rsidRPr="00926490" w:rsidRDefault="00242AEE" w:rsidP="003B3977">
            <w:pPr>
              <w:keepNext/>
              <w:keepLines/>
              <w:tabs>
                <w:tab w:val="left" w:pos="-1440"/>
                <w:tab w:val="left" w:pos="-720"/>
              </w:tabs>
              <w:rPr>
                <w:sz w:val="20"/>
                <w:szCs w:val="20"/>
                <w:lang w:val="fr-CA"/>
              </w:rPr>
            </w:pPr>
          </w:p>
          <w:p w:rsidR="00242AEE" w:rsidRPr="00926490" w:rsidRDefault="00242AEE" w:rsidP="00926490">
            <w:pPr>
              <w:rPr>
                <w:sz w:val="20"/>
                <w:szCs w:val="20"/>
                <w:lang w:val="fr-CA"/>
              </w:rPr>
            </w:pPr>
            <w:r w:rsidRPr="00926490">
              <w:rPr>
                <w:sz w:val="20"/>
                <w:szCs w:val="20"/>
                <w:lang w:val="fr-CA"/>
              </w:rPr>
              <w:t>DATE</w:t>
            </w:r>
            <w:r w:rsidR="00926490">
              <w:rPr>
                <w:sz w:val="20"/>
                <w:szCs w:val="20"/>
                <w:lang w:val="fr-CA"/>
              </w:rPr>
              <w:t xml:space="preserve"> DE PRODUCTION </w:t>
            </w:r>
            <w:r w:rsidRPr="00926490">
              <w:rPr>
                <w:sz w:val="20"/>
                <w:szCs w:val="20"/>
                <w:lang w:val="fr-CA"/>
              </w:rPr>
              <w:t xml:space="preserve">: </w:t>
            </w:r>
            <w:r w:rsidR="00926490">
              <w:rPr>
                <w:sz w:val="20"/>
                <w:szCs w:val="20"/>
                <w:lang w:val="fr-CA"/>
              </w:rPr>
              <w:t>03</w:t>
            </w:r>
            <w:r w:rsidRPr="00926490">
              <w:rPr>
                <w:sz w:val="20"/>
                <w:szCs w:val="20"/>
                <w:lang w:val="fr-CA"/>
              </w:rPr>
              <w:t>.0</w:t>
            </w:r>
            <w:r w:rsidR="00150281" w:rsidRPr="00926490">
              <w:rPr>
                <w:sz w:val="20"/>
                <w:szCs w:val="20"/>
                <w:lang w:val="fr-CA"/>
              </w:rPr>
              <w:t>4</w:t>
            </w:r>
            <w:r w:rsidRPr="00926490">
              <w:rPr>
                <w:sz w:val="20"/>
                <w:szCs w:val="20"/>
                <w:lang w:val="fr-CA"/>
              </w:rPr>
              <w:t>.201</w:t>
            </w:r>
            <w:r w:rsidR="00150281" w:rsidRPr="00926490">
              <w:rPr>
                <w:sz w:val="20"/>
                <w:szCs w:val="20"/>
                <w:lang w:val="fr-CA"/>
              </w:rPr>
              <w:t>3</w:t>
            </w:r>
            <w:r w:rsidR="0017005E" w:rsidRPr="0017005E">
              <w:rPr>
                <w:sz w:val="20"/>
                <w:szCs w:val="20"/>
                <w:lang w:val="fr-CA"/>
              </w:rPr>
              <w:pict>
                <v:rect id="_x0000_i1026" style="width:108pt;height:1pt" o:hrpct="0" o:hralign="center" o:hrstd="t" o:hrnoshade="t" o:hr="t" fillcolor="black [3213]" stroked="f"/>
              </w:pict>
            </w:r>
          </w:p>
        </w:tc>
      </w:tr>
      <w:tr w:rsidR="00150281" w:rsidRPr="00926490" w:rsidTr="003B3977">
        <w:tc>
          <w:tcPr>
            <w:tcW w:w="4320" w:type="dxa"/>
            <w:shd w:val="clear" w:color="auto" w:fill="auto"/>
          </w:tcPr>
          <w:p w:rsidR="00150281" w:rsidRPr="00926490" w:rsidRDefault="00926490" w:rsidP="00150281">
            <w:pPr>
              <w:rPr>
                <w:b/>
                <w:sz w:val="20"/>
                <w:szCs w:val="20"/>
                <w:lang w:val="fr-CA"/>
              </w:rPr>
            </w:pPr>
            <w:r>
              <w:rPr>
                <w:b/>
                <w:sz w:val="20"/>
                <w:szCs w:val="20"/>
                <w:lang w:val="fr-CA"/>
              </w:rPr>
              <w:t>Immeubles Jacques Robitaille Inc.</w:t>
            </w:r>
          </w:p>
          <w:p w:rsidR="00150281" w:rsidRPr="00926490" w:rsidRDefault="00150281" w:rsidP="00150281">
            <w:pPr>
              <w:tabs>
                <w:tab w:val="left" w:pos="-1440"/>
                <w:tab w:val="left" w:pos="-720"/>
              </w:tabs>
              <w:rPr>
                <w:sz w:val="20"/>
                <w:szCs w:val="20"/>
                <w:lang w:val="fr-CA"/>
              </w:rPr>
            </w:pPr>
            <w:r w:rsidRPr="00926490">
              <w:rPr>
                <w:sz w:val="20"/>
                <w:szCs w:val="20"/>
                <w:lang w:val="fr-CA"/>
              </w:rPr>
              <w:tab/>
            </w:r>
            <w:r w:rsidR="00926490">
              <w:rPr>
                <w:sz w:val="20"/>
                <w:szCs w:val="20"/>
                <w:lang w:val="fr-CA"/>
              </w:rPr>
              <w:t xml:space="preserve">William </w:t>
            </w:r>
            <w:proofErr w:type="spellStart"/>
            <w:r w:rsidR="00926490">
              <w:rPr>
                <w:sz w:val="20"/>
                <w:szCs w:val="20"/>
                <w:lang w:val="fr-CA"/>
              </w:rPr>
              <w:t>Noonan</w:t>
            </w:r>
            <w:proofErr w:type="spellEnd"/>
          </w:p>
          <w:p w:rsidR="00150281" w:rsidRPr="00926490" w:rsidRDefault="00150281" w:rsidP="00150281">
            <w:pPr>
              <w:tabs>
                <w:tab w:val="left" w:pos="-1440"/>
                <w:tab w:val="left" w:pos="-720"/>
              </w:tabs>
              <w:rPr>
                <w:sz w:val="20"/>
                <w:szCs w:val="20"/>
                <w:lang w:val="fr-CA"/>
              </w:rPr>
            </w:pPr>
            <w:r w:rsidRPr="00926490">
              <w:rPr>
                <w:sz w:val="20"/>
                <w:szCs w:val="20"/>
                <w:lang w:val="fr-CA"/>
              </w:rPr>
              <w:tab/>
            </w:r>
            <w:proofErr w:type="spellStart"/>
            <w:r w:rsidR="00926490">
              <w:rPr>
                <w:sz w:val="20"/>
                <w:szCs w:val="20"/>
                <w:lang w:val="fr-CA"/>
              </w:rPr>
              <w:t>Hickson</w:t>
            </w:r>
            <w:proofErr w:type="spellEnd"/>
            <w:r w:rsidR="00926490">
              <w:rPr>
                <w:sz w:val="20"/>
                <w:szCs w:val="20"/>
                <w:lang w:val="fr-CA"/>
              </w:rPr>
              <w:t xml:space="preserve"> </w:t>
            </w:r>
            <w:proofErr w:type="spellStart"/>
            <w:r w:rsidR="00926490">
              <w:rPr>
                <w:sz w:val="20"/>
                <w:szCs w:val="20"/>
                <w:lang w:val="fr-CA"/>
              </w:rPr>
              <w:t>Noonan</w:t>
            </w:r>
            <w:proofErr w:type="spellEnd"/>
          </w:p>
          <w:p w:rsidR="00150281" w:rsidRPr="00926490" w:rsidRDefault="00150281" w:rsidP="00150281">
            <w:pPr>
              <w:tabs>
                <w:tab w:val="left" w:pos="-1440"/>
                <w:tab w:val="left" w:pos="-720"/>
              </w:tabs>
              <w:rPr>
                <w:sz w:val="20"/>
                <w:szCs w:val="20"/>
                <w:lang w:val="fr-CA"/>
              </w:rPr>
            </w:pPr>
          </w:p>
          <w:p w:rsidR="00150281" w:rsidRPr="00926490" w:rsidRDefault="00150281" w:rsidP="00150281">
            <w:pPr>
              <w:tabs>
                <w:tab w:val="left" w:pos="-1440"/>
                <w:tab w:val="left" w:pos="-720"/>
              </w:tabs>
              <w:rPr>
                <w:sz w:val="20"/>
                <w:szCs w:val="20"/>
                <w:lang w:val="fr-CA"/>
              </w:rPr>
            </w:pPr>
            <w:r w:rsidRPr="00926490">
              <w:rPr>
                <w:sz w:val="20"/>
                <w:szCs w:val="20"/>
                <w:lang w:val="fr-CA"/>
              </w:rPr>
              <w:tab/>
            </w:r>
            <w:r w:rsidR="00926490">
              <w:rPr>
                <w:sz w:val="20"/>
                <w:szCs w:val="20"/>
                <w:lang w:val="fr-CA"/>
              </w:rPr>
              <w:t>c</w:t>
            </w:r>
            <w:r w:rsidRPr="00926490">
              <w:rPr>
                <w:sz w:val="20"/>
                <w:szCs w:val="20"/>
                <w:lang w:val="fr-CA"/>
              </w:rPr>
              <w:t>. (35</w:t>
            </w:r>
            <w:r w:rsidR="00926490">
              <w:rPr>
                <w:sz w:val="20"/>
                <w:szCs w:val="20"/>
                <w:lang w:val="fr-CA"/>
              </w:rPr>
              <w:t>295</w:t>
            </w:r>
            <w:r w:rsidRPr="00926490">
              <w:rPr>
                <w:sz w:val="20"/>
                <w:szCs w:val="20"/>
                <w:lang w:val="fr-CA"/>
              </w:rPr>
              <w:t>)</w:t>
            </w:r>
          </w:p>
          <w:p w:rsidR="00150281" w:rsidRPr="00926490" w:rsidRDefault="00150281" w:rsidP="00150281">
            <w:pPr>
              <w:tabs>
                <w:tab w:val="left" w:pos="-1440"/>
                <w:tab w:val="left" w:pos="-720"/>
              </w:tabs>
              <w:rPr>
                <w:sz w:val="20"/>
                <w:szCs w:val="20"/>
                <w:lang w:val="fr-CA"/>
              </w:rPr>
            </w:pPr>
          </w:p>
          <w:p w:rsidR="00150281" w:rsidRPr="00926490" w:rsidRDefault="00926490" w:rsidP="00150281">
            <w:pPr>
              <w:tabs>
                <w:tab w:val="left" w:pos="-1440"/>
                <w:tab w:val="left" w:pos="-720"/>
              </w:tabs>
              <w:rPr>
                <w:b/>
                <w:sz w:val="20"/>
                <w:szCs w:val="20"/>
                <w:lang w:val="fr-CA"/>
              </w:rPr>
            </w:pPr>
            <w:r>
              <w:rPr>
                <w:b/>
                <w:sz w:val="20"/>
                <w:szCs w:val="20"/>
                <w:lang w:val="fr-CA"/>
              </w:rPr>
              <w:t>Ville de Québec</w:t>
            </w:r>
            <w:r w:rsidR="00150281" w:rsidRPr="00926490">
              <w:rPr>
                <w:b/>
                <w:sz w:val="20"/>
                <w:szCs w:val="20"/>
                <w:lang w:val="fr-CA"/>
              </w:rPr>
              <w:t xml:space="preserve"> (</w:t>
            </w:r>
            <w:proofErr w:type="spellStart"/>
            <w:r>
              <w:rPr>
                <w:b/>
                <w:sz w:val="20"/>
                <w:szCs w:val="20"/>
                <w:lang w:val="fr-CA"/>
              </w:rPr>
              <w:t>Qc</w:t>
            </w:r>
            <w:proofErr w:type="spellEnd"/>
            <w:r w:rsidR="00150281" w:rsidRPr="00926490">
              <w:rPr>
                <w:b/>
                <w:sz w:val="20"/>
                <w:szCs w:val="20"/>
                <w:lang w:val="fr-CA"/>
              </w:rPr>
              <w:t>)</w:t>
            </w:r>
          </w:p>
          <w:p w:rsidR="00150281" w:rsidRPr="00926490" w:rsidRDefault="00150281" w:rsidP="00150281">
            <w:pPr>
              <w:tabs>
                <w:tab w:val="left" w:pos="-1440"/>
                <w:tab w:val="left" w:pos="-720"/>
              </w:tabs>
              <w:rPr>
                <w:sz w:val="20"/>
                <w:szCs w:val="20"/>
                <w:lang w:val="fr-CA"/>
              </w:rPr>
            </w:pPr>
            <w:r w:rsidRPr="00926490">
              <w:rPr>
                <w:sz w:val="20"/>
                <w:szCs w:val="20"/>
                <w:lang w:val="fr-CA"/>
              </w:rPr>
              <w:tab/>
            </w:r>
            <w:r w:rsidR="00926490">
              <w:rPr>
                <w:sz w:val="20"/>
                <w:szCs w:val="20"/>
                <w:lang w:val="fr-CA"/>
              </w:rPr>
              <w:t>Ève Rioux</w:t>
            </w:r>
          </w:p>
          <w:p w:rsidR="00150281" w:rsidRPr="00926490" w:rsidRDefault="00150281" w:rsidP="00150281">
            <w:pPr>
              <w:tabs>
                <w:tab w:val="left" w:pos="-1440"/>
                <w:tab w:val="left" w:pos="-720"/>
              </w:tabs>
              <w:rPr>
                <w:sz w:val="20"/>
                <w:szCs w:val="20"/>
                <w:lang w:val="fr-CA"/>
              </w:rPr>
            </w:pPr>
            <w:r w:rsidRPr="00926490">
              <w:rPr>
                <w:sz w:val="20"/>
                <w:szCs w:val="20"/>
                <w:lang w:val="fr-CA"/>
              </w:rPr>
              <w:tab/>
            </w:r>
            <w:proofErr w:type="spellStart"/>
            <w:r w:rsidR="00926490">
              <w:rPr>
                <w:sz w:val="20"/>
                <w:szCs w:val="20"/>
                <w:lang w:val="fr-CA"/>
              </w:rPr>
              <w:t>Giasson</w:t>
            </w:r>
            <w:proofErr w:type="spellEnd"/>
            <w:r w:rsidR="00926490">
              <w:rPr>
                <w:sz w:val="20"/>
                <w:szCs w:val="20"/>
                <w:lang w:val="fr-CA"/>
              </w:rPr>
              <w:t xml:space="preserve"> et Associés</w:t>
            </w:r>
          </w:p>
          <w:p w:rsidR="00150281" w:rsidRPr="00926490" w:rsidRDefault="00150281" w:rsidP="00150281">
            <w:pPr>
              <w:tabs>
                <w:tab w:val="left" w:pos="-1440"/>
                <w:tab w:val="left" w:pos="-720"/>
              </w:tabs>
              <w:rPr>
                <w:sz w:val="20"/>
                <w:szCs w:val="20"/>
                <w:lang w:val="fr-CA"/>
              </w:rPr>
            </w:pPr>
          </w:p>
          <w:p w:rsidR="00150281" w:rsidRPr="00926490" w:rsidRDefault="00150281" w:rsidP="00150281">
            <w:pPr>
              <w:rPr>
                <w:sz w:val="20"/>
                <w:szCs w:val="20"/>
                <w:lang w:val="fr-CA"/>
              </w:rPr>
            </w:pPr>
            <w:r w:rsidRPr="00926490">
              <w:rPr>
                <w:sz w:val="20"/>
                <w:szCs w:val="20"/>
                <w:lang w:val="fr-CA"/>
              </w:rPr>
              <w:t>DATE</w:t>
            </w:r>
            <w:r w:rsidR="00926490">
              <w:rPr>
                <w:sz w:val="20"/>
                <w:szCs w:val="20"/>
                <w:lang w:val="fr-CA"/>
              </w:rPr>
              <w:t xml:space="preserve"> DE PRODUCTION </w:t>
            </w:r>
            <w:r w:rsidRPr="00926490">
              <w:rPr>
                <w:sz w:val="20"/>
                <w:szCs w:val="20"/>
                <w:lang w:val="fr-CA"/>
              </w:rPr>
              <w:t xml:space="preserve">: </w:t>
            </w:r>
            <w:r w:rsidR="00926490">
              <w:rPr>
                <w:sz w:val="20"/>
                <w:szCs w:val="20"/>
                <w:lang w:val="fr-CA"/>
              </w:rPr>
              <w:t>05</w:t>
            </w:r>
            <w:r w:rsidRPr="00926490">
              <w:rPr>
                <w:sz w:val="20"/>
                <w:szCs w:val="20"/>
                <w:lang w:val="fr-CA"/>
              </w:rPr>
              <w:t>.04.2013</w:t>
            </w:r>
          </w:p>
          <w:p w:rsidR="00150281" w:rsidRPr="00926490" w:rsidRDefault="0017005E" w:rsidP="00150281">
            <w:pPr>
              <w:rPr>
                <w:sz w:val="20"/>
                <w:szCs w:val="20"/>
                <w:lang w:val="fr-CA"/>
              </w:rPr>
            </w:pPr>
            <w:r w:rsidRPr="0017005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p w:rsidR="00150281" w:rsidRPr="00926490" w:rsidRDefault="00150281" w:rsidP="00242AEE">
            <w:pPr>
              <w:jc w:val="center"/>
              <w:rPr>
                <w:sz w:val="20"/>
                <w:szCs w:val="20"/>
                <w:lang w:val="fr-CA"/>
              </w:rPr>
            </w:pPr>
          </w:p>
        </w:tc>
        <w:tc>
          <w:tcPr>
            <w:tcW w:w="4320" w:type="dxa"/>
            <w:shd w:val="clear" w:color="auto" w:fill="auto"/>
          </w:tcPr>
          <w:p w:rsidR="00A97C0C" w:rsidRDefault="00A97C0C" w:rsidP="00150281">
            <w:pPr>
              <w:keepNext/>
              <w:keepLines/>
              <w:tabs>
                <w:tab w:val="left" w:pos="-1440"/>
                <w:tab w:val="left" w:pos="-720"/>
              </w:tabs>
              <w:rPr>
                <w:b/>
                <w:sz w:val="20"/>
                <w:szCs w:val="20"/>
              </w:rPr>
            </w:pPr>
          </w:p>
          <w:p w:rsidR="00150281" w:rsidRPr="001B6662" w:rsidRDefault="001B6662" w:rsidP="00150281">
            <w:pPr>
              <w:keepNext/>
              <w:keepLines/>
              <w:tabs>
                <w:tab w:val="left" w:pos="-1440"/>
                <w:tab w:val="left" w:pos="-720"/>
              </w:tabs>
              <w:rPr>
                <w:b/>
                <w:sz w:val="20"/>
                <w:szCs w:val="20"/>
              </w:rPr>
            </w:pPr>
            <w:r w:rsidRPr="001B6662">
              <w:rPr>
                <w:b/>
                <w:sz w:val="20"/>
                <w:szCs w:val="20"/>
              </w:rPr>
              <w:t xml:space="preserve">James Peter </w:t>
            </w:r>
            <w:proofErr w:type="spellStart"/>
            <w:r w:rsidRPr="001B6662">
              <w:rPr>
                <w:b/>
                <w:sz w:val="20"/>
                <w:szCs w:val="20"/>
              </w:rPr>
              <w:t>Sipos</w:t>
            </w:r>
            <w:proofErr w:type="spellEnd"/>
          </w:p>
          <w:p w:rsidR="00150281" w:rsidRPr="001B6662" w:rsidRDefault="00150281" w:rsidP="00150281">
            <w:pPr>
              <w:keepNext/>
              <w:keepLines/>
              <w:tabs>
                <w:tab w:val="left" w:pos="-1440"/>
                <w:tab w:val="left" w:pos="-720"/>
              </w:tabs>
              <w:rPr>
                <w:sz w:val="20"/>
                <w:szCs w:val="20"/>
              </w:rPr>
            </w:pPr>
            <w:r w:rsidRPr="001B6662">
              <w:rPr>
                <w:sz w:val="20"/>
                <w:szCs w:val="20"/>
              </w:rPr>
              <w:tab/>
            </w:r>
            <w:r w:rsidR="001B6662" w:rsidRPr="001B6662">
              <w:rPr>
                <w:sz w:val="20"/>
                <w:szCs w:val="20"/>
              </w:rPr>
              <w:t xml:space="preserve">Michael </w:t>
            </w:r>
            <w:proofErr w:type="spellStart"/>
            <w:r w:rsidR="001B6662" w:rsidRPr="001B6662">
              <w:rPr>
                <w:sz w:val="20"/>
                <w:szCs w:val="20"/>
              </w:rPr>
              <w:t>Dineen</w:t>
            </w:r>
            <w:proofErr w:type="spellEnd"/>
          </w:p>
          <w:p w:rsidR="00150281" w:rsidRPr="001B6662" w:rsidRDefault="00150281" w:rsidP="00150281">
            <w:pPr>
              <w:keepNext/>
              <w:keepLines/>
              <w:tabs>
                <w:tab w:val="left" w:pos="-1440"/>
                <w:tab w:val="left" w:pos="-720"/>
              </w:tabs>
              <w:rPr>
                <w:sz w:val="20"/>
                <w:szCs w:val="20"/>
              </w:rPr>
            </w:pPr>
            <w:r w:rsidRPr="001B6662">
              <w:rPr>
                <w:sz w:val="20"/>
                <w:szCs w:val="20"/>
              </w:rPr>
              <w:tab/>
            </w:r>
            <w:proofErr w:type="spellStart"/>
            <w:r w:rsidR="001B6662" w:rsidRPr="001B6662">
              <w:rPr>
                <w:sz w:val="20"/>
                <w:szCs w:val="20"/>
              </w:rPr>
              <w:t>Dawe</w:t>
            </w:r>
            <w:proofErr w:type="spellEnd"/>
            <w:r w:rsidR="001B6662" w:rsidRPr="001B6662">
              <w:rPr>
                <w:sz w:val="20"/>
                <w:szCs w:val="20"/>
              </w:rPr>
              <w:t xml:space="preserve"> &amp; </w:t>
            </w:r>
            <w:proofErr w:type="spellStart"/>
            <w:r w:rsidR="001B6662" w:rsidRPr="001B6662">
              <w:rPr>
                <w:sz w:val="20"/>
                <w:szCs w:val="20"/>
              </w:rPr>
              <w:t>Dineen</w:t>
            </w:r>
            <w:proofErr w:type="spellEnd"/>
          </w:p>
          <w:p w:rsidR="00150281" w:rsidRPr="001B6662" w:rsidRDefault="00150281" w:rsidP="00150281">
            <w:pPr>
              <w:keepNext/>
              <w:keepLines/>
              <w:tabs>
                <w:tab w:val="left" w:pos="-1440"/>
                <w:tab w:val="left" w:pos="-720"/>
              </w:tabs>
              <w:rPr>
                <w:sz w:val="20"/>
                <w:szCs w:val="20"/>
              </w:rPr>
            </w:pPr>
          </w:p>
          <w:p w:rsidR="00150281" w:rsidRPr="001B6662" w:rsidRDefault="00150281" w:rsidP="00150281">
            <w:pPr>
              <w:keepNext/>
              <w:keepLines/>
              <w:tabs>
                <w:tab w:val="left" w:pos="-1440"/>
                <w:tab w:val="left" w:pos="-720"/>
              </w:tabs>
              <w:rPr>
                <w:sz w:val="20"/>
                <w:szCs w:val="20"/>
              </w:rPr>
            </w:pPr>
            <w:r w:rsidRPr="001B6662">
              <w:rPr>
                <w:sz w:val="20"/>
                <w:szCs w:val="20"/>
              </w:rPr>
              <w:tab/>
              <w:t>v. (35</w:t>
            </w:r>
            <w:r w:rsidR="001B6662" w:rsidRPr="001B6662">
              <w:rPr>
                <w:sz w:val="20"/>
                <w:szCs w:val="20"/>
              </w:rPr>
              <w:t>310</w:t>
            </w:r>
            <w:r w:rsidRPr="001B6662">
              <w:rPr>
                <w:sz w:val="20"/>
                <w:szCs w:val="20"/>
              </w:rPr>
              <w:t>)</w:t>
            </w:r>
          </w:p>
          <w:p w:rsidR="00150281" w:rsidRPr="001B6662" w:rsidRDefault="00150281" w:rsidP="00150281">
            <w:pPr>
              <w:keepNext/>
              <w:keepLines/>
              <w:tabs>
                <w:tab w:val="left" w:pos="-1440"/>
                <w:tab w:val="left" w:pos="-720"/>
              </w:tabs>
              <w:rPr>
                <w:sz w:val="20"/>
                <w:szCs w:val="20"/>
              </w:rPr>
            </w:pPr>
          </w:p>
          <w:p w:rsidR="00150281" w:rsidRPr="001B6662" w:rsidRDefault="001B6662" w:rsidP="00150281">
            <w:pPr>
              <w:keepNext/>
              <w:keepLines/>
              <w:tabs>
                <w:tab w:val="left" w:pos="-1440"/>
                <w:tab w:val="left" w:pos="-720"/>
              </w:tabs>
              <w:rPr>
                <w:b/>
                <w:sz w:val="20"/>
                <w:szCs w:val="20"/>
              </w:rPr>
            </w:pPr>
            <w:r w:rsidRPr="001B6662">
              <w:rPr>
                <w:b/>
                <w:sz w:val="20"/>
                <w:szCs w:val="20"/>
              </w:rPr>
              <w:t>Her Majesty the Queen</w:t>
            </w:r>
            <w:r w:rsidR="00150281" w:rsidRPr="001B6662">
              <w:rPr>
                <w:b/>
                <w:sz w:val="20"/>
                <w:szCs w:val="20"/>
              </w:rPr>
              <w:t xml:space="preserve"> (Ont.)</w:t>
            </w:r>
          </w:p>
          <w:p w:rsidR="00150281" w:rsidRPr="001B6662" w:rsidRDefault="00150281" w:rsidP="00150281">
            <w:pPr>
              <w:keepNext/>
              <w:keepLines/>
              <w:tabs>
                <w:tab w:val="left" w:pos="-1440"/>
                <w:tab w:val="left" w:pos="-720"/>
              </w:tabs>
              <w:rPr>
                <w:sz w:val="20"/>
                <w:szCs w:val="20"/>
              </w:rPr>
            </w:pPr>
            <w:r w:rsidRPr="001B6662">
              <w:rPr>
                <w:sz w:val="20"/>
                <w:szCs w:val="20"/>
              </w:rPr>
              <w:tab/>
            </w:r>
            <w:r w:rsidR="001B6662">
              <w:rPr>
                <w:sz w:val="20"/>
                <w:szCs w:val="20"/>
              </w:rPr>
              <w:t xml:space="preserve">Roger A. </w:t>
            </w:r>
            <w:proofErr w:type="spellStart"/>
            <w:r w:rsidR="001B6662">
              <w:rPr>
                <w:sz w:val="20"/>
                <w:szCs w:val="20"/>
              </w:rPr>
              <w:t>Pinnock</w:t>
            </w:r>
            <w:proofErr w:type="spellEnd"/>
          </w:p>
          <w:p w:rsidR="00150281" w:rsidRPr="001B6662" w:rsidRDefault="00150281" w:rsidP="00150281">
            <w:pPr>
              <w:keepNext/>
              <w:keepLines/>
              <w:tabs>
                <w:tab w:val="left" w:pos="-1440"/>
                <w:tab w:val="left" w:pos="-720"/>
              </w:tabs>
              <w:rPr>
                <w:sz w:val="20"/>
                <w:szCs w:val="20"/>
              </w:rPr>
            </w:pPr>
            <w:r w:rsidRPr="001B6662">
              <w:rPr>
                <w:sz w:val="20"/>
                <w:szCs w:val="20"/>
              </w:rPr>
              <w:tab/>
            </w:r>
            <w:r w:rsidR="00A97C0C">
              <w:rPr>
                <w:sz w:val="20"/>
                <w:szCs w:val="20"/>
              </w:rPr>
              <w:t>A.G. of Ontario</w:t>
            </w:r>
          </w:p>
          <w:p w:rsidR="00150281" w:rsidRPr="001B6662" w:rsidRDefault="00150281" w:rsidP="00150281">
            <w:pPr>
              <w:keepNext/>
              <w:keepLines/>
              <w:tabs>
                <w:tab w:val="left" w:pos="-1440"/>
                <w:tab w:val="left" w:pos="-720"/>
              </w:tabs>
              <w:rPr>
                <w:sz w:val="20"/>
                <w:szCs w:val="20"/>
              </w:rPr>
            </w:pPr>
          </w:p>
          <w:p w:rsidR="00150281" w:rsidRPr="00A97C0C" w:rsidRDefault="00150281" w:rsidP="001B6662">
            <w:pPr>
              <w:rPr>
                <w:sz w:val="20"/>
                <w:szCs w:val="20"/>
              </w:rPr>
            </w:pPr>
            <w:r w:rsidRPr="00A97C0C">
              <w:rPr>
                <w:sz w:val="20"/>
                <w:szCs w:val="20"/>
              </w:rPr>
              <w:t xml:space="preserve">FILING DATE: </w:t>
            </w:r>
            <w:r w:rsidR="001B6662" w:rsidRPr="00A97C0C">
              <w:rPr>
                <w:sz w:val="20"/>
                <w:szCs w:val="20"/>
              </w:rPr>
              <w:t>09</w:t>
            </w:r>
            <w:r w:rsidRPr="00A97C0C">
              <w:rPr>
                <w:sz w:val="20"/>
                <w:szCs w:val="20"/>
              </w:rPr>
              <w:t>.04.2013</w:t>
            </w:r>
            <w:r w:rsidR="0017005E" w:rsidRPr="0017005E">
              <w:rPr>
                <w:sz w:val="20"/>
                <w:szCs w:val="20"/>
                <w:lang w:val="fr-CA"/>
              </w:rPr>
              <w:pict>
                <v:rect id="_x0000_i1028" style="width:108pt;height:1pt" o:hrpct="0" o:hralign="center" o:hrstd="t" o:hrnoshade="t" o:hr="t" fillcolor="black [3213]" stroked="f"/>
              </w:pict>
            </w:r>
          </w:p>
        </w:tc>
      </w:tr>
      <w:tr w:rsidR="00A97C0C" w:rsidRPr="00A935AA" w:rsidTr="003B3977">
        <w:tc>
          <w:tcPr>
            <w:tcW w:w="4320" w:type="dxa"/>
            <w:shd w:val="clear" w:color="auto" w:fill="auto"/>
          </w:tcPr>
          <w:p w:rsidR="00A97C0C" w:rsidRPr="00A97C0C" w:rsidRDefault="00A97C0C" w:rsidP="00A97C0C">
            <w:pPr>
              <w:rPr>
                <w:b/>
                <w:sz w:val="20"/>
                <w:szCs w:val="20"/>
                <w:lang w:val="fr-CA"/>
              </w:rPr>
            </w:pPr>
            <w:r w:rsidRPr="00A97C0C">
              <w:rPr>
                <w:b/>
                <w:sz w:val="20"/>
                <w:szCs w:val="20"/>
                <w:lang w:val="fr-CA"/>
              </w:rPr>
              <w:t xml:space="preserve">Groupe </w:t>
            </w:r>
            <w:proofErr w:type="spellStart"/>
            <w:r w:rsidRPr="00A97C0C">
              <w:rPr>
                <w:b/>
                <w:sz w:val="20"/>
                <w:szCs w:val="20"/>
                <w:lang w:val="fr-CA"/>
              </w:rPr>
              <w:t>Westco</w:t>
            </w:r>
            <w:proofErr w:type="spellEnd"/>
            <w:r w:rsidRPr="00A97C0C">
              <w:rPr>
                <w:b/>
                <w:sz w:val="20"/>
                <w:szCs w:val="20"/>
                <w:lang w:val="fr-CA"/>
              </w:rPr>
              <w:t xml:space="preserve"> Inc.</w:t>
            </w:r>
          </w:p>
          <w:p w:rsidR="00A97C0C" w:rsidRPr="00A97C0C" w:rsidRDefault="00A97C0C" w:rsidP="00A97C0C">
            <w:pPr>
              <w:keepNext/>
              <w:keepLines/>
              <w:tabs>
                <w:tab w:val="left" w:pos="-1440"/>
                <w:tab w:val="left" w:pos="-720"/>
              </w:tabs>
              <w:rPr>
                <w:sz w:val="20"/>
                <w:szCs w:val="20"/>
                <w:lang w:val="fr-CA"/>
              </w:rPr>
            </w:pPr>
            <w:r w:rsidRPr="00A97C0C">
              <w:rPr>
                <w:sz w:val="20"/>
                <w:szCs w:val="20"/>
                <w:lang w:val="fr-CA"/>
              </w:rPr>
              <w:tab/>
              <w:t>Alexandre Bourbonnais</w:t>
            </w:r>
          </w:p>
          <w:p w:rsidR="00A97C0C" w:rsidRPr="005C0D71" w:rsidRDefault="00A97C0C" w:rsidP="00A97C0C">
            <w:pPr>
              <w:keepNext/>
              <w:keepLines/>
              <w:tabs>
                <w:tab w:val="left" w:pos="-1440"/>
                <w:tab w:val="left" w:pos="-720"/>
              </w:tabs>
              <w:rPr>
                <w:sz w:val="20"/>
                <w:szCs w:val="20"/>
                <w:lang w:val="fr-CA"/>
              </w:rPr>
            </w:pPr>
            <w:r w:rsidRPr="00A97C0C">
              <w:rPr>
                <w:sz w:val="20"/>
                <w:szCs w:val="20"/>
                <w:lang w:val="fr-CA"/>
              </w:rPr>
              <w:tab/>
            </w:r>
            <w:r w:rsidRPr="005C0D71">
              <w:rPr>
                <w:sz w:val="20"/>
                <w:szCs w:val="20"/>
                <w:lang w:val="fr-CA"/>
              </w:rPr>
              <w:t>Norton Rose Canada, s.e.n.c.r.l., s.r.l.</w:t>
            </w:r>
          </w:p>
          <w:p w:rsidR="00A97C0C" w:rsidRPr="005C0D71" w:rsidRDefault="00A97C0C" w:rsidP="00A97C0C">
            <w:pPr>
              <w:keepNext/>
              <w:keepLines/>
              <w:tabs>
                <w:tab w:val="left" w:pos="-1440"/>
                <w:tab w:val="left" w:pos="-720"/>
              </w:tabs>
              <w:rPr>
                <w:sz w:val="20"/>
                <w:szCs w:val="20"/>
                <w:lang w:val="fr-CA"/>
              </w:rPr>
            </w:pPr>
          </w:p>
          <w:p w:rsidR="00A97C0C" w:rsidRPr="00A97C0C" w:rsidRDefault="00A97C0C" w:rsidP="00A97C0C">
            <w:pPr>
              <w:keepNext/>
              <w:keepLines/>
              <w:tabs>
                <w:tab w:val="left" w:pos="-1440"/>
                <w:tab w:val="left" w:pos="-720"/>
              </w:tabs>
              <w:rPr>
                <w:sz w:val="20"/>
                <w:szCs w:val="20"/>
                <w:lang w:val="fr-CA"/>
              </w:rPr>
            </w:pPr>
            <w:r w:rsidRPr="005C0D71">
              <w:rPr>
                <w:sz w:val="20"/>
                <w:szCs w:val="20"/>
                <w:lang w:val="fr-CA"/>
              </w:rPr>
              <w:tab/>
            </w:r>
            <w:r w:rsidRPr="00A97C0C">
              <w:rPr>
                <w:sz w:val="20"/>
                <w:szCs w:val="20"/>
                <w:lang w:val="fr-CA"/>
              </w:rPr>
              <w:t>c. (35318)</w:t>
            </w:r>
          </w:p>
          <w:p w:rsidR="00A97C0C" w:rsidRPr="00A97C0C" w:rsidRDefault="00A97C0C" w:rsidP="00A97C0C">
            <w:pPr>
              <w:keepNext/>
              <w:keepLines/>
              <w:tabs>
                <w:tab w:val="left" w:pos="-1440"/>
                <w:tab w:val="left" w:pos="-720"/>
              </w:tabs>
              <w:rPr>
                <w:sz w:val="20"/>
                <w:szCs w:val="20"/>
                <w:lang w:val="fr-CA"/>
              </w:rPr>
            </w:pPr>
          </w:p>
          <w:p w:rsidR="00A97C0C" w:rsidRPr="00A97C0C" w:rsidRDefault="00A97C0C" w:rsidP="00A97C0C">
            <w:pPr>
              <w:keepNext/>
              <w:keepLines/>
              <w:tabs>
                <w:tab w:val="left" w:pos="-1440"/>
                <w:tab w:val="left" w:pos="-720"/>
              </w:tabs>
              <w:rPr>
                <w:b/>
                <w:sz w:val="20"/>
                <w:szCs w:val="20"/>
                <w:lang w:val="fr-CA"/>
              </w:rPr>
            </w:pPr>
            <w:r w:rsidRPr="00A97C0C">
              <w:rPr>
                <w:b/>
                <w:sz w:val="20"/>
                <w:szCs w:val="20"/>
                <w:lang w:val="fr-CA"/>
              </w:rPr>
              <w:t>Nadeau Ferme Avicole Limitée</w:t>
            </w:r>
            <w:r>
              <w:rPr>
                <w:b/>
                <w:sz w:val="20"/>
                <w:szCs w:val="20"/>
                <w:lang w:val="fr-CA"/>
              </w:rPr>
              <w:t xml:space="preserve"> / Nadeau </w:t>
            </w:r>
            <w:proofErr w:type="spellStart"/>
            <w:r>
              <w:rPr>
                <w:b/>
                <w:sz w:val="20"/>
                <w:szCs w:val="20"/>
                <w:lang w:val="fr-CA"/>
              </w:rPr>
              <w:t>Poultry</w:t>
            </w:r>
            <w:proofErr w:type="spellEnd"/>
            <w:r>
              <w:rPr>
                <w:b/>
                <w:sz w:val="20"/>
                <w:szCs w:val="20"/>
                <w:lang w:val="fr-CA"/>
              </w:rPr>
              <w:t xml:space="preserve"> </w:t>
            </w:r>
            <w:proofErr w:type="spellStart"/>
            <w:r>
              <w:rPr>
                <w:b/>
                <w:sz w:val="20"/>
                <w:szCs w:val="20"/>
                <w:lang w:val="fr-CA"/>
              </w:rPr>
              <w:t>Farm</w:t>
            </w:r>
            <w:proofErr w:type="spellEnd"/>
            <w:r>
              <w:rPr>
                <w:b/>
                <w:sz w:val="20"/>
                <w:szCs w:val="20"/>
                <w:lang w:val="fr-CA"/>
              </w:rPr>
              <w:t xml:space="preserve"> Limited </w:t>
            </w:r>
            <w:r w:rsidRPr="00A97C0C">
              <w:rPr>
                <w:b/>
                <w:sz w:val="20"/>
                <w:szCs w:val="20"/>
                <w:lang w:val="fr-CA"/>
              </w:rPr>
              <w:t>(</w:t>
            </w:r>
            <w:r>
              <w:rPr>
                <w:b/>
                <w:sz w:val="20"/>
                <w:szCs w:val="20"/>
                <w:lang w:val="fr-CA"/>
              </w:rPr>
              <w:t>C.F</w:t>
            </w:r>
            <w:r w:rsidRPr="00A97C0C">
              <w:rPr>
                <w:b/>
                <w:sz w:val="20"/>
                <w:szCs w:val="20"/>
                <w:lang w:val="fr-CA"/>
              </w:rPr>
              <w:t>.)</w:t>
            </w:r>
          </w:p>
          <w:p w:rsidR="00A97C0C" w:rsidRPr="00A97C0C" w:rsidRDefault="00A97C0C" w:rsidP="00A97C0C">
            <w:pPr>
              <w:tabs>
                <w:tab w:val="left" w:pos="-1440"/>
                <w:tab w:val="left" w:pos="-720"/>
              </w:tabs>
              <w:rPr>
                <w:sz w:val="20"/>
                <w:szCs w:val="20"/>
                <w:lang w:val="fr-CA"/>
              </w:rPr>
            </w:pPr>
            <w:r w:rsidRPr="00A97C0C">
              <w:rPr>
                <w:sz w:val="20"/>
                <w:szCs w:val="20"/>
                <w:lang w:val="fr-CA"/>
              </w:rPr>
              <w:tab/>
            </w:r>
            <w:r w:rsidR="0033320F">
              <w:rPr>
                <w:sz w:val="20"/>
                <w:szCs w:val="20"/>
                <w:lang w:val="fr-CA"/>
              </w:rPr>
              <w:t>Leah Price</w:t>
            </w:r>
          </w:p>
          <w:p w:rsidR="00A97C0C" w:rsidRPr="00A97C0C" w:rsidRDefault="00A97C0C" w:rsidP="00A97C0C">
            <w:pPr>
              <w:tabs>
                <w:tab w:val="left" w:pos="-1440"/>
                <w:tab w:val="left" w:pos="-720"/>
              </w:tabs>
              <w:rPr>
                <w:sz w:val="20"/>
                <w:szCs w:val="20"/>
                <w:lang w:val="fr-CA"/>
              </w:rPr>
            </w:pPr>
            <w:r w:rsidRPr="00A97C0C">
              <w:rPr>
                <w:sz w:val="20"/>
                <w:szCs w:val="20"/>
                <w:lang w:val="fr-CA"/>
              </w:rPr>
              <w:tab/>
            </w:r>
            <w:proofErr w:type="spellStart"/>
            <w:r w:rsidR="0033320F">
              <w:rPr>
                <w:sz w:val="20"/>
                <w:szCs w:val="20"/>
                <w:lang w:val="fr-CA"/>
              </w:rPr>
              <w:t>Fogler</w:t>
            </w:r>
            <w:proofErr w:type="spellEnd"/>
            <w:r w:rsidR="0033320F">
              <w:rPr>
                <w:sz w:val="20"/>
                <w:szCs w:val="20"/>
                <w:lang w:val="fr-CA"/>
              </w:rPr>
              <w:t xml:space="preserve">, </w:t>
            </w:r>
            <w:proofErr w:type="spellStart"/>
            <w:r w:rsidR="0033320F">
              <w:rPr>
                <w:sz w:val="20"/>
                <w:szCs w:val="20"/>
                <w:lang w:val="fr-CA"/>
              </w:rPr>
              <w:t>Rubinoff</w:t>
            </w:r>
            <w:proofErr w:type="spellEnd"/>
          </w:p>
          <w:p w:rsidR="00A97C0C" w:rsidRPr="00A97C0C" w:rsidRDefault="00A97C0C" w:rsidP="00A97C0C">
            <w:pPr>
              <w:tabs>
                <w:tab w:val="left" w:pos="-1440"/>
                <w:tab w:val="left" w:pos="-720"/>
              </w:tabs>
              <w:rPr>
                <w:sz w:val="20"/>
                <w:szCs w:val="20"/>
                <w:lang w:val="fr-CA"/>
              </w:rPr>
            </w:pPr>
          </w:p>
          <w:p w:rsidR="00A97C0C" w:rsidRPr="00A935AA" w:rsidRDefault="00A97C0C" w:rsidP="00A97C0C">
            <w:pPr>
              <w:rPr>
                <w:sz w:val="20"/>
                <w:szCs w:val="20"/>
              </w:rPr>
            </w:pPr>
            <w:r w:rsidRPr="00A935AA">
              <w:rPr>
                <w:sz w:val="20"/>
                <w:szCs w:val="20"/>
              </w:rPr>
              <w:t>DATE</w:t>
            </w:r>
            <w:r w:rsidR="0033320F">
              <w:rPr>
                <w:sz w:val="20"/>
                <w:szCs w:val="20"/>
              </w:rPr>
              <w:t xml:space="preserve"> DE PRODUCTION </w:t>
            </w:r>
            <w:r w:rsidRPr="00A935AA">
              <w:rPr>
                <w:sz w:val="20"/>
                <w:szCs w:val="20"/>
              </w:rPr>
              <w:t xml:space="preserve">: </w:t>
            </w:r>
            <w:r w:rsidR="0033320F">
              <w:rPr>
                <w:sz w:val="20"/>
                <w:szCs w:val="20"/>
              </w:rPr>
              <w:t>15</w:t>
            </w:r>
            <w:r w:rsidRPr="00A935AA">
              <w:rPr>
                <w:sz w:val="20"/>
                <w:szCs w:val="20"/>
              </w:rPr>
              <w:t>.0</w:t>
            </w:r>
            <w:r>
              <w:rPr>
                <w:sz w:val="20"/>
                <w:szCs w:val="20"/>
              </w:rPr>
              <w:t>4</w:t>
            </w:r>
            <w:r w:rsidRPr="00A935AA">
              <w:rPr>
                <w:sz w:val="20"/>
                <w:szCs w:val="20"/>
              </w:rPr>
              <w:t>.201</w:t>
            </w:r>
            <w:r>
              <w:rPr>
                <w:sz w:val="20"/>
                <w:szCs w:val="20"/>
              </w:rPr>
              <w:t>3</w:t>
            </w:r>
          </w:p>
          <w:p w:rsidR="00A97C0C" w:rsidRPr="00A935AA" w:rsidRDefault="0017005E" w:rsidP="00A97C0C">
            <w:pPr>
              <w:rPr>
                <w:sz w:val="20"/>
                <w:szCs w:val="20"/>
              </w:rPr>
            </w:pPr>
            <w:r w:rsidRPr="0017005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Default="00A97C0C" w:rsidP="00242AEE">
            <w:pPr>
              <w:jc w:val="center"/>
              <w:rPr>
                <w:sz w:val="20"/>
                <w:szCs w:val="20"/>
              </w:rPr>
            </w:pPr>
          </w:p>
          <w:p w:rsidR="0033320F" w:rsidRDefault="0033320F" w:rsidP="00242AEE">
            <w:pPr>
              <w:jc w:val="center"/>
              <w:rPr>
                <w:sz w:val="20"/>
                <w:szCs w:val="20"/>
              </w:rPr>
            </w:pPr>
          </w:p>
          <w:p w:rsidR="00A97C0C" w:rsidRDefault="00A97C0C" w:rsidP="00242AEE">
            <w:pPr>
              <w:jc w:val="center"/>
              <w:rPr>
                <w:sz w:val="20"/>
                <w:szCs w:val="20"/>
              </w:rPr>
            </w:pPr>
          </w:p>
          <w:p w:rsidR="00A97C0C" w:rsidRPr="00A935AA" w:rsidRDefault="00A97C0C" w:rsidP="00242AEE">
            <w:pPr>
              <w:jc w:val="center"/>
              <w:rPr>
                <w:sz w:val="20"/>
                <w:szCs w:val="20"/>
              </w:rPr>
            </w:pPr>
          </w:p>
        </w:tc>
        <w:tc>
          <w:tcPr>
            <w:tcW w:w="4320" w:type="dxa"/>
            <w:shd w:val="clear" w:color="auto" w:fill="auto"/>
          </w:tcPr>
          <w:p w:rsidR="00A97C0C" w:rsidRDefault="00A97C0C" w:rsidP="00A97C0C">
            <w:pPr>
              <w:keepNext/>
              <w:keepLines/>
              <w:tabs>
                <w:tab w:val="left" w:pos="-1440"/>
                <w:tab w:val="left" w:pos="-720"/>
              </w:tabs>
              <w:rPr>
                <w:b/>
                <w:sz w:val="20"/>
                <w:szCs w:val="20"/>
              </w:rPr>
            </w:pPr>
          </w:p>
          <w:p w:rsidR="00A97C0C" w:rsidRPr="00A935AA" w:rsidRDefault="00A97C0C" w:rsidP="00A97C0C">
            <w:pPr>
              <w:keepNext/>
              <w:keepLines/>
              <w:tabs>
                <w:tab w:val="left" w:pos="-1440"/>
                <w:tab w:val="left" w:pos="-720"/>
              </w:tabs>
              <w:rPr>
                <w:b/>
                <w:sz w:val="20"/>
                <w:szCs w:val="20"/>
              </w:rPr>
            </w:pPr>
            <w:proofErr w:type="spellStart"/>
            <w:r>
              <w:rPr>
                <w:b/>
                <w:sz w:val="20"/>
                <w:szCs w:val="20"/>
              </w:rPr>
              <w:t>Lethbridge</w:t>
            </w:r>
            <w:proofErr w:type="spellEnd"/>
            <w:r>
              <w:rPr>
                <w:b/>
                <w:sz w:val="20"/>
                <w:szCs w:val="20"/>
              </w:rPr>
              <w:t xml:space="preserve"> Police Association</w:t>
            </w:r>
          </w:p>
          <w:p w:rsidR="00A97C0C" w:rsidRPr="00A97C0C" w:rsidRDefault="00A97C0C" w:rsidP="00A97C0C">
            <w:pPr>
              <w:tabs>
                <w:tab w:val="left" w:pos="-1440"/>
                <w:tab w:val="left" w:pos="-720"/>
              </w:tabs>
              <w:rPr>
                <w:sz w:val="20"/>
                <w:szCs w:val="20"/>
              </w:rPr>
            </w:pPr>
            <w:r w:rsidRPr="00A935AA">
              <w:rPr>
                <w:sz w:val="20"/>
                <w:szCs w:val="20"/>
              </w:rPr>
              <w:tab/>
            </w:r>
            <w:r>
              <w:rPr>
                <w:sz w:val="20"/>
                <w:szCs w:val="20"/>
              </w:rPr>
              <w:t>Patrick G. Nugent</w:t>
            </w:r>
          </w:p>
          <w:p w:rsidR="00A97C0C" w:rsidRPr="00A97C0C" w:rsidRDefault="00A97C0C" w:rsidP="00A97C0C">
            <w:pPr>
              <w:tabs>
                <w:tab w:val="left" w:pos="-1440"/>
                <w:tab w:val="left" w:pos="-720"/>
              </w:tabs>
              <w:rPr>
                <w:sz w:val="20"/>
                <w:szCs w:val="20"/>
              </w:rPr>
            </w:pPr>
            <w:r w:rsidRPr="00A97C0C">
              <w:rPr>
                <w:sz w:val="20"/>
                <w:szCs w:val="20"/>
              </w:rPr>
              <w:tab/>
            </w:r>
            <w:r>
              <w:rPr>
                <w:sz w:val="20"/>
                <w:szCs w:val="20"/>
              </w:rPr>
              <w:t>Nugent Law Offices</w:t>
            </w:r>
          </w:p>
          <w:p w:rsidR="00A97C0C" w:rsidRPr="00A97C0C" w:rsidRDefault="00A97C0C" w:rsidP="00A97C0C">
            <w:pPr>
              <w:tabs>
                <w:tab w:val="left" w:pos="-1440"/>
                <w:tab w:val="left" w:pos="-720"/>
              </w:tabs>
              <w:rPr>
                <w:sz w:val="20"/>
                <w:szCs w:val="20"/>
              </w:rPr>
            </w:pPr>
          </w:p>
          <w:p w:rsidR="00A97C0C" w:rsidRPr="00A935AA" w:rsidRDefault="00A97C0C" w:rsidP="00A97C0C">
            <w:pPr>
              <w:tabs>
                <w:tab w:val="left" w:pos="-1440"/>
                <w:tab w:val="left" w:pos="-720"/>
              </w:tabs>
              <w:rPr>
                <w:sz w:val="20"/>
                <w:szCs w:val="20"/>
              </w:rPr>
            </w:pPr>
            <w:r w:rsidRPr="00A97C0C">
              <w:rPr>
                <w:sz w:val="20"/>
                <w:szCs w:val="20"/>
              </w:rPr>
              <w:tab/>
            </w:r>
            <w:r w:rsidRPr="00A935AA">
              <w:rPr>
                <w:sz w:val="20"/>
                <w:szCs w:val="20"/>
              </w:rPr>
              <w:t>v. (3</w:t>
            </w:r>
            <w:r>
              <w:rPr>
                <w:sz w:val="20"/>
                <w:szCs w:val="20"/>
              </w:rPr>
              <w:t>5317</w:t>
            </w:r>
            <w:r w:rsidRPr="00A935AA">
              <w:rPr>
                <w:sz w:val="20"/>
                <w:szCs w:val="20"/>
              </w:rPr>
              <w:t>)</w:t>
            </w:r>
          </w:p>
          <w:p w:rsidR="00A97C0C" w:rsidRPr="00A935AA" w:rsidRDefault="00A97C0C" w:rsidP="00A97C0C">
            <w:pPr>
              <w:tabs>
                <w:tab w:val="left" w:pos="-1440"/>
                <w:tab w:val="left" w:pos="-720"/>
              </w:tabs>
              <w:rPr>
                <w:sz w:val="20"/>
                <w:szCs w:val="20"/>
              </w:rPr>
            </w:pPr>
          </w:p>
          <w:p w:rsidR="00A97C0C" w:rsidRPr="00A935AA" w:rsidRDefault="00A97C0C" w:rsidP="00A97C0C">
            <w:pPr>
              <w:tabs>
                <w:tab w:val="left" w:pos="-1440"/>
                <w:tab w:val="left" w:pos="-720"/>
              </w:tabs>
              <w:rPr>
                <w:b/>
                <w:sz w:val="20"/>
                <w:szCs w:val="20"/>
              </w:rPr>
            </w:pPr>
            <w:proofErr w:type="spellStart"/>
            <w:r>
              <w:rPr>
                <w:b/>
                <w:sz w:val="20"/>
                <w:szCs w:val="20"/>
              </w:rPr>
              <w:t>Lethbridge</w:t>
            </w:r>
            <w:proofErr w:type="spellEnd"/>
            <w:r>
              <w:rPr>
                <w:b/>
                <w:sz w:val="20"/>
                <w:szCs w:val="20"/>
              </w:rPr>
              <w:t xml:space="preserve"> Regional Police </w:t>
            </w:r>
            <w:r w:rsidR="00997D57">
              <w:rPr>
                <w:b/>
                <w:sz w:val="20"/>
                <w:szCs w:val="20"/>
              </w:rPr>
              <w:t xml:space="preserve">Services </w:t>
            </w:r>
            <w:r>
              <w:rPr>
                <w:b/>
                <w:sz w:val="20"/>
                <w:szCs w:val="20"/>
              </w:rPr>
              <w:t>et al.</w:t>
            </w:r>
            <w:r w:rsidRPr="00A935AA">
              <w:rPr>
                <w:b/>
                <w:sz w:val="20"/>
                <w:szCs w:val="20"/>
              </w:rPr>
              <w:t xml:space="preserve"> (</w:t>
            </w:r>
            <w:r>
              <w:rPr>
                <w:b/>
                <w:sz w:val="20"/>
                <w:szCs w:val="20"/>
              </w:rPr>
              <w:t>Alta</w:t>
            </w:r>
            <w:r w:rsidRPr="00A935AA">
              <w:rPr>
                <w:b/>
                <w:sz w:val="20"/>
                <w:szCs w:val="20"/>
              </w:rPr>
              <w:t>.)</w:t>
            </w:r>
          </w:p>
          <w:p w:rsidR="00A97C0C" w:rsidRPr="00A935AA" w:rsidRDefault="00A97C0C" w:rsidP="00A97C0C">
            <w:pPr>
              <w:tabs>
                <w:tab w:val="left" w:pos="-1440"/>
                <w:tab w:val="left" w:pos="-720"/>
              </w:tabs>
              <w:rPr>
                <w:sz w:val="20"/>
                <w:szCs w:val="20"/>
              </w:rPr>
            </w:pPr>
            <w:r w:rsidRPr="00A935AA">
              <w:rPr>
                <w:sz w:val="20"/>
                <w:szCs w:val="20"/>
              </w:rPr>
              <w:tab/>
            </w:r>
            <w:r>
              <w:rPr>
                <w:sz w:val="20"/>
                <w:szCs w:val="20"/>
              </w:rPr>
              <w:t>William Armstrong, Q.C.</w:t>
            </w:r>
          </w:p>
          <w:p w:rsidR="00A97C0C" w:rsidRDefault="00A97C0C" w:rsidP="00A97C0C">
            <w:pPr>
              <w:keepNext/>
              <w:keepLines/>
              <w:tabs>
                <w:tab w:val="left" w:pos="-1440"/>
                <w:tab w:val="left" w:pos="-720"/>
              </w:tabs>
              <w:rPr>
                <w:sz w:val="20"/>
                <w:szCs w:val="20"/>
              </w:rPr>
            </w:pPr>
            <w:r w:rsidRPr="00A935AA">
              <w:rPr>
                <w:sz w:val="20"/>
                <w:szCs w:val="20"/>
              </w:rPr>
              <w:tab/>
            </w:r>
            <w:r>
              <w:rPr>
                <w:sz w:val="20"/>
                <w:szCs w:val="20"/>
              </w:rPr>
              <w:t>Norton Rose Canada LLP</w:t>
            </w:r>
            <w:r w:rsidRPr="00A97C0C">
              <w:rPr>
                <w:sz w:val="20"/>
                <w:szCs w:val="20"/>
              </w:rPr>
              <w:t xml:space="preserve"> </w:t>
            </w:r>
          </w:p>
          <w:p w:rsidR="00A97C0C" w:rsidRPr="00A97C0C" w:rsidRDefault="00A97C0C" w:rsidP="00A97C0C">
            <w:pPr>
              <w:keepNext/>
              <w:keepLines/>
              <w:tabs>
                <w:tab w:val="left" w:pos="-1440"/>
                <w:tab w:val="left" w:pos="-720"/>
              </w:tabs>
              <w:rPr>
                <w:sz w:val="20"/>
                <w:szCs w:val="20"/>
              </w:rPr>
            </w:pPr>
          </w:p>
          <w:p w:rsidR="00A97C0C" w:rsidRPr="00A935AA" w:rsidRDefault="00A97C0C" w:rsidP="00A97C0C">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4</w:t>
            </w:r>
            <w:r w:rsidRPr="00A935AA">
              <w:rPr>
                <w:sz w:val="20"/>
                <w:szCs w:val="20"/>
              </w:rPr>
              <w:t>.201</w:t>
            </w:r>
            <w:r>
              <w:rPr>
                <w:sz w:val="20"/>
                <w:szCs w:val="20"/>
              </w:rPr>
              <w:t>3</w:t>
            </w:r>
            <w:r w:rsidR="0017005E" w:rsidRPr="0017005E">
              <w:rPr>
                <w:sz w:val="20"/>
                <w:szCs w:val="20"/>
                <w:lang w:val="fr-CA"/>
              </w:rPr>
              <w:pict>
                <v:rect id="_x0000_i1030" style="width:108pt;height:1pt" o:hrpct="0" o:hralign="center" o:hrstd="t" o:hrnoshade="t" o:hr="t" fillcolor="black [3213]" stroked="f"/>
              </w:pict>
            </w:r>
          </w:p>
        </w:tc>
      </w:tr>
      <w:tr w:rsidR="00A97C0C" w:rsidRPr="005C0D71" w:rsidTr="003B3977">
        <w:trPr>
          <w:cantSplit/>
        </w:trPr>
        <w:tc>
          <w:tcPr>
            <w:tcW w:w="4320" w:type="dxa"/>
            <w:shd w:val="clear" w:color="auto" w:fill="auto"/>
          </w:tcPr>
          <w:p w:rsidR="00A97C0C" w:rsidRPr="00A935AA" w:rsidRDefault="0033320F" w:rsidP="00A97C0C">
            <w:pPr>
              <w:rPr>
                <w:b/>
                <w:sz w:val="20"/>
                <w:szCs w:val="20"/>
              </w:rPr>
            </w:pPr>
            <w:r>
              <w:rPr>
                <w:b/>
                <w:sz w:val="20"/>
                <w:szCs w:val="20"/>
              </w:rPr>
              <w:t>Lance Hogarth et al.</w:t>
            </w:r>
          </w:p>
          <w:p w:rsidR="00A97C0C" w:rsidRPr="00A935AA" w:rsidRDefault="00A97C0C" w:rsidP="00A97C0C">
            <w:pPr>
              <w:tabs>
                <w:tab w:val="left" w:pos="-1440"/>
                <w:tab w:val="left" w:pos="-720"/>
              </w:tabs>
              <w:rPr>
                <w:sz w:val="20"/>
                <w:szCs w:val="20"/>
              </w:rPr>
            </w:pPr>
            <w:r w:rsidRPr="00A935AA">
              <w:rPr>
                <w:sz w:val="20"/>
                <w:szCs w:val="20"/>
              </w:rPr>
              <w:tab/>
            </w:r>
            <w:r w:rsidR="0033320F">
              <w:rPr>
                <w:sz w:val="20"/>
                <w:szCs w:val="20"/>
              </w:rPr>
              <w:t>Peter T. Linder, Q.C.</w:t>
            </w:r>
          </w:p>
          <w:p w:rsidR="00A97C0C" w:rsidRPr="00A935AA" w:rsidRDefault="00A97C0C" w:rsidP="00A97C0C">
            <w:pPr>
              <w:tabs>
                <w:tab w:val="left" w:pos="-1440"/>
                <w:tab w:val="left" w:pos="-720"/>
              </w:tabs>
              <w:rPr>
                <w:sz w:val="20"/>
                <w:szCs w:val="20"/>
              </w:rPr>
            </w:pPr>
            <w:r w:rsidRPr="00A935AA">
              <w:rPr>
                <w:sz w:val="20"/>
                <w:szCs w:val="20"/>
              </w:rPr>
              <w:tab/>
            </w:r>
            <w:r w:rsidR="0033320F">
              <w:rPr>
                <w:sz w:val="20"/>
                <w:szCs w:val="20"/>
              </w:rPr>
              <w:t>Peacock Linder &amp; Halt</w:t>
            </w:r>
          </w:p>
          <w:p w:rsidR="00A97C0C" w:rsidRPr="00A935AA" w:rsidRDefault="00A97C0C" w:rsidP="00A97C0C">
            <w:pPr>
              <w:tabs>
                <w:tab w:val="left" w:pos="-1440"/>
                <w:tab w:val="left" w:pos="-720"/>
              </w:tabs>
              <w:rPr>
                <w:sz w:val="20"/>
                <w:szCs w:val="20"/>
              </w:rPr>
            </w:pPr>
          </w:p>
          <w:p w:rsidR="00A97C0C" w:rsidRPr="00A935AA" w:rsidRDefault="00A97C0C" w:rsidP="00A97C0C">
            <w:pPr>
              <w:tabs>
                <w:tab w:val="left" w:pos="-1440"/>
                <w:tab w:val="left" w:pos="-720"/>
              </w:tabs>
              <w:rPr>
                <w:sz w:val="20"/>
                <w:szCs w:val="20"/>
              </w:rPr>
            </w:pPr>
            <w:r w:rsidRPr="00A935AA">
              <w:rPr>
                <w:sz w:val="20"/>
                <w:szCs w:val="20"/>
              </w:rPr>
              <w:tab/>
              <w:t>v. (3</w:t>
            </w:r>
            <w:r>
              <w:rPr>
                <w:sz w:val="20"/>
                <w:szCs w:val="20"/>
              </w:rPr>
              <w:t>5</w:t>
            </w:r>
            <w:r w:rsidR="0033320F">
              <w:rPr>
                <w:sz w:val="20"/>
                <w:szCs w:val="20"/>
              </w:rPr>
              <w:t>321</w:t>
            </w:r>
            <w:r w:rsidRPr="00A935AA">
              <w:rPr>
                <w:sz w:val="20"/>
                <w:szCs w:val="20"/>
              </w:rPr>
              <w:t>)</w:t>
            </w:r>
          </w:p>
          <w:p w:rsidR="00A97C0C" w:rsidRPr="00A935AA" w:rsidRDefault="00A97C0C" w:rsidP="00A97C0C">
            <w:pPr>
              <w:tabs>
                <w:tab w:val="left" w:pos="-1440"/>
                <w:tab w:val="left" w:pos="-720"/>
              </w:tabs>
              <w:rPr>
                <w:sz w:val="20"/>
                <w:szCs w:val="20"/>
              </w:rPr>
            </w:pPr>
          </w:p>
          <w:p w:rsidR="00A97C0C" w:rsidRPr="00A935AA" w:rsidRDefault="0033320F" w:rsidP="00A97C0C">
            <w:pPr>
              <w:tabs>
                <w:tab w:val="left" w:pos="-1440"/>
                <w:tab w:val="left" w:pos="-720"/>
              </w:tabs>
              <w:rPr>
                <w:b/>
                <w:sz w:val="20"/>
                <w:szCs w:val="20"/>
              </w:rPr>
            </w:pPr>
            <w:r>
              <w:rPr>
                <w:b/>
                <w:sz w:val="20"/>
                <w:szCs w:val="20"/>
              </w:rPr>
              <w:t>Roger Simonson</w:t>
            </w:r>
            <w:r w:rsidR="00A97C0C" w:rsidRPr="00A935AA">
              <w:rPr>
                <w:b/>
                <w:sz w:val="20"/>
                <w:szCs w:val="20"/>
              </w:rPr>
              <w:t xml:space="preserve"> (</w:t>
            </w:r>
            <w:r>
              <w:rPr>
                <w:b/>
                <w:sz w:val="20"/>
                <w:szCs w:val="20"/>
              </w:rPr>
              <w:t>Alta</w:t>
            </w:r>
            <w:r w:rsidR="00A97C0C" w:rsidRPr="00A935AA">
              <w:rPr>
                <w:b/>
                <w:sz w:val="20"/>
                <w:szCs w:val="20"/>
              </w:rPr>
              <w:t>.)</w:t>
            </w:r>
          </w:p>
          <w:p w:rsidR="00A97C0C" w:rsidRPr="00A935AA" w:rsidRDefault="00A97C0C" w:rsidP="00A97C0C">
            <w:pPr>
              <w:tabs>
                <w:tab w:val="left" w:pos="-1440"/>
                <w:tab w:val="left" w:pos="-720"/>
              </w:tabs>
              <w:rPr>
                <w:sz w:val="20"/>
                <w:szCs w:val="20"/>
              </w:rPr>
            </w:pPr>
            <w:r w:rsidRPr="00A935AA">
              <w:rPr>
                <w:sz w:val="20"/>
                <w:szCs w:val="20"/>
              </w:rPr>
              <w:tab/>
            </w:r>
            <w:r w:rsidR="0033320F">
              <w:rPr>
                <w:sz w:val="20"/>
                <w:szCs w:val="20"/>
              </w:rPr>
              <w:t>Rob Armstrong</w:t>
            </w:r>
          </w:p>
          <w:p w:rsidR="00A97C0C" w:rsidRPr="00A935AA" w:rsidRDefault="00A97C0C" w:rsidP="00A97C0C">
            <w:pPr>
              <w:tabs>
                <w:tab w:val="left" w:pos="-1440"/>
                <w:tab w:val="left" w:pos="-720"/>
              </w:tabs>
              <w:rPr>
                <w:sz w:val="20"/>
                <w:szCs w:val="20"/>
              </w:rPr>
            </w:pPr>
            <w:r w:rsidRPr="00A935AA">
              <w:rPr>
                <w:sz w:val="20"/>
                <w:szCs w:val="20"/>
              </w:rPr>
              <w:tab/>
            </w:r>
            <w:r w:rsidR="0033320F">
              <w:rPr>
                <w:sz w:val="20"/>
                <w:szCs w:val="20"/>
              </w:rPr>
              <w:t xml:space="preserve">Jensen </w:t>
            </w:r>
            <w:proofErr w:type="spellStart"/>
            <w:r w:rsidR="0033320F">
              <w:rPr>
                <w:sz w:val="20"/>
                <w:szCs w:val="20"/>
              </w:rPr>
              <w:t>Shawa</w:t>
            </w:r>
            <w:proofErr w:type="spellEnd"/>
            <w:r w:rsidR="0033320F">
              <w:rPr>
                <w:sz w:val="20"/>
                <w:szCs w:val="20"/>
              </w:rPr>
              <w:t xml:space="preserve"> Solomon </w:t>
            </w:r>
            <w:proofErr w:type="spellStart"/>
            <w:r w:rsidR="0033320F">
              <w:rPr>
                <w:sz w:val="20"/>
                <w:szCs w:val="20"/>
              </w:rPr>
              <w:t>Duguid</w:t>
            </w:r>
            <w:proofErr w:type="spellEnd"/>
            <w:r w:rsidR="0033320F">
              <w:rPr>
                <w:sz w:val="20"/>
                <w:szCs w:val="20"/>
              </w:rPr>
              <w:t xml:space="preserve"> </w:t>
            </w:r>
            <w:proofErr w:type="spellStart"/>
            <w:r w:rsidR="0033320F">
              <w:rPr>
                <w:sz w:val="20"/>
                <w:szCs w:val="20"/>
              </w:rPr>
              <w:t>Hawkes</w:t>
            </w:r>
            <w:proofErr w:type="spellEnd"/>
            <w:r w:rsidR="0033320F">
              <w:rPr>
                <w:sz w:val="20"/>
                <w:szCs w:val="20"/>
              </w:rPr>
              <w:t xml:space="preserve"> </w:t>
            </w:r>
            <w:r w:rsidR="0033320F">
              <w:rPr>
                <w:sz w:val="20"/>
                <w:szCs w:val="20"/>
              </w:rPr>
              <w:tab/>
              <w:t>LLP</w:t>
            </w:r>
          </w:p>
          <w:p w:rsidR="00A97C0C" w:rsidRPr="00A935AA" w:rsidRDefault="00A97C0C" w:rsidP="00A97C0C">
            <w:pPr>
              <w:tabs>
                <w:tab w:val="left" w:pos="-1440"/>
                <w:tab w:val="left" w:pos="-720"/>
              </w:tabs>
              <w:rPr>
                <w:sz w:val="20"/>
                <w:szCs w:val="20"/>
              </w:rPr>
            </w:pPr>
          </w:p>
          <w:p w:rsidR="00A97C0C" w:rsidRPr="00A935AA" w:rsidRDefault="00A97C0C" w:rsidP="00A97C0C">
            <w:pPr>
              <w:rPr>
                <w:sz w:val="20"/>
                <w:szCs w:val="20"/>
              </w:rPr>
            </w:pPr>
            <w:r w:rsidRPr="00A935AA">
              <w:rPr>
                <w:sz w:val="20"/>
                <w:szCs w:val="20"/>
              </w:rPr>
              <w:t xml:space="preserve">FILING DATE: </w:t>
            </w:r>
            <w:r w:rsidR="0033320F">
              <w:rPr>
                <w:sz w:val="20"/>
                <w:szCs w:val="20"/>
              </w:rPr>
              <w:t>16</w:t>
            </w:r>
            <w:r w:rsidRPr="00A935AA">
              <w:rPr>
                <w:sz w:val="20"/>
                <w:szCs w:val="20"/>
              </w:rPr>
              <w:t>.0</w:t>
            </w:r>
            <w:r>
              <w:rPr>
                <w:sz w:val="20"/>
                <w:szCs w:val="20"/>
              </w:rPr>
              <w:t>4</w:t>
            </w:r>
            <w:r w:rsidRPr="00A935AA">
              <w:rPr>
                <w:sz w:val="20"/>
                <w:szCs w:val="20"/>
              </w:rPr>
              <w:t>.201</w:t>
            </w:r>
            <w:r>
              <w:rPr>
                <w:sz w:val="20"/>
                <w:szCs w:val="20"/>
              </w:rPr>
              <w:t>3</w:t>
            </w:r>
          </w:p>
          <w:p w:rsidR="00A97C0C" w:rsidRPr="00A935AA" w:rsidRDefault="0017005E" w:rsidP="00A97C0C">
            <w:pPr>
              <w:rPr>
                <w:sz w:val="20"/>
                <w:szCs w:val="20"/>
              </w:rPr>
            </w:pPr>
            <w:r w:rsidRPr="0017005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Pr="00A935AA" w:rsidRDefault="00A97C0C" w:rsidP="00242AEE">
            <w:pPr>
              <w:jc w:val="center"/>
              <w:rPr>
                <w:sz w:val="20"/>
                <w:szCs w:val="20"/>
              </w:rPr>
            </w:pPr>
          </w:p>
          <w:p w:rsidR="00A97C0C" w:rsidRDefault="00A97C0C" w:rsidP="00242AEE">
            <w:pPr>
              <w:jc w:val="center"/>
              <w:rPr>
                <w:sz w:val="20"/>
                <w:szCs w:val="20"/>
              </w:rPr>
            </w:pPr>
          </w:p>
          <w:p w:rsidR="0033320F" w:rsidRPr="00A935AA" w:rsidRDefault="0033320F" w:rsidP="00242AEE">
            <w:pPr>
              <w:jc w:val="center"/>
              <w:rPr>
                <w:sz w:val="20"/>
                <w:szCs w:val="20"/>
              </w:rPr>
            </w:pPr>
          </w:p>
          <w:p w:rsidR="00A97C0C" w:rsidRPr="00A935AA" w:rsidRDefault="00A97C0C" w:rsidP="00242AEE">
            <w:pPr>
              <w:jc w:val="center"/>
              <w:rPr>
                <w:sz w:val="20"/>
                <w:szCs w:val="20"/>
              </w:rPr>
            </w:pPr>
          </w:p>
        </w:tc>
        <w:tc>
          <w:tcPr>
            <w:tcW w:w="4320" w:type="dxa"/>
            <w:shd w:val="clear" w:color="auto" w:fill="auto"/>
          </w:tcPr>
          <w:p w:rsidR="00997D57" w:rsidRDefault="00997D57" w:rsidP="00A97C0C">
            <w:pPr>
              <w:keepNext/>
              <w:keepLines/>
              <w:tabs>
                <w:tab w:val="left" w:pos="-1440"/>
                <w:tab w:val="left" w:pos="-720"/>
              </w:tabs>
              <w:rPr>
                <w:b/>
                <w:sz w:val="20"/>
                <w:szCs w:val="20"/>
                <w:lang w:val="fr-CA"/>
              </w:rPr>
            </w:pPr>
          </w:p>
          <w:p w:rsidR="00A97C0C" w:rsidRPr="0033320F" w:rsidRDefault="0033320F" w:rsidP="00A97C0C">
            <w:pPr>
              <w:keepNext/>
              <w:keepLines/>
              <w:tabs>
                <w:tab w:val="left" w:pos="-1440"/>
                <w:tab w:val="left" w:pos="-720"/>
              </w:tabs>
              <w:rPr>
                <w:b/>
                <w:sz w:val="20"/>
                <w:szCs w:val="20"/>
                <w:lang w:val="fr-CA"/>
              </w:rPr>
            </w:pPr>
            <w:r w:rsidRPr="0033320F">
              <w:rPr>
                <w:b/>
                <w:sz w:val="20"/>
                <w:szCs w:val="20"/>
                <w:lang w:val="fr-CA"/>
              </w:rPr>
              <w:t>Ville de Québec</w:t>
            </w:r>
          </w:p>
          <w:p w:rsidR="00A97C0C" w:rsidRPr="0033320F" w:rsidRDefault="00A97C0C" w:rsidP="00A97C0C">
            <w:pPr>
              <w:keepNext/>
              <w:keepLines/>
              <w:tabs>
                <w:tab w:val="left" w:pos="-1440"/>
                <w:tab w:val="left" w:pos="-720"/>
              </w:tabs>
              <w:rPr>
                <w:sz w:val="20"/>
                <w:szCs w:val="20"/>
                <w:lang w:val="fr-CA"/>
              </w:rPr>
            </w:pPr>
            <w:r w:rsidRPr="0033320F">
              <w:rPr>
                <w:sz w:val="20"/>
                <w:szCs w:val="20"/>
                <w:lang w:val="fr-CA"/>
              </w:rPr>
              <w:tab/>
            </w:r>
            <w:r w:rsidR="0033320F" w:rsidRPr="0033320F">
              <w:rPr>
                <w:sz w:val="20"/>
                <w:szCs w:val="20"/>
                <w:lang w:val="fr-CA"/>
              </w:rPr>
              <w:t>Kathy Lévesque</w:t>
            </w:r>
          </w:p>
          <w:p w:rsidR="00A97C0C" w:rsidRPr="0033320F" w:rsidRDefault="00A97C0C" w:rsidP="00A97C0C">
            <w:pPr>
              <w:keepNext/>
              <w:keepLines/>
              <w:tabs>
                <w:tab w:val="left" w:pos="-1440"/>
                <w:tab w:val="left" w:pos="-720"/>
              </w:tabs>
              <w:rPr>
                <w:sz w:val="20"/>
                <w:szCs w:val="20"/>
                <w:lang w:val="fr-CA"/>
              </w:rPr>
            </w:pPr>
            <w:r w:rsidRPr="0033320F">
              <w:rPr>
                <w:sz w:val="20"/>
                <w:szCs w:val="20"/>
                <w:lang w:val="fr-CA"/>
              </w:rPr>
              <w:tab/>
            </w:r>
            <w:proofErr w:type="spellStart"/>
            <w:r w:rsidR="0033320F" w:rsidRPr="0033320F">
              <w:rPr>
                <w:sz w:val="20"/>
                <w:szCs w:val="20"/>
                <w:lang w:val="fr-CA"/>
              </w:rPr>
              <w:t>Giasson</w:t>
            </w:r>
            <w:proofErr w:type="spellEnd"/>
            <w:r w:rsidR="0033320F" w:rsidRPr="0033320F">
              <w:rPr>
                <w:sz w:val="20"/>
                <w:szCs w:val="20"/>
                <w:lang w:val="fr-CA"/>
              </w:rPr>
              <w:t xml:space="preserve"> et Associés</w:t>
            </w:r>
          </w:p>
          <w:p w:rsidR="00A97C0C" w:rsidRPr="0033320F" w:rsidRDefault="00A97C0C" w:rsidP="00A97C0C">
            <w:pPr>
              <w:keepNext/>
              <w:keepLines/>
              <w:tabs>
                <w:tab w:val="left" w:pos="-1440"/>
                <w:tab w:val="left" w:pos="-720"/>
              </w:tabs>
              <w:rPr>
                <w:sz w:val="20"/>
                <w:szCs w:val="20"/>
                <w:lang w:val="fr-CA"/>
              </w:rPr>
            </w:pPr>
          </w:p>
          <w:p w:rsidR="00A97C0C" w:rsidRPr="0033320F" w:rsidRDefault="00A97C0C" w:rsidP="00A97C0C">
            <w:pPr>
              <w:keepNext/>
              <w:keepLines/>
              <w:tabs>
                <w:tab w:val="left" w:pos="-1440"/>
                <w:tab w:val="left" w:pos="-720"/>
              </w:tabs>
              <w:rPr>
                <w:sz w:val="20"/>
                <w:szCs w:val="20"/>
                <w:lang w:val="fr-CA"/>
              </w:rPr>
            </w:pPr>
            <w:r w:rsidRPr="0033320F">
              <w:rPr>
                <w:sz w:val="20"/>
                <w:szCs w:val="20"/>
                <w:lang w:val="fr-CA"/>
              </w:rPr>
              <w:tab/>
            </w:r>
            <w:r w:rsidR="0033320F" w:rsidRPr="0033320F">
              <w:rPr>
                <w:sz w:val="20"/>
                <w:szCs w:val="20"/>
                <w:lang w:val="fr-CA"/>
              </w:rPr>
              <w:t>c</w:t>
            </w:r>
            <w:r w:rsidRPr="0033320F">
              <w:rPr>
                <w:sz w:val="20"/>
                <w:szCs w:val="20"/>
                <w:lang w:val="fr-CA"/>
              </w:rPr>
              <w:t>. (35</w:t>
            </w:r>
            <w:r w:rsidR="0033320F" w:rsidRPr="0033320F">
              <w:rPr>
                <w:sz w:val="20"/>
                <w:szCs w:val="20"/>
                <w:lang w:val="fr-CA"/>
              </w:rPr>
              <w:t>324</w:t>
            </w:r>
            <w:r w:rsidRPr="0033320F">
              <w:rPr>
                <w:sz w:val="20"/>
                <w:szCs w:val="20"/>
                <w:lang w:val="fr-CA"/>
              </w:rPr>
              <w:t>)</w:t>
            </w:r>
          </w:p>
          <w:p w:rsidR="00A97C0C" w:rsidRPr="0033320F" w:rsidRDefault="00A97C0C" w:rsidP="00A97C0C">
            <w:pPr>
              <w:keepNext/>
              <w:keepLines/>
              <w:tabs>
                <w:tab w:val="left" w:pos="-1440"/>
                <w:tab w:val="left" w:pos="-720"/>
              </w:tabs>
              <w:rPr>
                <w:sz w:val="20"/>
                <w:szCs w:val="20"/>
                <w:lang w:val="fr-CA"/>
              </w:rPr>
            </w:pPr>
          </w:p>
          <w:p w:rsidR="00A97C0C" w:rsidRPr="0033320F" w:rsidRDefault="0033320F" w:rsidP="00A97C0C">
            <w:pPr>
              <w:keepNext/>
              <w:keepLines/>
              <w:tabs>
                <w:tab w:val="left" w:pos="-1440"/>
                <w:tab w:val="left" w:pos="-720"/>
              </w:tabs>
              <w:rPr>
                <w:b/>
                <w:sz w:val="20"/>
                <w:szCs w:val="20"/>
                <w:lang w:val="fr-CA"/>
              </w:rPr>
            </w:pPr>
            <w:r w:rsidRPr="0033320F">
              <w:rPr>
                <w:b/>
                <w:sz w:val="20"/>
                <w:szCs w:val="20"/>
                <w:lang w:val="fr-CA"/>
              </w:rPr>
              <w:t>Société immobilière du Québec</w:t>
            </w:r>
            <w:r w:rsidR="00A97C0C" w:rsidRPr="0033320F">
              <w:rPr>
                <w:b/>
                <w:sz w:val="20"/>
                <w:szCs w:val="20"/>
                <w:lang w:val="fr-CA"/>
              </w:rPr>
              <w:t xml:space="preserve"> (</w:t>
            </w:r>
            <w:proofErr w:type="spellStart"/>
            <w:r>
              <w:rPr>
                <w:b/>
                <w:sz w:val="20"/>
                <w:szCs w:val="20"/>
                <w:lang w:val="fr-CA"/>
              </w:rPr>
              <w:t>Qc</w:t>
            </w:r>
            <w:proofErr w:type="spellEnd"/>
            <w:r w:rsidR="00A97C0C" w:rsidRPr="0033320F">
              <w:rPr>
                <w:b/>
                <w:sz w:val="20"/>
                <w:szCs w:val="20"/>
                <w:lang w:val="fr-CA"/>
              </w:rPr>
              <w:t>)</w:t>
            </w:r>
          </w:p>
          <w:p w:rsidR="00A97C0C" w:rsidRPr="0033320F" w:rsidRDefault="00A97C0C" w:rsidP="00A97C0C">
            <w:pPr>
              <w:keepNext/>
              <w:keepLines/>
              <w:tabs>
                <w:tab w:val="left" w:pos="-1440"/>
                <w:tab w:val="left" w:pos="-720"/>
              </w:tabs>
              <w:rPr>
                <w:sz w:val="20"/>
                <w:szCs w:val="20"/>
                <w:lang w:val="fr-CA"/>
              </w:rPr>
            </w:pPr>
            <w:r w:rsidRPr="0033320F">
              <w:rPr>
                <w:sz w:val="20"/>
                <w:szCs w:val="20"/>
                <w:lang w:val="fr-CA"/>
              </w:rPr>
              <w:tab/>
            </w:r>
            <w:r w:rsidR="0033320F">
              <w:rPr>
                <w:sz w:val="20"/>
                <w:szCs w:val="20"/>
                <w:lang w:val="fr-CA"/>
              </w:rPr>
              <w:t>Mathieu Leblanc-Gagnon</w:t>
            </w:r>
          </w:p>
          <w:p w:rsidR="00A97C0C" w:rsidRPr="0033320F" w:rsidRDefault="00A97C0C" w:rsidP="00A97C0C">
            <w:pPr>
              <w:keepNext/>
              <w:keepLines/>
              <w:tabs>
                <w:tab w:val="left" w:pos="-1440"/>
                <w:tab w:val="left" w:pos="-720"/>
              </w:tabs>
              <w:rPr>
                <w:sz w:val="20"/>
                <w:szCs w:val="20"/>
                <w:lang w:val="fr-CA"/>
              </w:rPr>
            </w:pPr>
            <w:r w:rsidRPr="0033320F">
              <w:rPr>
                <w:sz w:val="20"/>
                <w:szCs w:val="20"/>
                <w:lang w:val="fr-CA"/>
              </w:rPr>
              <w:tab/>
            </w:r>
            <w:proofErr w:type="spellStart"/>
            <w:r w:rsidR="0033320F">
              <w:rPr>
                <w:sz w:val="20"/>
                <w:szCs w:val="20"/>
                <w:lang w:val="fr-CA"/>
              </w:rPr>
              <w:t>Fasken</w:t>
            </w:r>
            <w:proofErr w:type="spellEnd"/>
            <w:r w:rsidR="0033320F">
              <w:rPr>
                <w:sz w:val="20"/>
                <w:szCs w:val="20"/>
                <w:lang w:val="fr-CA"/>
              </w:rPr>
              <w:t xml:space="preserve"> Martineau </w:t>
            </w:r>
            <w:proofErr w:type="spellStart"/>
            <w:r w:rsidR="0033320F">
              <w:rPr>
                <w:sz w:val="20"/>
                <w:szCs w:val="20"/>
                <w:lang w:val="fr-CA"/>
              </w:rPr>
              <w:t>DuMoulin</w:t>
            </w:r>
            <w:proofErr w:type="spellEnd"/>
            <w:r w:rsidR="0033320F">
              <w:rPr>
                <w:sz w:val="20"/>
                <w:szCs w:val="20"/>
                <w:lang w:val="fr-CA"/>
              </w:rPr>
              <w:t xml:space="preserve">, </w:t>
            </w:r>
            <w:proofErr w:type="gramStart"/>
            <w:r w:rsidR="0033320F">
              <w:rPr>
                <w:sz w:val="20"/>
                <w:szCs w:val="20"/>
                <w:lang w:val="fr-CA"/>
              </w:rPr>
              <w:t>s.e.n.c.r.l.,</w:t>
            </w:r>
            <w:proofErr w:type="gramEnd"/>
            <w:r w:rsidR="0033320F">
              <w:rPr>
                <w:sz w:val="20"/>
                <w:szCs w:val="20"/>
                <w:lang w:val="fr-CA"/>
              </w:rPr>
              <w:t xml:space="preserve"> </w:t>
            </w:r>
            <w:r w:rsidR="0033320F">
              <w:rPr>
                <w:sz w:val="20"/>
                <w:szCs w:val="20"/>
                <w:lang w:val="fr-CA"/>
              </w:rPr>
              <w:tab/>
            </w:r>
            <w:proofErr w:type="spellStart"/>
            <w:r w:rsidR="0033320F">
              <w:rPr>
                <w:sz w:val="20"/>
                <w:szCs w:val="20"/>
                <w:lang w:val="fr-CA"/>
              </w:rPr>
              <w:t>s.r.l</w:t>
            </w:r>
            <w:proofErr w:type="spellEnd"/>
            <w:r w:rsidR="0033320F">
              <w:rPr>
                <w:sz w:val="20"/>
                <w:szCs w:val="20"/>
                <w:lang w:val="fr-CA"/>
              </w:rPr>
              <w:t>.</w:t>
            </w:r>
          </w:p>
          <w:p w:rsidR="00A97C0C" w:rsidRPr="0033320F" w:rsidRDefault="00A97C0C" w:rsidP="00A97C0C">
            <w:pPr>
              <w:keepNext/>
              <w:keepLines/>
              <w:tabs>
                <w:tab w:val="left" w:pos="-1440"/>
                <w:tab w:val="left" w:pos="-720"/>
              </w:tabs>
              <w:rPr>
                <w:sz w:val="20"/>
                <w:szCs w:val="20"/>
                <w:lang w:val="fr-CA"/>
              </w:rPr>
            </w:pPr>
          </w:p>
          <w:p w:rsidR="00A97C0C" w:rsidRPr="0033320F" w:rsidRDefault="0033320F" w:rsidP="00A97C0C">
            <w:pPr>
              <w:rPr>
                <w:sz w:val="20"/>
                <w:szCs w:val="20"/>
                <w:lang w:val="fr-CA"/>
              </w:rPr>
            </w:pPr>
            <w:r w:rsidRPr="0033320F">
              <w:rPr>
                <w:sz w:val="20"/>
                <w:szCs w:val="20"/>
                <w:lang w:val="fr-CA"/>
              </w:rPr>
              <w:t xml:space="preserve">DATE DE PRODUCTION </w:t>
            </w:r>
            <w:r w:rsidR="001116BA">
              <w:rPr>
                <w:sz w:val="20"/>
                <w:szCs w:val="20"/>
                <w:lang w:val="fr-CA"/>
              </w:rPr>
              <w:t>: 1</w:t>
            </w:r>
            <w:r w:rsidR="00A97C0C" w:rsidRPr="0033320F">
              <w:rPr>
                <w:sz w:val="20"/>
                <w:szCs w:val="20"/>
                <w:lang w:val="fr-CA"/>
              </w:rPr>
              <w:t>8.04.2013</w:t>
            </w:r>
            <w:r w:rsidR="0017005E" w:rsidRPr="0017005E">
              <w:rPr>
                <w:sz w:val="20"/>
                <w:szCs w:val="20"/>
                <w:lang w:val="fr-CA"/>
              </w:rPr>
              <w:pict>
                <v:rect id="_x0000_i1032" style="width:108pt;height:1pt" o:hrpct="0" o:hralign="center" o:hrstd="t" o:hrnoshade="t" o:hr="t" fillcolor="black [3213]" stroked="f"/>
              </w:pict>
            </w:r>
          </w:p>
        </w:tc>
      </w:tr>
      <w:tr w:rsidR="00A97C0C" w:rsidRPr="005C0D71" w:rsidTr="003B3977">
        <w:trPr>
          <w:cantSplit/>
        </w:trPr>
        <w:tc>
          <w:tcPr>
            <w:tcW w:w="4320" w:type="dxa"/>
            <w:shd w:val="clear" w:color="auto" w:fill="auto"/>
          </w:tcPr>
          <w:p w:rsidR="00A97C0C" w:rsidRPr="001D2DF7" w:rsidRDefault="0033320F" w:rsidP="00150281">
            <w:pPr>
              <w:rPr>
                <w:b/>
                <w:sz w:val="20"/>
                <w:szCs w:val="20"/>
                <w:lang w:val="fr-CA"/>
              </w:rPr>
            </w:pPr>
            <w:r w:rsidRPr="001D2DF7">
              <w:rPr>
                <w:b/>
                <w:sz w:val="20"/>
                <w:szCs w:val="20"/>
                <w:lang w:val="fr-CA"/>
              </w:rPr>
              <w:lastRenderedPageBreak/>
              <w:t xml:space="preserve">Mitra </w:t>
            </w:r>
            <w:proofErr w:type="spellStart"/>
            <w:r w:rsidRPr="001D2DF7">
              <w:rPr>
                <w:b/>
                <w:sz w:val="20"/>
                <w:szCs w:val="20"/>
                <w:lang w:val="fr-CA"/>
              </w:rPr>
              <w:t>Javanmardi</w:t>
            </w:r>
            <w:proofErr w:type="spellEnd"/>
          </w:p>
          <w:p w:rsidR="00A97C0C" w:rsidRPr="001D2DF7" w:rsidRDefault="00A97C0C" w:rsidP="00150281">
            <w:pPr>
              <w:tabs>
                <w:tab w:val="left" w:pos="-1440"/>
                <w:tab w:val="left" w:pos="-720"/>
              </w:tabs>
              <w:rPr>
                <w:sz w:val="20"/>
                <w:szCs w:val="20"/>
                <w:lang w:val="fr-CA"/>
              </w:rPr>
            </w:pPr>
            <w:r w:rsidRPr="001D2DF7">
              <w:rPr>
                <w:sz w:val="20"/>
                <w:szCs w:val="20"/>
                <w:lang w:val="fr-CA"/>
              </w:rPr>
              <w:tab/>
            </w:r>
            <w:r w:rsidR="0033320F" w:rsidRPr="001D2DF7">
              <w:rPr>
                <w:sz w:val="20"/>
                <w:szCs w:val="20"/>
                <w:lang w:val="fr-CA"/>
              </w:rPr>
              <w:t>Julius H. Grey</w:t>
            </w:r>
          </w:p>
          <w:p w:rsidR="00A97C0C" w:rsidRPr="001D2DF7" w:rsidRDefault="00A97C0C" w:rsidP="00150281">
            <w:pPr>
              <w:tabs>
                <w:tab w:val="left" w:pos="-1440"/>
                <w:tab w:val="left" w:pos="-720"/>
              </w:tabs>
              <w:rPr>
                <w:sz w:val="20"/>
                <w:szCs w:val="20"/>
                <w:lang w:val="fr-CA"/>
              </w:rPr>
            </w:pPr>
            <w:r w:rsidRPr="001D2DF7">
              <w:rPr>
                <w:sz w:val="20"/>
                <w:szCs w:val="20"/>
                <w:lang w:val="fr-CA"/>
              </w:rPr>
              <w:tab/>
            </w:r>
            <w:r w:rsidR="0033320F" w:rsidRPr="001D2DF7">
              <w:rPr>
                <w:sz w:val="20"/>
                <w:szCs w:val="20"/>
                <w:lang w:val="fr-CA"/>
              </w:rPr>
              <w:t xml:space="preserve">Grey </w:t>
            </w:r>
            <w:proofErr w:type="spellStart"/>
            <w:r w:rsidR="0033320F" w:rsidRPr="001D2DF7">
              <w:rPr>
                <w:sz w:val="20"/>
                <w:szCs w:val="20"/>
                <w:lang w:val="fr-CA"/>
              </w:rPr>
              <w:t>Casgrain</w:t>
            </w:r>
            <w:proofErr w:type="spellEnd"/>
          </w:p>
          <w:p w:rsidR="00A97C0C" w:rsidRPr="001D2DF7" w:rsidRDefault="00A97C0C" w:rsidP="00150281">
            <w:pPr>
              <w:tabs>
                <w:tab w:val="left" w:pos="-1440"/>
                <w:tab w:val="left" w:pos="-720"/>
              </w:tabs>
              <w:rPr>
                <w:sz w:val="20"/>
                <w:szCs w:val="20"/>
                <w:lang w:val="fr-CA"/>
              </w:rPr>
            </w:pPr>
          </w:p>
          <w:p w:rsidR="00A97C0C" w:rsidRPr="001D2DF7" w:rsidRDefault="00A97C0C" w:rsidP="00150281">
            <w:pPr>
              <w:tabs>
                <w:tab w:val="left" w:pos="-1440"/>
                <w:tab w:val="left" w:pos="-720"/>
              </w:tabs>
              <w:rPr>
                <w:sz w:val="20"/>
                <w:szCs w:val="20"/>
                <w:lang w:val="fr-CA"/>
              </w:rPr>
            </w:pPr>
            <w:r w:rsidRPr="001D2DF7">
              <w:rPr>
                <w:sz w:val="20"/>
                <w:szCs w:val="20"/>
                <w:lang w:val="fr-CA"/>
              </w:rPr>
              <w:tab/>
              <w:t>v. (35</w:t>
            </w:r>
            <w:r w:rsidR="0033320F" w:rsidRPr="001D2DF7">
              <w:rPr>
                <w:sz w:val="20"/>
                <w:szCs w:val="20"/>
                <w:lang w:val="fr-CA"/>
              </w:rPr>
              <w:t>325</w:t>
            </w:r>
            <w:r w:rsidRPr="001D2DF7">
              <w:rPr>
                <w:sz w:val="20"/>
                <w:szCs w:val="20"/>
                <w:lang w:val="fr-CA"/>
              </w:rPr>
              <w:t>)</w:t>
            </w:r>
          </w:p>
          <w:p w:rsidR="00A97C0C" w:rsidRPr="001D2DF7" w:rsidRDefault="00A97C0C" w:rsidP="00150281">
            <w:pPr>
              <w:tabs>
                <w:tab w:val="left" w:pos="-1440"/>
                <w:tab w:val="left" w:pos="-720"/>
              </w:tabs>
              <w:rPr>
                <w:sz w:val="20"/>
                <w:szCs w:val="20"/>
                <w:lang w:val="fr-CA"/>
              </w:rPr>
            </w:pPr>
          </w:p>
          <w:p w:rsidR="00A97C0C" w:rsidRPr="001116BA" w:rsidRDefault="001116BA" w:rsidP="00150281">
            <w:pPr>
              <w:tabs>
                <w:tab w:val="left" w:pos="-1440"/>
                <w:tab w:val="left" w:pos="-720"/>
              </w:tabs>
              <w:rPr>
                <w:b/>
                <w:sz w:val="20"/>
                <w:szCs w:val="20"/>
                <w:lang w:val="fr-CA"/>
              </w:rPr>
            </w:pPr>
            <w:r w:rsidRPr="001116BA">
              <w:rPr>
                <w:b/>
                <w:sz w:val="20"/>
                <w:szCs w:val="20"/>
                <w:lang w:val="fr-CA"/>
              </w:rPr>
              <w:t>Collège des médecins du Québec</w:t>
            </w:r>
            <w:r w:rsidR="00A97C0C" w:rsidRPr="001116BA">
              <w:rPr>
                <w:b/>
                <w:sz w:val="20"/>
                <w:szCs w:val="20"/>
                <w:lang w:val="fr-CA"/>
              </w:rPr>
              <w:t xml:space="preserve"> (</w:t>
            </w:r>
            <w:r w:rsidRPr="001116BA">
              <w:rPr>
                <w:b/>
                <w:sz w:val="20"/>
                <w:szCs w:val="20"/>
                <w:lang w:val="fr-CA"/>
              </w:rPr>
              <w:t>Que</w:t>
            </w:r>
            <w:r w:rsidR="00A97C0C" w:rsidRPr="001116BA">
              <w:rPr>
                <w:b/>
                <w:sz w:val="20"/>
                <w:szCs w:val="20"/>
                <w:lang w:val="fr-CA"/>
              </w:rPr>
              <w:t>.)</w:t>
            </w:r>
          </w:p>
          <w:p w:rsidR="00A97C0C" w:rsidRPr="001116BA" w:rsidRDefault="00A97C0C" w:rsidP="00150281">
            <w:pPr>
              <w:tabs>
                <w:tab w:val="left" w:pos="-1440"/>
                <w:tab w:val="left" w:pos="-720"/>
              </w:tabs>
              <w:rPr>
                <w:sz w:val="20"/>
                <w:szCs w:val="20"/>
                <w:lang w:val="fr-CA"/>
              </w:rPr>
            </w:pPr>
            <w:r w:rsidRPr="001116BA">
              <w:rPr>
                <w:sz w:val="20"/>
                <w:szCs w:val="20"/>
                <w:lang w:val="fr-CA"/>
              </w:rPr>
              <w:tab/>
            </w:r>
            <w:r w:rsidR="001116BA">
              <w:rPr>
                <w:sz w:val="20"/>
                <w:szCs w:val="20"/>
                <w:lang w:val="fr-CA"/>
              </w:rPr>
              <w:t>Stéphane Gauthier</w:t>
            </w:r>
          </w:p>
          <w:p w:rsidR="00A97C0C" w:rsidRPr="001116BA" w:rsidRDefault="00A97C0C" w:rsidP="00150281">
            <w:pPr>
              <w:tabs>
                <w:tab w:val="left" w:pos="-1440"/>
                <w:tab w:val="left" w:pos="-720"/>
              </w:tabs>
              <w:rPr>
                <w:sz w:val="20"/>
                <w:szCs w:val="20"/>
                <w:lang w:val="fr-CA"/>
              </w:rPr>
            </w:pPr>
            <w:r w:rsidRPr="001116BA">
              <w:rPr>
                <w:sz w:val="20"/>
                <w:szCs w:val="20"/>
                <w:lang w:val="fr-CA"/>
              </w:rPr>
              <w:tab/>
            </w:r>
            <w:proofErr w:type="spellStart"/>
            <w:r w:rsidR="001116BA">
              <w:rPr>
                <w:sz w:val="20"/>
                <w:szCs w:val="20"/>
                <w:lang w:val="fr-CA"/>
              </w:rPr>
              <w:t>Cain</w:t>
            </w:r>
            <w:proofErr w:type="spellEnd"/>
            <w:r w:rsidR="001116BA">
              <w:rPr>
                <w:sz w:val="20"/>
                <w:szCs w:val="20"/>
                <w:lang w:val="fr-CA"/>
              </w:rPr>
              <w:t xml:space="preserve"> </w:t>
            </w:r>
            <w:proofErr w:type="spellStart"/>
            <w:r w:rsidR="001116BA">
              <w:rPr>
                <w:sz w:val="20"/>
                <w:szCs w:val="20"/>
                <w:lang w:val="fr-CA"/>
              </w:rPr>
              <w:t>Lamarre</w:t>
            </w:r>
            <w:proofErr w:type="spellEnd"/>
            <w:r w:rsidR="001116BA">
              <w:rPr>
                <w:sz w:val="20"/>
                <w:szCs w:val="20"/>
                <w:lang w:val="fr-CA"/>
              </w:rPr>
              <w:t xml:space="preserve"> </w:t>
            </w:r>
            <w:proofErr w:type="spellStart"/>
            <w:r w:rsidR="001116BA">
              <w:rPr>
                <w:sz w:val="20"/>
                <w:szCs w:val="20"/>
                <w:lang w:val="fr-CA"/>
              </w:rPr>
              <w:t>Casgrain</w:t>
            </w:r>
            <w:proofErr w:type="spellEnd"/>
            <w:r w:rsidR="001116BA">
              <w:rPr>
                <w:sz w:val="20"/>
                <w:szCs w:val="20"/>
                <w:lang w:val="fr-CA"/>
              </w:rPr>
              <w:t xml:space="preserve"> We</w:t>
            </w:r>
            <w:r w:rsidR="00997D57">
              <w:rPr>
                <w:sz w:val="20"/>
                <w:szCs w:val="20"/>
                <w:lang w:val="fr-CA"/>
              </w:rPr>
              <w:t>ll</w:t>
            </w:r>
            <w:r w:rsidR="001116BA">
              <w:rPr>
                <w:sz w:val="20"/>
                <w:szCs w:val="20"/>
                <w:lang w:val="fr-CA"/>
              </w:rPr>
              <w:t>s</w:t>
            </w:r>
          </w:p>
          <w:p w:rsidR="00A97C0C" w:rsidRPr="001116BA" w:rsidRDefault="00A97C0C" w:rsidP="00150281">
            <w:pPr>
              <w:tabs>
                <w:tab w:val="left" w:pos="-1440"/>
                <w:tab w:val="left" w:pos="-720"/>
              </w:tabs>
              <w:rPr>
                <w:sz w:val="20"/>
                <w:szCs w:val="20"/>
                <w:lang w:val="fr-CA"/>
              </w:rPr>
            </w:pPr>
          </w:p>
          <w:p w:rsidR="00A97C0C" w:rsidRPr="0033320F" w:rsidRDefault="00A97C0C" w:rsidP="00150281">
            <w:pPr>
              <w:rPr>
                <w:sz w:val="20"/>
                <w:szCs w:val="20"/>
              </w:rPr>
            </w:pPr>
            <w:r w:rsidRPr="0033320F">
              <w:rPr>
                <w:sz w:val="20"/>
                <w:szCs w:val="20"/>
              </w:rPr>
              <w:t xml:space="preserve">FILING DATE: </w:t>
            </w:r>
            <w:r w:rsidR="001116BA">
              <w:rPr>
                <w:sz w:val="20"/>
                <w:szCs w:val="20"/>
              </w:rPr>
              <w:t>18</w:t>
            </w:r>
            <w:r w:rsidRPr="0033320F">
              <w:rPr>
                <w:sz w:val="20"/>
                <w:szCs w:val="20"/>
              </w:rPr>
              <w:t>.04.2013</w:t>
            </w:r>
          </w:p>
          <w:p w:rsidR="00A97C0C" w:rsidRPr="0033320F" w:rsidRDefault="0017005E" w:rsidP="00150281">
            <w:pPr>
              <w:rPr>
                <w:sz w:val="20"/>
                <w:szCs w:val="20"/>
              </w:rPr>
            </w:pPr>
            <w:r w:rsidRPr="0017005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p w:rsidR="00A97C0C" w:rsidRPr="0033320F" w:rsidRDefault="00A97C0C" w:rsidP="00242AEE">
            <w:pPr>
              <w:jc w:val="center"/>
              <w:rPr>
                <w:sz w:val="20"/>
                <w:szCs w:val="20"/>
              </w:rPr>
            </w:pPr>
          </w:p>
        </w:tc>
        <w:tc>
          <w:tcPr>
            <w:tcW w:w="4320" w:type="dxa"/>
            <w:shd w:val="clear" w:color="auto" w:fill="auto"/>
          </w:tcPr>
          <w:p w:rsidR="00A97C0C" w:rsidRPr="001116BA" w:rsidRDefault="001116BA" w:rsidP="00150281">
            <w:pPr>
              <w:keepNext/>
              <w:keepLines/>
              <w:tabs>
                <w:tab w:val="left" w:pos="-1440"/>
                <w:tab w:val="left" w:pos="-720"/>
              </w:tabs>
              <w:rPr>
                <w:b/>
                <w:sz w:val="20"/>
                <w:szCs w:val="20"/>
                <w:lang w:val="fr-CA"/>
              </w:rPr>
            </w:pPr>
            <w:r w:rsidRPr="001116BA">
              <w:rPr>
                <w:b/>
                <w:sz w:val="20"/>
                <w:szCs w:val="20"/>
                <w:lang w:val="fr-CA"/>
              </w:rPr>
              <w:t>Yvan Cloutier et autres</w:t>
            </w:r>
          </w:p>
          <w:p w:rsidR="00A97C0C" w:rsidRPr="001116BA" w:rsidRDefault="00A97C0C" w:rsidP="00150281">
            <w:pPr>
              <w:keepNext/>
              <w:keepLines/>
              <w:tabs>
                <w:tab w:val="left" w:pos="-1440"/>
                <w:tab w:val="left" w:pos="-720"/>
              </w:tabs>
              <w:rPr>
                <w:sz w:val="20"/>
                <w:szCs w:val="20"/>
                <w:lang w:val="fr-CA"/>
              </w:rPr>
            </w:pPr>
            <w:r w:rsidRPr="001116BA">
              <w:rPr>
                <w:sz w:val="20"/>
                <w:szCs w:val="20"/>
                <w:lang w:val="fr-CA"/>
              </w:rPr>
              <w:tab/>
            </w:r>
            <w:r w:rsidR="001116BA">
              <w:rPr>
                <w:sz w:val="20"/>
                <w:szCs w:val="20"/>
                <w:lang w:val="fr-CA"/>
              </w:rPr>
              <w:t xml:space="preserve">Chantale Bouchard </w:t>
            </w:r>
          </w:p>
          <w:p w:rsidR="00A97C0C" w:rsidRPr="001116BA" w:rsidRDefault="00A97C0C" w:rsidP="00150281">
            <w:pPr>
              <w:keepNext/>
              <w:keepLines/>
              <w:tabs>
                <w:tab w:val="left" w:pos="-1440"/>
                <w:tab w:val="left" w:pos="-720"/>
              </w:tabs>
              <w:rPr>
                <w:sz w:val="20"/>
                <w:szCs w:val="20"/>
                <w:lang w:val="fr-CA"/>
              </w:rPr>
            </w:pPr>
            <w:r w:rsidRPr="001116BA">
              <w:rPr>
                <w:sz w:val="20"/>
                <w:szCs w:val="20"/>
                <w:lang w:val="fr-CA"/>
              </w:rPr>
              <w:tab/>
            </w:r>
            <w:r w:rsidR="001116BA">
              <w:rPr>
                <w:sz w:val="20"/>
                <w:szCs w:val="20"/>
                <w:lang w:val="fr-CA"/>
              </w:rPr>
              <w:t>Chantale Bouchard Avocats</w:t>
            </w:r>
          </w:p>
          <w:p w:rsidR="00A97C0C" w:rsidRPr="001116BA" w:rsidRDefault="00A97C0C" w:rsidP="00150281">
            <w:pPr>
              <w:keepNext/>
              <w:keepLines/>
              <w:tabs>
                <w:tab w:val="left" w:pos="-1440"/>
                <w:tab w:val="left" w:pos="-720"/>
              </w:tabs>
              <w:rPr>
                <w:sz w:val="20"/>
                <w:szCs w:val="20"/>
                <w:lang w:val="fr-CA"/>
              </w:rPr>
            </w:pPr>
          </w:p>
          <w:p w:rsidR="00A97C0C" w:rsidRPr="001116BA" w:rsidRDefault="00A97C0C" w:rsidP="00150281">
            <w:pPr>
              <w:keepNext/>
              <w:keepLines/>
              <w:tabs>
                <w:tab w:val="left" w:pos="-1440"/>
                <w:tab w:val="left" w:pos="-720"/>
              </w:tabs>
              <w:rPr>
                <w:sz w:val="20"/>
                <w:szCs w:val="20"/>
                <w:lang w:val="fr-CA"/>
              </w:rPr>
            </w:pPr>
            <w:r w:rsidRPr="001116BA">
              <w:rPr>
                <w:sz w:val="20"/>
                <w:szCs w:val="20"/>
                <w:lang w:val="fr-CA"/>
              </w:rPr>
              <w:tab/>
            </w:r>
            <w:r w:rsidR="001116BA" w:rsidRPr="001116BA">
              <w:rPr>
                <w:sz w:val="20"/>
                <w:szCs w:val="20"/>
                <w:lang w:val="fr-CA"/>
              </w:rPr>
              <w:t>c</w:t>
            </w:r>
            <w:r w:rsidRPr="001116BA">
              <w:rPr>
                <w:sz w:val="20"/>
                <w:szCs w:val="20"/>
                <w:lang w:val="fr-CA"/>
              </w:rPr>
              <w:t>. (35</w:t>
            </w:r>
            <w:r w:rsidR="001116BA">
              <w:rPr>
                <w:sz w:val="20"/>
                <w:szCs w:val="20"/>
                <w:lang w:val="fr-CA"/>
              </w:rPr>
              <w:t>328</w:t>
            </w:r>
            <w:r w:rsidRPr="001116BA">
              <w:rPr>
                <w:sz w:val="20"/>
                <w:szCs w:val="20"/>
                <w:lang w:val="fr-CA"/>
              </w:rPr>
              <w:t>)</w:t>
            </w:r>
          </w:p>
          <w:p w:rsidR="00A97C0C" w:rsidRPr="001116BA" w:rsidRDefault="00A97C0C" w:rsidP="00150281">
            <w:pPr>
              <w:keepNext/>
              <w:keepLines/>
              <w:tabs>
                <w:tab w:val="left" w:pos="-1440"/>
                <w:tab w:val="left" w:pos="-720"/>
              </w:tabs>
              <w:rPr>
                <w:sz w:val="20"/>
                <w:szCs w:val="20"/>
                <w:lang w:val="fr-CA"/>
              </w:rPr>
            </w:pPr>
          </w:p>
          <w:p w:rsidR="00A97C0C" w:rsidRPr="001116BA" w:rsidRDefault="001116BA" w:rsidP="00150281">
            <w:pPr>
              <w:keepNext/>
              <w:keepLines/>
              <w:tabs>
                <w:tab w:val="left" w:pos="-1440"/>
                <w:tab w:val="left" w:pos="-720"/>
              </w:tabs>
              <w:rPr>
                <w:b/>
                <w:sz w:val="20"/>
                <w:szCs w:val="20"/>
                <w:lang w:val="fr-CA"/>
              </w:rPr>
            </w:pPr>
            <w:r>
              <w:rPr>
                <w:b/>
                <w:sz w:val="20"/>
                <w:szCs w:val="20"/>
                <w:lang w:val="fr-CA"/>
              </w:rPr>
              <w:t xml:space="preserve">Alex </w:t>
            </w:r>
            <w:proofErr w:type="spellStart"/>
            <w:r>
              <w:rPr>
                <w:b/>
                <w:sz w:val="20"/>
                <w:szCs w:val="20"/>
                <w:lang w:val="fr-CA"/>
              </w:rPr>
              <w:t>Rahmi</w:t>
            </w:r>
            <w:proofErr w:type="spellEnd"/>
            <w:r>
              <w:rPr>
                <w:b/>
                <w:sz w:val="20"/>
                <w:szCs w:val="20"/>
                <w:lang w:val="fr-CA"/>
              </w:rPr>
              <w:t xml:space="preserve"> et autres </w:t>
            </w:r>
            <w:r w:rsidR="00A97C0C" w:rsidRPr="001116BA">
              <w:rPr>
                <w:b/>
                <w:sz w:val="20"/>
                <w:szCs w:val="20"/>
                <w:lang w:val="fr-CA"/>
              </w:rPr>
              <w:t>(</w:t>
            </w:r>
            <w:proofErr w:type="spellStart"/>
            <w:r>
              <w:rPr>
                <w:b/>
                <w:sz w:val="20"/>
                <w:szCs w:val="20"/>
                <w:lang w:val="fr-CA"/>
              </w:rPr>
              <w:t>Qc</w:t>
            </w:r>
            <w:proofErr w:type="spellEnd"/>
            <w:r w:rsidR="00A97C0C" w:rsidRPr="001116BA">
              <w:rPr>
                <w:b/>
                <w:sz w:val="20"/>
                <w:szCs w:val="20"/>
                <w:lang w:val="fr-CA"/>
              </w:rPr>
              <w:t>)</w:t>
            </w:r>
          </w:p>
          <w:p w:rsidR="00A97C0C" w:rsidRPr="001116BA" w:rsidRDefault="00A97C0C" w:rsidP="00150281">
            <w:pPr>
              <w:keepNext/>
              <w:keepLines/>
              <w:tabs>
                <w:tab w:val="left" w:pos="-1440"/>
                <w:tab w:val="left" w:pos="-720"/>
              </w:tabs>
              <w:rPr>
                <w:sz w:val="20"/>
                <w:szCs w:val="20"/>
                <w:lang w:val="fr-CA"/>
              </w:rPr>
            </w:pPr>
            <w:r w:rsidRPr="001116BA">
              <w:rPr>
                <w:sz w:val="20"/>
                <w:szCs w:val="20"/>
                <w:lang w:val="fr-CA"/>
              </w:rPr>
              <w:tab/>
            </w:r>
            <w:r w:rsidR="001116BA">
              <w:rPr>
                <w:sz w:val="20"/>
                <w:szCs w:val="20"/>
                <w:lang w:val="fr-CA"/>
              </w:rPr>
              <w:t>Marc Raymond Labrosse</w:t>
            </w:r>
          </w:p>
          <w:p w:rsidR="00A97C0C" w:rsidRPr="001116BA" w:rsidRDefault="00A97C0C" w:rsidP="00150281">
            <w:pPr>
              <w:keepNext/>
              <w:keepLines/>
              <w:tabs>
                <w:tab w:val="left" w:pos="-1440"/>
                <w:tab w:val="left" w:pos="-720"/>
              </w:tabs>
              <w:rPr>
                <w:sz w:val="20"/>
                <w:szCs w:val="20"/>
                <w:lang w:val="fr-CA"/>
              </w:rPr>
            </w:pPr>
            <w:r w:rsidRPr="001116BA">
              <w:rPr>
                <w:sz w:val="20"/>
                <w:szCs w:val="20"/>
                <w:lang w:val="fr-CA"/>
              </w:rPr>
              <w:tab/>
            </w:r>
            <w:r w:rsidR="001116BA">
              <w:rPr>
                <w:sz w:val="20"/>
                <w:szCs w:val="20"/>
                <w:lang w:val="fr-CA"/>
              </w:rPr>
              <w:t xml:space="preserve">Bernier Beaudry, </w:t>
            </w:r>
            <w:r w:rsidR="00230162">
              <w:rPr>
                <w:sz w:val="20"/>
                <w:szCs w:val="20"/>
                <w:lang w:val="fr-CA"/>
              </w:rPr>
              <w:t>A</w:t>
            </w:r>
            <w:r w:rsidR="001116BA">
              <w:rPr>
                <w:sz w:val="20"/>
                <w:szCs w:val="20"/>
                <w:lang w:val="fr-CA"/>
              </w:rPr>
              <w:t>vocats</w:t>
            </w:r>
          </w:p>
          <w:p w:rsidR="00A97C0C" w:rsidRPr="001116BA" w:rsidRDefault="00A97C0C" w:rsidP="00150281">
            <w:pPr>
              <w:keepNext/>
              <w:keepLines/>
              <w:tabs>
                <w:tab w:val="left" w:pos="-1440"/>
                <w:tab w:val="left" w:pos="-720"/>
              </w:tabs>
              <w:rPr>
                <w:sz w:val="20"/>
                <w:szCs w:val="20"/>
                <w:lang w:val="fr-CA"/>
              </w:rPr>
            </w:pPr>
          </w:p>
          <w:p w:rsidR="00A97C0C" w:rsidRPr="001116BA" w:rsidRDefault="001116BA" w:rsidP="00997D57">
            <w:pPr>
              <w:rPr>
                <w:sz w:val="20"/>
                <w:szCs w:val="20"/>
                <w:lang w:val="fr-CA"/>
              </w:rPr>
            </w:pPr>
            <w:r w:rsidRPr="0033320F">
              <w:rPr>
                <w:sz w:val="20"/>
                <w:szCs w:val="20"/>
                <w:lang w:val="fr-CA"/>
              </w:rPr>
              <w:t xml:space="preserve">DATE DE PRODUCTION </w:t>
            </w:r>
            <w:r>
              <w:rPr>
                <w:sz w:val="20"/>
                <w:szCs w:val="20"/>
                <w:lang w:val="fr-CA"/>
              </w:rPr>
              <w:t>: 1</w:t>
            </w:r>
            <w:r w:rsidR="00997D57">
              <w:rPr>
                <w:sz w:val="20"/>
                <w:szCs w:val="20"/>
                <w:lang w:val="fr-CA"/>
              </w:rPr>
              <w:t>9</w:t>
            </w:r>
            <w:r w:rsidRPr="0033320F">
              <w:rPr>
                <w:sz w:val="20"/>
                <w:szCs w:val="20"/>
                <w:lang w:val="fr-CA"/>
              </w:rPr>
              <w:t>.04.2013</w:t>
            </w:r>
            <w:r w:rsidR="0017005E" w:rsidRPr="0017005E">
              <w:rPr>
                <w:sz w:val="20"/>
                <w:szCs w:val="20"/>
                <w:lang w:val="fr-CA"/>
              </w:rPr>
              <w:pict>
                <v:rect id="_x0000_i1034" style="width:108pt;height:1pt" o:hrpct="0" o:hralign="center" o:hrstd="t" o:hrnoshade="t" o:hr="t" fillcolor="black [3213]" stroked="f"/>
              </w:pict>
            </w:r>
          </w:p>
        </w:tc>
      </w:tr>
    </w:tbl>
    <w:p w:rsidR="006C3F47" w:rsidRPr="001D2DF7" w:rsidRDefault="006C3F47" w:rsidP="0095096B">
      <w:pPr>
        <w:tabs>
          <w:tab w:val="right" w:pos="9360"/>
        </w:tabs>
        <w:rPr>
          <w:sz w:val="20"/>
          <w:szCs w:val="20"/>
          <w:lang w:val="fr-CA"/>
        </w:rPr>
      </w:pPr>
    </w:p>
    <w:p w:rsidR="00242AEE" w:rsidRPr="001D2DF7" w:rsidRDefault="00242AEE" w:rsidP="0095096B">
      <w:pPr>
        <w:tabs>
          <w:tab w:val="right" w:pos="9360"/>
        </w:tabs>
        <w:rPr>
          <w:sz w:val="20"/>
          <w:szCs w:val="20"/>
          <w:lang w:val="fr-CA"/>
        </w:rPr>
      </w:pPr>
    </w:p>
    <w:p w:rsidR="00242AEE" w:rsidRPr="001D2DF7" w:rsidRDefault="00242AEE" w:rsidP="0095096B">
      <w:pPr>
        <w:tabs>
          <w:tab w:val="right" w:pos="9360"/>
        </w:tabs>
        <w:rPr>
          <w:sz w:val="20"/>
          <w:szCs w:val="20"/>
          <w:lang w:val="fr-CA"/>
        </w:rPr>
        <w:sectPr w:rsidR="00242AEE" w:rsidRPr="001D2DF7" w:rsidSect="004F0C01">
          <w:headerReference w:type="default" r:id="rId15"/>
          <w:footerReference w:type="default" r:id="rId16"/>
          <w:headerReference w:type="first" r:id="rId17"/>
          <w:footerReference w:type="first" r:id="rId18"/>
          <w:pgSz w:w="12240" w:h="15840"/>
          <w:pgMar w:top="720" w:right="965" w:bottom="1080" w:left="1656" w:header="706" w:footer="706" w:gutter="0"/>
          <w:pgNumType w:start="78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C0D7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A</w:t>
      </w:r>
      <w:r w:rsidR="00150281">
        <w:rPr>
          <w:b/>
          <w:sz w:val="20"/>
          <w:szCs w:val="20"/>
        </w:rPr>
        <w:t>P</w:t>
      </w:r>
      <w:r>
        <w:rPr>
          <w:b/>
          <w:sz w:val="20"/>
          <w:szCs w:val="20"/>
        </w:rPr>
        <w:t>R</w:t>
      </w:r>
      <w:r w:rsidR="00150281">
        <w:rPr>
          <w:b/>
          <w:sz w:val="20"/>
          <w:szCs w:val="20"/>
        </w:rPr>
        <w:t>IL</w:t>
      </w:r>
      <w:r>
        <w:rPr>
          <w:b/>
          <w:sz w:val="20"/>
          <w:szCs w:val="20"/>
        </w:rPr>
        <w:t xml:space="preserve"> </w:t>
      </w:r>
      <w:r w:rsidR="00150281">
        <w:rPr>
          <w:b/>
          <w:sz w:val="20"/>
          <w:szCs w:val="20"/>
        </w:rPr>
        <w:t>29</w:t>
      </w:r>
      <w:r w:rsidR="004B7F60" w:rsidRPr="00C50A5C">
        <w:rPr>
          <w:b/>
          <w:sz w:val="20"/>
          <w:szCs w:val="20"/>
        </w:rPr>
        <w:t>, 201</w:t>
      </w:r>
      <w:r>
        <w:rPr>
          <w:b/>
          <w:sz w:val="20"/>
          <w:szCs w:val="20"/>
        </w:rPr>
        <w:t>3</w:t>
      </w:r>
      <w:r w:rsidR="004B7F60" w:rsidRPr="00C50A5C">
        <w:rPr>
          <w:b/>
          <w:sz w:val="20"/>
          <w:szCs w:val="20"/>
        </w:rPr>
        <w:t xml:space="preserve"> / LE </w:t>
      </w:r>
      <w:r w:rsidR="00150281">
        <w:rPr>
          <w:b/>
          <w:sz w:val="20"/>
          <w:szCs w:val="20"/>
        </w:rPr>
        <w:t>29</w:t>
      </w:r>
      <w:r w:rsidR="004B7F60">
        <w:rPr>
          <w:b/>
          <w:sz w:val="20"/>
          <w:szCs w:val="20"/>
        </w:rPr>
        <w:t xml:space="preserve"> </w:t>
      </w:r>
      <w:r>
        <w:rPr>
          <w:b/>
          <w:sz w:val="20"/>
          <w:szCs w:val="20"/>
        </w:rPr>
        <w:t>AV</w:t>
      </w:r>
      <w:r w:rsidR="004B7F60">
        <w:rPr>
          <w:b/>
          <w:sz w:val="20"/>
          <w:szCs w:val="20"/>
        </w:rPr>
        <w:t>R</w:t>
      </w:r>
      <w:r w:rsidR="00150281">
        <w:rPr>
          <w:b/>
          <w:sz w:val="20"/>
          <w:szCs w:val="20"/>
        </w:rPr>
        <w:t>IL</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D632EB" w:rsidRDefault="00D632EB" w:rsidP="004B7F60">
      <w:pPr>
        <w:pStyle w:val="ListParagraph"/>
        <w:widowControl w:val="0"/>
        <w:numPr>
          <w:ilvl w:val="0"/>
          <w:numId w:val="1"/>
        </w:numPr>
        <w:ind w:hanging="720"/>
        <w:jc w:val="both"/>
        <w:rPr>
          <w:sz w:val="20"/>
          <w:szCs w:val="20"/>
          <w:lang w:val="fr-CA"/>
        </w:rPr>
      </w:pPr>
      <w:r w:rsidRPr="00D632EB">
        <w:rPr>
          <w:i/>
          <w:sz w:val="20"/>
          <w:szCs w:val="20"/>
          <w:lang w:val="fr-CA"/>
        </w:rPr>
        <w:t>Sa Majesté la Reine c. Patrice Laflamme</w:t>
      </w:r>
      <w:r w:rsidRPr="001033CD">
        <w:rPr>
          <w:sz w:val="20"/>
          <w:szCs w:val="20"/>
          <w:lang w:val="fr-CA"/>
        </w:rPr>
        <w:t xml:space="preserve"> (</w:t>
      </w:r>
      <w:proofErr w:type="spellStart"/>
      <w:r w:rsidRPr="001033CD">
        <w:rPr>
          <w:sz w:val="20"/>
          <w:szCs w:val="20"/>
          <w:lang w:val="fr-CA"/>
        </w:rPr>
        <w:t>Qc</w:t>
      </w:r>
      <w:proofErr w:type="spellEnd"/>
      <w:r w:rsidRPr="001033CD">
        <w:rPr>
          <w:sz w:val="20"/>
          <w:szCs w:val="20"/>
          <w:lang w:val="fr-CA"/>
        </w:rPr>
        <w:t>) (</w:t>
      </w:r>
      <w:proofErr w:type="spellStart"/>
      <w:r w:rsidRPr="001033CD">
        <w:rPr>
          <w:sz w:val="20"/>
          <w:szCs w:val="20"/>
          <w:lang w:val="fr-CA"/>
        </w:rPr>
        <w:t>Crim</w:t>
      </w:r>
      <w:proofErr w:type="spellEnd"/>
      <w:r w:rsidRPr="001033CD">
        <w:rPr>
          <w:sz w:val="20"/>
          <w:szCs w:val="20"/>
          <w:lang w:val="fr-CA"/>
        </w:rPr>
        <w:t xml:space="preserve">.) </w:t>
      </w:r>
      <w:r w:rsidRPr="00D632EB">
        <w:rPr>
          <w:sz w:val="20"/>
          <w:szCs w:val="20"/>
          <w:lang w:val="fr-CA"/>
        </w:rPr>
        <w:t xml:space="preserve">(Autorisation) </w:t>
      </w:r>
      <w:r w:rsidR="004B7F60" w:rsidRPr="00D632EB">
        <w:rPr>
          <w:sz w:val="20"/>
          <w:szCs w:val="20"/>
          <w:lang w:val="fr-CA"/>
        </w:rPr>
        <w:t>(3</w:t>
      </w:r>
      <w:r w:rsidR="001033CD" w:rsidRPr="00D632EB">
        <w:rPr>
          <w:sz w:val="20"/>
          <w:szCs w:val="20"/>
          <w:lang w:val="fr-CA"/>
        </w:rPr>
        <w:t>5268</w:t>
      </w:r>
      <w:r w:rsidR="004B7F60" w:rsidRPr="00D632EB">
        <w:rPr>
          <w:sz w:val="20"/>
          <w:szCs w:val="20"/>
          <w:lang w:val="fr-CA"/>
        </w:rPr>
        <w:t>)</w:t>
      </w:r>
    </w:p>
    <w:p w:rsidR="004B7F60" w:rsidRPr="00D632EB" w:rsidRDefault="004B7F60" w:rsidP="004B7F60">
      <w:pPr>
        <w:widowControl w:val="0"/>
        <w:jc w:val="both"/>
        <w:rPr>
          <w:sz w:val="20"/>
          <w:szCs w:val="20"/>
          <w:lang w:val="fr-CA"/>
        </w:rPr>
      </w:pPr>
    </w:p>
    <w:p w:rsidR="004B7F60" w:rsidRPr="00C612D0" w:rsidRDefault="00D632EB" w:rsidP="004B7F60">
      <w:pPr>
        <w:pStyle w:val="ListParagraph"/>
        <w:widowControl w:val="0"/>
        <w:numPr>
          <w:ilvl w:val="0"/>
          <w:numId w:val="1"/>
        </w:numPr>
        <w:ind w:hanging="720"/>
        <w:jc w:val="both"/>
        <w:rPr>
          <w:sz w:val="20"/>
          <w:szCs w:val="20"/>
        </w:rPr>
      </w:pPr>
      <w:r w:rsidRPr="00D632EB">
        <w:rPr>
          <w:i/>
          <w:sz w:val="20"/>
          <w:szCs w:val="20"/>
        </w:rPr>
        <w:t xml:space="preserve">Harry Samuel </w:t>
      </w:r>
      <w:proofErr w:type="spellStart"/>
      <w:r w:rsidRPr="00D632EB">
        <w:rPr>
          <w:i/>
          <w:sz w:val="20"/>
          <w:szCs w:val="20"/>
        </w:rPr>
        <w:t>Dunsford</w:t>
      </w:r>
      <w:proofErr w:type="spellEnd"/>
      <w:r w:rsidRPr="00D632EB">
        <w:rPr>
          <w:i/>
          <w:sz w:val="20"/>
          <w:szCs w:val="20"/>
        </w:rPr>
        <w:t xml:space="preserve"> v. Her Majesty the Queen</w:t>
      </w:r>
      <w:r w:rsidRPr="001033CD">
        <w:rPr>
          <w:sz w:val="20"/>
          <w:szCs w:val="20"/>
        </w:rPr>
        <w:t xml:space="preserve"> (Sask.) (Crim.) (By Leave)</w:t>
      </w:r>
      <w:r w:rsidR="004B7F60" w:rsidRPr="00C612D0">
        <w:rPr>
          <w:sz w:val="20"/>
          <w:szCs w:val="20"/>
        </w:rPr>
        <w:t xml:space="preserve"> (3</w:t>
      </w:r>
      <w:r w:rsidR="001033CD">
        <w:rPr>
          <w:sz w:val="20"/>
          <w:szCs w:val="20"/>
        </w:rPr>
        <w:t>5</w:t>
      </w:r>
      <w:r w:rsidR="004B7F60" w:rsidRPr="00C612D0">
        <w:rPr>
          <w:sz w:val="20"/>
          <w:szCs w:val="20"/>
        </w:rPr>
        <w:t>2</w:t>
      </w:r>
      <w:r w:rsidR="001033CD">
        <w:rPr>
          <w:sz w:val="20"/>
          <w:szCs w:val="20"/>
        </w:rPr>
        <w:t>63</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D632EB" w:rsidP="004B7F60">
      <w:pPr>
        <w:pStyle w:val="ListParagraph"/>
        <w:widowControl w:val="0"/>
        <w:numPr>
          <w:ilvl w:val="0"/>
          <w:numId w:val="1"/>
        </w:numPr>
        <w:ind w:hanging="720"/>
        <w:jc w:val="both"/>
        <w:rPr>
          <w:sz w:val="20"/>
          <w:szCs w:val="20"/>
        </w:rPr>
      </w:pPr>
      <w:r w:rsidRPr="00D632EB">
        <w:rPr>
          <w:i/>
          <w:sz w:val="20"/>
          <w:szCs w:val="20"/>
        </w:rPr>
        <w:t>Freda Schnabel v. Tiffany Towers Condominium Association</w:t>
      </w:r>
      <w:r w:rsidRPr="001033CD">
        <w:rPr>
          <w:sz w:val="20"/>
          <w:szCs w:val="20"/>
        </w:rPr>
        <w:t xml:space="preserve"> (Que.) (Civil) (By Leave)</w:t>
      </w:r>
      <w:r w:rsidRPr="00940CAD">
        <w:rPr>
          <w:sz w:val="20"/>
          <w:szCs w:val="20"/>
        </w:rPr>
        <w:t xml:space="preserve"> </w:t>
      </w:r>
      <w:r w:rsidR="004B7F60" w:rsidRPr="00940CAD">
        <w:rPr>
          <w:sz w:val="20"/>
          <w:szCs w:val="20"/>
        </w:rPr>
        <w:t>(3</w:t>
      </w:r>
      <w:r w:rsidR="001033CD">
        <w:rPr>
          <w:sz w:val="20"/>
          <w:szCs w:val="20"/>
        </w:rPr>
        <w:t>5224</w:t>
      </w:r>
      <w:r w:rsidR="004B7F60" w:rsidRPr="00940CAD">
        <w:rPr>
          <w:sz w:val="20"/>
          <w:szCs w:val="20"/>
        </w:rPr>
        <w:t>)</w:t>
      </w:r>
    </w:p>
    <w:p w:rsidR="004B7F60" w:rsidRPr="00C50A5C" w:rsidRDefault="004B7F60" w:rsidP="004B7F60">
      <w:pPr>
        <w:widowControl w:val="0"/>
        <w:rPr>
          <w:sz w:val="20"/>
          <w:szCs w:val="20"/>
        </w:rPr>
      </w:pPr>
    </w:p>
    <w:p w:rsidR="004B7F60" w:rsidRPr="00C50A5C" w:rsidRDefault="00D632EB" w:rsidP="004B7F60">
      <w:pPr>
        <w:pStyle w:val="ListParagraph"/>
        <w:widowControl w:val="0"/>
        <w:numPr>
          <w:ilvl w:val="0"/>
          <w:numId w:val="1"/>
        </w:numPr>
        <w:ind w:hanging="720"/>
        <w:jc w:val="both"/>
        <w:rPr>
          <w:sz w:val="20"/>
          <w:szCs w:val="20"/>
        </w:rPr>
      </w:pPr>
      <w:r w:rsidRPr="00D632EB">
        <w:rPr>
          <w:i/>
          <w:sz w:val="20"/>
          <w:szCs w:val="20"/>
        </w:rPr>
        <w:t xml:space="preserve">Brian </w:t>
      </w:r>
      <w:proofErr w:type="spellStart"/>
      <w:r w:rsidRPr="00D632EB">
        <w:rPr>
          <w:i/>
          <w:sz w:val="20"/>
          <w:szCs w:val="20"/>
        </w:rPr>
        <w:t>Yaworski</w:t>
      </w:r>
      <w:proofErr w:type="spellEnd"/>
      <w:r w:rsidRPr="00D632EB">
        <w:rPr>
          <w:i/>
          <w:sz w:val="20"/>
          <w:szCs w:val="20"/>
        </w:rPr>
        <w:t xml:space="preserve"> v. </w:t>
      </w:r>
      <w:proofErr w:type="spellStart"/>
      <w:r w:rsidRPr="00D632EB">
        <w:rPr>
          <w:i/>
          <w:sz w:val="20"/>
          <w:szCs w:val="20"/>
        </w:rPr>
        <w:t>Gowling</w:t>
      </w:r>
      <w:proofErr w:type="spellEnd"/>
      <w:r w:rsidRPr="00D632EB">
        <w:rPr>
          <w:i/>
          <w:sz w:val="20"/>
          <w:szCs w:val="20"/>
        </w:rPr>
        <w:t xml:space="preserve"> </w:t>
      </w:r>
      <w:proofErr w:type="spellStart"/>
      <w:r w:rsidRPr="00D632EB">
        <w:rPr>
          <w:i/>
          <w:sz w:val="20"/>
          <w:szCs w:val="20"/>
        </w:rPr>
        <w:t>Lafleur</w:t>
      </w:r>
      <w:proofErr w:type="spellEnd"/>
      <w:r w:rsidRPr="00D632EB">
        <w:rPr>
          <w:i/>
          <w:sz w:val="20"/>
          <w:szCs w:val="20"/>
        </w:rPr>
        <w:t xml:space="preserve"> Henderson LLP</w:t>
      </w:r>
      <w:r w:rsidRPr="001033CD">
        <w:rPr>
          <w:sz w:val="20"/>
          <w:szCs w:val="20"/>
        </w:rPr>
        <w:t xml:space="preserve"> (Alta.) (Civil) (By Leave)</w:t>
      </w:r>
      <w:r w:rsidRPr="00C50A5C">
        <w:rPr>
          <w:sz w:val="20"/>
          <w:szCs w:val="20"/>
        </w:rPr>
        <w:t xml:space="preserve"> </w:t>
      </w:r>
      <w:r w:rsidR="004B7F60" w:rsidRPr="00C50A5C">
        <w:rPr>
          <w:sz w:val="20"/>
          <w:szCs w:val="20"/>
        </w:rPr>
        <w:t>(3</w:t>
      </w:r>
      <w:r w:rsidR="001033CD">
        <w:rPr>
          <w:sz w:val="20"/>
          <w:szCs w:val="20"/>
        </w:rPr>
        <w:t>5</w:t>
      </w:r>
      <w:r w:rsidR="004B7F60">
        <w:rPr>
          <w:sz w:val="20"/>
          <w:szCs w:val="20"/>
        </w:rPr>
        <w:t>26</w:t>
      </w:r>
      <w:r w:rsidR="001033CD">
        <w:rPr>
          <w:sz w:val="20"/>
          <w:szCs w:val="20"/>
        </w:rPr>
        <w:t>5</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sidR="0062714A">
        <w:rPr>
          <w:b/>
          <w:sz w:val="20"/>
          <w:szCs w:val="20"/>
        </w:rPr>
        <w:t>K</w:t>
      </w:r>
      <w:r>
        <w:rPr>
          <w:b/>
          <w:sz w:val="20"/>
          <w:szCs w:val="20"/>
        </w:rPr>
        <w:t>a</w:t>
      </w:r>
      <w:r w:rsidR="0062714A">
        <w:rPr>
          <w:b/>
          <w:sz w:val="20"/>
          <w:szCs w:val="20"/>
        </w:rPr>
        <w:t>rakatsanis</w:t>
      </w:r>
      <w:proofErr w:type="spellEnd"/>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sidR="0062714A">
        <w:rPr>
          <w:b/>
          <w:sz w:val="20"/>
          <w:szCs w:val="20"/>
          <w:lang w:val="fr-CA"/>
        </w:rPr>
        <w:t>K</w:t>
      </w:r>
      <w:r>
        <w:rPr>
          <w:b/>
          <w:sz w:val="20"/>
          <w:szCs w:val="20"/>
          <w:lang w:val="fr-CA"/>
        </w:rPr>
        <w:t>a</w:t>
      </w:r>
      <w:r w:rsidR="0062714A">
        <w:rPr>
          <w:b/>
          <w:sz w:val="20"/>
          <w:szCs w:val="20"/>
          <w:lang w:val="fr-CA"/>
        </w:rPr>
        <w:t>rakatsanis</w:t>
      </w:r>
      <w:proofErr w:type="spellEnd"/>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D632EB" w:rsidP="004B7F60">
      <w:pPr>
        <w:pStyle w:val="ListParagraph"/>
        <w:widowControl w:val="0"/>
        <w:numPr>
          <w:ilvl w:val="0"/>
          <w:numId w:val="1"/>
        </w:numPr>
        <w:ind w:hanging="720"/>
        <w:jc w:val="both"/>
        <w:rPr>
          <w:sz w:val="20"/>
          <w:szCs w:val="20"/>
          <w:lang w:val="fr-CA"/>
        </w:rPr>
      </w:pPr>
      <w:r w:rsidRPr="00D632EB">
        <w:rPr>
          <w:i/>
          <w:sz w:val="20"/>
          <w:szCs w:val="20"/>
        </w:rPr>
        <w:t>Gregory Ernest Last v. Her Majesty the Queen</w:t>
      </w:r>
      <w:r w:rsidRPr="001033CD">
        <w:rPr>
          <w:sz w:val="20"/>
          <w:szCs w:val="20"/>
        </w:rPr>
        <w:t xml:space="preserve"> (Ont.) (Crim.) (By Leave)</w:t>
      </w:r>
      <w:r w:rsidRPr="00C612D0">
        <w:rPr>
          <w:sz w:val="20"/>
          <w:szCs w:val="20"/>
          <w:lang w:val="fr-CA"/>
        </w:rPr>
        <w:t xml:space="preserve"> </w:t>
      </w:r>
      <w:r w:rsidR="004B7F60" w:rsidRPr="00C612D0">
        <w:rPr>
          <w:sz w:val="20"/>
          <w:szCs w:val="20"/>
          <w:lang w:val="fr-CA"/>
        </w:rPr>
        <w:t>(3</w:t>
      </w:r>
      <w:r w:rsidR="001033CD">
        <w:rPr>
          <w:sz w:val="20"/>
          <w:szCs w:val="20"/>
          <w:lang w:val="fr-CA"/>
        </w:rPr>
        <w:t>5182</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D632EB" w:rsidP="004B7F60">
      <w:pPr>
        <w:pStyle w:val="ListParagraph"/>
        <w:widowControl w:val="0"/>
        <w:numPr>
          <w:ilvl w:val="0"/>
          <w:numId w:val="1"/>
        </w:numPr>
        <w:ind w:hanging="720"/>
        <w:jc w:val="both"/>
        <w:rPr>
          <w:sz w:val="20"/>
          <w:szCs w:val="20"/>
          <w:lang w:val="fr-CA"/>
        </w:rPr>
      </w:pPr>
      <w:r w:rsidRPr="00D632EB">
        <w:rPr>
          <w:i/>
          <w:sz w:val="20"/>
          <w:szCs w:val="20"/>
          <w:lang w:val="fr-CA"/>
        </w:rPr>
        <w:t xml:space="preserve">Imperial </w:t>
      </w:r>
      <w:proofErr w:type="spellStart"/>
      <w:r w:rsidRPr="00D632EB">
        <w:rPr>
          <w:i/>
          <w:sz w:val="20"/>
          <w:szCs w:val="20"/>
          <w:lang w:val="fr-CA"/>
        </w:rPr>
        <w:t>Oil</w:t>
      </w:r>
      <w:proofErr w:type="spellEnd"/>
      <w:r w:rsidRPr="00D632EB">
        <w:rPr>
          <w:i/>
          <w:sz w:val="20"/>
          <w:szCs w:val="20"/>
          <w:lang w:val="fr-CA"/>
        </w:rPr>
        <w:t xml:space="preserve"> c. Simon Jacques et autres</w:t>
      </w:r>
      <w:r w:rsidRPr="001033CD">
        <w:rPr>
          <w:sz w:val="20"/>
          <w:szCs w:val="20"/>
          <w:lang w:val="fr-CA"/>
        </w:rPr>
        <w:t xml:space="preserve"> (</w:t>
      </w:r>
      <w:proofErr w:type="spellStart"/>
      <w:r w:rsidRPr="001033CD">
        <w:rPr>
          <w:sz w:val="20"/>
          <w:szCs w:val="20"/>
          <w:lang w:val="fr-CA"/>
        </w:rPr>
        <w:t>Qc</w:t>
      </w:r>
      <w:proofErr w:type="spellEnd"/>
      <w:r w:rsidRPr="001033CD">
        <w:rPr>
          <w:sz w:val="20"/>
          <w:szCs w:val="20"/>
          <w:lang w:val="fr-CA"/>
        </w:rPr>
        <w:t>) (Civile) (Autorisation)</w:t>
      </w:r>
      <w:r w:rsidRPr="00115C9E">
        <w:rPr>
          <w:sz w:val="20"/>
          <w:szCs w:val="20"/>
          <w:lang w:val="fr-CA"/>
        </w:rPr>
        <w:t xml:space="preserve"> </w:t>
      </w:r>
      <w:r w:rsidR="004B7F60" w:rsidRPr="00115C9E">
        <w:rPr>
          <w:sz w:val="20"/>
          <w:szCs w:val="20"/>
          <w:lang w:val="fr-CA"/>
        </w:rPr>
        <w:t>(35</w:t>
      </w:r>
      <w:r w:rsidR="001033CD">
        <w:rPr>
          <w:sz w:val="20"/>
          <w:szCs w:val="20"/>
          <w:lang w:val="fr-CA"/>
        </w:rPr>
        <w:t>226</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D632EB" w:rsidP="004B7F60">
      <w:pPr>
        <w:pStyle w:val="ListParagraph"/>
        <w:widowControl w:val="0"/>
        <w:numPr>
          <w:ilvl w:val="0"/>
          <w:numId w:val="1"/>
        </w:numPr>
        <w:ind w:hanging="720"/>
        <w:jc w:val="both"/>
        <w:rPr>
          <w:sz w:val="20"/>
          <w:szCs w:val="20"/>
          <w:lang w:val="fr-CA"/>
        </w:rPr>
      </w:pPr>
      <w:r w:rsidRPr="00D632EB">
        <w:rPr>
          <w:i/>
          <w:sz w:val="20"/>
          <w:szCs w:val="20"/>
          <w:lang w:val="fr-CA"/>
        </w:rPr>
        <w:t xml:space="preserve">Couche-Tard </w:t>
      </w:r>
      <w:proofErr w:type="spellStart"/>
      <w:r w:rsidRPr="00D632EB">
        <w:rPr>
          <w:i/>
          <w:sz w:val="20"/>
          <w:szCs w:val="20"/>
          <w:lang w:val="fr-CA"/>
        </w:rPr>
        <w:t>inc</w:t>
      </w:r>
      <w:proofErr w:type="spellEnd"/>
      <w:r w:rsidRPr="00D632EB">
        <w:rPr>
          <w:i/>
          <w:sz w:val="20"/>
          <w:szCs w:val="20"/>
          <w:lang w:val="fr-CA"/>
        </w:rPr>
        <w:t xml:space="preserve">., Alimentation Couche-Tard </w:t>
      </w:r>
      <w:proofErr w:type="spellStart"/>
      <w:r w:rsidRPr="00D632EB">
        <w:rPr>
          <w:i/>
          <w:sz w:val="20"/>
          <w:szCs w:val="20"/>
          <w:lang w:val="fr-CA"/>
        </w:rPr>
        <w:t>inc</w:t>
      </w:r>
      <w:proofErr w:type="spellEnd"/>
      <w:r w:rsidRPr="00D632EB">
        <w:rPr>
          <w:i/>
          <w:sz w:val="20"/>
          <w:szCs w:val="20"/>
          <w:lang w:val="fr-CA"/>
        </w:rPr>
        <w:t xml:space="preserve">., </w:t>
      </w:r>
      <w:proofErr w:type="spellStart"/>
      <w:r w:rsidRPr="00D632EB">
        <w:rPr>
          <w:i/>
          <w:sz w:val="20"/>
          <w:szCs w:val="20"/>
          <w:lang w:val="fr-CA"/>
        </w:rPr>
        <w:t>Dépan</w:t>
      </w:r>
      <w:proofErr w:type="spellEnd"/>
      <w:r w:rsidRPr="00D632EB">
        <w:rPr>
          <w:i/>
          <w:sz w:val="20"/>
          <w:szCs w:val="20"/>
          <w:lang w:val="fr-CA"/>
        </w:rPr>
        <w:t xml:space="preserve">-Escompte Couche-Tard </w:t>
      </w:r>
      <w:proofErr w:type="spellStart"/>
      <w:r w:rsidRPr="00D632EB">
        <w:rPr>
          <w:i/>
          <w:sz w:val="20"/>
          <w:szCs w:val="20"/>
          <w:lang w:val="fr-CA"/>
        </w:rPr>
        <w:t>inc</w:t>
      </w:r>
      <w:proofErr w:type="spellEnd"/>
      <w:r w:rsidRPr="00D632EB">
        <w:rPr>
          <w:i/>
          <w:sz w:val="20"/>
          <w:szCs w:val="20"/>
          <w:lang w:val="fr-CA"/>
        </w:rPr>
        <w:t>. et autres c. Simon Jacques et autres</w:t>
      </w:r>
      <w:r w:rsidRPr="001033CD">
        <w:rPr>
          <w:sz w:val="20"/>
          <w:szCs w:val="20"/>
          <w:lang w:val="fr-CA"/>
        </w:rPr>
        <w:t xml:space="preserve"> (</w:t>
      </w:r>
      <w:proofErr w:type="spellStart"/>
      <w:r w:rsidRPr="001033CD">
        <w:rPr>
          <w:sz w:val="20"/>
          <w:szCs w:val="20"/>
          <w:lang w:val="fr-CA"/>
        </w:rPr>
        <w:t>Qc</w:t>
      </w:r>
      <w:proofErr w:type="spellEnd"/>
      <w:r w:rsidRPr="001033CD">
        <w:rPr>
          <w:sz w:val="20"/>
          <w:szCs w:val="20"/>
          <w:lang w:val="fr-CA"/>
        </w:rPr>
        <w:t>) (Civile) (Autorisation)</w:t>
      </w:r>
      <w:r w:rsidRPr="00115C9E">
        <w:rPr>
          <w:sz w:val="20"/>
          <w:szCs w:val="20"/>
          <w:lang w:val="fr-CA"/>
        </w:rPr>
        <w:t xml:space="preserve"> </w:t>
      </w:r>
      <w:r w:rsidR="004B7F60" w:rsidRPr="00115C9E">
        <w:rPr>
          <w:sz w:val="20"/>
          <w:szCs w:val="20"/>
          <w:lang w:val="fr-CA"/>
        </w:rPr>
        <w:t>(35</w:t>
      </w:r>
      <w:r w:rsidR="001033CD">
        <w:rPr>
          <w:sz w:val="20"/>
          <w:szCs w:val="20"/>
          <w:lang w:val="fr-CA"/>
        </w:rPr>
        <w:t>231</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D632EB" w:rsidP="004B7F60">
      <w:pPr>
        <w:pStyle w:val="ListParagraph"/>
        <w:widowControl w:val="0"/>
        <w:numPr>
          <w:ilvl w:val="0"/>
          <w:numId w:val="1"/>
        </w:numPr>
        <w:ind w:hanging="720"/>
        <w:jc w:val="both"/>
        <w:rPr>
          <w:sz w:val="20"/>
          <w:szCs w:val="20"/>
          <w:lang w:val="fr-CA"/>
        </w:rPr>
      </w:pPr>
      <w:r w:rsidRPr="00D632EB">
        <w:rPr>
          <w:i/>
          <w:sz w:val="20"/>
          <w:szCs w:val="20"/>
          <w:lang w:val="fr-CA"/>
        </w:rPr>
        <w:t>Royal &amp; Sun Alliance du Canada, Société d'assurances c. C.D. et autre</w:t>
      </w:r>
      <w:r w:rsidRPr="001033CD">
        <w:rPr>
          <w:sz w:val="20"/>
          <w:szCs w:val="20"/>
          <w:lang w:val="fr-CA"/>
        </w:rPr>
        <w:t xml:space="preserve"> (</w:t>
      </w:r>
      <w:proofErr w:type="spellStart"/>
      <w:r w:rsidRPr="001033CD">
        <w:rPr>
          <w:sz w:val="20"/>
          <w:szCs w:val="20"/>
          <w:lang w:val="fr-CA"/>
        </w:rPr>
        <w:t>Qc</w:t>
      </w:r>
      <w:proofErr w:type="spellEnd"/>
      <w:r w:rsidRPr="001033CD">
        <w:rPr>
          <w:sz w:val="20"/>
          <w:szCs w:val="20"/>
          <w:lang w:val="fr-CA"/>
        </w:rPr>
        <w:t>) (Civile) (Autorisation)</w:t>
      </w:r>
      <w:r w:rsidRPr="00C50A5C">
        <w:rPr>
          <w:sz w:val="20"/>
          <w:szCs w:val="20"/>
          <w:lang w:val="fr-CA"/>
        </w:rPr>
        <w:t xml:space="preserve"> </w:t>
      </w:r>
      <w:r w:rsidR="004B7F60" w:rsidRPr="00C50A5C">
        <w:rPr>
          <w:sz w:val="20"/>
          <w:szCs w:val="20"/>
          <w:lang w:val="fr-CA"/>
        </w:rPr>
        <w:t>(3</w:t>
      </w:r>
      <w:r w:rsidR="001033CD">
        <w:rPr>
          <w:sz w:val="20"/>
          <w:szCs w:val="20"/>
          <w:lang w:val="fr-CA"/>
        </w:rPr>
        <w:t>52</w:t>
      </w:r>
      <w:r w:rsidR="004B7F60">
        <w:rPr>
          <w:sz w:val="20"/>
          <w:szCs w:val="20"/>
          <w:lang w:val="fr-CA"/>
        </w:rPr>
        <w:t>7</w:t>
      </w:r>
      <w:r w:rsidR="001033CD">
        <w:rPr>
          <w:sz w:val="20"/>
          <w:szCs w:val="20"/>
          <w:lang w:val="fr-CA"/>
        </w:rPr>
        <w:t>5</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proofErr w:type="spellStart"/>
      <w:r w:rsidR="0062714A">
        <w:rPr>
          <w:b/>
          <w:sz w:val="20"/>
          <w:szCs w:val="20"/>
        </w:rPr>
        <w:t>Mold</w:t>
      </w:r>
      <w:r>
        <w:rPr>
          <w:b/>
          <w:sz w:val="20"/>
          <w:szCs w:val="20"/>
        </w:rPr>
        <w:t>a</w:t>
      </w:r>
      <w:r w:rsidR="0062714A">
        <w:rPr>
          <w:b/>
          <w:sz w:val="20"/>
          <w:szCs w:val="20"/>
        </w:rPr>
        <w:t>ver</w:t>
      </w:r>
      <w:proofErr w:type="spellEnd"/>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proofErr w:type="spellStart"/>
      <w:r w:rsidR="0062714A">
        <w:rPr>
          <w:b/>
          <w:sz w:val="20"/>
          <w:szCs w:val="20"/>
          <w:lang w:val="fr-CA"/>
        </w:rPr>
        <w:t>Rot</w:t>
      </w:r>
      <w:r>
        <w:rPr>
          <w:b/>
          <w:sz w:val="20"/>
          <w:szCs w:val="20"/>
          <w:lang w:val="fr-CA"/>
        </w:rPr>
        <w:t>h</w:t>
      </w:r>
      <w:r w:rsidR="0062714A">
        <w:rPr>
          <w:b/>
          <w:sz w:val="20"/>
          <w:szCs w:val="20"/>
          <w:lang w:val="fr-CA"/>
        </w:rPr>
        <w:t>stein</w:t>
      </w:r>
      <w:proofErr w:type="spellEnd"/>
      <w:r w:rsidRPr="00C50A5C">
        <w:rPr>
          <w:b/>
          <w:sz w:val="20"/>
          <w:szCs w:val="20"/>
          <w:lang w:val="fr-CA"/>
        </w:rPr>
        <w:t xml:space="preserve"> et </w:t>
      </w:r>
      <w:proofErr w:type="spellStart"/>
      <w:r w:rsidR="0062714A">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6434C3" w:rsidP="004B7F60">
      <w:pPr>
        <w:pStyle w:val="ListParagraph"/>
        <w:widowControl w:val="0"/>
        <w:numPr>
          <w:ilvl w:val="0"/>
          <w:numId w:val="1"/>
        </w:numPr>
        <w:ind w:hanging="720"/>
        <w:jc w:val="both"/>
        <w:rPr>
          <w:sz w:val="20"/>
          <w:szCs w:val="20"/>
          <w:lang w:val="fr-CA"/>
        </w:rPr>
      </w:pPr>
      <w:r w:rsidRPr="006434C3">
        <w:rPr>
          <w:i/>
          <w:sz w:val="20"/>
          <w:szCs w:val="20"/>
        </w:rPr>
        <w:t>James Douglas Robertson v. Her Majesty the Queen</w:t>
      </w:r>
      <w:r w:rsidRPr="006434C3">
        <w:rPr>
          <w:sz w:val="20"/>
          <w:szCs w:val="20"/>
        </w:rPr>
        <w:t xml:space="preserve"> (Ont.) </w:t>
      </w:r>
      <w:r w:rsidRPr="001033CD">
        <w:rPr>
          <w:sz w:val="20"/>
          <w:szCs w:val="20"/>
          <w:lang w:val="fr-CA"/>
        </w:rPr>
        <w:t>(</w:t>
      </w:r>
      <w:proofErr w:type="spellStart"/>
      <w:r w:rsidRPr="001033CD">
        <w:rPr>
          <w:sz w:val="20"/>
          <w:szCs w:val="20"/>
          <w:lang w:val="fr-CA"/>
        </w:rPr>
        <w:t>Crim</w:t>
      </w:r>
      <w:proofErr w:type="spellEnd"/>
      <w:r w:rsidRPr="001033CD">
        <w:rPr>
          <w:sz w:val="20"/>
          <w:szCs w:val="20"/>
          <w:lang w:val="fr-CA"/>
        </w:rPr>
        <w:t xml:space="preserve">.) </w:t>
      </w:r>
      <w:r w:rsidRPr="001033CD">
        <w:rPr>
          <w:sz w:val="20"/>
          <w:szCs w:val="20"/>
        </w:rPr>
        <w:t>(By Leave)</w:t>
      </w:r>
      <w:r w:rsidRPr="00C50A5C">
        <w:rPr>
          <w:sz w:val="20"/>
          <w:szCs w:val="20"/>
          <w:lang w:val="fr-CA"/>
        </w:rPr>
        <w:t xml:space="preserve"> </w:t>
      </w:r>
      <w:r w:rsidR="004B7F60" w:rsidRPr="00C50A5C">
        <w:rPr>
          <w:sz w:val="20"/>
          <w:szCs w:val="20"/>
          <w:lang w:val="fr-CA"/>
        </w:rPr>
        <w:t>(3</w:t>
      </w:r>
      <w:r w:rsidR="001033CD">
        <w:rPr>
          <w:sz w:val="20"/>
          <w:szCs w:val="20"/>
          <w:lang w:val="fr-CA"/>
        </w:rPr>
        <w:t>5212</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6434C3" w:rsidP="004B7F60">
      <w:pPr>
        <w:pStyle w:val="ListParagraph"/>
        <w:widowControl w:val="0"/>
        <w:numPr>
          <w:ilvl w:val="0"/>
          <w:numId w:val="1"/>
        </w:numPr>
        <w:ind w:hanging="720"/>
        <w:jc w:val="both"/>
        <w:rPr>
          <w:sz w:val="20"/>
          <w:szCs w:val="20"/>
        </w:rPr>
      </w:pPr>
      <w:r w:rsidRPr="006434C3">
        <w:rPr>
          <w:i/>
          <w:sz w:val="20"/>
          <w:szCs w:val="20"/>
        </w:rPr>
        <w:t>James Douglas Robertson v. Her Majesty the Queen</w:t>
      </w:r>
      <w:r w:rsidRPr="006434C3">
        <w:rPr>
          <w:sz w:val="20"/>
          <w:szCs w:val="20"/>
        </w:rPr>
        <w:t xml:space="preserve"> (Ont.) </w:t>
      </w:r>
      <w:r w:rsidRPr="001033CD">
        <w:rPr>
          <w:sz w:val="20"/>
          <w:szCs w:val="20"/>
          <w:lang w:val="fr-CA"/>
        </w:rPr>
        <w:t>(</w:t>
      </w:r>
      <w:proofErr w:type="spellStart"/>
      <w:r w:rsidRPr="001033CD">
        <w:rPr>
          <w:sz w:val="20"/>
          <w:szCs w:val="20"/>
          <w:lang w:val="fr-CA"/>
        </w:rPr>
        <w:t>Crim</w:t>
      </w:r>
      <w:proofErr w:type="spellEnd"/>
      <w:r w:rsidRPr="001033CD">
        <w:rPr>
          <w:sz w:val="20"/>
          <w:szCs w:val="20"/>
          <w:lang w:val="fr-CA"/>
        </w:rPr>
        <w:t xml:space="preserve">.) </w:t>
      </w:r>
      <w:r w:rsidRPr="001033CD">
        <w:rPr>
          <w:sz w:val="20"/>
          <w:szCs w:val="20"/>
        </w:rPr>
        <w:t>(By Leave)</w:t>
      </w:r>
      <w:r w:rsidRPr="00115C9E">
        <w:rPr>
          <w:sz w:val="20"/>
          <w:szCs w:val="20"/>
        </w:rPr>
        <w:t xml:space="preserve"> </w:t>
      </w:r>
      <w:r w:rsidR="004B7F60" w:rsidRPr="00115C9E">
        <w:rPr>
          <w:sz w:val="20"/>
          <w:szCs w:val="20"/>
        </w:rPr>
        <w:t>(3</w:t>
      </w:r>
      <w:r w:rsidR="001033CD">
        <w:rPr>
          <w:sz w:val="20"/>
          <w:szCs w:val="20"/>
        </w:rPr>
        <w:t>522</w:t>
      </w:r>
      <w:r w:rsidR="004B7F60" w:rsidRPr="00115C9E">
        <w:rPr>
          <w:sz w:val="20"/>
          <w:szCs w:val="20"/>
        </w:rPr>
        <w:t>0)</w:t>
      </w:r>
    </w:p>
    <w:p w:rsidR="004B7F60" w:rsidRPr="00115C9E" w:rsidRDefault="004B7F60" w:rsidP="004B7F60">
      <w:pPr>
        <w:widowControl w:val="0"/>
        <w:jc w:val="both"/>
        <w:rPr>
          <w:sz w:val="20"/>
          <w:szCs w:val="20"/>
        </w:rPr>
      </w:pPr>
    </w:p>
    <w:p w:rsidR="004B7F60" w:rsidRPr="00115C9E" w:rsidRDefault="006434C3" w:rsidP="004B7F60">
      <w:pPr>
        <w:pStyle w:val="ListParagraph"/>
        <w:widowControl w:val="0"/>
        <w:numPr>
          <w:ilvl w:val="0"/>
          <w:numId w:val="1"/>
        </w:numPr>
        <w:ind w:hanging="720"/>
        <w:jc w:val="both"/>
        <w:rPr>
          <w:sz w:val="20"/>
          <w:szCs w:val="20"/>
        </w:rPr>
      </w:pPr>
      <w:r w:rsidRPr="006434C3">
        <w:rPr>
          <w:i/>
          <w:sz w:val="20"/>
          <w:szCs w:val="20"/>
        </w:rPr>
        <w:t xml:space="preserve">Children's Lawyer on behalf of the minors, Rachel Browne, Hailey Browne, Michelle Wiley, Jessica </w:t>
      </w:r>
      <w:proofErr w:type="spellStart"/>
      <w:r w:rsidRPr="006434C3">
        <w:rPr>
          <w:i/>
          <w:sz w:val="20"/>
          <w:szCs w:val="20"/>
        </w:rPr>
        <w:t>Ashmore</w:t>
      </w:r>
      <w:proofErr w:type="spellEnd"/>
      <w:r w:rsidRPr="006434C3">
        <w:rPr>
          <w:i/>
          <w:sz w:val="20"/>
          <w:szCs w:val="20"/>
        </w:rPr>
        <w:t xml:space="preserve">, Julia </w:t>
      </w:r>
      <w:proofErr w:type="spellStart"/>
      <w:r w:rsidRPr="006434C3">
        <w:rPr>
          <w:i/>
          <w:sz w:val="20"/>
          <w:szCs w:val="20"/>
        </w:rPr>
        <w:t>Mickus</w:t>
      </w:r>
      <w:proofErr w:type="spellEnd"/>
      <w:r w:rsidRPr="006434C3">
        <w:rPr>
          <w:i/>
          <w:sz w:val="20"/>
          <w:szCs w:val="20"/>
        </w:rPr>
        <w:t xml:space="preserve">, Robert </w:t>
      </w:r>
      <w:proofErr w:type="spellStart"/>
      <w:r w:rsidRPr="006434C3">
        <w:rPr>
          <w:i/>
          <w:sz w:val="20"/>
          <w:szCs w:val="20"/>
        </w:rPr>
        <w:t>Mickus</w:t>
      </w:r>
      <w:proofErr w:type="spellEnd"/>
      <w:r w:rsidRPr="006434C3">
        <w:rPr>
          <w:i/>
          <w:sz w:val="20"/>
          <w:szCs w:val="20"/>
        </w:rPr>
        <w:t xml:space="preserve">, Olivia </w:t>
      </w:r>
      <w:proofErr w:type="spellStart"/>
      <w:r w:rsidRPr="006434C3">
        <w:rPr>
          <w:i/>
          <w:sz w:val="20"/>
          <w:szCs w:val="20"/>
        </w:rPr>
        <w:t>Mickus</w:t>
      </w:r>
      <w:proofErr w:type="spellEnd"/>
      <w:r w:rsidRPr="006434C3">
        <w:rPr>
          <w:i/>
          <w:sz w:val="20"/>
          <w:szCs w:val="20"/>
        </w:rPr>
        <w:t xml:space="preserve">, John </w:t>
      </w:r>
      <w:proofErr w:type="spellStart"/>
      <w:r w:rsidRPr="006434C3">
        <w:rPr>
          <w:i/>
          <w:sz w:val="20"/>
          <w:szCs w:val="20"/>
        </w:rPr>
        <w:t>Mickus</w:t>
      </w:r>
      <w:proofErr w:type="spellEnd"/>
      <w:r w:rsidRPr="006434C3">
        <w:rPr>
          <w:i/>
          <w:sz w:val="20"/>
          <w:szCs w:val="20"/>
        </w:rPr>
        <w:t xml:space="preserve">, Marissa Lee, Erica Lee et al. v. Canada Trust Company, Trustee of the Primo </w:t>
      </w:r>
      <w:proofErr w:type="spellStart"/>
      <w:r w:rsidRPr="006434C3">
        <w:rPr>
          <w:i/>
          <w:sz w:val="20"/>
          <w:szCs w:val="20"/>
        </w:rPr>
        <w:t>Poloniato</w:t>
      </w:r>
      <w:proofErr w:type="spellEnd"/>
      <w:r w:rsidRPr="006434C3">
        <w:rPr>
          <w:i/>
          <w:sz w:val="20"/>
          <w:szCs w:val="20"/>
        </w:rPr>
        <w:t xml:space="preserve"> </w:t>
      </w:r>
      <w:proofErr w:type="spellStart"/>
      <w:r w:rsidRPr="006434C3">
        <w:rPr>
          <w:i/>
          <w:sz w:val="20"/>
          <w:szCs w:val="20"/>
        </w:rPr>
        <w:t>Granchildren's</w:t>
      </w:r>
      <w:proofErr w:type="spellEnd"/>
      <w:r w:rsidRPr="006434C3">
        <w:rPr>
          <w:i/>
          <w:sz w:val="20"/>
          <w:szCs w:val="20"/>
        </w:rPr>
        <w:t xml:space="preserve"> Trust et al.</w:t>
      </w:r>
      <w:r w:rsidRPr="001033CD">
        <w:rPr>
          <w:sz w:val="20"/>
          <w:szCs w:val="20"/>
        </w:rPr>
        <w:t xml:space="preserve"> (Ont.) (Civil) (By Leave)</w:t>
      </w:r>
      <w:r w:rsidRPr="00115C9E">
        <w:rPr>
          <w:sz w:val="20"/>
          <w:szCs w:val="20"/>
        </w:rPr>
        <w:t xml:space="preserve"> </w:t>
      </w:r>
      <w:r w:rsidR="004B7F60" w:rsidRPr="00115C9E">
        <w:rPr>
          <w:sz w:val="20"/>
          <w:szCs w:val="20"/>
        </w:rPr>
        <w:t>(3</w:t>
      </w:r>
      <w:r w:rsidR="001033CD">
        <w:rPr>
          <w:sz w:val="20"/>
          <w:szCs w:val="20"/>
        </w:rPr>
        <w:t>521</w:t>
      </w:r>
      <w:r w:rsidR="004B7F60" w:rsidRPr="00115C9E">
        <w:rPr>
          <w:sz w:val="20"/>
          <w:szCs w:val="20"/>
        </w:rPr>
        <w:t>4)</w:t>
      </w:r>
    </w:p>
    <w:p w:rsidR="002E2327" w:rsidRDefault="002E2327" w:rsidP="002E2327">
      <w:pPr>
        <w:widowControl w:val="0"/>
        <w:rPr>
          <w:sz w:val="20"/>
          <w:szCs w:val="20"/>
          <w:lang w:val="fr-CA"/>
        </w:rPr>
      </w:pPr>
    </w:p>
    <w:p w:rsidR="002E2327" w:rsidRPr="00C50A5C" w:rsidRDefault="0017005E" w:rsidP="002E2327">
      <w:pPr>
        <w:widowControl w:val="0"/>
        <w:rPr>
          <w:sz w:val="20"/>
          <w:szCs w:val="20"/>
        </w:rPr>
      </w:pPr>
      <w:r w:rsidRPr="0017005E">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C0D7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DF0FED" w:rsidP="008D292F">
      <w:pPr>
        <w:rPr>
          <w:b/>
          <w:sz w:val="20"/>
          <w:szCs w:val="20"/>
        </w:rPr>
      </w:pPr>
      <w:r>
        <w:rPr>
          <w:b/>
          <w:sz w:val="20"/>
          <w:szCs w:val="20"/>
        </w:rPr>
        <w:t>M</w:t>
      </w:r>
      <w:r w:rsidR="008D292F" w:rsidRPr="00C50A5C">
        <w:rPr>
          <w:b/>
          <w:sz w:val="20"/>
          <w:szCs w:val="20"/>
        </w:rPr>
        <w:t>A</w:t>
      </w:r>
      <w:r w:rsidR="00EA167C">
        <w:rPr>
          <w:b/>
          <w:sz w:val="20"/>
          <w:szCs w:val="20"/>
        </w:rPr>
        <w:t>Y</w:t>
      </w:r>
      <w:r w:rsidR="008D292F" w:rsidRPr="00C50A5C">
        <w:rPr>
          <w:b/>
          <w:sz w:val="20"/>
          <w:szCs w:val="20"/>
        </w:rPr>
        <w:t xml:space="preserve"> 2, 201</w:t>
      </w:r>
      <w:r w:rsidR="00EA167C">
        <w:rPr>
          <w:b/>
          <w:sz w:val="20"/>
          <w:szCs w:val="20"/>
        </w:rPr>
        <w:t>3</w:t>
      </w:r>
      <w:r w:rsidR="008D292F" w:rsidRPr="00C50A5C">
        <w:rPr>
          <w:b/>
          <w:sz w:val="20"/>
          <w:szCs w:val="20"/>
        </w:rPr>
        <w:t xml:space="preserve"> / LE 2 </w:t>
      </w:r>
      <w:r w:rsidR="00EA167C">
        <w:rPr>
          <w:b/>
          <w:sz w:val="20"/>
          <w:szCs w:val="20"/>
        </w:rPr>
        <w:t>M</w:t>
      </w:r>
      <w:r w:rsidR="008D292F" w:rsidRPr="00C50A5C">
        <w:rPr>
          <w:b/>
          <w:sz w:val="20"/>
          <w:szCs w:val="20"/>
        </w:rPr>
        <w:t>AI 201</w:t>
      </w:r>
      <w:r w:rsidR="00EA167C">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97985" w:rsidRPr="008902B9" w:rsidTr="008A1E3D">
        <w:trPr>
          <w:cantSplit/>
        </w:trPr>
        <w:tc>
          <w:tcPr>
            <w:tcW w:w="1458" w:type="dxa"/>
          </w:tcPr>
          <w:p w:rsidR="00097985" w:rsidRPr="008902B9" w:rsidRDefault="00097985" w:rsidP="008A1E3D">
            <w:pPr>
              <w:rPr>
                <w:sz w:val="20"/>
                <w:szCs w:val="20"/>
              </w:rPr>
            </w:pPr>
            <w:r w:rsidRPr="008902B9">
              <w:rPr>
                <w:rStyle w:val="SCCFileNumberChar"/>
                <w:sz w:val="20"/>
                <w:szCs w:val="20"/>
              </w:rPr>
              <w:t>35089</w:t>
            </w:r>
          </w:p>
          <w:p w:rsidR="00097985" w:rsidRPr="008902B9" w:rsidRDefault="00097985" w:rsidP="008A1E3D">
            <w:pPr>
              <w:rPr>
                <w:b/>
                <w:sz w:val="20"/>
                <w:szCs w:val="20"/>
                <w:lang w:val="fr-CA"/>
              </w:rPr>
            </w:pPr>
          </w:p>
        </w:tc>
        <w:tc>
          <w:tcPr>
            <w:tcW w:w="8118" w:type="dxa"/>
          </w:tcPr>
          <w:p w:rsidR="00097985" w:rsidRPr="008902B9" w:rsidRDefault="00097985" w:rsidP="008A1E3D">
            <w:pPr>
              <w:rPr>
                <w:sz w:val="20"/>
                <w:szCs w:val="20"/>
              </w:rPr>
            </w:pPr>
            <w:r w:rsidRPr="008902B9">
              <w:rPr>
                <w:rStyle w:val="SCCLsocChar"/>
                <w:sz w:val="20"/>
                <w:szCs w:val="20"/>
                <w:lang w:val="en-CA"/>
              </w:rPr>
              <w:t>W.E.B. v. Her Majesty the Queen</w:t>
            </w:r>
            <w:r w:rsidRPr="008902B9">
              <w:rPr>
                <w:sz w:val="20"/>
                <w:szCs w:val="20"/>
              </w:rPr>
              <w:t xml:space="preserve"> (Ont.) (Criminal) (By Leave)</w:t>
            </w:r>
          </w:p>
          <w:p w:rsidR="00097985" w:rsidRPr="008902B9" w:rsidRDefault="00097985" w:rsidP="008A1E3D">
            <w:pPr>
              <w:rPr>
                <w:sz w:val="20"/>
                <w:szCs w:val="20"/>
              </w:rPr>
            </w:pPr>
          </w:p>
        </w:tc>
      </w:tr>
      <w:tr w:rsidR="00097985" w:rsidRPr="008902B9" w:rsidTr="008A1E3D">
        <w:trPr>
          <w:cantSplit/>
        </w:trPr>
        <w:tc>
          <w:tcPr>
            <w:tcW w:w="1458" w:type="dxa"/>
          </w:tcPr>
          <w:p w:rsidR="00097985" w:rsidRPr="008902B9" w:rsidRDefault="00097985" w:rsidP="008A1E3D">
            <w:pPr>
              <w:rPr>
                <w:sz w:val="20"/>
                <w:szCs w:val="20"/>
              </w:rPr>
            </w:pPr>
            <w:r w:rsidRPr="008902B9">
              <w:rPr>
                <w:sz w:val="20"/>
                <w:szCs w:val="20"/>
              </w:rPr>
              <w:t>Coram :</w:t>
            </w:r>
          </w:p>
        </w:tc>
        <w:tc>
          <w:tcPr>
            <w:tcW w:w="8118" w:type="dxa"/>
          </w:tcPr>
          <w:p w:rsidR="00097985" w:rsidRPr="008902B9" w:rsidRDefault="00097985" w:rsidP="008A1E3D">
            <w:pPr>
              <w:rPr>
                <w:sz w:val="20"/>
                <w:szCs w:val="20"/>
              </w:rPr>
            </w:pPr>
            <w:r w:rsidRPr="008902B9">
              <w:rPr>
                <w:rStyle w:val="SCCCoramChar"/>
                <w:sz w:val="20"/>
                <w:szCs w:val="20"/>
                <w:lang w:val="en-CA"/>
              </w:rPr>
              <w:t xml:space="preserve">Fish, Rothstein and </w:t>
            </w:r>
            <w:proofErr w:type="spellStart"/>
            <w:r w:rsidRPr="008902B9">
              <w:rPr>
                <w:rStyle w:val="SCCCoramChar"/>
                <w:sz w:val="20"/>
                <w:szCs w:val="20"/>
                <w:lang w:val="en-CA"/>
              </w:rPr>
              <w:t>Moldaver</w:t>
            </w:r>
            <w:proofErr w:type="spellEnd"/>
            <w:r w:rsidRPr="008902B9">
              <w:rPr>
                <w:rStyle w:val="SCCCoramChar"/>
                <w:sz w:val="20"/>
                <w:szCs w:val="20"/>
                <w:lang w:val="en-CA"/>
              </w:rPr>
              <w:t> JJ.</w:t>
            </w:r>
          </w:p>
          <w:p w:rsidR="00097985" w:rsidRPr="008902B9" w:rsidRDefault="00097985" w:rsidP="008A1E3D">
            <w:pPr>
              <w:rPr>
                <w:sz w:val="20"/>
                <w:szCs w:val="20"/>
                <w:u w:val="single"/>
              </w:rPr>
            </w:pPr>
          </w:p>
        </w:tc>
      </w:tr>
      <w:tr w:rsidR="00097985" w:rsidRPr="005C0D71" w:rsidTr="008A1E3D">
        <w:trPr>
          <w:cantSplit/>
        </w:trPr>
        <w:tc>
          <w:tcPr>
            <w:tcW w:w="9576" w:type="dxa"/>
            <w:gridSpan w:val="2"/>
          </w:tcPr>
          <w:p w:rsidR="00097985" w:rsidRPr="008902B9" w:rsidRDefault="00097985" w:rsidP="008A1E3D">
            <w:pPr>
              <w:pStyle w:val="SCCShortJudgment"/>
              <w:rPr>
                <w:szCs w:val="20"/>
              </w:rPr>
            </w:pPr>
            <w:r w:rsidRPr="008902B9">
              <w:rPr>
                <w:szCs w:val="20"/>
              </w:rPr>
              <w:t>The application for leave to appeal from the judgment of the Court of Appeal for Ontario, Number C53146, 2012 ONCA 776, dated November 14, 2012, is granted without costs.</w:t>
            </w:r>
          </w:p>
          <w:p w:rsidR="00097985" w:rsidRPr="008902B9" w:rsidRDefault="00097985" w:rsidP="008A1E3D">
            <w:pPr>
              <w:pStyle w:val="SCCShortJudgment"/>
              <w:ind w:firstLine="0"/>
              <w:rPr>
                <w:szCs w:val="20"/>
              </w:rPr>
            </w:pPr>
          </w:p>
          <w:p w:rsidR="00097985" w:rsidRPr="008902B9" w:rsidRDefault="00097985" w:rsidP="008A1E3D">
            <w:pPr>
              <w:pStyle w:val="SCCShortJudgment"/>
              <w:rPr>
                <w:szCs w:val="20"/>
                <w:lang w:val="fr-CA"/>
              </w:rPr>
            </w:pPr>
            <w:r w:rsidRPr="008902B9">
              <w:rPr>
                <w:szCs w:val="20"/>
                <w:lang w:val="fr-CA"/>
              </w:rPr>
              <w:t>La demande d’autorisation d’appel de l’arrêt de la Cour d’appel de l’Ontario, numéro C53146, 2012 ONCA 776, daté du 14 novembre 2012, est accueillie sans dépens.</w:t>
            </w:r>
          </w:p>
        </w:tc>
      </w:tr>
    </w:tbl>
    <w:p w:rsidR="00EA167C" w:rsidRPr="00097985" w:rsidRDefault="00EA167C" w:rsidP="008D292F">
      <w:pPr>
        <w:rPr>
          <w:sz w:val="20"/>
          <w:szCs w:val="20"/>
          <w:lang w:val="fr-CA"/>
        </w:rPr>
      </w:pPr>
    </w:p>
    <w:p w:rsidR="00EA167C" w:rsidRPr="001B157C" w:rsidRDefault="00EA167C" w:rsidP="00EA167C">
      <w:pPr>
        <w:rPr>
          <w:sz w:val="20"/>
          <w:szCs w:val="20"/>
          <w:u w:val="single"/>
        </w:rPr>
      </w:pPr>
      <w:r w:rsidRPr="001B157C">
        <w:rPr>
          <w:sz w:val="20"/>
          <w:szCs w:val="20"/>
          <w:u w:val="single"/>
        </w:rPr>
        <w:t>CASE SUMMARY</w:t>
      </w:r>
    </w:p>
    <w:p w:rsidR="00EA167C" w:rsidRDefault="00EA167C"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A06A3E" w:rsidTr="00FE1A89">
        <w:tc>
          <w:tcPr>
            <w:tcW w:w="5000" w:type="pct"/>
            <w:gridSpan w:val="3"/>
          </w:tcPr>
          <w:p w:rsidR="00B9709A" w:rsidRPr="00A06A3E" w:rsidRDefault="00B9709A" w:rsidP="00FE1A89">
            <w:pPr>
              <w:jc w:val="both"/>
              <w:rPr>
                <w:rFonts w:eastAsia="Calibri"/>
                <w:smallCaps/>
                <w:sz w:val="20"/>
                <w:szCs w:val="20"/>
              </w:rPr>
            </w:pPr>
            <w:r w:rsidRPr="00A06A3E">
              <w:rPr>
                <w:rFonts w:eastAsia="Calibri"/>
                <w:smallCaps/>
                <w:sz w:val="20"/>
                <w:szCs w:val="20"/>
              </w:rPr>
              <w:t>(Publication Ban in Case) (Publication Ban on Party)</w:t>
            </w:r>
          </w:p>
          <w:p w:rsidR="00B9709A" w:rsidRPr="00A06A3E" w:rsidRDefault="00B9709A" w:rsidP="00FE1A89">
            <w:pPr>
              <w:jc w:val="both"/>
              <w:rPr>
                <w:rFonts w:eastAsia="Calibri"/>
                <w:sz w:val="20"/>
                <w:szCs w:val="20"/>
              </w:rPr>
            </w:pPr>
          </w:p>
        </w:tc>
      </w:tr>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Criminal law – Trial – Ineffective assistance of counsel – Trial counsel refusing to allow accused to testify – Whether trial counsel is bound to follow his or her client’s instructions – Whether trial counsel must have basic understanding of the general principles and case law for the area of law involved – Whether miscarriage of justice occurred.</w:t>
            </w:r>
          </w:p>
          <w:p w:rsidR="00B9709A" w:rsidRPr="00A06A3E" w:rsidRDefault="00B9709A" w:rsidP="00FE1A89">
            <w:pPr>
              <w:jc w:val="both"/>
              <w:rPr>
                <w:rFonts w:eastAsia="Calibri"/>
                <w:sz w:val="20"/>
                <w:szCs w:val="20"/>
              </w:rPr>
            </w:pPr>
          </w:p>
        </w:tc>
      </w:tr>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The applicant was convicted of three counts of sexual assault, two counts of sexual touching and one count of invitation to sexual touching.  The complainants were the applicant’s step</w:t>
            </w:r>
            <w:r w:rsidRPr="00A06A3E">
              <w:rPr>
                <w:rFonts w:eastAsia="Calibri"/>
                <w:sz w:val="20"/>
                <w:szCs w:val="20"/>
              </w:rPr>
              <w:noBreakHyphen/>
            </w:r>
            <w:proofErr w:type="spellStart"/>
            <w:r w:rsidRPr="00A06A3E">
              <w:rPr>
                <w:rFonts w:eastAsia="Calibri"/>
                <w:sz w:val="20"/>
                <w:szCs w:val="20"/>
              </w:rPr>
              <w:t>granddaughter</w:t>
            </w:r>
            <w:proofErr w:type="spellEnd"/>
            <w:r w:rsidRPr="00A06A3E">
              <w:rPr>
                <w:rFonts w:eastAsia="Calibri"/>
                <w:sz w:val="20"/>
                <w:szCs w:val="20"/>
              </w:rPr>
              <w:t xml:space="preserve"> and step-daughter as well as the daughter of one of his former girlfriends. The first allegations were made by his step-granddaughter, who was 7 years old that the time of the alleged incidents and 9 years old at the time of trial.  These allegations were followed by those of the other two complainants, now adults, which allegedly took place when one was 14 years old and the other, 9 or 10 years old. </w:t>
            </w:r>
          </w:p>
          <w:p w:rsidR="00B9709A" w:rsidRPr="00A06A3E" w:rsidRDefault="00B9709A" w:rsidP="00FE1A89">
            <w:pPr>
              <w:jc w:val="both"/>
              <w:rPr>
                <w:rFonts w:eastAsia="Calibri"/>
                <w:sz w:val="20"/>
                <w:szCs w:val="20"/>
              </w:rPr>
            </w:pPr>
          </w:p>
          <w:p w:rsidR="00B9709A" w:rsidRPr="00A06A3E" w:rsidRDefault="00B9709A" w:rsidP="00FE1A89">
            <w:pPr>
              <w:jc w:val="both"/>
              <w:rPr>
                <w:rFonts w:eastAsia="Calibri"/>
                <w:sz w:val="20"/>
                <w:szCs w:val="20"/>
              </w:rPr>
            </w:pPr>
            <w:r w:rsidRPr="00A06A3E">
              <w:rPr>
                <w:rFonts w:eastAsia="Calibri"/>
                <w:sz w:val="20"/>
                <w:szCs w:val="20"/>
              </w:rPr>
              <w:t>A single trial was held in respect of the allegations by all three complainants, in front of a judge alone.  The applicant retained and was represented by trial counsel. No witnesses were called by the defence at trial and the applicant did not testify.</w:t>
            </w:r>
          </w:p>
          <w:p w:rsidR="00B9709A" w:rsidRPr="00A06A3E" w:rsidRDefault="00B9709A" w:rsidP="00FE1A89">
            <w:pPr>
              <w:jc w:val="both"/>
              <w:rPr>
                <w:rFonts w:eastAsia="Calibri"/>
                <w:sz w:val="20"/>
                <w:szCs w:val="20"/>
              </w:rPr>
            </w:pPr>
          </w:p>
          <w:p w:rsidR="00B9709A" w:rsidRPr="00A06A3E" w:rsidRDefault="00B9709A" w:rsidP="00FE1A89">
            <w:pPr>
              <w:jc w:val="both"/>
              <w:rPr>
                <w:rFonts w:eastAsia="Calibri"/>
                <w:sz w:val="20"/>
                <w:szCs w:val="20"/>
              </w:rPr>
            </w:pPr>
            <w:r w:rsidRPr="00A06A3E">
              <w:rPr>
                <w:rFonts w:eastAsia="Calibri"/>
                <w:sz w:val="20"/>
                <w:szCs w:val="20"/>
              </w:rPr>
              <w:t>The applicant appealed from his conviction on the ground of ineffective assistance of counsel. He argued that his trial counsel misrepresented her experience with sexual assault trials; that she did not have an adequate understanding of criminal law to enable her to properly handle his defence; that she failed to subpoena witnesses, contrary to his instructions; that she failed to enter a promissory note, which formed an essential part of his defence, into evidence; that she refused to ask questions of Crown witnesses that he instructed her to ask; and that she refused to permit him to testify in his own defence.  The applicant submitted that his trial counsel’s incompetence led to a miscarriage of justice.  The Court of Appeal dismissed his appeal.</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August 25, 2010</w:t>
            </w:r>
          </w:p>
          <w:p w:rsidR="00B9709A" w:rsidRPr="00A06A3E" w:rsidRDefault="00B9709A" w:rsidP="00FE1A89">
            <w:pPr>
              <w:jc w:val="both"/>
              <w:rPr>
                <w:rFonts w:eastAsia="Calibri"/>
                <w:sz w:val="20"/>
                <w:szCs w:val="20"/>
              </w:rPr>
            </w:pPr>
            <w:r w:rsidRPr="00A06A3E">
              <w:rPr>
                <w:rFonts w:eastAsia="Calibri"/>
                <w:sz w:val="20"/>
                <w:szCs w:val="20"/>
              </w:rPr>
              <w:t>Ontario Superior Court of Justice</w:t>
            </w:r>
          </w:p>
          <w:p w:rsidR="00B9709A" w:rsidRPr="00A06A3E" w:rsidRDefault="00B9709A" w:rsidP="00FE1A89">
            <w:pPr>
              <w:jc w:val="both"/>
              <w:rPr>
                <w:rFonts w:eastAsia="Calibri"/>
                <w:sz w:val="20"/>
                <w:szCs w:val="20"/>
              </w:rPr>
            </w:pPr>
            <w:r w:rsidRPr="00A06A3E">
              <w:rPr>
                <w:rFonts w:eastAsia="Calibri"/>
                <w:sz w:val="20"/>
                <w:szCs w:val="20"/>
              </w:rPr>
              <w:t>(Scott J.)</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Conviction: three counts of sexual assault, two counts of sexual touching and one count of invitation to sexual touching</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November 14, 2012</w:t>
            </w:r>
          </w:p>
          <w:p w:rsidR="00B9709A" w:rsidRPr="00A06A3E" w:rsidRDefault="00B9709A" w:rsidP="00FE1A89">
            <w:pPr>
              <w:jc w:val="both"/>
              <w:rPr>
                <w:rFonts w:eastAsia="Calibri"/>
                <w:sz w:val="20"/>
                <w:szCs w:val="20"/>
              </w:rPr>
            </w:pPr>
            <w:r w:rsidRPr="00A06A3E">
              <w:rPr>
                <w:rFonts w:eastAsia="Calibri"/>
                <w:sz w:val="20"/>
                <w:szCs w:val="20"/>
              </w:rPr>
              <w:t>Court of Appeal for Ontario</w:t>
            </w:r>
          </w:p>
          <w:p w:rsidR="00B9709A" w:rsidRPr="00A06A3E" w:rsidRDefault="00B9709A" w:rsidP="00FE1A89">
            <w:pPr>
              <w:jc w:val="both"/>
              <w:rPr>
                <w:rFonts w:eastAsia="Calibri"/>
                <w:sz w:val="20"/>
                <w:szCs w:val="20"/>
              </w:rPr>
            </w:pPr>
            <w:r w:rsidRPr="00A06A3E">
              <w:rPr>
                <w:rFonts w:eastAsia="Calibri"/>
                <w:sz w:val="20"/>
                <w:szCs w:val="20"/>
              </w:rPr>
              <w:t xml:space="preserve">(O’Connor A.C.J. and </w:t>
            </w:r>
            <w:proofErr w:type="spellStart"/>
            <w:r w:rsidRPr="00A06A3E">
              <w:rPr>
                <w:rFonts w:eastAsia="Calibri"/>
                <w:sz w:val="20"/>
                <w:szCs w:val="20"/>
              </w:rPr>
              <w:t>MacPherson</w:t>
            </w:r>
            <w:proofErr w:type="spellEnd"/>
            <w:r w:rsidRPr="00A06A3E">
              <w:rPr>
                <w:rFonts w:eastAsia="Calibri"/>
                <w:sz w:val="20"/>
                <w:szCs w:val="20"/>
              </w:rPr>
              <w:t xml:space="preserve"> and </w:t>
            </w:r>
            <w:proofErr w:type="spellStart"/>
            <w:r w:rsidRPr="00A06A3E">
              <w:rPr>
                <w:rFonts w:eastAsia="Calibri"/>
                <w:sz w:val="20"/>
                <w:szCs w:val="20"/>
              </w:rPr>
              <w:t>Cronk</w:t>
            </w:r>
            <w:proofErr w:type="spellEnd"/>
            <w:r w:rsidRPr="00A06A3E">
              <w:rPr>
                <w:rFonts w:eastAsia="Calibri"/>
                <w:sz w:val="20"/>
                <w:szCs w:val="20"/>
              </w:rPr>
              <w:t xml:space="preserve"> JJ.A.)</w:t>
            </w:r>
          </w:p>
          <w:p w:rsidR="00B9709A" w:rsidRPr="00A06A3E" w:rsidRDefault="00B9709A" w:rsidP="00FE1A89">
            <w:pPr>
              <w:jc w:val="both"/>
              <w:rPr>
                <w:rFonts w:eastAsia="Calibri"/>
                <w:sz w:val="20"/>
                <w:szCs w:val="20"/>
              </w:rPr>
            </w:pPr>
            <w:r w:rsidRPr="00A06A3E">
              <w:rPr>
                <w:rFonts w:eastAsia="Calibri"/>
                <w:sz w:val="20"/>
                <w:szCs w:val="20"/>
              </w:rPr>
              <w:t>2012 ONCA 776</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Appeal from conviction dismissed</w:t>
            </w:r>
          </w:p>
          <w:p w:rsidR="00B9709A" w:rsidRPr="00A06A3E" w:rsidRDefault="00B9709A" w:rsidP="00FE1A89">
            <w:pPr>
              <w:jc w:val="both"/>
              <w:rPr>
                <w:rFonts w:eastAsia="Calibri"/>
                <w:sz w:val="20"/>
                <w:szCs w:val="20"/>
              </w:rPr>
            </w:pPr>
          </w:p>
        </w:tc>
      </w:tr>
      <w:tr w:rsidR="00B9709A" w:rsidRPr="00A06A3E" w:rsidTr="00097985">
        <w:trPr>
          <w:cantSplit/>
        </w:trPr>
        <w:tc>
          <w:tcPr>
            <w:tcW w:w="2427" w:type="pct"/>
          </w:tcPr>
          <w:p w:rsidR="00B9709A" w:rsidRPr="00A06A3E" w:rsidRDefault="00B9709A" w:rsidP="00FE1A89">
            <w:pPr>
              <w:jc w:val="both"/>
              <w:rPr>
                <w:rFonts w:eastAsia="Calibri"/>
                <w:sz w:val="20"/>
                <w:szCs w:val="20"/>
              </w:rPr>
            </w:pPr>
            <w:r w:rsidRPr="00A06A3E">
              <w:rPr>
                <w:rFonts w:eastAsia="Calibri"/>
                <w:sz w:val="20"/>
                <w:szCs w:val="20"/>
              </w:rPr>
              <w:lastRenderedPageBreak/>
              <w:t>December 17, 2012</w:t>
            </w:r>
          </w:p>
          <w:p w:rsidR="00B9709A" w:rsidRPr="00A06A3E" w:rsidRDefault="00B9709A" w:rsidP="00FE1A89">
            <w:pPr>
              <w:jc w:val="both"/>
              <w:rPr>
                <w:rFonts w:eastAsia="Calibri"/>
                <w:sz w:val="20"/>
                <w:szCs w:val="20"/>
              </w:rPr>
            </w:pPr>
            <w:r w:rsidRPr="00A06A3E">
              <w:rPr>
                <w:rFonts w:eastAsia="Calibri"/>
                <w:sz w:val="20"/>
                <w:szCs w:val="20"/>
              </w:rPr>
              <w:t>Supreme Court of Canada</w:t>
            </w: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Application for leave to appeal filed</w:t>
            </w:r>
          </w:p>
        </w:tc>
      </w:tr>
    </w:tbl>
    <w:p w:rsidR="00EA167C" w:rsidRDefault="00EA167C" w:rsidP="008D292F">
      <w:pPr>
        <w:rPr>
          <w:sz w:val="20"/>
          <w:szCs w:val="20"/>
        </w:rPr>
      </w:pPr>
    </w:p>
    <w:p w:rsidR="00EA167C" w:rsidRPr="00C50A5C" w:rsidRDefault="0017005E" w:rsidP="00EA167C">
      <w:pPr>
        <w:rPr>
          <w:sz w:val="20"/>
          <w:szCs w:val="20"/>
        </w:rPr>
      </w:pPr>
      <w:r w:rsidRPr="0017005E">
        <w:rPr>
          <w:sz w:val="20"/>
          <w:szCs w:val="20"/>
          <w:lang w:val="fr-CA"/>
        </w:rPr>
        <w:pict>
          <v:rect id="_x0000_i1040" style="width:2in;height:1pt" o:hrpct="0" o:hralign="center" o:hrstd="t" o:hrnoshade="t" o:hr="t" fillcolor="black [3213]" stroked="f"/>
        </w:pict>
      </w:r>
    </w:p>
    <w:p w:rsidR="00EA167C" w:rsidRDefault="00EA167C" w:rsidP="00EA167C">
      <w:pPr>
        <w:rPr>
          <w:sz w:val="20"/>
          <w:szCs w:val="20"/>
        </w:rPr>
      </w:pPr>
    </w:p>
    <w:p w:rsidR="00EA167C" w:rsidRPr="001B157C" w:rsidRDefault="00EA167C" w:rsidP="00EA167C">
      <w:pPr>
        <w:rPr>
          <w:sz w:val="20"/>
          <w:szCs w:val="20"/>
          <w:u w:val="single"/>
          <w:lang w:val="fr-CA"/>
        </w:rPr>
      </w:pPr>
      <w:r w:rsidRPr="001B157C">
        <w:rPr>
          <w:sz w:val="20"/>
          <w:szCs w:val="20"/>
          <w:u w:val="single"/>
          <w:lang w:val="fr-CA"/>
        </w:rPr>
        <w:t>RÉSUMÉ DE L’AFFAIRE</w:t>
      </w:r>
    </w:p>
    <w:p w:rsidR="00EA167C" w:rsidRDefault="00EA167C"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9709A" w:rsidRPr="005C0D71" w:rsidTr="00FE1A89">
        <w:tc>
          <w:tcPr>
            <w:tcW w:w="5000" w:type="pct"/>
            <w:gridSpan w:val="3"/>
          </w:tcPr>
          <w:p w:rsidR="00B9709A" w:rsidRPr="00A06A3E" w:rsidRDefault="00B9709A" w:rsidP="00FE1A89">
            <w:pPr>
              <w:jc w:val="both"/>
              <w:rPr>
                <w:rFonts w:eastAsia="Calibri"/>
                <w:smallCaps/>
                <w:sz w:val="20"/>
                <w:szCs w:val="20"/>
                <w:lang w:val="fr-CA"/>
              </w:rPr>
            </w:pPr>
            <w:r w:rsidRPr="00A06A3E">
              <w:rPr>
                <w:rFonts w:eastAsia="Calibri"/>
                <w:smallCaps/>
                <w:sz w:val="20"/>
                <w:szCs w:val="20"/>
                <w:lang w:val="fr-CA"/>
              </w:rPr>
              <w:t xml:space="preserve">(Ordonnance de </w:t>
            </w:r>
            <w:proofErr w:type="spellStart"/>
            <w:r w:rsidRPr="00A06A3E">
              <w:rPr>
                <w:rFonts w:eastAsia="Calibri"/>
                <w:smallCaps/>
                <w:sz w:val="20"/>
                <w:szCs w:val="20"/>
                <w:lang w:val="fr-CA"/>
              </w:rPr>
              <w:t>non</w:t>
            </w:r>
            <w:r w:rsidRPr="00A06A3E">
              <w:rPr>
                <w:rFonts w:eastAsia="Calibri"/>
                <w:smallCaps/>
                <w:sz w:val="20"/>
                <w:szCs w:val="20"/>
                <w:lang w:val="fr-CA"/>
              </w:rPr>
              <w:noBreakHyphen/>
              <w:t>publication</w:t>
            </w:r>
            <w:proofErr w:type="spellEnd"/>
            <w:r w:rsidRPr="00A06A3E">
              <w:rPr>
                <w:rFonts w:eastAsia="Calibri"/>
                <w:smallCaps/>
                <w:sz w:val="20"/>
                <w:szCs w:val="20"/>
                <w:lang w:val="fr-CA"/>
              </w:rPr>
              <w:t xml:space="preserve"> dans le dossier) (Ordonnance de </w:t>
            </w:r>
            <w:proofErr w:type="spellStart"/>
            <w:r w:rsidRPr="00A06A3E">
              <w:rPr>
                <w:rFonts w:eastAsia="Calibri"/>
                <w:smallCaps/>
                <w:sz w:val="20"/>
                <w:szCs w:val="20"/>
                <w:lang w:val="fr-CA"/>
              </w:rPr>
              <w:t>non</w:t>
            </w:r>
            <w:r w:rsidRPr="00A06A3E">
              <w:rPr>
                <w:rFonts w:eastAsia="Calibri"/>
                <w:smallCaps/>
                <w:sz w:val="20"/>
                <w:szCs w:val="20"/>
                <w:lang w:val="fr-CA"/>
              </w:rPr>
              <w:noBreakHyphen/>
              <w:t>publication</w:t>
            </w:r>
            <w:proofErr w:type="spellEnd"/>
            <w:r w:rsidRPr="00A06A3E">
              <w:rPr>
                <w:rFonts w:eastAsia="Calibri"/>
                <w:smallCaps/>
                <w:sz w:val="20"/>
                <w:szCs w:val="20"/>
                <w:lang w:val="fr-CA"/>
              </w:rPr>
              <w:t xml:space="preserve"> visant une partie)</w:t>
            </w:r>
          </w:p>
          <w:p w:rsidR="00B9709A" w:rsidRPr="00A06A3E" w:rsidRDefault="00B9709A" w:rsidP="00FE1A89">
            <w:pPr>
              <w:jc w:val="both"/>
              <w:rPr>
                <w:rFonts w:eastAsia="Calibri"/>
                <w:sz w:val="20"/>
                <w:szCs w:val="20"/>
                <w:lang w:val="fr-CA"/>
              </w:rPr>
            </w:pPr>
          </w:p>
        </w:tc>
      </w:tr>
      <w:tr w:rsidR="00B9709A" w:rsidRPr="005C0D71" w:rsidTr="00FE1A89">
        <w:tc>
          <w:tcPr>
            <w:tcW w:w="5000" w:type="pct"/>
            <w:gridSpan w:val="3"/>
          </w:tcPr>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Droit criminel – Procès – Assistance inefficace de l’avocat – L’avocate qui a occupé au procès a refusé de permettre à l’accusé de témoigner – L’avocat qui occupe au procès </w:t>
            </w:r>
            <w:proofErr w:type="spellStart"/>
            <w:r w:rsidRPr="00A06A3E">
              <w:rPr>
                <w:rFonts w:eastAsia="Calibri"/>
                <w:sz w:val="20"/>
                <w:szCs w:val="20"/>
                <w:lang w:val="fr-CA"/>
              </w:rPr>
              <w:t>est</w:t>
            </w:r>
            <w:r w:rsidRPr="00A06A3E">
              <w:rPr>
                <w:rFonts w:eastAsia="Calibri"/>
                <w:sz w:val="20"/>
                <w:szCs w:val="20"/>
                <w:lang w:val="fr-CA"/>
              </w:rPr>
              <w:noBreakHyphen/>
              <w:t>il</w:t>
            </w:r>
            <w:proofErr w:type="spellEnd"/>
            <w:r w:rsidRPr="00A06A3E">
              <w:rPr>
                <w:rFonts w:eastAsia="Calibri"/>
                <w:sz w:val="20"/>
                <w:szCs w:val="20"/>
                <w:lang w:val="fr-CA"/>
              </w:rPr>
              <w:t xml:space="preserve"> tenu de suivre les directives de son client? – L’avocat qui occupe au procès </w:t>
            </w:r>
            <w:proofErr w:type="spellStart"/>
            <w:r w:rsidRPr="00A06A3E">
              <w:rPr>
                <w:rFonts w:eastAsia="Calibri"/>
                <w:sz w:val="20"/>
                <w:szCs w:val="20"/>
                <w:lang w:val="fr-CA"/>
              </w:rPr>
              <w:t>doit</w:t>
            </w:r>
            <w:r w:rsidRPr="00A06A3E">
              <w:rPr>
                <w:rFonts w:eastAsia="Calibri"/>
                <w:sz w:val="20"/>
                <w:szCs w:val="20"/>
                <w:lang w:val="fr-CA"/>
              </w:rPr>
              <w:noBreakHyphen/>
              <w:t>il</w:t>
            </w:r>
            <w:proofErr w:type="spellEnd"/>
            <w:r w:rsidRPr="00A06A3E">
              <w:rPr>
                <w:rFonts w:eastAsia="Calibri"/>
                <w:sz w:val="20"/>
                <w:szCs w:val="20"/>
                <w:lang w:val="fr-CA"/>
              </w:rPr>
              <w:t xml:space="preserve"> avoir une compréhension de base des principes généraux et de la jurisprudence dans le domaine du droit en cause? – Y </w:t>
            </w:r>
            <w:proofErr w:type="spellStart"/>
            <w:r w:rsidRPr="00A06A3E">
              <w:rPr>
                <w:rFonts w:eastAsia="Calibri"/>
                <w:sz w:val="20"/>
                <w:szCs w:val="20"/>
                <w:lang w:val="fr-CA"/>
              </w:rPr>
              <w:t>a</w:t>
            </w:r>
            <w:r w:rsidRPr="00A06A3E">
              <w:rPr>
                <w:rFonts w:eastAsia="Calibri"/>
                <w:sz w:val="20"/>
                <w:szCs w:val="20"/>
                <w:lang w:val="fr-CA"/>
              </w:rPr>
              <w:noBreakHyphen/>
              <w:t>t</w:t>
            </w:r>
            <w:r w:rsidRPr="00A06A3E">
              <w:rPr>
                <w:rFonts w:eastAsia="Calibri"/>
                <w:sz w:val="20"/>
                <w:szCs w:val="20"/>
                <w:lang w:val="fr-CA"/>
              </w:rPr>
              <w:noBreakHyphen/>
              <w:t>il</w:t>
            </w:r>
            <w:proofErr w:type="spellEnd"/>
            <w:r w:rsidRPr="00A06A3E">
              <w:rPr>
                <w:rFonts w:eastAsia="Calibri"/>
                <w:sz w:val="20"/>
                <w:szCs w:val="20"/>
                <w:lang w:val="fr-CA"/>
              </w:rPr>
              <w:t xml:space="preserve"> eu erreur judiciaire en l’espèce?</w:t>
            </w:r>
          </w:p>
          <w:p w:rsidR="00B9709A" w:rsidRPr="00A06A3E" w:rsidRDefault="00B9709A" w:rsidP="00FE1A89">
            <w:pPr>
              <w:jc w:val="both"/>
              <w:rPr>
                <w:rFonts w:eastAsia="Calibri"/>
                <w:sz w:val="20"/>
                <w:szCs w:val="20"/>
                <w:lang w:val="fr-CA"/>
              </w:rPr>
            </w:pPr>
          </w:p>
        </w:tc>
      </w:tr>
      <w:tr w:rsidR="00B9709A" w:rsidRPr="00A06A3E" w:rsidTr="00FE1A89">
        <w:tc>
          <w:tcPr>
            <w:tcW w:w="5000" w:type="pct"/>
            <w:gridSpan w:val="3"/>
          </w:tcPr>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Le demandeur a été déclaré coupable sous trois chefs d’agression sexuelle, deux chefs de contacts sexuels et un chef d’incitation à des contacts sexuels.  Les plaignantes étaient la </w:t>
            </w:r>
            <w:proofErr w:type="spellStart"/>
            <w:r w:rsidRPr="00A06A3E">
              <w:rPr>
                <w:rFonts w:eastAsia="Calibri"/>
                <w:sz w:val="20"/>
                <w:szCs w:val="20"/>
                <w:lang w:val="fr-CA"/>
              </w:rPr>
              <w:t>petite</w:t>
            </w:r>
            <w:r w:rsidRPr="00A06A3E">
              <w:rPr>
                <w:rFonts w:eastAsia="Calibri"/>
                <w:sz w:val="20"/>
                <w:szCs w:val="20"/>
                <w:lang w:val="fr-CA"/>
              </w:rPr>
              <w:noBreakHyphen/>
              <w:t>fille</w:t>
            </w:r>
            <w:proofErr w:type="spellEnd"/>
            <w:r w:rsidRPr="00A06A3E">
              <w:rPr>
                <w:rFonts w:eastAsia="Calibri"/>
                <w:sz w:val="20"/>
                <w:szCs w:val="20"/>
                <w:lang w:val="fr-CA"/>
              </w:rPr>
              <w:t xml:space="preserve"> et la fille de la conjointe du demandeur et la fille d’une de ses anciennes petites amies.  Les premières allégations ont été faites par la </w:t>
            </w:r>
            <w:proofErr w:type="spellStart"/>
            <w:r w:rsidRPr="00A06A3E">
              <w:rPr>
                <w:rFonts w:eastAsia="Calibri"/>
                <w:sz w:val="20"/>
                <w:szCs w:val="20"/>
                <w:lang w:val="fr-CA"/>
              </w:rPr>
              <w:t>petite</w:t>
            </w:r>
            <w:r w:rsidRPr="00A06A3E">
              <w:rPr>
                <w:rFonts w:eastAsia="Calibri"/>
                <w:sz w:val="20"/>
                <w:szCs w:val="20"/>
                <w:lang w:val="fr-CA"/>
              </w:rPr>
              <w:noBreakHyphen/>
              <w:t>fille</w:t>
            </w:r>
            <w:proofErr w:type="spellEnd"/>
            <w:r w:rsidRPr="00A06A3E">
              <w:rPr>
                <w:rFonts w:eastAsia="Calibri"/>
                <w:sz w:val="20"/>
                <w:szCs w:val="20"/>
                <w:lang w:val="fr-CA"/>
              </w:rPr>
              <w:t xml:space="preserve"> de sa conjointe, qui était âgée de sept ans à l’époque des incidents allégués et âgée de neuf ans à l’époque du procès.  Ces allégations ont été suivies par celles des deux autres plaignantes, maintenant adultes, au sujets d’événements qui se seraient produits alors qu’une d’entre elles était âgée de quatorze ans et l’autre, de neuf ou dix ans. </w:t>
            </w:r>
          </w:p>
          <w:p w:rsidR="00B9709A" w:rsidRPr="00A06A3E" w:rsidRDefault="00B9709A" w:rsidP="00FE1A89">
            <w:pPr>
              <w:jc w:val="both"/>
              <w:rPr>
                <w:rFonts w:eastAsia="Calibri"/>
                <w:sz w:val="20"/>
                <w:szCs w:val="20"/>
                <w:lang w:val="fr-CA"/>
              </w:rPr>
            </w:pPr>
          </w:p>
          <w:p w:rsidR="00B9709A" w:rsidRPr="00A06A3E" w:rsidRDefault="00B9709A" w:rsidP="00FE1A89">
            <w:pPr>
              <w:jc w:val="both"/>
              <w:rPr>
                <w:rFonts w:eastAsia="Calibri"/>
                <w:sz w:val="20"/>
                <w:szCs w:val="20"/>
                <w:lang w:val="fr-CA"/>
              </w:rPr>
            </w:pPr>
            <w:r w:rsidRPr="00A06A3E">
              <w:rPr>
                <w:rFonts w:eastAsia="Calibri"/>
                <w:sz w:val="20"/>
                <w:szCs w:val="20"/>
                <w:lang w:val="fr-CA"/>
              </w:rPr>
              <w:t>Les allégations des trois plaignantes ont été l’objet d’un seul procès, instruit devant juge seul.  Le demandeur a retenu les services d’une avocate qui l’a représenté à son procès.  La défense n’a fait entendre aucun témoin et le demandeur n’a pas témoigné.</w:t>
            </w:r>
          </w:p>
          <w:p w:rsidR="00B9709A" w:rsidRPr="00A06A3E" w:rsidRDefault="00B9709A" w:rsidP="00FE1A89">
            <w:pPr>
              <w:jc w:val="both"/>
              <w:rPr>
                <w:rFonts w:eastAsia="Calibri"/>
                <w:sz w:val="20"/>
                <w:szCs w:val="20"/>
                <w:lang w:val="fr-CA"/>
              </w:rPr>
            </w:pPr>
          </w:p>
          <w:p w:rsidR="00B9709A" w:rsidRPr="00A06A3E" w:rsidRDefault="00B9709A" w:rsidP="00FE1A89">
            <w:pPr>
              <w:jc w:val="both"/>
              <w:rPr>
                <w:rFonts w:eastAsia="Calibri"/>
                <w:sz w:val="20"/>
                <w:szCs w:val="20"/>
                <w:lang w:val="fr-CA"/>
              </w:rPr>
            </w:pPr>
            <w:r w:rsidRPr="00A06A3E">
              <w:rPr>
                <w:rFonts w:eastAsia="Calibri"/>
                <w:sz w:val="20"/>
                <w:szCs w:val="20"/>
                <w:lang w:val="fr-CA"/>
              </w:rPr>
              <w:t>Le demandeur a interjeté appel de sa déclaration de culpabilité, plaidant l’inefficacité de son avocate.  Il a plaidé que son avocate lui avait fait des assertions inexactes au sujet de son expérience relativement aux procès pour agression sexuelle, qu’elle ne comprenait pas suffisamment le droit criminel pour lui permettre d’assurer adéquatement sa défense, qu’elle avait omis d’assigner des témoins à comparaître, contrairement à ses directives, qu’elle avait omis de mettre en preuve un billet à ordre, qui constituait une partie essentielle de sa défense, qu’elle avait refusé de poser à des témoins du ministère public des questions qu’il lui avait demandé de poser et qu’elle avait refusé qu’il témoigne pour sa propre défense.  Le demandeur a fait valoir que l’incompétence de son avocate au procès avait donné lieu à une erreur judiciaire.  La Cour d’appel a rejeté son appel.</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25 août 2010</w:t>
            </w:r>
          </w:p>
          <w:p w:rsidR="00B9709A" w:rsidRPr="00A06A3E" w:rsidRDefault="00B9709A" w:rsidP="00FE1A89">
            <w:pPr>
              <w:jc w:val="both"/>
              <w:rPr>
                <w:rFonts w:eastAsia="Calibri"/>
                <w:sz w:val="20"/>
                <w:szCs w:val="20"/>
                <w:lang w:val="fr-CA"/>
              </w:rPr>
            </w:pPr>
            <w:r w:rsidRPr="00A06A3E">
              <w:rPr>
                <w:rFonts w:eastAsia="Calibri"/>
                <w:sz w:val="20"/>
                <w:szCs w:val="20"/>
                <w:lang w:val="fr-CA"/>
              </w:rPr>
              <w:t>Cour supérieure de justice de l’Ontario</w:t>
            </w:r>
          </w:p>
          <w:p w:rsidR="00B9709A" w:rsidRPr="00A06A3E" w:rsidRDefault="00B9709A" w:rsidP="00FE1A89">
            <w:pPr>
              <w:jc w:val="both"/>
              <w:rPr>
                <w:rFonts w:eastAsia="Calibri"/>
                <w:sz w:val="20"/>
                <w:szCs w:val="20"/>
                <w:lang w:val="fr-CA"/>
              </w:rPr>
            </w:pPr>
            <w:r w:rsidRPr="00A06A3E">
              <w:rPr>
                <w:rFonts w:eastAsia="Calibri"/>
                <w:sz w:val="20"/>
                <w:szCs w:val="20"/>
                <w:lang w:val="fr-CA"/>
              </w:rPr>
              <w:t>(Juge Scott)</w:t>
            </w:r>
          </w:p>
          <w:p w:rsidR="00B9709A" w:rsidRPr="00A06A3E" w:rsidRDefault="00B9709A" w:rsidP="00FE1A89">
            <w:pPr>
              <w:jc w:val="both"/>
              <w:rPr>
                <w:rFonts w:eastAsia="Calibri"/>
                <w:sz w:val="20"/>
                <w:szCs w:val="20"/>
                <w:lang w:val="fr-CA"/>
              </w:rPr>
            </w:pPr>
          </w:p>
        </w:tc>
        <w:tc>
          <w:tcPr>
            <w:tcW w:w="243" w:type="pct"/>
          </w:tcPr>
          <w:p w:rsidR="00B9709A" w:rsidRPr="00A06A3E" w:rsidRDefault="00B9709A" w:rsidP="00FE1A89">
            <w:pPr>
              <w:jc w:val="both"/>
              <w:rPr>
                <w:rFonts w:eastAsia="Calibri"/>
                <w:sz w:val="20"/>
                <w:szCs w:val="20"/>
                <w:lang w:val="fr-CA"/>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Déclaration de culpabilité : trois chefs d’agression sexuelle, deux chefs de contacts sexuels et un chef d’incitation à des contacts sexuels</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14 novembre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d’appel de l’Ontario</w:t>
            </w:r>
          </w:p>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(Juge en chef adjoint </w:t>
            </w:r>
            <w:proofErr w:type="spellStart"/>
            <w:r w:rsidRPr="00A06A3E">
              <w:rPr>
                <w:rFonts w:eastAsia="Calibri"/>
                <w:sz w:val="20"/>
                <w:szCs w:val="20"/>
                <w:lang w:val="fr-CA"/>
              </w:rPr>
              <w:t>O’Connor</w:t>
            </w:r>
            <w:proofErr w:type="spellEnd"/>
            <w:r w:rsidRPr="00A06A3E">
              <w:rPr>
                <w:rFonts w:eastAsia="Calibri"/>
                <w:sz w:val="20"/>
                <w:szCs w:val="20"/>
                <w:lang w:val="fr-CA"/>
              </w:rPr>
              <w:t xml:space="preserve">, juges </w:t>
            </w:r>
            <w:proofErr w:type="spellStart"/>
            <w:r w:rsidRPr="00A06A3E">
              <w:rPr>
                <w:rFonts w:eastAsia="Calibri"/>
                <w:sz w:val="20"/>
                <w:szCs w:val="20"/>
                <w:lang w:val="fr-CA"/>
              </w:rPr>
              <w:t>MacPherson</w:t>
            </w:r>
            <w:proofErr w:type="spellEnd"/>
            <w:r w:rsidRPr="00A06A3E">
              <w:rPr>
                <w:rFonts w:eastAsia="Calibri"/>
                <w:sz w:val="20"/>
                <w:szCs w:val="20"/>
                <w:lang w:val="fr-CA"/>
              </w:rPr>
              <w:t xml:space="preserve"> et </w:t>
            </w:r>
            <w:proofErr w:type="spellStart"/>
            <w:r w:rsidRPr="00A06A3E">
              <w:rPr>
                <w:rFonts w:eastAsia="Calibri"/>
                <w:sz w:val="20"/>
                <w:szCs w:val="20"/>
                <w:lang w:val="fr-CA"/>
              </w:rPr>
              <w:t>Cronk</w:t>
            </w:r>
            <w:proofErr w:type="spellEnd"/>
            <w:r w:rsidRPr="00A06A3E">
              <w:rPr>
                <w:rFonts w:eastAsia="Calibri"/>
                <w:sz w:val="20"/>
                <w:szCs w:val="20"/>
                <w:lang w:val="fr-CA"/>
              </w:rPr>
              <w:t>)</w:t>
            </w:r>
          </w:p>
          <w:p w:rsidR="00B9709A" w:rsidRPr="00A06A3E" w:rsidRDefault="00B9709A" w:rsidP="00FE1A89">
            <w:pPr>
              <w:jc w:val="both"/>
              <w:rPr>
                <w:rFonts w:eastAsia="Calibri"/>
                <w:sz w:val="20"/>
                <w:szCs w:val="20"/>
                <w:lang w:val="fr-CA"/>
              </w:rPr>
            </w:pPr>
            <w:r w:rsidRPr="00A06A3E">
              <w:rPr>
                <w:rFonts w:eastAsia="Calibri"/>
                <w:sz w:val="20"/>
                <w:szCs w:val="20"/>
                <w:lang w:val="fr-CA"/>
              </w:rPr>
              <w:t>2012 ONCA 776</w:t>
            </w:r>
          </w:p>
          <w:p w:rsidR="00B9709A" w:rsidRPr="00A06A3E" w:rsidRDefault="00B9709A" w:rsidP="00FE1A89">
            <w:pPr>
              <w:jc w:val="both"/>
              <w:rPr>
                <w:rFonts w:eastAsia="Calibri"/>
                <w:sz w:val="20"/>
                <w:szCs w:val="20"/>
                <w:lang w:val="fr-CA"/>
              </w:rPr>
            </w:pPr>
          </w:p>
        </w:tc>
        <w:tc>
          <w:tcPr>
            <w:tcW w:w="243" w:type="pct"/>
          </w:tcPr>
          <w:p w:rsidR="00B9709A" w:rsidRPr="00A06A3E" w:rsidRDefault="00B9709A" w:rsidP="00FE1A89">
            <w:pPr>
              <w:jc w:val="both"/>
              <w:rPr>
                <w:rFonts w:eastAsia="Calibri"/>
                <w:sz w:val="20"/>
                <w:szCs w:val="20"/>
                <w:lang w:val="fr-CA"/>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Appel de la déclaration de culpabilité, rejeté</w:t>
            </w:r>
          </w:p>
          <w:p w:rsidR="00B9709A" w:rsidRPr="00A06A3E" w:rsidRDefault="00B9709A" w:rsidP="00FE1A89">
            <w:pPr>
              <w:jc w:val="both"/>
              <w:rPr>
                <w:rFonts w:eastAsia="Calibri"/>
                <w:sz w:val="20"/>
                <w:szCs w:val="20"/>
                <w:lang w:val="fr-CA"/>
              </w:rPr>
            </w:pPr>
          </w:p>
        </w:tc>
      </w:tr>
      <w:tr w:rsidR="00B9709A" w:rsidRPr="00A06A3E"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17 décembre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suprême du Canada</w:t>
            </w:r>
          </w:p>
        </w:tc>
        <w:tc>
          <w:tcPr>
            <w:tcW w:w="243" w:type="pct"/>
          </w:tcPr>
          <w:p w:rsidR="00B9709A" w:rsidRPr="00A06A3E" w:rsidRDefault="00B9709A" w:rsidP="00FE1A89">
            <w:pPr>
              <w:jc w:val="both"/>
              <w:rPr>
                <w:rFonts w:eastAsia="Calibri"/>
                <w:sz w:val="20"/>
                <w:szCs w:val="20"/>
                <w:lang w:val="fr-CA"/>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Demande d’autorisation d’appel, déposée</w:t>
            </w:r>
          </w:p>
        </w:tc>
      </w:tr>
    </w:tbl>
    <w:p w:rsidR="00EA167C" w:rsidRDefault="00EA167C" w:rsidP="008D292F">
      <w:pPr>
        <w:rPr>
          <w:sz w:val="20"/>
          <w:szCs w:val="20"/>
        </w:rPr>
      </w:pPr>
    </w:p>
    <w:p w:rsidR="00EA167C" w:rsidRDefault="0017005E" w:rsidP="008D292F">
      <w:pPr>
        <w:rPr>
          <w:sz w:val="20"/>
          <w:szCs w:val="20"/>
          <w:lang w:val="fr-CA"/>
        </w:rPr>
      </w:pPr>
      <w:r w:rsidRPr="0017005E">
        <w:rPr>
          <w:sz w:val="20"/>
          <w:szCs w:val="20"/>
          <w:lang w:val="fr-CA"/>
        </w:rPr>
        <w:pict>
          <v:rect id="_x0000_i1041" style="width:2in;height:1pt" o:hrpct="0" o:hralign="center" o:hrstd="t" o:hrnoshade="t" o:hr="t" fillcolor="black [3213]" stroked="f"/>
        </w:pict>
      </w:r>
    </w:p>
    <w:p w:rsidR="00EA167C" w:rsidRDefault="00EA167C"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97985" w:rsidRPr="009B323E" w:rsidTr="008A1E3D">
        <w:trPr>
          <w:cantSplit/>
        </w:trPr>
        <w:tc>
          <w:tcPr>
            <w:tcW w:w="1458" w:type="dxa"/>
          </w:tcPr>
          <w:p w:rsidR="00097985" w:rsidRPr="008902B9" w:rsidRDefault="00097985" w:rsidP="008A1E3D">
            <w:pPr>
              <w:rPr>
                <w:sz w:val="20"/>
                <w:szCs w:val="20"/>
              </w:rPr>
            </w:pPr>
            <w:r w:rsidRPr="008902B9">
              <w:rPr>
                <w:rStyle w:val="SCCFileNumberChar"/>
                <w:sz w:val="20"/>
                <w:szCs w:val="20"/>
              </w:rPr>
              <w:lastRenderedPageBreak/>
              <w:t>35100</w:t>
            </w:r>
          </w:p>
          <w:p w:rsidR="00097985" w:rsidRPr="008902B9" w:rsidRDefault="00097985" w:rsidP="008A1E3D">
            <w:pPr>
              <w:rPr>
                <w:b/>
                <w:sz w:val="20"/>
                <w:szCs w:val="20"/>
                <w:lang w:val="fr-CA"/>
              </w:rPr>
            </w:pPr>
          </w:p>
        </w:tc>
        <w:tc>
          <w:tcPr>
            <w:tcW w:w="8118" w:type="dxa"/>
          </w:tcPr>
          <w:p w:rsidR="00097985" w:rsidRPr="008902B9" w:rsidRDefault="009B323E" w:rsidP="008A1E3D">
            <w:pPr>
              <w:jc w:val="both"/>
              <w:rPr>
                <w:sz w:val="20"/>
                <w:szCs w:val="20"/>
                <w:lang w:val="fr-CA"/>
              </w:rPr>
            </w:pPr>
            <w:r>
              <w:rPr>
                <w:rStyle w:val="SCCLsocChar"/>
                <w:sz w:val="20"/>
                <w:szCs w:val="20"/>
              </w:rPr>
              <w:t>Michel Thibodeau et</w:t>
            </w:r>
            <w:r w:rsidR="00097985" w:rsidRPr="008902B9">
              <w:rPr>
                <w:rStyle w:val="SCCLsocChar"/>
                <w:sz w:val="20"/>
                <w:szCs w:val="20"/>
              </w:rPr>
              <w:t xml:space="preserve"> Lynda Thibodeau c. Air Canada ET ENTRE Commissaire aux langues officielles du Canada c. Air Canada</w:t>
            </w:r>
            <w:r w:rsidR="00097985" w:rsidRPr="008902B9">
              <w:rPr>
                <w:sz w:val="20"/>
                <w:szCs w:val="20"/>
                <w:lang w:val="fr-CA"/>
              </w:rPr>
              <w:t xml:space="preserve"> (C.F.) (Civile) (Autorisation)</w:t>
            </w:r>
          </w:p>
          <w:p w:rsidR="00097985" w:rsidRPr="008902B9" w:rsidRDefault="00097985" w:rsidP="008A1E3D">
            <w:pPr>
              <w:jc w:val="both"/>
              <w:rPr>
                <w:sz w:val="20"/>
                <w:szCs w:val="20"/>
                <w:lang w:val="fr-CA"/>
              </w:rPr>
            </w:pPr>
          </w:p>
        </w:tc>
      </w:tr>
      <w:tr w:rsidR="00097985" w:rsidRPr="005C0D71" w:rsidTr="008A1E3D">
        <w:trPr>
          <w:cantSplit/>
        </w:trPr>
        <w:tc>
          <w:tcPr>
            <w:tcW w:w="1458" w:type="dxa"/>
          </w:tcPr>
          <w:p w:rsidR="00097985" w:rsidRPr="008902B9" w:rsidRDefault="00097985" w:rsidP="008A1E3D">
            <w:pPr>
              <w:rPr>
                <w:sz w:val="20"/>
                <w:szCs w:val="20"/>
                <w:lang w:val="fr-CA"/>
              </w:rPr>
            </w:pPr>
            <w:r w:rsidRPr="008902B9">
              <w:rPr>
                <w:sz w:val="20"/>
                <w:szCs w:val="20"/>
                <w:lang w:val="fr-CA"/>
              </w:rPr>
              <w:t>Coram :</w:t>
            </w:r>
          </w:p>
        </w:tc>
        <w:tc>
          <w:tcPr>
            <w:tcW w:w="8118" w:type="dxa"/>
          </w:tcPr>
          <w:p w:rsidR="00097985" w:rsidRPr="008902B9" w:rsidRDefault="00097985" w:rsidP="008A1E3D">
            <w:pPr>
              <w:rPr>
                <w:sz w:val="20"/>
                <w:szCs w:val="20"/>
                <w:lang w:val="fr-CA"/>
              </w:rPr>
            </w:pPr>
            <w:r w:rsidRPr="008902B9">
              <w:rPr>
                <w:rStyle w:val="SCCCoramChar"/>
                <w:sz w:val="20"/>
                <w:szCs w:val="20"/>
              </w:rPr>
              <w:t xml:space="preserve">Les juges </w:t>
            </w:r>
            <w:proofErr w:type="spellStart"/>
            <w:r w:rsidRPr="008902B9">
              <w:rPr>
                <w:rStyle w:val="SCCCoramChar"/>
                <w:sz w:val="20"/>
                <w:szCs w:val="20"/>
              </w:rPr>
              <w:t>LeBel</w:t>
            </w:r>
            <w:proofErr w:type="spellEnd"/>
            <w:r w:rsidRPr="008902B9">
              <w:rPr>
                <w:rStyle w:val="SCCCoramChar"/>
                <w:sz w:val="20"/>
                <w:szCs w:val="20"/>
              </w:rPr>
              <w:t xml:space="preserve">, </w:t>
            </w:r>
            <w:proofErr w:type="spellStart"/>
            <w:r w:rsidRPr="008902B9">
              <w:rPr>
                <w:rStyle w:val="SCCCoramChar"/>
                <w:sz w:val="20"/>
                <w:szCs w:val="20"/>
              </w:rPr>
              <w:t>Karakatsanis</w:t>
            </w:r>
            <w:proofErr w:type="spellEnd"/>
            <w:r w:rsidRPr="008902B9">
              <w:rPr>
                <w:rStyle w:val="SCCCoramChar"/>
                <w:sz w:val="20"/>
                <w:szCs w:val="20"/>
              </w:rPr>
              <w:t xml:space="preserve"> et Wagner</w:t>
            </w:r>
          </w:p>
          <w:p w:rsidR="00097985" w:rsidRPr="008902B9" w:rsidRDefault="00097985" w:rsidP="008A1E3D">
            <w:pPr>
              <w:rPr>
                <w:sz w:val="20"/>
                <w:szCs w:val="20"/>
                <w:u w:val="single"/>
                <w:lang w:val="fr-CA"/>
              </w:rPr>
            </w:pPr>
          </w:p>
        </w:tc>
      </w:tr>
      <w:tr w:rsidR="00097985" w:rsidRPr="008902B9" w:rsidTr="008A1E3D">
        <w:trPr>
          <w:cantSplit/>
        </w:trPr>
        <w:tc>
          <w:tcPr>
            <w:tcW w:w="9576" w:type="dxa"/>
            <w:gridSpan w:val="2"/>
          </w:tcPr>
          <w:p w:rsidR="009B323E" w:rsidRPr="00841B81" w:rsidRDefault="00097985" w:rsidP="009B323E">
            <w:pPr>
              <w:pStyle w:val="SCCShortJudgment"/>
              <w:rPr>
                <w:lang w:val="fr-CA"/>
              </w:rPr>
            </w:pPr>
            <w:r w:rsidRPr="008902B9">
              <w:rPr>
                <w:szCs w:val="20"/>
                <w:lang w:val="fr-CA"/>
              </w:rPr>
              <w:t>La requête du Commissaire aux langues officielles du Canada pour se faire reconnaître le statut de partie et pour qu’il soit autorisé à demander la permission d’appel est accueillie. La demande d’autorisation d’appel de Michel et Lynda Thibodeau de l’arrêt de la Cour d’appel fédérale, numéro A-358-11, 2012 CAF 246, daté du 25 septembre 2012, est accueillie avec dépens selon l’issue de la cause</w:t>
            </w:r>
            <w:r w:rsidR="009B323E">
              <w:rPr>
                <w:szCs w:val="20"/>
                <w:lang w:val="fr-CA"/>
              </w:rPr>
              <w:t xml:space="preserve"> et l</w:t>
            </w:r>
            <w:r w:rsidR="009B323E" w:rsidRPr="00841B81">
              <w:rPr>
                <w:lang w:val="fr-CA"/>
              </w:rPr>
              <w:t>a demande d’autorisation d’appel du Commissaire aux langues officielles du Canada est accueillie sans dépens.</w:t>
            </w:r>
          </w:p>
          <w:p w:rsidR="00097985" w:rsidRPr="008902B9" w:rsidRDefault="00097985" w:rsidP="008A1E3D">
            <w:pPr>
              <w:pStyle w:val="SCCShortJudgment"/>
              <w:ind w:firstLine="0"/>
              <w:rPr>
                <w:szCs w:val="20"/>
                <w:lang w:val="fr-CA"/>
              </w:rPr>
            </w:pPr>
          </w:p>
          <w:p w:rsidR="00097985" w:rsidRPr="008902B9" w:rsidRDefault="00097985" w:rsidP="009B323E">
            <w:pPr>
              <w:pStyle w:val="SCCShortJudgment"/>
              <w:rPr>
                <w:szCs w:val="20"/>
              </w:rPr>
            </w:pPr>
            <w:r w:rsidRPr="008902B9">
              <w:rPr>
                <w:szCs w:val="20"/>
              </w:rPr>
              <w:t xml:space="preserve">The Commissioner of Official Languages of Canada’s motion to be granted party </w:t>
            </w:r>
            <w:proofErr w:type="gramStart"/>
            <w:r w:rsidRPr="008902B9">
              <w:rPr>
                <w:szCs w:val="20"/>
              </w:rPr>
              <w:t>status  and</w:t>
            </w:r>
            <w:proofErr w:type="gramEnd"/>
            <w:r w:rsidRPr="008902B9">
              <w:rPr>
                <w:szCs w:val="20"/>
              </w:rPr>
              <w:t xml:space="preserve"> for permission to apply for leave to appeal is granted. The application for leave to appeal of Michel and Lynda </w:t>
            </w:r>
            <w:proofErr w:type="spellStart"/>
            <w:r w:rsidRPr="008902B9">
              <w:rPr>
                <w:szCs w:val="20"/>
              </w:rPr>
              <w:t>Thibodeau</w:t>
            </w:r>
            <w:proofErr w:type="spellEnd"/>
            <w:r w:rsidRPr="008902B9">
              <w:rPr>
                <w:szCs w:val="20"/>
              </w:rPr>
              <w:t xml:space="preserve"> from the judgment of the Federal Court of Appeal, Number A-358-11, 2012 FCA 246, dated September 25, 2012, is granted with costs in the cause</w:t>
            </w:r>
            <w:r w:rsidR="009B323E">
              <w:rPr>
                <w:szCs w:val="20"/>
              </w:rPr>
              <w:t xml:space="preserve"> and t</w:t>
            </w:r>
            <w:r w:rsidR="009B323E">
              <w:t>he application for leave to appeal of the Commissioner of Official Languages of Canada is granted without costs.</w:t>
            </w:r>
          </w:p>
        </w:tc>
      </w:tr>
    </w:tbl>
    <w:p w:rsidR="00097985" w:rsidRDefault="00097985" w:rsidP="00EA167C">
      <w:pPr>
        <w:rPr>
          <w:sz w:val="20"/>
          <w:szCs w:val="20"/>
        </w:rPr>
      </w:pPr>
    </w:p>
    <w:p w:rsidR="00EA167C" w:rsidRPr="001B157C" w:rsidRDefault="00EA167C" w:rsidP="00EA167C">
      <w:pPr>
        <w:rPr>
          <w:sz w:val="20"/>
          <w:szCs w:val="20"/>
          <w:u w:val="single"/>
        </w:rPr>
      </w:pPr>
      <w:r w:rsidRPr="001B157C">
        <w:rPr>
          <w:sz w:val="20"/>
          <w:szCs w:val="20"/>
          <w:u w:val="single"/>
        </w:rPr>
        <w:t>CASE SUMMARY</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 xml:space="preserve">Official languages – Consistency between fundamental rights and legislation arising from treaty – Conflicting legislation and precedence – Carrier violating travellers’ language rights – </w:t>
            </w:r>
            <w:bookmarkStart w:id="1" w:name="OLE_LINK2"/>
            <w:r w:rsidRPr="00A06A3E">
              <w:rPr>
                <w:rFonts w:eastAsia="Calibri"/>
                <w:sz w:val="20"/>
                <w:szCs w:val="20"/>
              </w:rPr>
              <w:t xml:space="preserve">Whether language rights remedies available from court </w:t>
            </w:r>
            <w:bookmarkEnd w:id="1"/>
            <w:r w:rsidRPr="00A06A3E">
              <w:rPr>
                <w:rFonts w:eastAsia="Calibri"/>
                <w:sz w:val="20"/>
                <w:szCs w:val="20"/>
              </w:rPr>
              <w:t xml:space="preserve">limited by treaty signed by Canada concerning carriage by air – Whether </w:t>
            </w:r>
            <w:r w:rsidRPr="00A06A3E">
              <w:rPr>
                <w:rFonts w:eastAsia="Calibri"/>
                <w:i/>
                <w:sz w:val="20"/>
                <w:szCs w:val="20"/>
              </w:rPr>
              <w:t>Montreal Convention</w:t>
            </w:r>
            <w:r w:rsidRPr="00A06A3E">
              <w:rPr>
                <w:rFonts w:eastAsia="Calibri"/>
                <w:sz w:val="20"/>
                <w:szCs w:val="20"/>
              </w:rPr>
              <w:t xml:space="preserve"> applicable to public law remedies – Whether applicable statutes consistent – Statute that must prevail where statutes inconsistent – Whether court can grant structural injunctions where systematic breach of language duties proved – </w:t>
            </w:r>
            <w:r w:rsidRPr="00A06A3E">
              <w:rPr>
                <w:rFonts w:eastAsia="Calibri"/>
                <w:i/>
                <w:sz w:val="20"/>
                <w:szCs w:val="20"/>
              </w:rPr>
              <w:t>Official Languages Act</w:t>
            </w:r>
            <w:r w:rsidRPr="00A06A3E">
              <w:rPr>
                <w:rFonts w:eastAsia="Calibri"/>
                <w:sz w:val="20"/>
                <w:szCs w:val="20"/>
              </w:rPr>
              <w:t>, R.S. 1985, c. 31, ss. 77(4) and 82(1)(</w:t>
            </w:r>
            <w:r w:rsidRPr="00A06A3E">
              <w:rPr>
                <w:rFonts w:eastAsia="Calibri"/>
                <w:i/>
                <w:sz w:val="20"/>
                <w:szCs w:val="20"/>
              </w:rPr>
              <w:t>d</w:t>
            </w:r>
            <w:r w:rsidRPr="00A06A3E">
              <w:rPr>
                <w:rFonts w:eastAsia="Calibri"/>
                <w:sz w:val="20"/>
                <w:szCs w:val="20"/>
              </w:rPr>
              <w:t xml:space="preserve">) – </w:t>
            </w:r>
            <w:r w:rsidRPr="00A06A3E">
              <w:rPr>
                <w:rFonts w:eastAsia="Calibri"/>
                <w:i/>
                <w:sz w:val="20"/>
                <w:szCs w:val="20"/>
              </w:rPr>
              <w:t>Carriage by Air Act</w:t>
            </w:r>
            <w:r w:rsidRPr="00A06A3E">
              <w:rPr>
                <w:rFonts w:eastAsia="Calibri"/>
                <w:sz w:val="20"/>
                <w:szCs w:val="20"/>
              </w:rPr>
              <w:t>, R.S.C. 1985, c. C</w:t>
            </w:r>
            <w:r w:rsidRPr="00A06A3E">
              <w:rPr>
                <w:rFonts w:eastAsia="Calibri"/>
                <w:sz w:val="20"/>
                <w:szCs w:val="20"/>
              </w:rPr>
              <w:noBreakHyphen/>
              <w:t>26, Schedule VI (</w:t>
            </w:r>
            <w:r w:rsidRPr="00A06A3E">
              <w:rPr>
                <w:rFonts w:eastAsia="Calibri"/>
                <w:i/>
                <w:sz w:val="20"/>
                <w:szCs w:val="20"/>
              </w:rPr>
              <w:t>Montreal Convention</w:t>
            </w:r>
            <w:r w:rsidRPr="00A06A3E">
              <w:rPr>
                <w:rFonts w:eastAsia="Calibri"/>
                <w:sz w:val="20"/>
                <w:szCs w:val="20"/>
              </w:rPr>
              <w:t>), Art. 29.</w:t>
            </w:r>
          </w:p>
        </w:tc>
      </w:tr>
      <w:tr w:rsidR="00B9709A" w:rsidRPr="00A06A3E" w:rsidTr="00FE1A89">
        <w:tc>
          <w:tcPr>
            <w:tcW w:w="5000" w:type="pct"/>
            <w:gridSpan w:val="3"/>
          </w:tcPr>
          <w:p w:rsidR="00B9709A" w:rsidRPr="00A06A3E" w:rsidRDefault="00B9709A" w:rsidP="00FE1A89">
            <w:pPr>
              <w:jc w:val="both"/>
              <w:rPr>
                <w:rFonts w:eastAsia="Calibri"/>
                <w:sz w:val="20"/>
                <w:szCs w:val="20"/>
              </w:rPr>
            </w:pPr>
          </w:p>
        </w:tc>
      </w:tr>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 xml:space="preserve">The applicants each filed eight complaints with the Commissioner of Official Languages because of services received solely in English from Air Canada during trips taken between January and May 2009:  at the Atlanta, Ottawa and Toronto airports and on flights between Canada and the United States, they had not received the required services in French.  The Federal Court found offences, declared that the OLA and the </w:t>
            </w:r>
            <w:r w:rsidRPr="00A06A3E">
              <w:rPr>
                <w:rFonts w:eastAsia="Calibri"/>
                <w:i/>
                <w:sz w:val="20"/>
                <w:szCs w:val="20"/>
              </w:rPr>
              <w:t xml:space="preserve">Montreal Convention </w:t>
            </w:r>
            <w:r w:rsidRPr="00A06A3E">
              <w:rPr>
                <w:rFonts w:eastAsia="Calibri"/>
                <w:sz w:val="20"/>
                <w:szCs w:val="20"/>
              </w:rPr>
              <w:t>were inconsistent and that the OLA took precedence, made one specific order and two general orders against Air Canada and awarded damages.  The Federal Court of Appeal set aside that judgment, excluded the award of damages for the incidents that had occurred on international flights and rejected the possibility of a general order.</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July 13, 2011</w:t>
            </w:r>
          </w:p>
          <w:p w:rsidR="00B9709A" w:rsidRPr="00A06A3E" w:rsidRDefault="00B9709A" w:rsidP="00FE1A89">
            <w:pPr>
              <w:jc w:val="both"/>
              <w:rPr>
                <w:rFonts w:eastAsia="Calibri"/>
                <w:sz w:val="20"/>
                <w:szCs w:val="20"/>
              </w:rPr>
            </w:pPr>
            <w:r w:rsidRPr="00A06A3E">
              <w:rPr>
                <w:rFonts w:eastAsia="Calibri"/>
                <w:sz w:val="20"/>
                <w:szCs w:val="20"/>
              </w:rPr>
              <w:t>Federal Court</w:t>
            </w:r>
          </w:p>
          <w:p w:rsidR="00B9709A" w:rsidRPr="00A06A3E" w:rsidRDefault="00B9709A" w:rsidP="00FE1A89">
            <w:pPr>
              <w:jc w:val="both"/>
              <w:rPr>
                <w:rFonts w:eastAsia="Calibri"/>
                <w:sz w:val="20"/>
                <w:szCs w:val="20"/>
              </w:rPr>
            </w:pPr>
            <w:r w:rsidRPr="00A06A3E">
              <w:rPr>
                <w:rFonts w:eastAsia="Calibri"/>
                <w:sz w:val="20"/>
                <w:szCs w:val="20"/>
              </w:rPr>
              <w:t>(Bédard J.)</w:t>
            </w:r>
          </w:p>
          <w:p w:rsidR="00B9709A" w:rsidRPr="00A06A3E" w:rsidRDefault="00B9709A" w:rsidP="00FE1A89">
            <w:pPr>
              <w:jc w:val="both"/>
              <w:rPr>
                <w:rFonts w:eastAsia="Calibri"/>
                <w:sz w:val="20"/>
                <w:szCs w:val="20"/>
              </w:rPr>
            </w:pPr>
            <w:r w:rsidRPr="00A06A3E">
              <w:rPr>
                <w:rFonts w:eastAsia="Calibri"/>
                <w:sz w:val="20"/>
                <w:szCs w:val="20"/>
              </w:rPr>
              <w:t>2011 FC 876</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Applicants’ action allowed; various orders made against respondent Air Canada; $6,000 in damages awarded to each applicant</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September 25, 2012</w:t>
            </w:r>
          </w:p>
          <w:p w:rsidR="00B9709A" w:rsidRPr="00A06A3E" w:rsidRDefault="00B9709A" w:rsidP="00FE1A89">
            <w:pPr>
              <w:jc w:val="both"/>
              <w:rPr>
                <w:rFonts w:eastAsia="Calibri"/>
                <w:sz w:val="20"/>
                <w:szCs w:val="20"/>
              </w:rPr>
            </w:pPr>
            <w:r w:rsidRPr="00A06A3E">
              <w:rPr>
                <w:rFonts w:eastAsia="Calibri"/>
                <w:sz w:val="20"/>
                <w:szCs w:val="20"/>
              </w:rPr>
              <w:t>Federal Court of Appeal</w:t>
            </w:r>
          </w:p>
          <w:p w:rsidR="00B9709A" w:rsidRPr="00A06A3E" w:rsidRDefault="00B9709A" w:rsidP="00FE1A89">
            <w:pPr>
              <w:jc w:val="both"/>
              <w:rPr>
                <w:rFonts w:eastAsia="Calibri"/>
                <w:sz w:val="20"/>
                <w:szCs w:val="20"/>
              </w:rPr>
            </w:pPr>
            <w:r w:rsidRPr="00A06A3E">
              <w:rPr>
                <w:rFonts w:eastAsia="Calibri"/>
                <w:sz w:val="20"/>
                <w:szCs w:val="20"/>
              </w:rPr>
              <w:t xml:space="preserve">(Pelletier, Gauthier and </w:t>
            </w:r>
            <w:proofErr w:type="spellStart"/>
            <w:r w:rsidRPr="00A06A3E">
              <w:rPr>
                <w:rFonts w:eastAsia="Calibri"/>
                <w:sz w:val="20"/>
                <w:szCs w:val="20"/>
              </w:rPr>
              <w:t>Trudel</w:t>
            </w:r>
            <w:proofErr w:type="spellEnd"/>
            <w:r w:rsidRPr="00A06A3E">
              <w:rPr>
                <w:rFonts w:eastAsia="Calibri"/>
                <w:sz w:val="20"/>
                <w:szCs w:val="20"/>
              </w:rPr>
              <w:t xml:space="preserve"> JJ.A.)</w:t>
            </w:r>
          </w:p>
          <w:p w:rsidR="00B9709A" w:rsidRPr="00A06A3E" w:rsidRDefault="00B9709A" w:rsidP="00FE1A89">
            <w:pPr>
              <w:jc w:val="both"/>
              <w:rPr>
                <w:rFonts w:eastAsia="Calibri"/>
                <w:sz w:val="20"/>
                <w:szCs w:val="20"/>
              </w:rPr>
            </w:pPr>
            <w:r w:rsidRPr="00A06A3E">
              <w:rPr>
                <w:rFonts w:eastAsia="Calibri"/>
                <w:sz w:val="20"/>
                <w:szCs w:val="20"/>
              </w:rPr>
              <w:t>2012 FCA 246</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Appeal allowed in part; single order (apology to complainants) made against respondent Air Canada; $1,500 in damages awarded to each applicant</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November 26, 2012</w:t>
            </w:r>
          </w:p>
          <w:p w:rsidR="00B9709A" w:rsidRPr="00A06A3E" w:rsidRDefault="00B9709A" w:rsidP="00FE1A89">
            <w:pPr>
              <w:jc w:val="both"/>
              <w:rPr>
                <w:rFonts w:eastAsia="Calibri"/>
                <w:sz w:val="20"/>
                <w:szCs w:val="20"/>
              </w:rPr>
            </w:pPr>
            <w:r w:rsidRPr="00A06A3E">
              <w:rPr>
                <w:rFonts w:eastAsia="Calibri"/>
                <w:sz w:val="20"/>
                <w:szCs w:val="20"/>
              </w:rPr>
              <w:t>Supreme Court of Canada</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Motion filed by Commissioner of Official Languages seeking status as applicant; two applications for leave to appeal filed</w:t>
            </w:r>
          </w:p>
        </w:tc>
      </w:tr>
    </w:tbl>
    <w:p w:rsidR="00EA167C" w:rsidRDefault="00EA167C" w:rsidP="00EA167C">
      <w:pPr>
        <w:rPr>
          <w:sz w:val="20"/>
          <w:szCs w:val="20"/>
        </w:rPr>
      </w:pPr>
    </w:p>
    <w:p w:rsidR="00EA167C" w:rsidRPr="00C50A5C" w:rsidRDefault="0017005E" w:rsidP="00EA167C">
      <w:pPr>
        <w:rPr>
          <w:sz w:val="20"/>
          <w:szCs w:val="20"/>
        </w:rPr>
      </w:pPr>
      <w:r w:rsidRPr="0017005E">
        <w:rPr>
          <w:sz w:val="20"/>
          <w:szCs w:val="20"/>
          <w:lang w:val="fr-CA"/>
        </w:rPr>
        <w:pict>
          <v:rect id="_x0000_i1042" style="width:2in;height:1pt" o:hrpct="0" o:hralign="center" o:hrstd="t" o:hrnoshade="t" o:hr="t" fillcolor="black [3213]" stroked="f"/>
        </w:pict>
      </w:r>
    </w:p>
    <w:p w:rsidR="00EA167C" w:rsidRDefault="00EA167C" w:rsidP="00EA167C">
      <w:pPr>
        <w:rPr>
          <w:sz w:val="20"/>
          <w:szCs w:val="20"/>
        </w:rPr>
      </w:pPr>
    </w:p>
    <w:p w:rsidR="00EA167C" w:rsidRPr="001B157C" w:rsidRDefault="00EA167C" w:rsidP="00EA167C">
      <w:pPr>
        <w:rPr>
          <w:sz w:val="20"/>
          <w:szCs w:val="20"/>
          <w:u w:val="single"/>
          <w:lang w:val="fr-CA"/>
        </w:rPr>
      </w:pPr>
      <w:r w:rsidRPr="001B157C">
        <w:rPr>
          <w:sz w:val="20"/>
          <w:szCs w:val="20"/>
          <w:u w:val="single"/>
          <w:lang w:val="fr-CA"/>
        </w:rPr>
        <w:t>RÉSUMÉ DE L’AFFAIRE</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A06A3E" w:rsidTr="00FE1A89">
        <w:tc>
          <w:tcPr>
            <w:tcW w:w="5000" w:type="pct"/>
            <w:gridSpan w:val="3"/>
          </w:tcPr>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Langues officielles – Compatibilité de droits fondamentaux et d’une loi issue de traité </w:t>
            </w:r>
            <w:r w:rsidRPr="00A06A3E">
              <w:rPr>
                <w:rFonts w:eastAsia="Calibri"/>
                <w:sz w:val="20"/>
                <w:szCs w:val="20"/>
                <w:lang w:val="fr-CA"/>
              </w:rPr>
              <w:noBreakHyphen/>
              <w:t xml:space="preserve"> Conflit de lois et préséance – Contravention par un transporteur aux droits linguistiques de voyageurs – Les remèdes que peut octroyer le tribunal en matière de droits linguistiques </w:t>
            </w:r>
            <w:proofErr w:type="spellStart"/>
            <w:r w:rsidRPr="00A06A3E">
              <w:rPr>
                <w:rFonts w:eastAsia="Calibri"/>
                <w:sz w:val="20"/>
                <w:szCs w:val="20"/>
                <w:lang w:val="fr-CA"/>
              </w:rPr>
              <w:t>sont</w:t>
            </w:r>
            <w:r w:rsidRPr="00A06A3E">
              <w:rPr>
                <w:rFonts w:eastAsia="Calibri"/>
                <w:sz w:val="20"/>
                <w:szCs w:val="20"/>
                <w:lang w:val="fr-CA"/>
              </w:rPr>
              <w:noBreakHyphen/>
              <w:t>ils</w:t>
            </w:r>
            <w:proofErr w:type="spellEnd"/>
            <w:r w:rsidRPr="00A06A3E">
              <w:rPr>
                <w:rFonts w:eastAsia="Calibri"/>
                <w:sz w:val="20"/>
                <w:szCs w:val="20"/>
                <w:lang w:val="fr-CA"/>
              </w:rPr>
              <w:t xml:space="preserve"> limités par un traité dont le Canada est signataire en matière de transport aérien? – La </w:t>
            </w:r>
            <w:r w:rsidRPr="00A06A3E">
              <w:rPr>
                <w:rFonts w:eastAsia="Calibri"/>
                <w:i/>
                <w:sz w:val="20"/>
                <w:szCs w:val="20"/>
                <w:lang w:val="fr-CA"/>
              </w:rPr>
              <w:t>Convention de Montréal</w:t>
            </w:r>
            <w:r w:rsidRPr="00A06A3E">
              <w:rPr>
                <w:rFonts w:eastAsia="Calibri"/>
                <w:sz w:val="20"/>
                <w:szCs w:val="20"/>
                <w:lang w:val="fr-CA"/>
              </w:rPr>
              <w:t xml:space="preserve"> s’applique</w:t>
            </w:r>
            <w:r w:rsidRPr="00A06A3E">
              <w:rPr>
                <w:rFonts w:eastAsia="Calibri"/>
                <w:sz w:val="20"/>
                <w:szCs w:val="20"/>
                <w:lang w:val="fr-CA"/>
              </w:rPr>
              <w:noBreakHyphen/>
            </w:r>
            <w:proofErr w:type="spellStart"/>
            <w:r w:rsidRPr="00A06A3E">
              <w:rPr>
                <w:rFonts w:eastAsia="Calibri"/>
                <w:sz w:val="20"/>
                <w:szCs w:val="20"/>
                <w:lang w:val="fr-CA"/>
              </w:rPr>
              <w:t>t</w:t>
            </w:r>
            <w:r w:rsidRPr="00A06A3E">
              <w:rPr>
                <w:rFonts w:eastAsia="Calibri"/>
                <w:sz w:val="20"/>
                <w:szCs w:val="20"/>
                <w:lang w:val="fr-CA"/>
              </w:rPr>
              <w:noBreakHyphen/>
              <w:t>elle</w:t>
            </w:r>
            <w:proofErr w:type="spellEnd"/>
            <w:r w:rsidRPr="00A06A3E">
              <w:rPr>
                <w:rFonts w:eastAsia="Calibri"/>
                <w:sz w:val="20"/>
                <w:szCs w:val="20"/>
                <w:lang w:val="fr-CA"/>
              </w:rPr>
              <w:t xml:space="preserve"> aux recours de droit public? – Les lois applicables </w:t>
            </w:r>
            <w:proofErr w:type="spellStart"/>
            <w:r w:rsidRPr="00A06A3E">
              <w:rPr>
                <w:rFonts w:eastAsia="Calibri"/>
                <w:sz w:val="20"/>
                <w:szCs w:val="20"/>
                <w:lang w:val="fr-CA"/>
              </w:rPr>
              <w:t>sont</w:t>
            </w:r>
            <w:r w:rsidRPr="00A06A3E">
              <w:rPr>
                <w:rFonts w:eastAsia="Calibri"/>
                <w:sz w:val="20"/>
                <w:szCs w:val="20"/>
                <w:lang w:val="fr-CA"/>
              </w:rPr>
              <w:noBreakHyphen/>
              <w:t>elles</w:t>
            </w:r>
            <w:proofErr w:type="spellEnd"/>
            <w:r w:rsidRPr="00A06A3E">
              <w:rPr>
                <w:rFonts w:eastAsia="Calibri"/>
                <w:sz w:val="20"/>
                <w:szCs w:val="20"/>
                <w:lang w:val="fr-CA"/>
              </w:rPr>
              <w:t xml:space="preserve"> compatibles? – En cas d’incompatibilité, laquelle doit prévaloir? – Le tribunal </w:t>
            </w:r>
            <w:proofErr w:type="spellStart"/>
            <w:r w:rsidRPr="00A06A3E">
              <w:rPr>
                <w:rFonts w:eastAsia="Calibri"/>
                <w:sz w:val="20"/>
                <w:szCs w:val="20"/>
                <w:lang w:val="fr-CA"/>
              </w:rPr>
              <w:t>peut</w:t>
            </w:r>
            <w:r w:rsidRPr="00A06A3E">
              <w:rPr>
                <w:rFonts w:eastAsia="Calibri"/>
                <w:sz w:val="20"/>
                <w:szCs w:val="20"/>
                <w:lang w:val="fr-CA"/>
              </w:rPr>
              <w:noBreakHyphen/>
              <w:t>il</w:t>
            </w:r>
            <w:proofErr w:type="spellEnd"/>
            <w:r w:rsidRPr="00A06A3E">
              <w:rPr>
                <w:rFonts w:eastAsia="Calibri"/>
                <w:sz w:val="20"/>
                <w:szCs w:val="20"/>
                <w:lang w:val="fr-CA"/>
              </w:rPr>
              <w:t xml:space="preserve"> </w:t>
            </w:r>
            <w:proofErr w:type="gramStart"/>
            <w:r w:rsidRPr="00A06A3E">
              <w:rPr>
                <w:rFonts w:eastAsia="Calibri"/>
                <w:sz w:val="20"/>
                <w:szCs w:val="20"/>
                <w:lang w:val="fr-CA"/>
              </w:rPr>
              <w:t>accorder</w:t>
            </w:r>
            <w:proofErr w:type="gramEnd"/>
            <w:r w:rsidRPr="00A06A3E">
              <w:rPr>
                <w:rFonts w:eastAsia="Calibri"/>
                <w:sz w:val="20"/>
                <w:szCs w:val="20"/>
                <w:lang w:val="fr-CA"/>
              </w:rPr>
              <w:t xml:space="preserve"> des injonctions structurelles en cas de preuve de manquement systémique aux obligations linguistiques? – </w:t>
            </w:r>
            <w:r w:rsidRPr="00A06A3E">
              <w:rPr>
                <w:rFonts w:eastAsia="Calibri"/>
                <w:i/>
                <w:sz w:val="20"/>
                <w:szCs w:val="20"/>
                <w:lang w:val="fr-CA"/>
              </w:rPr>
              <w:t>Loi sur les langues officielles</w:t>
            </w:r>
            <w:r w:rsidRPr="00A06A3E">
              <w:rPr>
                <w:rFonts w:eastAsia="Calibri"/>
                <w:sz w:val="20"/>
                <w:szCs w:val="20"/>
                <w:lang w:val="fr-CA"/>
              </w:rPr>
              <w:t xml:space="preserve">, L.R. 1985, ch. 31, par. 77 (4) et al. 82 (1) d) – </w:t>
            </w:r>
            <w:r w:rsidRPr="00A06A3E">
              <w:rPr>
                <w:rFonts w:eastAsia="Calibri"/>
                <w:i/>
                <w:sz w:val="20"/>
                <w:szCs w:val="20"/>
                <w:lang w:val="fr-FR"/>
              </w:rPr>
              <w:t>Loi sur le transport aérien</w:t>
            </w:r>
            <w:r w:rsidRPr="00A06A3E">
              <w:rPr>
                <w:rFonts w:eastAsia="Calibri"/>
                <w:sz w:val="20"/>
                <w:szCs w:val="20"/>
                <w:lang w:val="fr-FR"/>
              </w:rPr>
              <w:t>, L.R.C. 1985, ch. C</w:t>
            </w:r>
            <w:r w:rsidRPr="00A06A3E">
              <w:rPr>
                <w:rFonts w:eastAsia="Calibri"/>
                <w:sz w:val="20"/>
                <w:szCs w:val="20"/>
                <w:lang w:val="fr-FR"/>
              </w:rPr>
              <w:noBreakHyphen/>
              <w:t>26, annexe VI (</w:t>
            </w:r>
            <w:r w:rsidRPr="00A06A3E">
              <w:rPr>
                <w:rFonts w:eastAsia="Calibri"/>
                <w:i/>
                <w:sz w:val="20"/>
                <w:szCs w:val="20"/>
                <w:lang w:val="fr-FR"/>
              </w:rPr>
              <w:t>Convention de Montréal</w:t>
            </w:r>
            <w:r w:rsidRPr="00A06A3E">
              <w:rPr>
                <w:rFonts w:eastAsia="Calibri"/>
                <w:sz w:val="20"/>
                <w:szCs w:val="20"/>
                <w:lang w:val="fr-FR"/>
              </w:rPr>
              <w:t>), art. 29</w:t>
            </w:r>
            <w:r w:rsidRPr="00A06A3E">
              <w:rPr>
                <w:rFonts w:eastAsia="Calibri"/>
                <w:sz w:val="20"/>
                <w:szCs w:val="20"/>
                <w:lang w:val="fr-CA"/>
              </w:rPr>
              <w:t>.</w:t>
            </w:r>
          </w:p>
        </w:tc>
      </w:tr>
      <w:tr w:rsidR="00B9709A" w:rsidRPr="00A06A3E" w:rsidTr="00FE1A89">
        <w:tc>
          <w:tcPr>
            <w:tcW w:w="5000" w:type="pct"/>
            <w:gridSpan w:val="3"/>
          </w:tcPr>
          <w:p w:rsidR="00B9709A" w:rsidRPr="00A06A3E" w:rsidRDefault="00B9709A" w:rsidP="00FE1A89">
            <w:pPr>
              <w:jc w:val="both"/>
              <w:rPr>
                <w:rFonts w:eastAsia="Calibri"/>
                <w:sz w:val="20"/>
                <w:szCs w:val="20"/>
                <w:lang w:val="fr-CA"/>
              </w:rPr>
            </w:pPr>
          </w:p>
        </w:tc>
      </w:tr>
      <w:tr w:rsidR="00B9709A" w:rsidRPr="005C0D71" w:rsidTr="00FE1A89">
        <w:tc>
          <w:tcPr>
            <w:tcW w:w="5000" w:type="pct"/>
            <w:gridSpan w:val="3"/>
          </w:tcPr>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Les demandeurs déposent chacun huit plaintes auprès du Commissaire aux langues officielles pour des services unilingues anglais reçus d’Air Canada lors de voyages faits entre janvier et mai 2009 : dans les aéroports d’Atlanta, d’Ottawa et de Toronto, ainsi qu’à bord de vols entre le Canada et les </w:t>
            </w:r>
            <w:proofErr w:type="spellStart"/>
            <w:r w:rsidRPr="00A06A3E">
              <w:rPr>
                <w:rFonts w:eastAsia="Calibri"/>
                <w:sz w:val="20"/>
                <w:szCs w:val="20"/>
                <w:lang w:val="fr-CA"/>
              </w:rPr>
              <w:t>États</w:t>
            </w:r>
            <w:r w:rsidRPr="00A06A3E">
              <w:rPr>
                <w:rFonts w:eastAsia="Calibri"/>
                <w:sz w:val="20"/>
                <w:szCs w:val="20"/>
                <w:lang w:val="fr-CA"/>
              </w:rPr>
              <w:noBreakHyphen/>
              <w:t>Unis</w:t>
            </w:r>
            <w:proofErr w:type="spellEnd"/>
            <w:r w:rsidRPr="00A06A3E">
              <w:rPr>
                <w:rFonts w:eastAsia="Calibri"/>
                <w:sz w:val="20"/>
                <w:szCs w:val="20"/>
                <w:lang w:val="fr-CA"/>
              </w:rPr>
              <w:t xml:space="preserve">, ils n’ont pas reçu les services en français requis.  La Cour fédérale constate des infractions, déclare l’incompatibilité de la LLO et de la </w:t>
            </w:r>
            <w:r w:rsidRPr="00A06A3E">
              <w:rPr>
                <w:rFonts w:eastAsia="Calibri"/>
                <w:i/>
                <w:sz w:val="20"/>
                <w:szCs w:val="20"/>
                <w:lang w:val="fr-CA"/>
              </w:rPr>
              <w:t>Convention de Montréal</w:t>
            </w:r>
            <w:r w:rsidRPr="00A06A3E">
              <w:rPr>
                <w:rFonts w:eastAsia="Calibri"/>
                <w:sz w:val="20"/>
                <w:szCs w:val="20"/>
                <w:lang w:val="fr-CA"/>
              </w:rPr>
              <w:t xml:space="preserve">, puis la préséance de la LLO, prononce une ordonnance spécifique et deux ordonnances générales contre Air Canada, et octroie des </w:t>
            </w:r>
            <w:proofErr w:type="spellStart"/>
            <w:r w:rsidRPr="00A06A3E">
              <w:rPr>
                <w:rFonts w:eastAsia="Calibri"/>
                <w:sz w:val="20"/>
                <w:szCs w:val="20"/>
                <w:lang w:val="fr-CA"/>
              </w:rPr>
              <w:t>dommages</w:t>
            </w:r>
            <w:r w:rsidRPr="00A06A3E">
              <w:rPr>
                <w:rFonts w:eastAsia="Calibri"/>
                <w:sz w:val="20"/>
                <w:szCs w:val="20"/>
                <w:lang w:val="fr-CA"/>
              </w:rPr>
              <w:noBreakHyphen/>
              <w:t>intérêts</w:t>
            </w:r>
            <w:proofErr w:type="spellEnd"/>
            <w:r w:rsidRPr="00A06A3E">
              <w:rPr>
                <w:rFonts w:eastAsia="Calibri"/>
                <w:sz w:val="20"/>
                <w:szCs w:val="20"/>
                <w:lang w:val="fr-CA"/>
              </w:rPr>
              <w:t xml:space="preserve">.  La Cour d’appel fédérale casse ce jugement, exclut l’octroi de </w:t>
            </w:r>
            <w:proofErr w:type="spellStart"/>
            <w:r w:rsidRPr="00A06A3E">
              <w:rPr>
                <w:rFonts w:eastAsia="Calibri"/>
                <w:sz w:val="20"/>
                <w:szCs w:val="20"/>
                <w:lang w:val="fr-CA"/>
              </w:rPr>
              <w:t>dommages</w:t>
            </w:r>
            <w:r w:rsidRPr="00A06A3E">
              <w:rPr>
                <w:rFonts w:eastAsia="Calibri"/>
                <w:sz w:val="20"/>
                <w:szCs w:val="20"/>
                <w:lang w:val="fr-CA"/>
              </w:rPr>
              <w:noBreakHyphen/>
              <w:t>intérêts</w:t>
            </w:r>
            <w:proofErr w:type="spellEnd"/>
            <w:r w:rsidRPr="00A06A3E">
              <w:rPr>
                <w:rFonts w:eastAsia="Calibri"/>
                <w:sz w:val="20"/>
                <w:szCs w:val="20"/>
                <w:lang w:val="fr-CA"/>
              </w:rPr>
              <w:t xml:space="preserve"> pour les incidents survenus lors de vols internationaux et réfute la possibilité d’ordonnance générale.</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13 juillet 2011</w:t>
            </w:r>
          </w:p>
          <w:p w:rsidR="00B9709A" w:rsidRPr="00A06A3E" w:rsidRDefault="00B9709A" w:rsidP="00FE1A89">
            <w:pPr>
              <w:jc w:val="both"/>
              <w:rPr>
                <w:rFonts w:eastAsia="Calibri"/>
                <w:sz w:val="20"/>
                <w:szCs w:val="20"/>
                <w:lang w:val="fr-CA"/>
              </w:rPr>
            </w:pPr>
            <w:r w:rsidRPr="00A06A3E">
              <w:rPr>
                <w:rFonts w:eastAsia="Calibri"/>
                <w:sz w:val="20"/>
                <w:szCs w:val="20"/>
                <w:lang w:val="fr-CA"/>
              </w:rPr>
              <w:t>Cour fédérale</w:t>
            </w:r>
          </w:p>
          <w:p w:rsidR="00B9709A" w:rsidRPr="00A06A3E" w:rsidRDefault="00B9709A" w:rsidP="00FE1A89">
            <w:pPr>
              <w:jc w:val="both"/>
              <w:rPr>
                <w:rFonts w:eastAsia="Calibri"/>
                <w:sz w:val="20"/>
                <w:szCs w:val="20"/>
                <w:lang w:val="fr-CA"/>
              </w:rPr>
            </w:pPr>
            <w:r w:rsidRPr="00A06A3E">
              <w:rPr>
                <w:rFonts w:eastAsia="Calibri"/>
                <w:sz w:val="20"/>
                <w:szCs w:val="20"/>
                <w:lang w:val="fr-CA"/>
              </w:rPr>
              <w:t>(La juge Bédard)</w:t>
            </w:r>
          </w:p>
          <w:p w:rsidR="00B9709A" w:rsidRPr="00A06A3E" w:rsidRDefault="00B9709A" w:rsidP="00FE1A89">
            <w:pPr>
              <w:jc w:val="both"/>
              <w:rPr>
                <w:rFonts w:eastAsia="Calibri"/>
                <w:sz w:val="20"/>
                <w:szCs w:val="20"/>
                <w:lang w:val="fr-CA"/>
              </w:rPr>
            </w:pPr>
            <w:r w:rsidRPr="00A06A3E">
              <w:rPr>
                <w:rFonts w:eastAsia="Calibri"/>
                <w:sz w:val="20"/>
                <w:szCs w:val="20"/>
                <w:lang w:val="fr-CA"/>
              </w:rPr>
              <w:t>2011 CF 876</w:t>
            </w:r>
          </w:p>
          <w:p w:rsidR="00B9709A" w:rsidRPr="00A06A3E" w:rsidRDefault="00B9709A" w:rsidP="00FE1A89">
            <w:pPr>
              <w:jc w:val="both"/>
              <w:rPr>
                <w:rFonts w:eastAsia="Calibri"/>
                <w:sz w:val="20"/>
                <w:szCs w:val="20"/>
                <w:lang w:val="fr-FR"/>
              </w:rPr>
            </w:pP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Action des demandeurs accueillie; ordonnances diverses prononcées contre l’intimée Air Canada; </w:t>
            </w:r>
            <w:proofErr w:type="spellStart"/>
            <w:r w:rsidRPr="00A06A3E">
              <w:rPr>
                <w:rFonts w:eastAsia="Calibri"/>
                <w:sz w:val="20"/>
                <w:szCs w:val="20"/>
                <w:lang w:val="fr-CA"/>
              </w:rPr>
              <w:t>dommages</w:t>
            </w:r>
            <w:r w:rsidRPr="00A06A3E">
              <w:rPr>
                <w:rFonts w:eastAsia="Calibri"/>
                <w:sz w:val="20"/>
                <w:szCs w:val="20"/>
                <w:lang w:val="fr-CA"/>
              </w:rPr>
              <w:noBreakHyphen/>
              <w:t>intérêts</w:t>
            </w:r>
            <w:proofErr w:type="spellEnd"/>
            <w:r w:rsidRPr="00A06A3E">
              <w:rPr>
                <w:rFonts w:eastAsia="Calibri"/>
                <w:sz w:val="20"/>
                <w:szCs w:val="20"/>
                <w:lang w:val="fr-CA"/>
              </w:rPr>
              <w:t xml:space="preserve"> de 6000$ accordés à chacun des demandeurs.</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25 septembre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d’appel fédérale</w:t>
            </w:r>
          </w:p>
          <w:p w:rsidR="00B9709A" w:rsidRPr="00A06A3E" w:rsidRDefault="00B9709A" w:rsidP="00FE1A89">
            <w:pPr>
              <w:jc w:val="both"/>
              <w:rPr>
                <w:rFonts w:eastAsia="Calibri"/>
                <w:sz w:val="20"/>
                <w:szCs w:val="20"/>
                <w:lang w:val="fr-CA"/>
              </w:rPr>
            </w:pPr>
            <w:r w:rsidRPr="00A06A3E">
              <w:rPr>
                <w:rFonts w:eastAsia="Calibri"/>
                <w:sz w:val="20"/>
                <w:szCs w:val="20"/>
                <w:lang w:val="fr-CA"/>
              </w:rPr>
              <w:t>(Les juges Pelletier, Gauthier et Trudel)</w:t>
            </w:r>
          </w:p>
          <w:p w:rsidR="00B9709A" w:rsidRPr="00A06A3E" w:rsidRDefault="00B9709A" w:rsidP="00FE1A89">
            <w:pPr>
              <w:jc w:val="both"/>
              <w:rPr>
                <w:rFonts w:eastAsia="Calibri"/>
                <w:sz w:val="20"/>
                <w:szCs w:val="20"/>
                <w:lang w:val="fr-CA"/>
              </w:rPr>
            </w:pPr>
            <w:r w:rsidRPr="00A06A3E">
              <w:rPr>
                <w:rFonts w:eastAsia="Calibri"/>
                <w:sz w:val="20"/>
                <w:szCs w:val="20"/>
                <w:lang w:val="fr-CA"/>
              </w:rPr>
              <w:t>2012 CAF 246</w:t>
            </w:r>
          </w:p>
          <w:p w:rsidR="00B9709A" w:rsidRPr="00A06A3E" w:rsidRDefault="00B9709A" w:rsidP="00FE1A89">
            <w:pPr>
              <w:jc w:val="both"/>
              <w:rPr>
                <w:rFonts w:eastAsia="Calibri"/>
                <w:sz w:val="20"/>
                <w:szCs w:val="20"/>
                <w:lang w:val="fr-FR"/>
              </w:rPr>
            </w:pP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Appel accueilli en partie; ordonnance unique (des excuses aux plaignants) prononcée contre l’intimée Air Canada; </w:t>
            </w:r>
            <w:proofErr w:type="spellStart"/>
            <w:r w:rsidRPr="00A06A3E">
              <w:rPr>
                <w:rFonts w:eastAsia="Calibri"/>
                <w:sz w:val="20"/>
                <w:szCs w:val="20"/>
                <w:lang w:val="fr-CA"/>
              </w:rPr>
              <w:t>dommages</w:t>
            </w:r>
            <w:r w:rsidRPr="00A06A3E">
              <w:rPr>
                <w:rFonts w:eastAsia="Calibri"/>
                <w:sz w:val="20"/>
                <w:szCs w:val="20"/>
                <w:lang w:val="fr-CA"/>
              </w:rPr>
              <w:noBreakHyphen/>
              <w:t>intérêts</w:t>
            </w:r>
            <w:proofErr w:type="spellEnd"/>
            <w:r w:rsidRPr="00A06A3E">
              <w:rPr>
                <w:rFonts w:eastAsia="Calibri"/>
                <w:sz w:val="20"/>
                <w:szCs w:val="20"/>
                <w:lang w:val="fr-CA"/>
              </w:rPr>
              <w:t xml:space="preserve"> de 1500$ accordés à chacun des demandeurs.</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26 novembre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suprême du Canada</w:t>
            </w:r>
          </w:p>
          <w:p w:rsidR="00B9709A" w:rsidRPr="00A06A3E" w:rsidRDefault="00B9709A" w:rsidP="00FE1A89">
            <w:pPr>
              <w:jc w:val="both"/>
              <w:rPr>
                <w:rFonts w:eastAsia="Calibri"/>
                <w:sz w:val="20"/>
                <w:szCs w:val="20"/>
                <w:lang w:val="fr-FR"/>
              </w:rPr>
            </w:pP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Dépôt de la requête du Commissaire aux langues officielles pour être reconnu comme partie demanderesse; dépôt des deux demandes d’autorisation d’appel.</w:t>
            </w:r>
          </w:p>
        </w:tc>
      </w:tr>
    </w:tbl>
    <w:p w:rsidR="00EA167C" w:rsidRPr="00B9709A" w:rsidRDefault="00EA167C" w:rsidP="00EA167C">
      <w:pPr>
        <w:rPr>
          <w:sz w:val="20"/>
          <w:szCs w:val="20"/>
          <w:lang w:val="fr-CA"/>
        </w:rPr>
      </w:pPr>
    </w:p>
    <w:p w:rsidR="00EA167C" w:rsidRDefault="0017005E" w:rsidP="00EA167C">
      <w:pPr>
        <w:rPr>
          <w:sz w:val="20"/>
          <w:szCs w:val="20"/>
          <w:lang w:val="fr-CA"/>
        </w:rPr>
      </w:pPr>
      <w:r w:rsidRPr="0017005E">
        <w:rPr>
          <w:sz w:val="20"/>
          <w:szCs w:val="20"/>
          <w:lang w:val="fr-CA"/>
        </w:rPr>
        <w:pict>
          <v:rect id="_x0000_i1043" style="width:2in;height:1pt" o:hrpct="0" o:hralign="center" o:hrstd="t" o:hrnoshade="t" o:hr="t" fillcolor="black [3213]" stroked="f"/>
        </w:pict>
      </w:r>
    </w:p>
    <w:p w:rsidR="00EA167C" w:rsidRDefault="00EA167C" w:rsidP="00EA167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97985" w:rsidRPr="005C0D71" w:rsidTr="008A1E3D">
        <w:trPr>
          <w:cantSplit/>
        </w:trPr>
        <w:tc>
          <w:tcPr>
            <w:tcW w:w="1458" w:type="dxa"/>
          </w:tcPr>
          <w:p w:rsidR="00097985" w:rsidRPr="008902B9" w:rsidRDefault="00097985" w:rsidP="008A1E3D">
            <w:pPr>
              <w:rPr>
                <w:sz w:val="20"/>
                <w:szCs w:val="20"/>
              </w:rPr>
            </w:pPr>
            <w:r w:rsidRPr="008902B9">
              <w:rPr>
                <w:rStyle w:val="SCCFileNumberChar"/>
                <w:sz w:val="20"/>
                <w:szCs w:val="20"/>
              </w:rPr>
              <w:t>35124</w:t>
            </w:r>
          </w:p>
          <w:p w:rsidR="00097985" w:rsidRPr="008902B9" w:rsidRDefault="00097985" w:rsidP="008A1E3D">
            <w:pPr>
              <w:rPr>
                <w:b/>
                <w:sz w:val="20"/>
                <w:szCs w:val="20"/>
                <w:lang w:val="fr-CA"/>
              </w:rPr>
            </w:pPr>
          </w:p>
        </w:tc>
        <w:tc>
          <w:tcPr>
            <w:tcW w:w="8118" w:type="dxa"/>
          </w:tcPr>
          <w:p w:rsidR="00097985" w:rsidRPr="008902B9" w:rsidRDefault="00097985" w:rsidP="008A1E3D">
            <w:pPr>
              <w:jc w:val="both"/>
              <w:rPr>
                <w:sz w:val="20"/>
                <w:szCs w:val="20"/>
                <w:lang w:val="fr-CA"/>
              </w:rPr>
            </w:pPr>
            <w:r w:rsidRPr="008902B9">
              <w:rPr>
                <w:rStyle w:val="SCCLsocChar"/>
                <w:sz w:val="20"/>
                <w:szCs w:val="20"/>
              </w:rPr>
              <w:t>Procureur général du Canada c. Confédération des syndicats nationaux</w:t>
            </w:r>
            <w:r w:rsidR="00045D92">
              <w:rPr>
                <w:rStyle w:val="SCCLsocChar"/>
                <w:sz w:val="20"/>
                <w:szCs w:val="20"/>
              </w:rPr>
              <w:t xml:space="preserve"> et</w:t>
            </w:r>
            <w:r w:rsidRPr="008902B9">
              <w:rPr>
                <w:rStyle w:val="SCCLsocChar"/>
                <w:sz w:val="20"/>
                <w:szCs w:val="20"/>
              </w:rPr>
              <w:t xml:space="preserve"> Fédération des travailleurs et travailleuses du Québec</w:t>
            </w:r>
            <w:r w:rsidRPr="008902B9">
              <w:rPr>
                <w:sz w:val="20"/>
                <w:szCs w:val="20"/>
                <w:lang w:val="fr-CA"/>
              </w:rPr>
              <w:t xml:space="preserve"> (</w:t>
            </w:r>
            <w:proofErr w:type="spellStart"/>
            <w:r w:rsidRPr="008902B9">
              <w:rPr>
                <w:sz w:val="20"/>
                <w:szCs w:val="20"/>
                <w:lang w:val="fr-CA"/>
              </w:rPr>
              <w:t>Qc</w:t>
            </w:r>
            <w:proofErr w:type="spellEnd"/>
            <w:r w:rsidRPr="008902B9">
              <w:rPr>
                <w:sz w:val="20"/>
                <w:szCs w:val="20"/>
                <w:lang w:val="fr-CA"/>
              </w:rPr>
              <w:t>) (Civile) (Autorisation)</w:t>
            </w:r>
          </w:p>
          <w:p w:rsidR="00097985" w:rsidRPr="008902B9" w:rsidRDefault="00097985" w:rsidP="008A1E3D">
            <w:pPr>
              <w:jc w:val="both"/>
              <w:rPr>
                <w:sz w:val="20"/>
                <w:szCs w:val="20"/>
                <w:lang w:val="fr-CA"/>
              </w:rPr>
            </w:pPr>
          </w:p>
        </w:tc>
      </w:tr>
      <w:tr w:rsidR="00097985" w:rsidRPr="005C0D71" w:rsidTr="008A1E3D">
        <w:trPr>
          <w:cantSplit/>
        </w:trPr>
        <w:tc>
          <w:tcPr>
            <w:tcW w:w="1458" w:type="dxa"/>
          </w:tcPr>
          <w:p w:rsidR="00097985" w:rsidRPr="008902B9" w:rsidRDefault="00097985" w:rsidP="008A1E3D">
            <w:pPr>
              <w:rPr>
                <w:sz w:val="20"/>
                <w:szCs w:val="20"/>
              </w:rPr>
            </w:pPr>
            <w:r w:rsidRPr="008902B9">
              <w:rPr>
                <w:sz w:val="20"/>
                <w:szCs w:val="20"/>
              </w:rPr>
              <w:t>Coram :</w:t>
            </w:r>
          </w:p>
        </w:tc>
        <w:tc>
          <w:tcPr>
            <w:tcW w:w="8118" w:type="dxa"/>
          </w:tcPr>
          <w:p w:rsidR="00097985" w:rsidRPr="008902B9" w:rsidRDefault="00097985" w:rsidP="008A1E3D">
            <w:pPr>
              <w:rPr>
                <w:sz w:val="20"/>
                <w:szCs w:val="20"/>
                <w:lang w:val="fr-CA"/>
              </w:rPr>
            </w:pPr>
            <w:r w:rsidRPr="008902B9">
              <w:rPr>
                <w:rStyle w:val="SCCCoramChar"/>
                <w:sz w:val="20"/>
                <w:szCs w:val="20"/>
              </w:rPr>
              <w:t xml:space="preserve">Les juges </w:t>
            </w:r>
            <w:proofErr w:type="spellStart"/>
            <w:r w:rsidRPr="008902B9">
              <w:rPr>
                <w:rStyle w:val="SCCCoramChar"/>
                <w:sz w:val="20"/>
                <w:szCs w:val="20"/>
              </w:rPr>
              <w:t>LeBel</w:t>
            </w:r>
            <w:proofErr w:type="spellEnd"/>
            <w:r w:rsidRPr="008902B9">
              <w:rPr>
                <w:rStyle w:val="SCCCoramChar"/>
                <w:sz w:val="20"/>
                <w:szCs w:val="20"/>
              </w:rPr>
              <w:t xml:space="preserve">, </w:t>
            </w:r>
            <w:proofErr w:type="spellStart"/>
            <w:r w:rsidRPr="008902B9">
              <w:rPr>
                <w:rStyle w:val="SCCCoramChar"/>
                <w:sz w:val="20"/>
                <w:szCs w:val="20"/>
              </w:rPr>
              <w:t>Karakatsanis</w:t>
            </w:r>
            <w:proofErr w:type="spellEnd"/>
            <w:r w:rsidRPr="008902B9">
              <w:rPr>
                <w:rStyle w:val="SCCCoramChar"/>
                <w:sz w:val="20"/>
                <w:szCs w:val="20"/>
              </w:rPr>
              <w:t xml:space="preserve"> et Wagner</w:t>
            </w:r>
          </w:p>
          <w:p w:rsidR="00097985" w:rsidRPr="008902B9" w:rsidRDefault="00097985" w:rsidP="008A1E3D">
            <w:pPr>
              <w:rPr>
                <w:sz w:val="20"/>
                <w:szCs w:val="20"/>
                <w:u w:val="single"/>
                <w:lang w:val="fr-CA"/>
              </w:rPr>
            </w:pPr>
          </w:p>
        </w:tc>
      </w:tr>
      <w:tr w:rsidR="00097985" w:rsidRPr="008902B9" w:rsidTr="008A1E3D">
        <w:trPr>
          <w:cantSplit/>
        </w:trPr>
        <w:tc>
          <w:tcPr>
            <w:tcW w:w="9576" w:type="dxa"/>
            <w:gridSpan w:val="2"/>
          </w:tcPr>
          <w:p w:rsidR="00097985" w:rsidRPr="008902B9" w:rsidRDefault="00097985" w:rsidP="008A1E3D">
            <w:pPr>
              <w:pStyle w:val="SCCShortJudgment"/>
              <w:rPr>
                <w:szCs w:val="20"/>
                <w:lang w:val="fr-CA"/>
              </w:rPr>
            </w:pPr>
            <w:r w:rsidRPr="008902B9">
              <w:rPr>
                <w:szCs w:val="20"/>
                <w:lang w:val="fr-CA"/>
              </w:rPr>
              <w:t>La requête des intimées pour déposer une réponse à la réplique du demandeur est accueillie. La demande d’autorisation d’appel de l’arrêt de la Cour d’appel du Québec (Montréal), numéro 500-09-022440-127, 2012 QCCA 1822, daté du 10 octobre 2012, est accueillie avec dépens selon l’issue de la cause.</w:t>
            </w:r>
          </w:p>
          <w:p w:rsidR="00097985" w:rsidRPr="008902B9" w:rsidRDefault="00097985" w:rsidP="008A1E3D">
            <w:pPr>
              <w:pStyle w:val="SCCShortJudgment"/>
              <w:ind w:firstLine="0"/>
              <w:rPr>
                <w:szCs w:val="20"/>
                <w:lang w:val="fr-CA"/>
              </w:rPr>
            </w:pPr>
          </w:p>
          <w:p w:rsidR="00097985" w:rsidRPr="008902B9" w:rsidRDefault="00097985" w:rsidP="008A1E3D">
            <w:pPr>
              <w:pStyle w:val="SCCShortJudgment"/>
              <w:rPr>
                <w:szCs w:val="20"/>
              </w:rPr>
            </w:pPr>
            <w:r w:rsidRPr="008902B9">
              <w:rPr>
                <w:szCs w:val="20"/>
              </w:rPr>
              <w:t>The respondents’ motion to file a response to the applicant’s reply is granted. The application for leave to appeal from the judgment of the Court of Appeal of Quebec (Montréal), Number 500-09-022440-127, 2012 QCCA 1822, dated October 10, 2012, is granted with costs in the cause.</w:t>
            </w:r>
          </w:p>
        </w:tc>
      </w:tr>
    </w:tbl>
    <w:p w:rsidR="00EA167C" w:rsidRDefault="00EA167C" w:rsidP="00EA167C">
      <w:pPr>
        <w:rPr>
          <w:sz w:val="20"/>
          <w:szCs w:val="20"/>
        </w:rPr>
      </w:pPr>
    </w:p>
    <w:p w:rsidR="00EA167C" w:rsidRPr="001B157C" w:rsidRDefault="00EA167C" w:rsidP="00EA167C">
      <w:pPr>
        <w:rPr>
          <w:sz w:val="20"/>
          <w:szCs w:val="20"/>
          <w:u w:val="single"/>
        </w:rPr>
      </w:pPr>
      <w:r w:rsidRPr="001B157C">
        <w:rPr>
          <w:sz w:val="20"/>
          <w:szCs w:val="20"/>
          <w:u w:val="single"/>
        </w:rPr>
        <w:t>CASE SUMMARY</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 xml:space="preserve">Courts – </w:t>
            </w:r>
            <w:r w:rsidRPr="00A06A3E">
              <w:rPr>
                <w:rFonts w:eastAsia="Calibri"/>
                <w:i/>
                <w:sz w:val="20"/>
                <w:szCs w:val="20"/>
              </w:rPr>
              <w:t>Res </w:t>
            </w:r>
            <w:proofErr w:type="spellStart"/>
            <w:r w:rsidRPr="00A06A3E">
              <w:rPr>
                <w:rFonts w:eastAsia="Calibri"/>
                <w:i/>
                <w:sz w:val="20"/>
                <w:szCs w:val="20"/>
              </w:rPr>
              <w:t>judicata</w:t>
            </w:r>
            <w:proofErr w:type="spellEnd"/>
            <w:r w:rsidRPr="00A06A3E">
              <w:rPr>
                <w:rFonts w:eastAsia="Calibri"/>
                <w:sz w:val="20"/>
                <w:szCs w:val="20"/>
              </w:rPr>
              <w:t xml:space="preserve"> – Final judgment in 2008 concerning employment insurance premiums and surpluses – 2010 legislative amendment having effect of erasing balance in account – Constitutionality of that approach challenged – Whether unions’ action had to be dismissed on ground of </w:t>
            </w:r>
            <w:r w:rsidRPr="00A06A3E">
              <w:rPr>
                <w:rFonts w:eastAsia="Calibri"/>
                <w:i/>
                <w:sz w:val="20"/>
                <w:szCs w:val="20"/>
              </w:rPr>
              <w:t>res </w:t>
            </w:r>
            <w:proofErr w:type="spellStart"/>
            <w:r w:rsidRPr="00A06A3E">
              <w:rPr>
                <w:rFonts w:eastAsia="Calibri"/>
                <w:i/>
                <w:sz w:val="20"/>
                <w:szCs w:val="20"/>
              </w:rPr>
              <w:t>judicata</w:t>
            </w:r>
            <w:proofErr w:type="spellEnd"/>
            <w:r w:rsidRPr="00A06A3E">
              <w:rPr>
                <w:rFonts w:eastAsia="Calibri"/>
                <w:sz w:val="20"/>
                <w:szCs w:val="20"/>
              </w:rPr>
              <w:t xml:space="preserve"> – </w:t>
            </w:r>
            <w:r w:rsidRPr="00A06A3E">
              <w:rPr>
                <w:rFonts w:eastAsia="Calibri"/>
                <w:i/>
                <w:sz w:val="20"/>
                <w:szCs w:val="20"/>
              </w:rPr>
              <w:t>Jobs and Economic Growth Act</w:t>
            </w:r>
            <w:r w:rsidRPr="00A06A3E">
              <w:rPr>
                <w:rFonts w:eastAsia="Calibri"/>
                <w:sz w:val="20"/>
                <w:szCs w:val="20"/>
              </w:rPr>
              <w:t>, S.C. 2010, c. 12, ss. 2195, 2196.</w:t>
            </w:r>
          </w:p>
        </w:tc>
      </w:tr>
      <w:tr w:rsidR="00B9709A" w:rsidRPr="00A06A3E" w:rsidTr="00FE1A89">
        <w:tc>
          <w:tcPr>
            <w:tcW w:w="5000" w:type="pct"/>
            <w:gridSpan w:val="3"/>
          </w:tcPr>
          <w:p w:rsidR="00B9709A" w:rsidRPr="00A06A3E" w:rsidRDefault="00B9709A" w:rsidP="00FE1A89">
            <w:pPr>
              <w:jc w:val="both"/>
              <w:rPr>
                <w:rFonts w:eastAsia="Calibri"/>
                <w:sz w:val="20"/>
                <w:szCs w:val="20"/>
              </w:rPr>
            </w:pPr>
          </w:p>
        </w:tc>
      </w:tr>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 xml:space="preserve">In 2010, Parliament passed legislation that had the effect, among other things, of closing the Employment Insurance Account on January 1, 2009 and establishing the Employment Insurance Operating Account, without any reference to the balance of more than $57 billion.  The labour confederations sought to have that initiative declared unconstitutional.  The Attorney General of Canada filed an exception to dismiss, arguing that the question had been decided by the Court in </w:t>
            </w:r>
            <w:r w:rsidRPr="00A06A3E">
              <w:rPr>
                <w:rFonts w:eastAsia="Calibri"/>
                <w:i/>
                <w:sz w:val="20"/>
                <w:szCs w:val="20"/>
              </w:rPr>
              <w:t>CSN v. A.G. Canada</w:t>
            </w:r>
            <w:r w:rsidRPr="00A06A3E">
              <w:rPr>
                <w:rFonts w:eastAsia="Calibri"/>
                <w:sz w:val="20"/>
                <w:szCs w:val="20"/>
              </w:rPr>
              <w:t>, [2008] 3 S.C.R. 511.</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January 23, 2012</w:t>
            </w:r>
          </w:p>
          <w:p w:rsidR="00B9709A" w:rsidRPr="00A06A3E" w:rsidRDefault="00B9709A" w:rsidP="00FE1A89">
            <w:pPr>
              <w:jc w:val="both"/>
              <w:rPr>
                <w:rFonts w:eastAsia="Calibri"/>
                <w:sz w:val="20"/>
                <w:szCs w:val="20"/>
              </w:rPr>
            </w:pPr>
            <w:r w:rsidRPr="00A06A3E">
              <w:rPr>
                <w:rFonts w:eastAsia="Calibri"/>
                <w:sz w:val="20"/>
                <w:szCs w:val="20"/>
              </w:rPr>
              <w:t>Quebec Superior Court</w:t>
            </w:r>
          </w:p>
          <w:p w:rsidR="00B9709A" w:rsidRPr="00A06A3E" w:rsidRDefault="00B9709A" w:rsidP="00FE1A89">
            <w:pPr>
              <w:jc w:val="both"/>
              <w:rPr>
                <w:rFonts w:eastAsia="Calibri"/>
                <w:sz w:val="20"/>
                <w:szCs w:val="20"/>
              </w:rPr>
            </w:pPr>
            <w:r w:rsidRPr="00A06A3E">
              <w:rPr>
                <w:rFonts w:eastAsia="Calibri"/>
                <w:sz w:val="20"/>
                <w:szCs w:val="20"/>
              </w:rPr>
              <w:t>(Perrault J.)</w:t>
            </w:r>
          </w:p>
          <w:p w:rsidR="00B9709A" w:rsidRPr="00A06A3E" w:rsidRDefault="00B9709A" w:rsidP="00FE1A89">
            <w:pPr>
              <w:jc w:val="both"/>
              <w:rPr>
                <w:rFonts w:eastAsia="Calibri"/>
                <w:sz w:val="20"/>
                <w:szCs w:val="20"/>
              </w:rPr>
            </w:pPr>
            <w:r w:rsidRPr="00A06A3E">
              <w:rPr>
                <w:rFonts w:eastAsia="Calibri"/>
                <w:sz w:val="20"/>
                <w:szCs w:val="20"/>
              </w:rPr>
              <w:t>2012 QCCS 128</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Applicant’s motion to dismiss respondents’ declaratory action allowed.</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October 10, 2012</w:t>
            </w:r>
          </w:p>
          <w:p w:rsidR="00B9709A" w:rsidRPr="00A06A3E" w:rsidRDefault="00B9709A" w:rsidP="00FE1A89">
            <w:pPr>
              <w:jc w:val="both"/>
              <w:rPr>
                <w:rFonts w:eastAsia="Calibri"/>
                <w:sz w:val="20"/>
                <w:szCs w:val="20"/>
              </w:rPr>
            </w:pPr>
            <w:r w:rsidRPr="00A06A3E">
              <w:rPr>
                <w:rFonts w:eastAsia="Calibri"/>
                <w:sz w:val="20"/>
                <w:szCs w:val="20"/>
              </w:rPr>
              <w:t>Quebec Court of Appeal (Montréal)</w:t>
            </w:r>
          </w:p>
          <w:p w:rsidR="00B9709A" w:rsidRPr="00A06A3E" w:rsidRDefault="00B9709A"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Morissette</w:t>
            </w:r>
            <w:proofErr w:type="spellEnd"/>
            <w:r w:rsidRPr="00A06A3E">
              <w:rPr>
                <w:rFonts w:eastAsia="Calibri"/>
                <w:sz w:val="20"/>
                <w:szCs w:val="20"/>
              </w:rPr>
              <w:t>, Fournier and St</w:t>
            </w:r>
            <w:r w:rsidRPr="00A06A3E">
              <w:rPr>
                <w:rFonts w:eastAsia="Calibri"/>
                <w:sz w:val="20"/>
                <w:szCs w:val="20"/>
              </w:rPr>
              <w:noBreakHyphen/>
            </w:r>
            <w:proofErr w:type="spellStart"/>
            <w:r w:rsidRPr="00A06A3E">
              <w:rPr>
                <w:rFonts w:eastAsia="Calibri"/>
                <w:sz w:val="20"/>
                <w:szCs w:val="20"/>
              </w:rPr>
              <w:t>Pierre</w:t>
            </w:r>
            <w:proofErr w:type="spellEnd"/>
            <w:r w:rsidRPr="00A06A3E">
              <w:rPr>
                <w:rFonts w:eastAsia="Calibri"/>
                <w:sz w:val="20"/>
                <w:szCs w:val="20"/>
              </w:rPr>
              <w:t xml:space="preserve"> JJ.A.)</w:t>
            </w:r>
          </w:p>
          <w:p w:rsidR="00B9709A" w:rsidRPr="00A06A3E" w:rsidRDefault="00B9709A" w:rsidP="00FE1A89">
            <w:pPr>
              <w:jc w:val="both"/>
              <w:rPr>
                <w:rFonts w:eastAsia="Calibri"/>
                <w:sz w:val="20"/>
                <w:szCs w:val="20"/>
              </w:rPr>
            </w:pPr>
            <w:r w:rsidRPr="00A06A3E">
              <w:rPr>
                <w:rFonts w:eastAsia="Calibri"/>
                <w:sz w:val="20"/>
                <w:szCs w:val="20"/>
              </w:rPr>
              <w:t>2012 QCCA 1822</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Appeal allowed; motion dismissed.</w:t>
            </w: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December 10, 2012</w:t>
            </w:r>
          </w:p>
          <w:p w:rsidR="00B9709A" w:rsidRPr="00A06A3E" w:rsidRDefault="00B9709A" w:rsidP="00FE1A89">
            <w:pPr>
              <w:jc w:val="both"/>
              <w:rPr>
                <w:rFonts w:eastAsia="Calibri"/>
                <w:sz w:val="20"/>
                <w:szCs w:val="20"/>
              </w:rPr>
            </w:pPr>
            <w:r w:rsidRPr="00A06A3E">
              <w:rPr>
                <w:rFonts w:eastAsia="Calibri"/>
                <w:sz w:val="20"/>
                <w:szCs w:val="20"/>
              </w:rPr>
              <w:t>Supreme Court of Canada</w:t>
            </w: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Application for leave to appeal filed.</w:t>
            </w:r>
          </w:p>
          <w:p w:rsidR="00B9709A" w:rsidRPr="00A06A3E" w:rsidRDefault="00B9709A" w:rsidP="00FE1A89">
            <w:pPr>
              <w:jc w:val="both"/>
              <w:rPr>
                <w:rFonts w:eastAsia="Calibri"/>
                <w:sz w:val="20"/>
                <w:szCs w:val="20"/>
              </w:rPr>
            </w:pPr>
          </w:p>
        </w:tc>
      </w:tr>
    </w:tbl>
    <w:p w:rsidR="00EA167C" w:rsidRDefault="00EA167C" w:rsidP="00EA167C">
      <w:pPr>
        <w:rPr>
          <w:sz w:val="20"/>
          <w:szCs w:val="20"/>
        </w:rPr>
      </w:pPr>
    </w:p>
    <w:p w:rsidR="00EA167C" w:rsidRPr="00C50A5C" w:rsidRDefault="0017005E" w:rsidP="00EA167C">
      <w:pPr>
        <w:rPr>
          <w:sz w:val="20"/>
          <w:szCs w:val="20"/>
        </w:rPr>
      </w:pPr>
      <w:r w:rsidRPr="0017005E">
        <w:rPr>
          <w:sz w:val="20"/>
          <w:szCs w:val="20"/>
          <w:lang w:val="fr-CA"/>
        </w:rPr>
        <w:pict>
          <v:rect id="_x0000_i1044" style="width:2in;height:1pt" o:hrpct="0" o:hralign="center" o:hrstd="t" o:hrnoshade="t" o:hr="t" fillcolor="black [3213]" stroked="f"/>
        </w:pict>
      </w:r>
    </w:p>
    <w:p w:rsidR="00EA167C" w:rsidRDefault="00EA167C" w:rsidP="00EA167C">
      <w:pPr>
        <w:rPr>
          <w:sz w:val="20"/>
          <w:szCs w:val="20"/>
        </w:rPr>
      </w:pPr>
    </w:p>
    <w:p w:rsidR="00EA167C" w:rsidRPr="001B157C" w:rsidRDefault="00EA167C" w:rsidP="00EA167C">
      <w:pPr>
        <w:rPr>
          <w:sz w:val="20"/>
          <w:szCs w:val="20"/>
          <w:u w:val="single"/>
          <w:lang w:val="fr-CA"/>
        </w:rPr>
      </w:pPr>
      <w:r w:rsidRPr="001B157C">
        <w:rPr>
          <w:sz w:val="20"/>
          <w:szCs w:val="20"/>
          <w:u w:val="single"/>
          <w:lang w:val="fr-CA"/>
        </w:rPr>
        <w:t>RÉSUMÉ DE L’AFFAIRE</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5C0D71" w:rsidTr="00FE1A89">
        <w:tc>
          <w:tcPr>
            <w:tcW w:w="5000" w:type="pct"/>
            <w:gridSpan w:val="3"/>
          </w:tcPr>
          <w:p w:rsidR="00B9709A" w:rsidRPr="00A06A3E" w:rsidRDefault="00B9709A" w:rsidP="00FE1A89">
            <w:pPr>
              <w:jc w:val="both"/>
              <w:rPr>
                <w:rFonts w:eastAsia="Calibri"/>
                <w:sz w:val="20"/>
                <w:szCs w:val="20"/>
                <w:lang w:val="fr-CA"/>
              </w:rPr>
            </w:pPr>
            <w:r w:rsidRPr="00A06A3E">
              <w:rPr>
                <w:rFonts w:eastAsia="Calibri"/>
                <w:sz w:val="20"/>
                <w:szCs w:val="20"/>
                <w:lang w:val="fr-CA"/>
              </w:rPr>
              <w:t>Tribunaux – Chose jugée – Jugement final de 2008 sur les cotisations et surplus de l’</w:t>
            </w:r>
            <w:proofErr w:type="spellStart"/>
            <w:r w:rsidRPr="00A06A3E">
              <w:rPr>
                <w:rFonts w:eastAsia="Calibri"/>
                <w:sz w:val="20"/>
                <w:szCs w:val="20"/>
                <w:lang w:val="fr-CA"/>
              </w:rPr>
              <w:t>assurance</w:t>
            </w:r>
            <w:r w:rsidRPr="00A06A3E">
              <w:rPr>
                <w:rFonts w:eastAsia="Calibri"/>
                <w:sz w:val="20"/>
                <w:szCs w:val="20"/>
                <w:lang w:val="fr-CA"/>
              </w:rPr>
              <w:noBreakHyphen/>
              <w:t>emploi</w:t>
            </w:r>
            <w:proofErr w:type="spellEnd"/>
            <w:r w:rsidRPr="00A06A3E">
              <w:rPr>
                <w:rFonts w:eastAsia="Calibri"/>
                <w:sz w:val="20"/>
                <w:szCs w:val="20"/>
                <w:lang w:val="fr-CA"/>
              </w:rPr>
              <w:t xml:space="preserve"> – Modification législative de 2010 à l’effet d’effacer le solde créditeur du compte – Contestation de la constitutionnalité de ce procédé </w:t>
            </w:r>
            <w:r w:rsidRPr="00A06A3E">
              <w:rPr>
                <w:rFonts w:eastAsia="Calibri"/>
                <w:sz w:val="20"/>
                <w:szCs w:val="20"/>
                <w:lang w:val="fr-CA"/>
              </w:rPr>
              <w:noBreakHyphen/>
              <w:t xml:space="preserve"> L’action des syndicats </w:t>
            </w:r>
            <w:proofErr w:type="spellStart"/>
            <w:r w:rsidRPr="00A06A3E">
              <w:rPr>
                <w:rFonts w:eastAsia="Calibri"/>
                <w:sz w:val="20"/>
                <w:szCs w:val="20"/>
                <w:lang w:val="fr-CA"/>
              </w:rPr>
              <w:t>est</w:t>
            </w:r>
            <w:r w:rsidRPr="00A06A3E">
              <w:rPr>
                <w:rFonts w:eastAsia="Calibri"/>
                <w:sz w:val="20"/>
                <w:szCs w:val="20"/>
                <w:lang w:val="fr-CA"/>
              </w:rPr>
              <w:noBreakHyphen/>
              <w:t>elle</w:t>
            </w:r>
            <w:proofErr w:type="spellEnd"/>
            <w:r w:rsidRPr="00A06A3E">
              <w:rPr>
                <w:rFonts w:eastAsia="Calibri"/>
                <w:sz w:val="20"/>
                <w:szCs w:val="20"/>
                <w:lang w:val="fr-CA"/>
              </w:rPr>
              <w:t xml:space="preserve"> irrecevable au motif de chose jugée? – </w:t>
            </w:r>
            <w:r w:rsidRPr="00A06A3E">
              <w:rPr>
                <w:rFonts w:eastAsia="Calibri"/>
                <w:i/>
                <w:sz w:val="20"/>
                <w:szCs w:val="20"/>
                <w:lang w:val="fr-CA"/>
              </w:rPr>
              <w:t>Loi sur l’emploi et la croissance économique</w:t>
            </w:r>
            <w:r w:rsidRPr="00A06A3E">
              <w:rPr>
                <w:rFonts w:eastAsia="Calibri"/>
                <w:sz w:val="20"/>
                <w:szCs w:val="20"/>
                <w:lang w:val="fr-CA"/>
              </w:rPr>
              <w:t>, L.C. 2010, ch. 12, art. 2195, 2196.</w:t>
            </w:r>
          </w:p>
        </w:tc>
      </w:tr>
      <w:tr w:rsidR="00B9709A" w:rsidRPr="005C0D71" w:rsidTr="00FE1A89">
        <w:tc>
          <w:tcPr>
            <w:tcW w:w="5000" w:type="pct"/>
            <w:gridSpan w:val="3"/>
          </w:tcPr>
          <w:p w:rsidR="00B9709A" w:rsidRPr="00A06A3E" w:rsidRDefault="00B9709A" w:rsidP="00FE1A89">
            <w:pPr>
              <w:jc w:val="both"/>
              <w:rPr>
                <w:rFonts w:eastAsia="Calibri"/>
                <w:sz w:val="20"/>
                <w:szCs w:val="20"/>
                <w:lang w:val="fr-CA"/>
              </w:rPr>
            </w:pPr>
          </w:p>
        </w:tc>
      </w:tr>
      <w:tr w:rsidR="00B9709A" w:rsidRPr="005C0D71" w:rsidTr="00FE1A89">
        <w:tc>
          <w:tcPr>
            <w:tcW w:w="5000" w:type="pct"/>
            <w:gridSpan w:val="3"/>
          </w:tcPr>
          <w:p w:rsidR="00B9709A" w:rsidRPr="00A06A3E" w:rsidRDefault="00B9709A" w:rsidP="00FE1A89">
            <w:pPr>
              <w:jc w:val="both"/>
              <w:rPr>
                <w:rFonts w:eastAsia="Calibri"/>
                <w:sz w:val="20"/>
                <w:szCs w:val="20"/>
                <w:lang w:val="fr-CA"/>
              </w:rPr>
            </w:pPr>
            <w:r w:rsidRPr="00A06A3E">
              <w:rPr>
                <w:rFonts w:eastAsia="Calibri"/>
                <w:sz w:val="20"/>
                <w:szCs w:val="20"/>
                <w:lang w:val="fr-CA"/>
              </w:rPr>
              <w:t>En 2010, le parlement fédéral adopte une loi qui a notamment pour effet de fermer le Compte d'</w:t>
            </w:r>
            <w:proofErr w:type="spellStart"/>
            <w:r w:rsidRPr="00A06A3E">
              <w:rPr>
                <w:rFonts w:eastAsia="Calibri"/>
                <w:sz w:val="20"/>
                <w:szCs w:val="20"/>
                <w:lang w:val="fr-CA"/>
              </w:rPr>
              <w:t>assurance</w:t>
            </w:r>
            <w:r w:rsidRPr="00A06A3E">
              <w:rPr>
                <w:rFonts w:eastAsia="Calibri"/>
                <w:sz w:val="20"/>
                <w:szCs w:val="20"/>
                <w:lang w:val="fr-CA"/>
              </w:rPr>
              <w:noBreakHyphen/>
              <w:t>emploi</w:t>
            </w:r>
            <w:proofErr w:type="spellEnd"/>
            <w:r w:rsidRPr="00A06A3E">
              <w:rPr>
                <w:rFonts w:eastAsia="Calibri"/>
                <w:sz w:val="20"/>
                <w:szCs w:val="20"/>
                <w:lang w:val="fr-CA"/>
              </w:rPr>
              <w:t xml:space="preserve"> au 1</w:t>
            </w:r>
            <w:r w:rsidRPr="00A06A3E">
              <w:rPr>
                <w:rFonts w:eastAsia="Calibri"/>
                <w:sz w:val="20"/>
                <w:szCs w:val="20"/>
                <w:vertAlign w:val="superscript"/>
                <w:lang w:val="fr-CA"/>
              </w:rPr>
              <w:t>er</w:t>
            </w:r>
            <w:r w:rsidRPr="00A06A3E">
              <w:rPr>
                <w:rFonts w:eastAsia="Calibri"/>
                <w:sz w:val="20"/>
                <w:szCs w:val="20"/>
                <w:lang w:val="fr-CA"/>
              </w:rPr>
              <w:t> janvier 2009 et d’ouvrir le Compte des opérations de l'</w:t>
            </w:r>
            <w:proofErr w:type="spellStart"/>
            <w:r w:rsidRPr="00A06A3E">
              <w:rPr>
                <w:rFonts w:eastAsia="Calibri"/>
                <w:sz w:val="20"/>
                <w:szCs w:val="20"/>
                <w:lang w:val="fr-CA"/>
              </w:rPr>
              <w:t>assurance</w:t>
            </w:r>
            <w:r w:rsidRPr="00A06A3E">
              <w:rPr>
                <w:rFonts w:eastAsia="Calibri"/>
                <w:sz w:val="20"/>
                <w:szCs w:val="20"/>
                <w:lang w:val="fr-CA"/>
              </w:rPr>
              <w:noBreakHyphen/>
              <w:t>emploi</w:t>
            </w:r>
            <w:proofErr w:type="spellEnd"/>
            <w:r w:rsidRPr="00A06A3E">
              <w:rPr>
                <w:rFonts w:eastAsia="Calibri"/>
                <w:sz w:val="20"/>
                <w:szCs w:val="20"/>
                <w:lang w:val="fr-CA"/>
              </w:rPr>
              <w:t xml:space="preserve">, sans mention du solde créditeur de plus de 57 milliards.  Les centrales syndicales tentent de faire déclarer cette initiative inconstitutionnelle.  Le procureur général du Canada présente un moyen d'irrecevabilité : il soutient que la question a été tranchée par la Cour dans </w:t>
            </w:r>
            <w:r w:rsidRPr="00A06A3E">
              <w:rPr>
                <w:rFonts w:eastAsia="Calibri"/>
                <w:i/>
                <w:sz w:val="20"/>
                <w:szCs w:val="20"/>
                <w:lang w:val="fr-CA"/>
              </w:rPr>
              <w:t>CSN c. P.G. Canada</w:t>
            </w:r>
            <w:r w:rsidRPr="00A06A3E">
              <w:rPr>
                <w:rFonts w:eastAsia="Calibri"/>
                <w:sz w:val="20"/>
                <w:szCs w:val="20"/>
                <w:lang w:val="fr-CA"/>
              </w:rPr>
              <w:t>, [2008] 3 R.C.S. 511.</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23 janvier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supérieure du Québec</w:t>
            </w:r>
          </w:p>
          <w:p w:rsidR="00B9709A" w:rsidRPr="00A06A3E" w:rsidRDefault="00B9709A" w:rsidP="00FE1A89">
            <w:pPr>
              <w:jc w:val="both"/>
              <w:rPr>
                <w:rFonts w:eastAsia="Calibri"/>
                <w:sz w:val="20"/>
                <w:szCs w:val="20"/>
                <w:lang w:val="fr-CA"/>
              </w:rPr>
            </w:pPr>
            <w:r w:rsidRPr="00A06A3E">
              <w:rPr>
                <w:rFonts w:eastAsia="Calibri"/>
                <w:sz w:val="20"/>
                <w:szCs w:val="20"/>
                <w:lang w:val="fr-CA"/>
              </w:rPr>
              <w:t>(La juge Perrault)</w:t>
            </w:r>
          </w:p>
          <w:p w:rsidR="00B9709A" w:rsidRPr="00A06A3E" w:rsidRDefault="00B9709A" w:rsidP="00FE1A89">
            <w:pPr>
              <w:jc w:val="both"/>
              <w:rPr>
                <w:rFonts w:eastAsia="Calibri"/>
                <w:sz w:val="20"/>
                <w:szCs w:val="20"/>
                <w:lang w:val="fr-CA"/>
              </w:rPr>
            </w:pPr>
            <w:r w:rsidRPr="00A06A3E">
              <w:rPr>
                <w:rFonts w:eastAsia="Calibri"/>
                <w:sz w:val="20"/>
                <w:szCs w:val="20"/>
                <w:lang w:val="fr-CA"/>
              </w:rPr>
              <w:t>2012 QCCS 128</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Requête du demandeur en irrecevabilité de la l’action déclaratoire des intimés accueillie.</w:t>
            </w:r>
          </w:p>
          <w:p w:rsidR="00B9709A" w:rsidRPr="00A06A3E" w:rsidRDefault="00B9709A" w:rsidP="00FE1A89">
            <w:pPr>
              <w:jc w:val="both"/>
              <w:rPr>
                <w:rFonts w:eastAsia="Calibri"/>
                <w:sz w:val="20"/>
                <w:szCs w:val="20"/>
                <w:lang w:val="fr-CA"/>
              </w:rPr>
            </w:pPr>
          </w:p>
        </w:tc>
      </w:tr>
      <w:tr w:rsidR="00B9709A" w:rsidRPr="00A06A3E" w:rsidTr="00D113B1">
        <w:trPr>
          <w:cantSplit/>
        </w:trPr>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lastRenderedPageBreak/>
              <w:t>Le 10 octobre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d’appel du Québec (Montréal)</w:t>
            </w:r>
          </w:p>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(Les juges Morissette, Fournier et </w:t>
            </w:r>
            <w:proofErr w:type="spellStart"/>
            <w:r w:rsidRPr="00A06A3E">
              <w:rPr>
                <w:rFonts w:eastAsia="Calibri"/>
                <w:sz w:val="20"/>
                <w:szCs w:val="20"/>
                <w:lang w:val="fr-CA"/>
              </w:rPr>
              <w:t>St</w:t>
            </w:r>
            <w:r w:rsidRPr="00A06A3E">
              <w:rPr>
                <w:rFonts w:eastAsia="Calibri"/>
                <w:sz w:val="20"/>
                <w:szCs w:val="20"/>
                <w:lang w:val="fr-CA"/>
              </w:rPr>
              <w:noBreakHyphen/>
              <w:t>Pierre</w:t>
            </w:r>
            <w:proofErr w:type="spellEnd"/>
            <w:r w:rsidRPr="00A06A3E">
              <w:rPr>
                <w:rFonts w:eastAsia="Calibri"/>
                <w:sz w:val="20"/>
                <w:szCs w:val="20"/>
                <w:lang w:val="fr-CA"/>
              </w:rPr>
              <w:t>)</w:t>
            </w:r>
          </w:p>
          <w:p w:rsidR="00B9709A" w:rsidRPr="00A06A3E" w:rsidRDefault="00B9709A" w:rsidP="00FE1A89">
            <w:pPr>
              <w:jc w:val="both"/>
              <w:rPr>
                <w:rFonts w:eastAsia="Calibri"/>
                <w:sz w:val="20"/>
                <w:szCs w:val="20"/>
                <w:lang w:val="fr-CA"/>
              </w:rPr>
            </w:pPr>
            <w:r w:rsidRPr="00A06A3E">
              <w:rPr>
                <w:rFonts w:eastAsia="Calibri"/>
                <w:sz w:val="20"/>
                <w:szCs w:val="20"/>
                <w:lang w:val="fr-CA"/>
              </w:rPr>
              <w:t>2012 QCCA 1822</w:t>
            </w:r>
          </w:p>
          <w:p w:rsidR="00B9709A" w:rsidRPr="00A06A3E" w:rsidRDefault="00B9709A" w:rsidP="00FE1A89">
            <w:pPr>
              <w:jc w:val="both"/>
              <w:rPr>
                <w:rFonts w:eastAsia="Calibri"/>
                <w:sz w:val="20"/>
                <w:szCs w:val="20"/>
                <w:lang w:val="fr-FR"/>
              </w:rPr>
            </w:pP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Appel accueilli; requête rejetée.</w:t>
            </w:r>
          </w:p>
        </w:tc>
      </w:tr>
      <w:tr w:rsidR="00B9709A" w:rsidRPr="00A06A3E" w:rsidTr="00D113B1">
        <w:trPr>
          <w:cantSplit/>
        </w:trPr>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10 décembre 2012</w:t>
            </w:r>
          </w:p>
          <w:p w:rsidR="00B9709A" w:rsidRPr="00A06A3E" w:rsidRDefault="00B9709A" w:rsidP="00FE1A89">
            <w:pPr>
              <w:jc w:val="both"/>
              <w:rPr>
                <w:rFonts w:eastAsia="Calibri"/>
                <w:sz w:val="20"/>
                <w:szCs w:val="20"/>
                <w:lang w:val="fr-FR"/>
              </w:rPr>
            </w:pPr>
            <w:r w:rsidRPr="00A06A3E">
              <w:rPr>
                <w:rFonts w:eastAsia="Calibri"/>
                <w:sz w:val="20"/>
                <w:szCs w:val="20"/>
                <w:lang w:val="fr-CA"/>
              </w:rPr>
              <w:t>Cour suprême du Canada</w:t>
            </w: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Demande d'autorisation d'appel déposée.</w:t>
            </w:r>
          </w:p>
          <w:p w:rsidR="00B9709A" w:rsidRPr="00A06A3E" w:rsidRDefault="00B9709A" w:rsidP="00FE1A89">
            <w:pPr>
              <w:jc w:val="both"/>
              <w:rPr>
                <w:rFonts w:eastAsia="Calibri"/>
                <w:sz w:val="20"/>
                <w:szCs w:val="20"/>
                <w:lang w:val="fr-CA"/>
              </w:rPr>
            </w:pPr>
          </w:p>
        </w:tc>
      </w:tr>
    </w:tbl>
    <w:p w:rsidR="00EA167C" w:rsidRDefault="00EA167C" w:rsidP="00EA167C">
      <w:pPr>
        <w:rPr>
          <w:sz w:val="20"/>
          <w:szCs w:val="20"/>
        </w:rPr>
      </w:pPr>
    </w:p>
    <w:p w:rsidR="00EA167C" w:rsidRDefault="0017005E" w:rsidP="00EA167C">
      <w:pPr>
        <w:rPr>
          <w:sz w:val="20"/>
          <w:szCs w:val="20"/>
          <w:lang w:val="fr-CA"/>
        </w:rPr>
      </w:pPr>
      <w:r w:rsidRPr="0017005E">
        <w:rPr>
          <w:sz w:val="20"/>
          <w:szCs w:val="20"/>
          <w:lang w:val="fr-CA"/>
        </w:rPr>
        <w:pict>
          <v:rect id="_x0000_i1045" style="width:2in;height:1pt" o:hrpct="0" o:hralign="center" o:hrstd="t" o:hrnoshade="t" o:hr="t" fillcolor="black [3213]" stroked="f"/>
        </w:pict>
      </w:r>
    </w:p>
    <w:p w:rsidR="00EA167C" w:rsidRDefault="00EA167C" w:rsidP="00EA167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13B1" w:rsidRPr="005C0D71" w:rsidTr="008A1E3D">
        <w:trPr>
          <w:cantSplit/>
        </w:trPr>
        <w:tc>
          <w:tcPr>
            <w:tcW w:w="1458" w:type="dxa"/>
          </w:tcPr>
          <w:p w:rsidR="00D113B1" w:rsidRPr="008902B9" w:rsidRDefault="00D113B1" w:rsidP="008A1E3D">
            <w:pPr>
              <w:rPr>
                <w:sz w:val="20"/>
                <w:szCs w:val="20"/>
              </w:rPr>
            </w:pPr>
            <w:r w:rsidRPr="008902B9">
              <w:rPr>
                <w:rStyle w:val="SCCFileNumberChar"/>
                <w:sz w:val="20"/>
                <w:szCs w:val="20"/>
              </w:rPr>
              <w:t>35198</w:t>
            </w:r>
          </w:p>
          <w:p w:rsidR="00D113B1" w:rsidRPr="008902B9" w:rsidRDefault="00D113B1" w:rsidP="008A1E3D">
            <w:pPr>
              <w:rPr>
                <w:b/>
                <w:sz w:val="20"/>
                <w:szCs w:val="20"/>
                <w:lang w:val="fr-CA"/>
              </w:rPr>
            </w:pPr>
          </w:p>
        </w:tc>
        <w:tc>
          <w:tcPr>
            <w:tcW w:w="8118" w:type="dxa"/>
          </w:tcPr>
          <w:p w:rsidR="00D113B1" w:rsidRPr="008902B9" w:rsidRDefault="00D113B1" w:rsidP="008A1E3D">
            <w:pPr>
              <w:rPr>
                <w:sz w:val="20"/>
                <w:szCs w:val="20"/>
                <w:lang w:val="fr-CA"/>
              </w:rPr>
            </w:pPr>
            <w:r w:rsidRPr="008902B9">
              <w:rPr>
                <w:rStyle w:val="SCCLsocChar"/>
                <w:sz w:val="20"/>
                <w:szCs w:val="20"/>
              </w:rPr>
              <w:t xml:space="preserve">Stéphane </w:t>
            </w:r>
            <w:proofErr w:type="spellStart"/>
            <w:r w:rsidRPr="008902B9">
              <w:rPr>
                <w:rStyle w:val="SCCLsocChar"/>
                <w:sz w:val="20"/>
                <w:szCs w:val="20"/>
              </w:rPr>
              <w:t>Marleau</w:t>
            </w:r>
            <w:proofErr w:type="spellEnd"/>
            <w:r w:rsidRPr="008902B9">
              <w:rPr>
                <w:rStyle w:val="SCCLsocChar"/>
                <w:sz w:val="20"/>
                <w:szCs w:val="20"/>
              </w:rPr>
              <w:t xml:space="preserve"> c. Sa Majesté la Reine</w:t>
            </w:r>
            <w:r w:rsidRPr="008902B9">
              <w:rPr>
                <w:sz w:val="20"/>
                <w:szCs w:val="20"/>
                <w:lang w:val="fr-CA"/>
              </w:rPr>
              <w:t xml:space="preserve"> (</w:t>
            </w:r>
            <w:proofErr w:type="spellStart"/>
            <w:r w:rsidRPr="008902B9">
              <w:rPr>
                <w:sz w:val="20"/>
                <w:szCs w:val="20"/>
                <w:lang w:val="fr-CA"/>
              </w:rPr>
              <w:t>Qc</w:t>
            </w:r>
            <w:proofErr w:type="spellEnd"/>
            <w:r w:rsidRPr="008902B9">
              <w:rPr>
                <w:sz w:val="20"/>
                <w:szCs w:val="20"/>
                <w:lang w:val="fr-CA"/>
              </w:rPr>
              <w:t>) (Criminelle) (Autorisation)</w:t>
            </w:r>
          </w:p>
          <w:p w:rsidR="00D113B1" w:rsidRPr="008902B9" w:rsidRDefault="00D113B1" w:rsidP="008A1E3D">
            <w:pPr>
              <w:rPr>
                <w:sz w:val="20"/>
                <w:szCs w:val="20"/>
                <w:lang w:val="fr-CA"/>
              </w:rPr>
            </w:pPr>
          </w:p>
        </w:tc>
      </w:tr>
      <w:tr w:rsidR="00D113B1" w:rsidRPr="005C0D71" w:rsidTr="008A1E3D">
        <w:trPr>
          <w:cantSplit/>
        </w:trPr>
        <w:tc>
          <w:tcPr>
            <w:tcW w:w="1458" w:type="dxa"/>
          </w:tcPr>
          <w:p w:rsidR="00D113B1" w:rsidRPr="008902B9" w:rsidRDefault="00D113B1" w:rsidP="008A1E3D">
            <w:pPr>
              <w:rPr>
                <w:sz w:val="20"/>
                <w:szCs w:val="20"/>
              </w:rPr>
            </w:pPr>
            <w:r w:rsidRPr="008902B9">
              <w:rPr>
                <w:sz w:val="20"/>
                <w:szCs w:val="20"/>
              </w:rPr>
              <w:t>Coram :</w:t>
            </w:r>
          </w:p>
        </w:tc>
        <w:tc>
          <w:tcPr>
            <w:tcW w:w="8118" w:type="dxa"/>
          </w:tcPr>
          <w:p w:rsidR="00D113B1" w:rsidRPr="008902B9" w:rsidRDefault="00D113B1" w:rsidP="008A1E3D">
            <w:pPr>
              <w:rPr>
                <w:sz w:val="20"/>
                <w:szCs w:val="20"/>
                <w:lang w:val="fr-CA"/>
              </w:rPr>
            </w:pPr>
            <w:r w:rsidRPr="008902B9">
              <w:rPr>
                <w:rStyle w:val="SCCCoramChar"/>
                <w:sz w:val="20"/>
                <w:szCs w:val="20"/>
              </w:rPr>
              <w:t xml:space="preserve">Les juges </w:t>
            </w:r>
            <w:proofErr w:type="spellStart"/>
            <w:r w:rsidRPr="008902B9">
              <w:rPr>
                <w:rStyle w:val="SCCCoramChar"/>
                <w:sz w:val="20"/>
                <w:szCs w:val="20"/>
              </w:rPr>
              <w:t>LeBel</w:t>
            </w:r>
            <w:proofErr w:type="spellEnd"/>
            <w:r w:rsidRPr="008902B9">
              <w:rPr>
                <w:rStyle w:val="SCCCoramChar"/>
                <w:sz w:val="20"/>
                <w:szCs w:val="20"/>
              </w:rPr>
              <w:t xml:space="preserve">, </w:t>
            </w:r>
            <w:proofErr w:type="spellStart"/>
            <w:r w:rsidRPr="008902B9">
              <w:rPr>
                <w:rStyle w:val="SCCCoramChar"/>
                <w:sz w:val="20"/>
                <w:szCs w:val="20"/>
              </w:rPr>
              <w:t>Karakatsanis</w:t>
            </w:r>
            <w:proofErr w:type="spellEnd"/>
            <w:r w:rsidRPr="008902B9">
              <w:rPr>
                <w:rStyle w:val="SCCCoramChar"/>
                <w:sz w:val="20"/>
                <w:szCs w:val="20"/>
              </w:rPr>
              <w:t xml:space="preserve"> et Wagner</w:t>
            </w:r>
          </w:p>
          <w:p w:rsidR="00D113B1" w:rsidRPr="008902B9" w:rsidRDefault="00D113B1" w:rsidP="008A1E3D">
            <w:pPr>
              <w:rPr>
                <w:sz w:val="20"/>
                <w:szCs w:val="20"/>
                <w:u w:val="single"/>
                <w:lang w:val="fr-CA"/>
              </w:rPr>
            </w:pPr>
          </w:p>
        </w:tc>
      </w:tr>
      <w:tr w:rsidR="00D113B1" w:rsidRPr="008902B9" w:rsidTr="008A1E3D">
        <w:trPr>
          <w:cantSplit/>
        </w:trPr>
        <w:tc>
          <w:tcPr>
            <w:tcW w:w="9576" w:type="dxa"/>
            <w:gridSpan w:val="2"/>
          </w:tcPr>
          <w:p w:rsidR="00D113B1" w:rsidRPr="008902B9" w:rsidRDefault="00D113B1" w:rsidP="008A1E3D">
            <w:pPr>
              <w:pStyle w:val="SCCShortJudgment"/>
              <w:rPr>
                <w:szCs w:val="20"/>
                <w:lang w:val="fr-CA"/>
              </w:rPr>
            </w:pPr>
            <w:r w:rsidRPr="008902B9">
              <w:rPr>
                <w:szCs w:val="20"/>
                <w:lang w:val="fr-CA"/>
              </w:rPr>
              <w:t>La requête en prorogation du délai de signification et de dépôt de la demande d’autorisation d’appel est accueillie. La requête en nomination d’un avocat est rejetée. La demande d’autorisation d’appel de l’arrêt de la Cour d’appel du Québec (Montréal), numéro 500-10-005216-120, 2012 QCCA 1960, daté du 2 novembre 2012, est rejetée sans dépens.</w:t>
            </w:r>
          </w:p>
          <w:p w:rsidR="00D113B1" w:rsidRPr="008902B9" w:rsidRDefault="00D113B1" w:rsidP="008A1E3D">
            <w:pPr>
              <w:pStyle w:val="SCCShortJudgment"/>
              <w:ind w:firstLine="0"/>
              <w:rPr>
                <w:szCs w:val="20"/>
                <w:lang w:val="fr-CA"/>
              </w:rPr>
            </w:pPr>
          </w:p>
          <w:p w:rsidR="00D113B1" w:rsidRPr="008902B9" w:rsidRDefault="00D113B1" w:rsidP="008A1E3D">
            <w:pPr>
              <w:pStyle w:val="SCCShortJudgment"/>
              <w:rPr>
                <w:szCs w:val="20"/>
              </w:rPr>
            </w:pPr>
            <w:r w:rsidRPr="008902B9">
              <w:rPr>
                <w:szCs w:val="20"/>
              </w:rPr>
              <w:t>The motion for an extension of time to serve and file the application for leave to appeal is granted. The motion to appoint counsel is dismissed. The application for leave to appeal from the judgment of the Court of Appeal of Quebec (Montréal), Number 500-10-005216-120, 2012 QCCA 1960, dated November 2, 2012, is dismissed without costs.</w:t>
            </w:r>
          </w:p>
        </w:tc>
      </w:tr>
    </w:tbl>
    <w:p w:rsidR="00EA167C" w:rsidRDefault="00EA167C" w:rsidP="00EA167C">
      <w:pPr>
        <w:rPr>
          <w:sz w:val="20"/>
          <w:szCs w:val="20"/>
        </w:rPr>
      </w:pPr>
    </w:p>
    <w:p w:rsidR="00EA167C" w:rsidRPr="001B157C" w:rsidRDefault="00EA167C" w:rsidP="00EA167C">
      <w:pPr>
        <w:rPr>
          <w:sz w:val="20"/>
          <w:szCs w:val="20"/>
          <w:u w:val="single"/>
        </w:rPr>
      </w:pPr>
      <w:r w:rsidRPr="001B157C">
        <w:rPr>
          <w:sz w:val="20"/>
          <w:szCs w:val="20"/>
          <w:u w:val="single"/>
        </w:rPr>
        <w:t>CASE SUMMARY</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A06A3E" w:rsidTr="00FE1A89">
        <w:tc>
          <w:tcPr>
            <w:tcW w:w="5000" w:type="pct"/>
            <w:gridSpan w:val="3"/>
          </w:tcPr>
          <w:p w:rsidR="00B9709A" w:rsidRPr="00A06A3E" w:rsidRDefault="00B9709A" w:rsidP="00FE1A89">
            <w:pPr>
              <w:jc w:val="both"/>
              <w:rPr>
                <w:rFonts w:eastAsia="Calibri"/>
                <w:smallCaps/>
                <w:sz w:val="20"/>
                <w:szCs w:val="20"/>
              </w:rPr>
            </w:pPr>
            <w:r w:rsidRPr="00A06A3E">
              <w:rPr>
                <w:rFonts w:eastAsia="Calibri"/>
                <w:sz w:val="20"/>
                <w:szCs w:val="20"/>
              </w:rPr>
              <w:t xml:space="preserve">Criminal law – Evidence – Disclosure – Prosecution failing to disclose evidence before accused pleaded guilty – Accused seeking to appeal robbery conviction – Defences – Alibi – Burden of proof – Whether trial judge imposed burden on accused to establish alibi beyond reasonable doubt – Representation by counsel – Accused incarcerated in institution far from urban centres and therefore having difficulty retaining counsel – Whether Court of Appeal erred in dismissing </w:t>
            </w:r>
            <w:proofErr w:type="spellStart"/>
            <w:r w:rsidRPr="00A06A3E">
              <w:rPr>
                <w:rFonts w:eastAsia="Calibri"/>
                <w:sz w:val="20"/>
                <w:szCs w:val="20"/>
              </w:rPr>
              <w:t>accused’s</w:t>
            </w:r>
            <w:proofErr w:type="spellEnd"/>
            <w:r w:rsidRPr="00A06A3E">
              <w:rPr>
                <w:rFonts w:eastAsia="Calibri"/>
                <w:sz w:val="20"/>
                <w:szCs w:val="20"/>
              </w:rPr>
              <w:t xml:space="preserve"> motions.</w:t>
            </w:r>
          </w:p>
        </w:tc>
      </w:tr>
      <w:tr w:rsidR="00B9709A" w:rsidRPr="00A06A3E" w:rsidTr="00FE1A89">
        <w:tc>
          <w:tcPr>
            <w:tcW w:w="5000" w:type="pct"/>
            <w:gridSpan w:val="3"/>
          </w:tcPr>
          <w:p w:rsidR="00B9709A" w:rsidRPr="00A06A3E" w:rsidRDefault="00B9709A" w:rsidP="00FE1A89">
            <w:pPr>
              <w:jc w:val="both"/>
              <w:rPr>
                <w:rFonts w:eastAsia="Calibri"/>
                <w:sz w:val="20"/>
                <w:szCs w:val="20"/>
              </w:rPr>
            </w:pPr>
          </w:p>
        </w:tc>
      </w:tr>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Mr. </w:t>
            </w:r>
            <w:proofErr w:type="spellStart"/>
            <w:r w:rsidRPr="00A06A3E">
              <w:rPr>
                <w:rFonts w:eastAsia="Calibri"/>
                <w:sz w:val="20"/>
                <w:szCs w:val="20"/>
              </w:rPr>
              <w:t>Marleau</w:t>
            </w:r>
            <w:proofErr w:type="spellEnd"/>
            <w:r w:rsidRPr="00A06A3E">
              <w:rPr>
                <w:rFonts w:eastAsia="Calibri"/>
                <w:sz w:val="20"/>
                <w:szCs w:val="20"/>
              </w:rPr>
              <w:t xml:space="preserve"> was convicted of robbery in 2005 in the Court of Québec.  The robbery had been caught on videotape and the videotape had been entered into evidence at trial.  Mr. </w:t>
            </w:r>
            <w:proofErr w:type="spellStart"/>
            <w:r w:rsidRPr="00A06A3E">
              <w:rPr>
                <w:rFonts w:eastAsia="Calibri"/>
                <w:sz w:val="20"/>
                <w:szCs w:val="20"/>
              </w:rPr>
              <w:t>Marleau</w:t>
            </w:r>
            <w:proofErr w:type="spellEnd"/>
            <w:r w:rsidRPr="00A06A3E">
              <w:rPr>
                <w:rFonts w:eastAsia="Calibri"/>
                <w:sz w:val="20"/>
                <w:szCs w:val="20"/>
              </w:rPr>
              <w:t>, who was represented by counsel, pleaded guilty even though he allegedly did not remember committing the robbery.  According to him, he had no memory of the relevant period because he had often been highly intoxicated during that time.  Although he admitted committing many other thefts, he alleged that he had no memory of this one in particular.</w:t>
            </w:r>
          </w:p>
          <w:p w:rsidR="00B9709A" w:rsidRPr="00A06A3E" w:rsidRDefault="00B9709A" w:rsidP="00FE1A89">
            <w:pPr>
              <w:jc w:val="both"/>
              <w:rPr>
                <w:rFonts w:eastAsia="Calibri"/>
                <w:sz w:val="20"/>
                <w:szCs w:val="20"/>
              </w:rPr>
            </w:pPr>
          </w:p>
          <w:p w:rsidR="00B9709A" w:rsidRPr="00A06A3E" w:rsidRDefault="00B9709A" w:rsidP="00FE1A89">
            <w:pPr>
              <w:jc w:val="both"/>
              <w:rPr>
                <w:rFonts w:eastAsia="Calibri"/>
                <w:sz w:val="20"/>
                <w:szCs w:val="20"/>
              </w:rPr>
            </w:pPr>
            <w:r w:rsidRPr="00A06A3E">
              <w:rPr>
                <w:rFonts w:eastAsia="Calibri"/>
                <w:sz w:val="20"/>
                <w:szCs w:val="20"/>
              </w:rPr>
              <w:t>It was not until after his guilty plea that Mr. </w:t>
            </w:r>
            <w:proofErr w:type="spellStart"/>
            <w:r w:rsidRPr="00A06A3E">
              <w:rPr>
                <w:rFonts w:eastAsia="Calibri"/>
                <w:sz w:val="20"/>
                <w:szCs w:val="20"/>
              </w:rPr>
              <w:t>Marleau</w:t>
            </w:r>
            <w:proofErr w:type="spellEnd"/>
            <w:r w:rsidRPr="00A06A3E">
              <w:rPr>
                <w:rFonts w:eastAsia="Calibri"/>
                <w:sz w:val="20"/>
                <w:szCs w:val="20"/>
              </w:rPr>
              <w:t xml:space="preserve"> learned there was a photograph of the robber that had been taken from the video given to the defence.  Mr. </w:t>
            </w:r>
            <w:proofErr w:type="spellStart"/>
            <w:r w:rsidRPr="00A06A3E">
              <w:rPr>
                <w:rFonts w:eastAsia="Calibri"/>
                <w:sz w:val="20"/>
                <w:szCs w:val="20"/>
              </w:rPr>
              <w:t>Marleau</w:t>
            </w:r>
            <w:proofErr w:type="spellEnd"/>
            <w:r w:rsidRPr="00A06A3E">
              <w:rPr>
                <w:rFonts w:eastAsia="Calibri"/>
                <w:sz w:val="20"/>
                <w:szCs w:val="20"/>
              </w:rPr>
              <w:t xml:space="preserve"> alleged that, when he received the photograph, he realized that he was not the man in the photograph and that he could not have committed the robbery.</w:t>
            </w:r>
          </w:p>
          <w:p w:rsidR="00B9709A" w:rsidRPr="00A06A3E" w:rsidRDefault="00B9709A" w:rsidP="00FE1A89">
            <w:pPr>
              <w:jc w:val="both"/>
              <w:rPr>
                <w:rFonts w:eastAsia="Calibri"/>
                <w:sz w:val="20"/>
                <w:szCs w:val="20"/>
              </w:rPr>
            </w:pPr>
          </w:p>
          <w:p w:rsidR="00B9709A" w:rsidRPr="00A06A3E" w:rsidRDefault="00B9709A" w:rsidP="00FE1A89">
            <w:pPr>
              <w:jc w:val="both"/>
              <w:rPr>
                <w:rFonts w:eastAsia="Calibri"/>
                <w:sz w:val="20"/>
                <w:szCs w:val="20"/>
              </w:rPr>
            </w:pPr>
            <w:r w:rsidRPr="00A06A3E">
              <w:rPr>
                <w:rFonts w:eastAsia="Calibri"/>
                <w:sz w:val="20"/>
                <w:szCs w:val="20"/>
              </w:rPr>
              <w:t>In 2012, Mr. </w:t>
            </w:r>
            <w:proofErr w:type="spellStart"/>
            <w:r w:rsidRPr="00A06A3E">
              <w:rPr>
                <w:rFonts w:eastAsia="Calibri"/>
                <w:sz w:val="20"/>
                <w:szCs w:val="20"/>
              </w:rPr>
              <w:t>Marleau</w:t>
            </w:r>
            <w:proofErr w:type="spellEnd"/>
            <w:r w:rsidRPr="00A06A3E">
              <w:rPr>
                <w:rFonts w:eastAsia="Calibri"/>
                <w:sz w:val="20"/>
                <w:szCs w:val="20"/>
              </w:rPr>
              <w:t xml:space="preserve"> filed numerous motions in the Quebec Court of Appeal.</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February 2, 2005</w:t>
            </w:r>
          </w:p>
          <w:p w:rsidR="00B9709A" w:rsidRPr="00A06A3E" w:rsidRDefault="00B9709A" w:rsidP="00FE1A89">
            <w:pPr>
              <w:jc w:val="both"/>
              <w:rPr>
                <w:rFonts w:eastAsia="Calibri"/>
                <w:sz w:val="20"/>
                <w:szCs w:val="20"/>
              </w:rPr>
            </w:pPr>
            <w:r w:rsidRPr="00A06A3E">
              <w:rPr>
                <w:rFonts w:eastAsia="Calibri"/>
                <w:sz w:val="20"/>
                <w:szCs w:val="20"/>
              </w:rPr>
              <w:t>Court of Québec</w:t>
            </w:r>
          </w:p>
          <w:p w:rsidR="00B9709A" w:rsidRPr="00A06A3E" w:rsidRDefault="00B9709A" w:rsidP="00FE1A89">
            <w:pPr>
              <w:jc w:val="both"/>
              <w:rPr>
                <w:rFonts w:eastAsia="Calibri"/>
                <w:sz w:val="20"/>
                <w:szCs w:val="20"/>
              </w:rPr>
            </w:pPr>
            <w:r w:rsidRPr="00A06A3E">
              <w:rPr>
                <w:rFonts w:eastAsia="Calibri"/>
                <w:sz w:val="20"/>
                <w:szCs w:val="20"/>
              </w:rPr>
              <w:t>(Judge Landry)</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Accused convicted of robbery and sentenced to two years of imprisonment</w:t>
            </w:r>
          </w:p>
          <w:p w:rsidR="00B9709A" w:rsidRPr="00A06A3E" w:rsidRDefault="00B9709A" w:rsidP="00FE1A89">
            <w:pPr>
              <w:jc w:val="both"/>
              <w:rPr>
                <w:rFonts w:eastAsia="Calibri"/>
                <w:sz w:val="20"/>
                <w:szCs w:val="20"/>
              </w:rPr>
            </w:pPr>
          </w:p>
        </w:tc>
      </w:tr>
      <w:tr w:rsidR="00B9709A" w:rsidRPr="00A06A3E" w:rsidTr="00D113B1">
        <w:trPr>
          <w:cantSplit/>
        </w:trPr>
        <w:tc>
          <w:tcPr>
            <w:tcW w:w="2427" w:type="pct"/>
          </w:tcPr>
          <w:p w:rsidR="00B9709A" w:rsidRPr="00A06A3E" w:rsidRDefault="00B9709A" w:rsidP="00FE1A89">
            <w:pPr>
              <w:jc w:val="both"/>
              <w:rPr>
                <w:rFonts w:eastAsia="Calibri"/>
                <w:sz w:val="20"/>
                <w:szCs w:val="20"/>
              </w:rPr>
            </w:pPr>
            <w:r w:rsidRPr="00A06A3E">
              <w:rPr>
                <w:rFonts w:eastAsia="Calibri"/>
                <w:sz w:val="20"/>
                <w:szCs w:val="20"/>
              </w:rPr>
              <w:lastRenderedPageBreak/>
              <w:t>September 13, 2012</w:t>
            </w:r>
          </w:p>
          <w:p w:rsidR="00B9709A" w:rsidRPr="00A06A3E" w:rsidRDefault="00B9709A" w:rsidP="00FE1A89">
            <w:pPr>
              <w:jc w:val="both"/>
              <w:rPr>
                <w:rFonts w:eastAsia="Calibri"/>
                <w:sz w:val="20"/>
                <w:szCs w:val="20"/>
              </w:rPr>
            </w:pPr>
            <w:r w:rsidRPr="00A06A3E">
              <w:rPr>
                <w:rFonts w:eastAsia="Calibri"/>
                <w:sz w:val="20"/>
                <w:szCs w:val="20"/>
              </w:rPr>
              <w:t>Quebec Court of Appeal (Montréal)</w:t>
            </w:r>
          </w:p>
          <w:p w:rsidR="00B9709A" w:rsidRPr="00A06A3E" w:rsidRDefault="00B9709A"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Gascon</w:t>
            </w:r>
            <w:proofErr w:type="spellEnd"/>
            <w:r w:rsidRPr="00A06A3E">
              <w:rPr>
                <w:rFonts w:eastAsia="Calibri"/>
                <w:sz w:val="20"/>
                <w:szCs w:val="20"/>
              </w:rPr>
              <w:t xml:space="preserve"> J.A.)</w:t>
            </w:r>
          </w:p>
          <w:p w:rsidR="00B9709A" w:rsidRPr="00A06A3E" w:rsidRDefault="00B9709A" w:rsidP="00FE1A89">
            <w:pPr>
              <w:jc w:val="both"/>
              <w:rPr>
                <w:rFonts w:eastAsia="Calibri"/>
                <w:sz w:val="20"/>
                <w:szCs w:val="20"/>
              </w:rPr>
            </w:pPr>
            <w:r w:rsidRPr="00A06A3E">
              <w:rPr>
                <w:rFonts w:eastAsia="Calibri"/>
                <w:sz w:val="20"/>
                <w:szCs w:val="20"/>
              </w:rPr>
              <w:t>2012 QCCA 1646</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Motion to extend time to appeal conviction postponed; motions to appoint counsel and for court costs and fees dismissed</w:t>
            </w:r>
          </w:p>
        </w:tc>
      </w:tr>
      <w:tr w:rsidR="00B9709A" w:rsidRPr="00A06A3E" w:rsidTr="00D113B1">
        <w:trPr>
          <w:cantSplit/>
        </w:trPr>
        <w:tc>
          <w:tcPr>
            <w:tcW w:w="2427" w:type="pct"/>
          </w:tcPr>
          <w:p w:rsidR="00B9709A" w:rsidRPr="00A06A3E" w:rsidRDefault="00B9709A" w:rsidP="00FE1A89">
            <w:pPr>
              <w:jc w:val="both"/>
              <w:rPr>
                <w:rFonts w:eastAsia="Calibri"/>
                <w:sz w:val="20"/>
                <w:szCs w:val="20"/>
              </w:rPr>
            </w:pPr>
            <w:r w:rsidRPr="00A06A3E">
              <w:rPr>
                <w:rFonts w:eastAsia="Calibri"/>
                <w:sz w:val="20"/>
                <w:szCs w:val="20"/>
              </w:rPr>
              <w:t>November 2, 2012</w:t>
            </w:r>
          </w:p>
          <w:p w:rsidR="00B9709A" w:rsidRPr="00A06A3E" w:rsidRDefault="00B9709A" w:rsidP="00FE1A89">
            <w:pPr>
              <w:jc w:val="both"/>
              <w:rPr>
                <w:rFonts w:eastAsia="Calibri"/>
                <w:sz w:val="20"/>
                <w:szCs w:val="20"/>
              </w:rPr>
            </w:pPr>
            <w:r w:rsidRPr="00A06A3E">
              <w:rPr>
                <w:rFonts w:eastAsia="Calibri"/>
                <w:sz w:val="20"/>
                <w:szCs w:val="20"/>
              </w:rPr>
              <w:t>Quebec Court of Appeal (Montréal)</w:t>
            </w:r>
          </w:p>
          <w:p w:rsidR="00B9709A" w:rsidRPr="00A06A3E" w:rsidRDefault="00B9709A"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Rochon</w:t>
            </w:r>
            <w:proofErr w:type="spellEnd"/>
            <w:r w:rsidRPr="00A06A3E">
              <w:rPr>
                <w:rFonts w:eastAsia="Calibri"/>
                <w:sz w:val="20"/>
                <w:szCs w:val="20"/>
              </w:rPr>
              <w:t xml:space="preserve">, </w:t>
            </w:r>
            <w:proofErr w:type="spellStart"/>
            <w:r w:rsidRPr="00A06A3E">
              <w:rPr>
                <w:rFonts w:eastAsia="Calibri"/>
                <w:sz w:val="20"/>
                <w:szCs w:val="20"/>
              </w:rPr>
              <w:t>Dalphond</w:t>
            </w:r>
            <w:proofErr w:type="spellEnd"/>
            <w:r w:rsidRPr="00A06A3E">
              <w:rPr>
                <w:rFonts w:eastAsia="Calibri"/>
                <w:sz w:val="20"/>
                <w:szCs w:val="20"/>
              </w:rPr>
              <w:t xml:space="preserve"> and Gagnon JJ.A.)</w:t>
            </w:r>
          </w:p>
          <w:p w:rsidR="00B9709A" w:rsidRPr="00A06A3E" w:rsidRDefault="00B9709A" w:rsidP="00FE1A89">
            <w:pPr>
              <w:jc w:val="both"/>
              <w:rPr>
                <w:rFonts w:eastAsia="Calibri"/>
                <w:sz w:val="20"/>
                <w:szCs w:val="20"/>
              </w:rPr>
            </w:pPr>
            <w:r w:rsidRPr="00A06A3E">
              <w:rPr>
                <w:rFonts w:eastAsia="Calibri"/>
                <w:sz w:val="20"/>
                <w:szCs w:val="20"/>
              </w:rPr>
              <w:t>2012 QCCA 1960</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Motions to extend time to appeal conviction, to set aside discontinuance of appeal and for leave to adduce fresh evidence dismissed</w:t>
            </w:r>
          </w:p>
        </w:tc>
      </w:tr>
      <w:tr w:rsidR="00B9709A" w:rsidRPr="00A06A3E" w:rsidTr="00D113B1">
        <w:trPr>
          <w:cantSplit/>
        </w:trPr>
        <w:tc>
          <w:tcPr>
            <w:tcW w:w="2427" w:type="pct"/>
          </w:tcPr>
          <w:p w:rsidR="00B9709A" w:rsidRPr="00A06A3E" w:rsidRDefault="00B9709A" w:rsidP="00FE1A89">
            <w:pPr>
              <w:jc w:val="both"/>
              <w:rPr>
                <w:rFonts w:eastAsia="Calibri"/>
                <w:sz w:val="20"/>
                <w:szCs w:val="20"/>
              </w:rPr>
            </w:pPr>
            <w:r w:rsidRPr="00A06A3E">
              <w:rPr>
                <w:rFonts w:eastAsia="Calibri"/>
                <w:sz w:val="20"/>
                <w:szCs w:val="20"/>
              </w:rPr>
              <w:t>January 23, 2013</w:t>
            </w:r>
          </w:p>
          <w:p w:rsidR="00B9709A" w:rsidRPr="00A06A3E" w:rsidRDefault="00B9709A" w:rsidP="00FE1A89">
            <w:pPr>
              <w:jc w:val="both"/>
              <w:rPr>
                <w:rFonts w:eastAsia="Calibri"/>
                <w:sz w:val="20"/>
                <w:szCs w:val="20"/>
              </w:rPr>
            </w:pPr>
            <w:r w:rsidRPr="00A06A3E">
              <w:rPr>
                <w:rFonts w:eastAsia="Calibri"/>
                <w:sz w:val="20"/>
                <w:szCs w:val="20"/>
              </w:rPr>
              <w:t>Supreme Court of Canada</w:t>
            </w: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Motion to extend time, motion to appoint counsel and application for leave to appeal filed</w:t>
            </w:r>
          </w:p>
        </w:tc>
      </w:tr>
    </w:tbl>
    <w:p w:rsidR="00EA167C" w:rsidRDefault="00EA167C" w:rsidP="00EA167C">
      <w:pPr>
        <w:rPr>
          <w:sz w:val="20"/>
          <w:szCs w:val="20"/>
        </w:rPr>
      </w:pPr>
    </w:p>
    <w:p w:rsidR="00EA167C" w:rsidRPr="00C50A5C" w:rsidRDefault="0017005E" w:rsidP="00EA167C">
      <w:pPr>
        <w:rPr>
          <w:sz w:val="20"/>
          <w:szCs w:val="20"/>
        </w:rPr>
      </w:pPr>
      <w:r w:rsidRPr="0017005E">
        <w:rPr>
          <w:sz w:val="20"/>
          <w:szCs w:val="20"/>
          <w:lang w:val="fr-CA"/>
        </w:rPr>
        <w:pict>
          <v:rect id="_x0000_i1046" style="width:2in;height:1pt" o:hrpct="0" o:hralign="center" o:hrstd="t" o:hrnoshade="t" o:hr="t" fillcolor="black [3213]" stroked="f"/>
        </w:pict>
      </w:r>
    </w:p>
    <w:p w:rsidR="00EA167C" w:rsidRDefault="00EA167C" w:rsidP="00EA167C">
      <w:pPr>
        <w:rPr>
          <w:sz w:val="20"/>
          <w:szCs w:val="20"/>
        </w:rPr>
      </w:pPr>
    </w:p>
    <w:p w:rsidR="00EA167C" w:rsidRPr="001B157C" w:rsidRDefault="00EA167C" w:rsidP="00EA167C">
      <w:pPr>
        <w:rPr>
          <w:sz w:val="20"/>
          <w:szCs w:val="20"/>
          <w:u w:val="single"/>
          <w:lang w:val="fr-CA"/>
        </w:rPr>
      </w:pPr>
      <w:r w:rsidRPr="001B157C">
        <w:rPr>
          <w:sz w:val="20"/>
          <w:szCs w:val="20"/>
          <w:u w:val="single"/>
          <w:lang w:val="fr-CA"/>
        </w:rPr>
        <w:t>RÉSUMÉ DE L’AFFAIRE</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5C0D71" w:rsidTr="00FE1A89">
        <w:tc>
          <w:tcPr>
            <w:tcW w:w="5000" w:type="pct"/>
            <w:gridSpan w:val="3"/>
          </w:tcPr>
          <w:p w:rsidR="00B9709A" w:rsidRPr="00A06A3E" w:rsidRDefault="00B9709A" w:rsidP="00FE1A89">
            <w:pPr>
              <w:jc w:val="both"/>
              <w:rPr>
                <w:rFonts w:eastAsia="Calibri"/>
                <w:smallCaps/>
                <w:sz w:val="20"/>
                <w:szCs w:val="20"/>
                <w:lang w:val="fr-CA"/>
              </w:rPr>
            </w:pPr>
            <w:r w:rsidRPr="00A06A3E">
              <w:rPr>
                <w:rFonts w:eastAsia="Calibri"/>
                <w:sz w:val="20"/>
                <w:szCs w:val="20"/>
                <w:lang w:val="fr-CA"/>
              </w:rPr>
              <w:t>Droit criminel – Preuve – Communication de preuve – Poursuite ayant négligé de dévoiler élément de preuve avant qu’accusé n’enregistre son plaidoyer de culpabilité – Accusé cherchant à en appeler de condamnation pour vol qualifié – Moyens de défense – Alibi – Fardeau de  preuve – Est-ce que le juge du procès a imposé fardeau à accusé d’établir alibi hors de tout doute raisonnable? – Représentation par avocat – Accusé incarcéré dans établissement éloigné de centres urbains et, pour cette raison, éprouvant difficulté à retenir services d’avocat – Cour d’appel a-t-elle erré en rejetant requêtes de l’accusé?</w:t>
            </w:r>
          </w:p>
        </w:tc>
      </w:tr>
      <w:tr w:rsidR="00B9709A" w:rsidRPr="005C0D71" w:rsidTr="00FE1A89">
        <w:tc>
          <w:tcPr>
            <w:tcW w:w="5000" w:type="pct"/>
            <w:gridSpan w:val="3"/>
          </w:tcPr>
          <w:p w:rsidR="00B9709A" w:rsidRPr="00A06A3E" w:rsidRDefault="00B9709A" w:rsidP="00FE1A89">
            <w:pPr>
              <w:jc w:val="both"/>
              <w:rPr>
                <w:rFonts w:eastAsia="Calibri"/>
                <w:sz w:val="20"/>
                <w:szCs w:val="20"/>
                <w:lang w:val="fr-CA"/>
              </w:rPr>
            </w:pPr>
          </w:p>
        </w:tc>
      </w:tr>
      <w:tr w:rsidR="00B9709A" w:rsidRPr="005C0D71" w:rsidTr="00FE1A89">
        <w:tc>
          <w:tcPr>
            <w:tcW w:w="5000" w:type="pct"/>
            <w:gridSpan w:val="3"/>
          </w:tcPr>
          <w:p w:rsidR="00B9709A" w:rsidRPr="00A06A3E" w:rsidRDefault="00B9709A" w:rsidP="00FE1A89">
            <w:pPr>
              <w:jc w:val="both"/>
              <w:rPr>
                <w:rFonts w:eastAsia="Calibri"/>
                <w:sz w:val="20"/>
                <w:szCs w:val="20"/>
                <w:lang w:val="fr-CA"/>
              </w:rPr>
            </w:pPr>
            <w:r w:rsidRPr="00A06A3E">
              <w:rPr>
                <w:rFonts w:eastAsia="Calibri"/>
                <w:sz w:val="20"/>
                <w:szCs w:val="20"/>
                <w:lang w:val="fr-CA"/>
              </w:rPr>
              <w:t>En 2005 et devant la Cour du Québec, M. </w:t>
            </w:r>
            <w:proofErr w:type="spellStart"/>
            <w:r w:rsidRPr="00A06A3E">
              <w:rPr>
                <w:rFonts w:eastAsia="Calibri"/>
                <w:sz w:val="20"/>
                <w:szCs w:val="20"/>
                <w:lang w:val="fr-CA"/>
              </w:rPr>
              <w:t>Marleau</w:t>
            </w:r>
            <w:proofErr w:type="spellEnd"/>
            <w:r w:rsidRPr="00A06A3E">
              <w:rPr>
                <w:rFonts w:eastAsia="Calibri"/>
                <w:sz w:val="20"/>
                <w:szCs w:val="20"/>
                <w:lang w:val="fr-CA"/>
              </w:rPr>
              <w:t xml:space="preserve"> a été reconnu coupable de vol qualifié.  Le vol avait été capté sur un enregistrement sur bande vidéo qui fut versé en preuve au procès. M. </w:t>
            </w:r>
            <w:proofErr w:type="spellStart"/>
            <w:r w:rsidRPr="00A06A3E">
              <w:rPr>
                <w:rFonts w:eastAsia="Calibri"/>
                <w:sz w:val="20"/>
                <w:szCs w:val="20"/>
                <w:lang w:val="fr-CA"/>
              </w:rPr>
              <w:t>Marleau</w:t>
            </w:r>
            <w:proofErr w:type="spellEnd"/>
            <w:r w:rsidRPr="00A06A3E">
              <w:rPr>
                <w:rFonts w:eastAsia="Calibri"/>
                <w:sz w:val="20"/>
                <w:szCs w:val="20"/>
                <w:lang w:val="fr-CA"/>
              </w:rPr>
              <w:t>, qui était représenté par avocat, enregistra un plaidoyer de culpabilité malgré le fait qu’il prétendait ne pas se souvenir d’avoir commis le vol.  Selon lui, il n’avait aucun souvenir de la période pertinente en raison du fait qu’il était souvent fortement intoxiqué à l’époque.  Bien que M. </w:t>
            </w:r>
            <w:proofErr w:type="spellStart"/>
            <w:r w:rsidRPr="00A06A3E">
              <w:rPr>
                <w:rFonts w:eastAsia="Calibri"/>
                <w:sz w:val="20"/>
                <w:szCs w:val="20"/>
                <w:lang w:val="fr-CA"/>
              </w:rPr>
              <w:t>Marleau</w:t>
            </w:r>
            <w:proofErr w:type="spellEnd"/>
            <w:r w:rsidRPr="00A06A3E">
              <w:rPr>
                <w:rFonts w:eastAsia="Calibri"/>
                <w:sz w:val="20"/>
                <w:szCs w:val="20"/>
                <w:lang w:val="fr-CA"/>
              </w:rPr>
              <w:t xml:space="preserve"> ait reconnu avoir commis de nombreux autres vols, il prétendait avoir aucun souvenir de ce vol en particulier.</w:t>
            </w:r>
          </w:p>
          <w:p w:rsidR="00B9709A" w:rsidRPr="00A06A3E" w:rsidRDefault="00B9709A" w:rsidP="00FE1A89">
            <w:pPr>
              <w:jc w:val="both"/>
              <w:rPr>
                <w:rFonts w:eastAsia="Calibri"/>
                <w:sz w:val="20"/>
                <w:szCs w:val="20"/>
                <w:lang w:val="fr-CA"/>
              </w:rPr>
            </w:pPr>
          </w:p>
          <w:p w:rsidR="00B9709A" w:rsidRPr="00A06A3E" w:rsidRDefault="00B9709A" w:rsidP="00FE1A89">
            <w:pPr>
              <w:jc w:val="both"/>
              <w:rPr>
                <w:rFonts w:eastAsia="Calibri"/>
                <w:sz w:val="20"/>
                <w:szCs w:val="20"/>
                <w:lang w:val="fr-CA"/>
              </w:rPr>
            </w:pPr>
            <w:r w:rsidRPr="00A06A3E">
              <w:rPr>
                <w:rFonts w:eastAsia="Calibri"/>
                <w:sz w:val="20"/>
                <w:szCs w:val="20"/>
                <w:lang w:val="fr-CA"/>
              </w:rPr>
              <w:t>Ce n’est qu’après son plaidoyer de culpabilité que M. </w:t>
            </w:r>
            <w:proofErr w:type="spellStart"/>
            <w:r w:rsidRPr="00A06A3E">
              <w:rPr>
                <w:rFonts w:eastAsia="Calibri"/>
                <w:sz w:val="20"/>
                <w:szCs w:val="20"/>
                <w:lang w:val="fr-CA"/>
              </w:rPr>
              <w:t>Marleau</w:t>
            </w:r>
            <w:proofErr w:type="spellEnd"/>
            <w:r w:rsidRPr="00A06A3E">
              <w:rPr>
                <w:rFonts w:eastAsia="Calibri"/>
                <w:sz w:val="20"/>
                <w:szCs w:val="20"/>
                <w:lang w:val="fr-CA"/>
              </w:rPr>
              <w:t xml:space="preserve"> a appris l’existence d’une photo de l’auteur du vol, photo qui avait été tirée de l’enregistrement vidéo qui avait été remis à la défense.  À la réception de cette photo, M. </w:t>
            </w:r>
            <w:proofErr w:type="spellStart"/>
            <w:r w:rsidRPr="00A06A3E">
              <w:rPr>
                <w:rFonts w:eastAsia="Calibri"/>
                <w:sz w:val="20"/>
                <w:szCs w:val="20"/>
                <w:lang w:val="fr-CA"/>
              </w:rPr>
              <w:t>Marleau</w:t>
            </w:r>
            <w:proofErr w:type="spellEnd"/>
            <w:r w:rsidRPr="00A06A3E">
              <w:rPr>
                <w:rFonts w:eastAsia="Calibri"/>
                <w:sz w:val="20"/>
                <w:szCs w:val="20"/>
                <w:lang w:val="fr-CA"/>
              </w:rPr>
              <w:t xml:space="preserve"> prétend avoir réalisé qu’il n’était pas l’homme capté sur la photo et qu’il ne pouvait être l’auteur de ce vol.</w:t>
            </w:r>
          </w:p>
          <w:p w:rsidR="00B9709A" w:rsidRPr="00A06A3E" w:rsidRDefault="00B9709A" w:rsidP="00FE1A89">
            <w:pPr>
              <w:jc w:val="both"/>
              <w:rPr>
                <w:rFonts w:eastAsia="Calibri"/>
                <w:sz w:val="20"/>
                <w:szCs w:val="20"/>
                <w:lang w:val="fr-CA"/>
              </w:rPr>
            </w:pPr>
          </w:p>
          <w:p w:rsidR="00B9709A" w:rsidRPr="00A06A3E" w:rsidRDefault="00B9709A" w:rsidP="00FE1A89">
            <w:pPr>
              <w:jc w:val="both"/>
              <w:rPr>
                <w:rFonts w:eastAsia="Calibri"/>
                <w:sz w:val="20"/>
                <w:szCs w:val="20"/>
                <w:lang w:val="fr-CA"/>
              </w:rPr>
            </w:pPr>
            <w:r w:rsidRPr="00A06A3E">
              <w:rPr>
                <w:rFonts w:eastAsia="Calibri"/>
                <w:sz w:val="20"/>
                <w:szCs w:val="20"/>
                <w:lang w:val="fr-CA"/>
              </w:rPr>
              <w:t>En 2012, M. </w:t>
            </w:r>
            <w:proofErr w:type="spellStart"/>
            <w:r w:rsidRPr="00A06A3E">
              <w:rPr>
                <w:rFonts w:eastAsia="Calibri"/>
                <w:sz w:val="20"/>
                <w:szCs w:val="20"/>
                <w:lang w:val="fr-CA"/>
              </w:rPr>
              <w:t>Marleau</w:t>
            </w:r>
            <w:proofErr w:type="spellEnd"/>
            <w:r w:rsidRPr="00A06A3E">
              <w:rPr>
                <w:rFonts w:eastAsia="Calibri"/>
                <w:sz w:val="20"/>
                <w:szCs w:val="20"/>
                <w:lang w:val="fr-CA"/>
              </w:rPr>
              <w:t xml:space="preserve"> déposa de nombreuses requêtes auprès de la Cour d’appel du Québec. </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2 février 2005</w:t>
            </w:r>
          </w:p>
          <w:p w:rsidR="00B9709A" w:rsidRPr="00A06A3E" w:rsidRDefault="00B9709A" w:rsidP="00FE1A89">
            <w:pPr>
              <w:jc w:val="both"/>
              <w:rPr>
                <w:rFonts w:eastAsia="Calibri"/>
                <w:sz w:val="20"/>
                <w:szCs w:val="20"/>
                <w:lang w:val="fr-CA"/>
              </w:rPr>
            </w:pPr>
            <w:r w:rsidRPr="00A06A3E">
              <w:rPr>
                <w:rFonts w:eastAsia="Calibri"/>
                <w:sz w:val="20"/>
                <w:szCs w:val="20"/>
                <w:lang w:val="fr-CA"/>
              </w:rPr>
              <w:t>Cour du Québec</w:t>
            </w:r>
          </w:p>
          <w:p w:rsidR="00B9709A" w:rsidRPr="00A06A3E" w:rsidRDefault="00B9709A" w:rsidP="00FE1A89">
            <w:pPr>
              <w:jc w:val="both"/>
              <w:rPr>
                <w:rFonts w:eastAsia="Calibri"/>
                <w:sz w:val="20"/>
                <w:szCs w:val="20"/>
                <w:lang w:val="fr-CA"/>
              </w:rPr>
            </w:pPr>
            <w:r w:rsidRPr="00A06A3E">
              <w:rPr>
                <w:rFonts w:eastAsia="Calibri"/>
                <w:sz w:val="20"/>
                <w:szCs w:val="20"/>
                <w:lang w:val="fr-CA"/>
              </w:rPr>
              <w:t>(Le juge Landry)</w:t>
            </w:r>
          </w:p>
          <w:p w:rsidR="00B9709A" w:rsidRPr="00A06A3E" w:rsidRDefault="00B9709A" w:rsidP="00FE1A89">
            <w:pPr>
              <w:jc w:val="both"/>
              <w:rPr>
                <w:rFonts w:eastAsia="Calibri"/>
                <w:sz w:val="20"/>
                <w:szCs w:val="20"/>
                <w:lang w:val="fr-CA"/>
              </w:rPr>
            </w:pP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Accusé reconnu coupable de vol qualifié et condamné à deux ans d’emprisonnement;</w:t>
            </w:r>
          </w:p>
          <w:p w:rsidR="00B9709A" w:rsidRPr="00A06A3E" w:rsidRDefault="00B9709A" w:rsidP="00FE1A89">
            <w:pPr>
              <w:jc w:val="both"/>
              <w:rPr>
                <w:rFonts w:eastAsia="Calibri"/>
                <w:sz w:val="20"/>
                <w:szCs w:val="20"/>
                <w:lang w:val="fr-CA"/>
              </w:rPr>
            </w:pPr>
          </w:p>
        </w:tc>
      </w:tr>
      <w:tr w:rsidR="00B9709A" w:rsidRPr="005C0D71" w:rsidTr="00FE1A89">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13 septembre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d’appel du Québec (Montréal)</w:t>
            </w:r>
          </w:p>
          <w:p w:rsidR="00B9709A" w:rsidRPr="00A06A3E" w:rsidRDefault="00B9709A" w:rsidP="00FE1A89">
            <w:pPr>
              <w:jc w:val="both"/>
              <w:rPr>
                <w:rFonts w:eastAsia="Calibri"/>
                <w:sz w:val="20"/>
                <w:szCs w:val="20"/>
                <w:lang w:val="fr-CA"/>
              </w:rPr>
            </w:pPr>
            <w:r w:rsidRPr="00A06A3E">
              <w:rPr>
                <w:rFonts w:eastAsia="Calibri"/>
                <w:sz w:val="20"/>
                <w:szCs w:val="20"/>
                <w:lang w:val="fr-CA"/>
              </w:rPr>
              <w:t>(Le juge Gascon)</w:t>
            </w:r>
          </w:p>
          <w:p w:rsidR="00B9709A" w:rsidRPr="00A06A3E" w:rsidRDefault="00B9709A" w:rsidP="00FE1A89">
            <w:pPr>
              <w:jc w:val="both"/>
              <w:rPr>
                <w:rFonts w:eastAsia="Calibri"/>
                <w:sz w:val="20"/>
                <w:szCs w:val="20"/>
                <w:lang w:val="fr-CA"/>
              </w:rPr>
            </w:pPr>
            <w:r w:rsidRPr="00A06A3E">
              <w:rPr>
                <w:rFonts w:eastAsia="Calibri"/>
                <w:sz w:val="20"/>
                <w:szCs w:val="20"/>
                <w:lang w:val="fr-CA"/>
              </w:rPr>
              <w:t>2012 QCCA 1646</w:t>
            </w:r>
          </w:p>
          <w:p w:rsidR="00B9709A" w:rsidRPr="00A06A3E" w:rsidRDefault="00B9709A" w:rsidP="00FE1A89">
            <w:pPr>
              <w:jc w:val="both"/>
              <w:rPr>
                <w:rFonts w:eastAsia="Calibri"/>
                <w:sz w:val="20"/>
                <w:szCs w:val="20"/>
                <w:lang w:val="fr-FR"/>
              </w:rPr>
            </w:pP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Requête en prorogation du délai d’appel de condamnation, reportée; Requêtes en nomination d’un avocat et pour frais judicaires et honoraires. rejetées;</w:t>
            </w:r>
          </w:p>
        </w:tc>
      </w:tr>
      <w:tr w:rsidR="00B9709A" w:rsidRPr="005C0D71" w:rsidTr="00D113B1">
        <w:trPr>
          <w:cantSplit/>
        </w:trPr>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lastRenderedPageBreak/>
              <w:t>Le 2 novembre 2012</w:t>
            </w:r>
          </w:p>
          <w:p w:rsidR="00B9709A" w:rsidRPr="00A06A3E" w:rsidRDefault="00B9709A" w:rsidP="00FE1A89">
            <w:pPr>
              <w:jc w:val="both"/>
              <w:rPr>
                <w:rFonts w:eastAsia="Calibri"/>
                <w:sz w:val="20"/>
                <w:szCs w:val="20"/>
                <w:lang w:val="fr-CA"/>
              </w:rPr>
            </w:pPr>
            <w:r w:rsidRPr="00A06A3E">
              <w:rPr>
                <w:rFonts w:eastAsia="Calibri"/>
                <w:sz w:val="20"/>
                <w:szCs w:val="20"/>
                <w:lang w:val="fr-CA"/>
              </w:rPr>
              <w:t>Cour d’appel du Québec (Montréal)</w:t>
            </w:r>
          </w:p>
          <w:p w:rsidR="00B9709A" w:rsidRPr="00A06A3E" w:rsidRDefault="00B9709A" w:rsidP="00FE1A89">
            <w:pPr>
              <w:jc w:val="both"/>
              <w:rPr>
                <w:rFonts w:eastAsia="Calibri"/>
                <w:sz w:val="20"/>
                <w:szCs w:val="20"/>
                <w:lang w:val="fr-CA"/>
              </w:rPr>
            </w:pPr>
            <w:r w:rsidRPr="00A06A3E">
              <w:rPr>
                <w:rFonts w:eastAsia="Calibri"/>
                <w:sz w:val="20"/>
                <w:szCs w:val="20"/>
                <w:lang w:val="fr-CA"/>
              </w:rPr>
              <w:t xml:space="preserve">(Les juges </w:t>
            </w:r>
            <w:proofErr w:type="spellStart"/>
            <w:r w:rsidRPr="00A06A3E">
              <w:rPr>
                <w:rFonts w:eastAsia="Calibri"/>
                <w:sz w:val="20"/>
                <w:szCs w:val="20"/>
                <w:lang w:val="fr-CA"/>
              </w:rPr>
              <w:t>Rochon</w:t>
            </w:r>
            <w:proofErr w:type="spellEnd"/>
            <w:r w:rsidRPr="00A06A3E">
              <w:rPr>
                <w:rFonts w:eastAsia="Calibri"/>
                <w:sz w:val="20"/>
                <w:szCs w:val="20"/>
                <w:lang w:val="fr-CA"/>
              </w:rPr>
              <w:t xml:space="preserve">, </w:t>
            </w:r>
            <w:proofErr w:type="spellStart"/>
            <w:r w:rsidRPr="00A06A3E">
              <w:rPr>
                <w:rFonts w:eastAsia="Calibri"/>
                <w:sz w:val="20"/>
                <w:szCs w:val="20"/>
                <w:lang w:val="fr-CA"/>
              </w:rPr>
              <w:t>Dalphond</w:t>
            </w:r>
            <w:proofErr w:type="spellEnd"/>
            <w:r w:rsidRPr="00A06A3E">
              <w:rPr>
                <w:rFonts w:eastAsia="Calibri"/>
                <w:sz w:val="20"/>
                <w:szCs w:val="20"/>
                <w:lang w:val="fr-CA"/>
              </w:rPr>
              <w:t xml:space="preserve"> et Gagnon)</w:t>
            </w:r>
          </w:p>
          <w:p w:rsidR="00B9709A" w:rsidRPr="00A06A3E" w:rsidRDefault="00B9709A" w:rsidP="00FE1A89">
            <w:pPr>
              <w:jc w:val="both"/>
              <w:rPr>
                <w:rFonts w:eastAsia="Calibri"/>
                <w:sz w:val="20"/>
                <w:szCs w:val="20"/>
                <w:lang w:val="fr-CA"/>
              </w:rPr>
            </w:pPr>
            <w:r w:rsidRPr="00A06A3E">
              <w:rPr>
                <w:rFonts w:eastAsia="Calibri"/>
                <w:sz w:val="20"/>
                <w:szCs w:val="20"/>
                <w:lang w:val="fr-CA"/>
              </w:rPr>
              <w:t>2012 QCCA 1960</w:t>
            </w:r>
          </w:p>
          <w:p w:rsidR="00B9709A" w:rsidRPr="00A06A3E" w:rsidRDefault="00B9709A" w:rsidP="00FE1A89">
            <w:pPr>
              <w:jc w:val="both"/>
              <w:rPr>
                <w:rFonts w:eastAsia="Calibri"/>
                <w:sz w:val="20"/>
                <w:szCs w:val="20"/>
                <w:lang w:val="fr-CA"/>
              </w:rPr>
            </w:pP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Requêtes en prorogation du délai d’appel de condamnation, en annulation d’un désistement d’appel et pour permission de produire de la nouvelle preuve, rejetées;</w:t>
            </w:r>
          </w:p>
        </w:tc>
      </w:tr>
      <w:tr w:rsidR="00B9709A" w:rsidRPr="005C0D71" w:rsidTr="00D113B1">
        <w:trPr>
          <w:cantSplit/>
        </w:trPr>
        <w:tc>
          <w:tcPr>
            <w:tcW w:w="2427"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Le 23 janvier 2013</w:t>
            </w:r>
          </w:p>
          <w:p w:rsidR="00B9709A" w:rsidRPr="00A06A3E" w:rsidRDefault="00B9709A" w:rsidP="00FE1A89">
            <w:pPr>
              <w:jc w:val="both"/>
              <w:rPr>
                <w:rFonts w:eastAsia="Calibri"/>
                <w:sz w:val="20"/>
                <w:szCs w:val="20"/>
                <w:lang w:val="fr-FR"/>
              </w:rPr>
            </w:pPr>
            <w:r w:rsidRPr="00A06A3E">
              <w:rPr>
                <w:rFonts w:eastAsia="Calibri"/>
                <w:sz w:val="20"/>
                <w:szCs w:val="20"/>
                <w:lang w:val="fr-CA"/>
              </w:rPr>
              <w:t>Cour suprême du Canada</w:t>
            </w: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CA"/>
              </w:rPr>
            </w:pPr>
            <w:r w:rsidRPr="00A06A3E">
              <w:rPr>
                <w:rFonts w:eastAsia="Calibri"/>
                <w:sz w:val="20"/>
                <w:szCs w:val="20"/>
                <w:lang w:val="fr-CA"/>
              </w:rPr>
              <w:t>Requête en prorogation de délai, requête en nomination d’un avocat et demande d'autorisation d'appel, déposées.</w:t>
            </w:r>
          </w:p>
        </w:tc>
      </w:tr>
    </w:tbl>
    <w:p w:rsidR="00EA167C" w:rsidRPr="00B9709A" w:rsidRDefault="00EA167C" w:rsidP="00EA167C">
      <w:pPr>
        <w:rPr>
          <w:sz w:val="20"/>
          <w:szCs w:val="20"/>
          <w:lang w:val="fr-CA"/>
        </w:rPr>
      </w:pPr>
    </w:p>
    <w:p w:rsidR="00EA167C" w:rsidRDefault="0017005E" w:rsidP="00EA167C">
      <w:pPr>
        <w:rPr>
          <w:sz w:val="20"/>
          <w:szCs w:val="20"/>
          <w:lang w:val="fr-CA"/>
        </w:rPr>
      </w:pPr>
      <w:r w:rsidRPr="0017005E">
        <w:rPr>
          <w:sz w:val="20"/>
          <w:szCs w:val="20"/>
          <w:lang w:val="fr-CA"/>
        </w:rPr>
        <w:pict>
          <v:rect id="_x0000_i1047" style="width:2in;height:1pt" o:hrpct="0" o:hralign="center" o:hrstd="t" o:hrnoshade="t" o:hr="t" fillcolor="black [3213]" stroked="f"/>
        </w:pict>
      </w:r>
    </w:p>
    <w:p w:rsidR="00EA167C" w:rsidRDefault="00EA167C" w:rsidP="00EA167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13B1" w:rsidRPr="008902B9" w:rsidTr="008A1E3D">
        <w:trPr>
          <w:cantSplit/>
        </w:trPr>
        <w:tc>
          <w:tcPr>
            <w:tcW w:w="1458" w:type="dxa"/>
          </w:tcPr>
          <w:p w:rsidR="00D113B1" w:rsidRPr="008902B9" w:rsidRDefault="00D113B1" w:rsidP="008A1E3D">
            <w:pPr>
              <w:rPr>
                <w:sz w:val="20"/>
                <w:szCs w:val="20"/>
              </w:rPr>
            </w:pPr>
            <w:r w:rsidRPr="008902B9">
              <w:rPr>
                <w:rStyle w:val="SCCFileNumberChar"/>
                <w:sz w:val="20"/>
                <w:szCs w:val="20"/>
              </w:rPr>
              <w:t>35204</w:t>
            </w:r>
          </w:p>
          <w:p w:rsidR="00D113B1" w:rsidRPr="008902B9" w:rsidRDefault="00D113B1" w:rsidP="008A1E3D">
            <w:pPr>
              <w:rPr>
                <w:b/>
                <w:sz w:val="20"/>
                <w:szCs w:val="20"/>
                <w:lang w:val="fr-CA"/>
              </w:rPr>
            </w:pPr>
          </w:p>
        </w:tc>
        <w:tc>
          <w:tcPr>
            <w:tcW w:w="8118" w:type="dxa"/>
          </w:tcPr>
          <w:p w:rsidR="00D113B1" w:rsidRPr="008902B9" w:rsidRDefault="00D113B1" w:rsidP="008A1E3D">
            <w:pPr>
              <w:rPr>
                <w:sz w:val="20"/>
                <w:szCs w:val="20"/>
              </w:rPr>
            </w:pPr>
            <w:r w:rsidRPr="008902B9">
              <w:rPr>
                <w:rStyle w:val="SCCLsocChar"/>
                <w:sz w:val="20"/>
                <w:szCs w:val="20"/>
                <w:lang w:val="en-CA"/>
              </w:rPr>
              <w:t xml:space="preserve">James Sean </w:t>
            </w:r>
            <w:proofErr w:type="spellStart"/>
            <w:r w:rsidRPr="008902B9">
              <w:rPr>
                <w:rStyle w:val="SCCLsocChar"/>
                <w:sz w:val="20"/>
                <w:szCs w:val="20"/>
                <w:lang w:val="en-CA"/>
              </w:rPr>
              <w:t>Wotherspoon</w:t>
            </w:r>
            <w:proofErr w:type="spellEnd"/>
            <w:r w:rsidRPr="008902B9">
              <w:rPr>
                <w:rStyle w:val="SCCLsocChar"/>
                <w:sz w:val="20"/>
                <w:szCs w:val="20"/>
                <w:lang w:val="en-CA"/>
              </w:rPr>
              <w:t xml:space="preserve"> v. Her Majesty the Queen</w:t>
            </w:r>
            <w:r w:rsidRPr="008902B9">
              <w:rPr>
                <w:sz w:val="20"/>
                <w:szCs w:val="20"/>
              </w:rPr>
              <w:t xml:space="preserve"> (F.C.) (Civil) (By Leave)</w:t>
            </w:r>
          </w:p>
          <w:p w:rsidR="00D113B1" w:rsidRPr="008902B9" w:rsidRDefault="00D113B1" w:rsidP="008A1E3D">
            <w:pPr>
              <w:rPr>
                <w:sz w:val="20"/>
                <w:szCs w:val="20"/>
              </w:rPr>
            </w:pPr>
          </w:p>
        </w:tc>
      </w:tr>
      <w:tr w:rsidR="00D113B1" w:rsidRPr="008902B9" w:rsidTr="008A1E3D">
        <w:trPr>
          <w:cantSplit/>
        </w:trPr>
        <w:tc>
          <w:tcPr>
            <w:tcW w:w="1458" w:type="dxa"/>
          </w:tcPr>
          <w:p w:rsidR="00D113B1" w:rsidRPr="008902B9" w:rsidRDefault="00D113B1" w:rsidP="008A1E3D">
            <w:pPr>
              <w:rPr>
                <w:sz w:val="20"/>
                <w:szCs w:val="20"/>
              </w:rPr>
            </w:pPr>
            <w:r w:rsidRPr="008902B9">
              <w:rPr>
                <w:sz w:val="20"/>
                <w:szCs w:val="20"/>
              </w:rPr>
              <w:t>Coram :</w:t>
            </w:r>
          </w:p>
        </w:tc>
        <w:tc>
          <w:tcPr>
            <w:tcW w:w="8118" w:type="dxa"/>
          </w:tcPr>
          <w:p w:rsidR="00D113B1" w:rsidRPr="008902B9" w:rsidRDefault="00D113B1" w:rsidP="008A1E3D">
            <w:pPr>
              <w:rPr>
                <w:sz w:val="20"/>
                <w:szCs w:val="20"/>
              </w:rPr>
            </w:pPr>
            <w:proofErr w:type="spellStart"/>
            <w:r w:rsidRPr="008902B9">
              <w:rPr>
                <w:rStyle w:val="SCCCoramChar"/>
                <w:sz w:val="20"/>
                <w:szCs w:val="20"/>
                <w:lang w:val="en-CA"/>
              </w:rPr>
              <w:t>LeBel</w:t>
            </w:r>
            <w:proofErr w:type="spellEnd"/>
            <w:r w:rsidRPr="008902B9">
              <w:rPr>
                <w:rStyle w:val="SCCCoramChar"/>
                <w:sz w:val="20"/>
                <w:szCs w:val="20"/>
                <w:lang w:val="en-CA"/>
              </w:rPr>
              <w:t xml:space="preserve">, </w:t>
            </w:r>
            <w:proofErr w:type="spellStart"/>
            <w:r w:rsidRPr="008902B9">
              <w:rPr>
                <w:rStyle w:val="SCCCoramChar"/>
                <w:sz w:val="20"/>
                <w:szCs w:val="20"/>
                <w:lang w:val="en-CA"/>
              </w:rPr>
              <w:t>Karakatsanis</w:t>
            </w:r>
            <w:proofErr w:type="spellEnd"/>
            <w:r w:rsidRPr="008902B9">
              <w:rPr>
                <w:rStyle w:val="SCCCoramChar"/>
                <w:sz w:val="20"/>
                <w:szCs w:val="20"/>
                <w:lang w:val="en-CA"/>
              </w:rPr>
              <w:t xml:space="preserve"> and Wagner JJ.</w:t>
            </w:r>
          </w:p>
          <w:p w:rsidR="00D113B1" w:rsidRPr="008902B9" w:rsidRDefault="00D113B1" w:rsidP="008A1E3D">
            <w:pPr>
              <w:rPr>
                <w:sz w:val="20"/>
                <w:szCs w:val="20"/>
                <w:u w:val="single"/>
              </w:rPr>
            </w:pPr>
          </w:p>
        </w:tc>
      </w:tr>
      <w:tr w:rsidR="00D113B1" w:rsidRPr="005C0D71" w:rsidTr="008A1E3D">
        <w:trPr>
          <w:cantSplit/>
        </w:trPr>
        <w:tc>
          <w:tcPr>
            <w:tcW w:w="9576" w:type="dxa"/>
            <w:gridSpan w:val="2"/>
          </w:tcPr>
          <w:p w:rsidR="00D113B1" w:rsidRPr="008902B9" w:rsidRDefault="00D113B1" w:rsidP="008A1E3D">
            <w:pPr>
              <w:pStyle w:val="SCCShortJudgment"/>
              <w:rPr>
                <w:szCs w:val="20"/>
              </w:rPr>
            </w:pPr>
            <w:r w:rsidRPr="008902B9">
              <w:rPr>
                <w:szCs w:val="20"/>
              </w:rPr>
              <w:t>The motion for an extension of time to serve and file the application for leave to appeal is granted. The application for leave to appeal from the judgment of the Federal Court of Appeal, Number A-220-11, 2012 FCA 271, dated October 30, 2012, is dismissed with costs.</w:t>
            </w:r>
          </w:p>
          <w:p w:rsidR="00D113B1" w:rsidRPr="008902B9" w:rsidRDefault="00D113B1" w:rsidP="008A1E3D">
            <w:pPr>
              <w:pStyle w:val="SCCShortJudgment"/>
              <w:ind w:firstLine="0"/>
              <w:rPr>
                <w:szCs w:val="20"/>
              </w:rPr>
            </w:pPr>
          </w:p>
          <w:p w:rsidR="00D113B1" w:rsidRPr="008902B9" w:rsidRDefault="00D113B1" w:rsidP="008A1E3D">
            <w:pPr>
              <w:pStyle w:val="SCCShortJudgment"/>
              <w:rPr>
                <w:szCs w:val="20"/>
                <w:lang w:val="fr-CA"/>
              </w:rPr>
            </w:pPr>
            <w:r w:rsidRPr="008902B9">
              <w:rPr>
                <w:szCs w:val="20"/>
                <w:lang w:val="fr-CA"/>
              </w:rPr>
              <w:t>La requête en prorogation du délai de signification et de dépôt de la demande d’autorisation d’appel est accueillie. La demande d’autorisation d’appel de l’arrêt de la Cour d’appel fédérale, numéro A-220-11, 2012 CAF 271, daté du 30 octobre 2012, est rejetée avec dépens.</w:t>
            </w:r>
          </w:p>
        </w:tc>
      </w:tr>
    </w:tbl>
    <w:p w:rsidR="00EA167C" w:rsidRPr="00D113B1" w:rsidRDefault="00EA167C" w:rsidP="00EA167C">
      <w:pPr>
        <w:rPr>
          <w:sz w:val="20"/>
          <w:szCs w:val="20"/>
          <w:lang w:val="fr-CA"/>
        </w:rPr>
      </w:pPr>
    </w:p>
    <w:p w:rsidR="00EA167C" w:rsidRPr="001B157C" w:rsidRDefault="00EA167C" w:rsidP="00EA167C">
      <w:pPr>
        <w:rPr>
          <w:sz w:val="20"/>
          <w:szCs w:val="20"/>
          <w:u w:val="single"/>
        </w:rPr>
      </w:pPr>
      <w:r w:rsidRPr="001B157C">
        <w:rPr>
          <w:sz w:val="20"/>
          <w:szCs w:val="20"/>
          <w:u w:val="single"/>
        </w:rPr>
        <w:t>CASE SUMMARY</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 xml:space="preserve">Taxation – Goods and services tax – Application for a rebate of all GST paid in respect of the purchase of a condominium unit, on the basis that GST paid in error – Application dismissed – Whether property was a “residential complex” exempt from GST? – </w:t>
            </w:r>
            <w:r w:rsidRPr="00A06A3E">
              <w:rPr>
                <w:rFonts w:eastAsia="Calibri"/>
                <w:i/>
                <w:sz w:val="20"/>
                <w:szCs w:val="20"/>
              </w:rPr>
              <w:t>Excise Tax Act</w:t>
            </w:r>
            <w:r w:rsidRPr="00A06A3E">
              <w:rPr>
                <w:rFonts w:eastAsia="Calibri"/>
                <w:sz w:val="20"/>
                <w:szCs w:val="20"/>
              </w:rPr>
              <w:t>, R.S.C. 1985, c. E-15, ss. 123(1), 261, Schedule V.</w:t>
            </w:r>
          </w:p>
        </w:tc>
      </w:tr>
      <w:tr w:rsidR="00B9709A" w:rsidRPr="00A06A3E" w:rsidTr="00FE1A89">
        <w:tc>
          <w:tcPr>
            <w:tcW w:w="5000" w:type="pct"/>
            <w:gridSpan w:val="3"/>
          </w:tcPr>
          <w:p w:rsidR="00B9709A" w:rsidRPr="00A06A3E" w:rsidRDefault="00B9709A" w:rsidP="00FE1A89">
            <w:pPr>
              <w:jc w:val="both"/>
              <w:rPr>
                <w:rFonts w:eastAsia="Calibri"/>
                <w:sz w:val="20"/>
                <w:szCs w:val="20"/>
              </w:rPr>
            </w:pPr>
          </w:p>
        </w:tc>
      </w:tr>
      <w:tr w:rsidR="00B9709A" w:rsidRPr="00A06A3E" w:rsidTr="00FE1A89">
        <w:tc>
          <w:tcPr>
            <w:tcW w:w="5000" w:type="pct"/>
            <w:gridSpan w:val="3"/>
          </w:tcPr>
          <w:p w:rsidR="00B9709A" w:rsidRPr="00A06A3E" w:rsidRDefault="00B9709A" w:rsidP="00FE1A89">
            <w:pPr>
              <w:jc w:val="both"/>
              <w:rPr>
                <w:rFonts w:eastAsia="Calibri"/>
                <w:sz w:val="20"/>
                <w:szCs w:val="20"/>
              </w:rPr>
            </w:pPr>
            <w:r w:rsidRPr="00A06A3E">
              <w:rPr>
                <w:rFonts w:eastAsia="Calibri"/>
                <w:sz w:val="20"/>
                <w:szCs w:val="20"/>
              </w:rPr>
              <w:t xml:space="preserve">The applicant, James </w:t>
            </w:r>
            <w:proofErr w:type="spellStart"/>
            <w:r w:rsidRPr="00A06A3E">
              <w:rPr>
                <w:rFonts w:eastAsia="Calibri"/>
                <w:sz w:val="20"/>
                <w:szCs w:val="20"/>
              </w:rPr>
              <w:t>Wotherspoon</w:t>
            </w:r>
            <w:proofErr w:type="spellEnd"/>
            <w:r w:rsidRPr="00A06A3E">
              <w:rPr>
                <w:rFonts w:eastAsia="Calibri"/>
                <w:sz w:val="20"/>
                <w:szCs w:val="20"/>
              </w:rPr>
              <w:t>, purchased a condominium unit in Big White, British Columbia, to use as his personal residence.  He paid 6% GST ($8,340.00) on the purchase price ($139,000.00).  Mr. </w:t>
            </w:r>
            <w:proofErr w:type="spellStart"/>
            <w:r w:rsidRPr="00A06A3E">
              <w:rPr>
                <w:rFonts w:eastAsia="Calibri"/>
                <w:sz w:val="20"/>
                <w:szCs w:val="20"/>
              </w:rPr>
              <w:t>Wotherspoon</w:t>
            </w:r>
            <w:proofErr w:type="spellEnd"/>
            <w:r w:rsidRPr="00A06A3E">
              <w:rPr>
                <w:rFonts w:eastAsia="Calibri"/>
                <w:sz w:val="20"/>
                <w:szCs w:val="20"/>
              </w:rPr>
              <w:t xml:space="preserve"> applied for the New Housing Rebate, which he received ($3,002.40) because the property had been converted from commercial use to residential use.  Subsequently, Mr. </w:t>
            </w:r>
            <w:proofErr w:type="spellStart"/>
            <w:r w:rsidRPr="00A06A3E">
              <w:rPr>
                <w:rFonts w:eastAsia="Calibri"/>
                <w:sz w:val="20"/>
                <w:szCs w:val="20"/>
              </w:rPr>
              <w:t>Wotherspoon</w:t>
            </w:r>
            <w:proofErr w:type="spellEnd"/>
            <w:r w:rsidRPr="00A06A3E">
              <w:rPr>
                <w:rFonts w:eastAsia="Calibri"/>
                <w:sz w:val="20"/>
                <w:szCs w:val="20"/>
              </w:rPr>
              <w:t xml:space="preserve"> applied for a rebate of all GST paid in respect of the purchase, on the basis that he had paid GST in error.</w:t>
            </w:r>
          </w:p>
          <w:p w:rsidR="00B9709A" w:rsidRPr="00A06A3E" w:rsidRDefault="00B9709A" w:rsidP="00FE1A89">
            <w:pPr>
              <w:jc w:val="both"/>
              <w:rPr>
                <w:rFonts w:eastAsia="Calibri"/>
                <w:sz w:val="20"/>
                <w:szCs w:val="20"/>
              </w:rPr>
            </w:pPr>
          </w:p>
          <w:p w:rsidR="00B9709A" w:rsidRPr="00A06A3E" w:rsidRDefault="00B9709A" w:rsidP="00FE1A89">
            <w:pPr>
              <w:jc w:val="both"/>
              <w:rPr>
                <w:rFonts w:eastAsia="Calibri"/>
                <w:sz w:val="20"/>
                <w:szCs w:val="20"/>
              </w:rPr>
            </w:pPr>
            <w:r w:rsidRPr="00A06A3E">
              <w:rPr>
                <w:rFonts w:eastAsia="Calibri"/>
                <w:sz w:val="20"/>
                <w:szCs w:val="20"/>
              </w:rPr>
              <w:t>The Minister of National Revenue refused the GST rebate.  Mr. </w:t>
            </w:r>
            <w:proofErr w:type="spellStart"/>
            <w:r w:rsidRPr="00A06A3E">
              <w:rPr>
                <w:rFonts w:eastAsia="Calibri"/>
                <w:sz w:val="20"/>
                <w:szCs w:val="20"/>
              </w:rPr>
              <w:t>Wotherspoon</w:t>
            </w:r>
            <w:proofErr w:type="spellEnd"/>
            <w:r w:rsidRPr="00A06A3E">
              <w:rPr>
                <w:rFonts w:eastAsia="Calibri"/>
                <w:sz w:val="20"/>
                <w:szCs w:val="20"/>
              </w:rPr>
              <w:t xml:space="preserve"> appealed to the Tax Court of Canada.  Campbell J. decided that GST was not paid in error, because, in light of the evidence, the condominium was not a “residential complex” as defined in s. 123(1) of the </w:t>
            </w:r>
            <w:r w:rsidRPr="00A06A3E">
              <w:rPr>
                <w:rFonts w:eastAsia="Calibri"/>
                <w:i/>
                <w:sz w:val="20"/>
                <w:szCs w:val="20"/>
              </w:rPr>
              <w:t>Excise Tax Act</w:t>
            </w:r>
            <w:r w:rsidRPr="00A06A3E">
              <w:rPr>
                <w:rFonts w:eastAsia="Calibri"/>
                <w:sz w:val="20"/>
                <w:szCs w:val="20"/>
              </w:rPr>
              <w:t>.  The Federal Court of Appeal upheld the decision.</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July 8, 2011</w:t>
            </w:r>
          </w:p>
          <w:p w:rsidR="00B9709A" w:rsidRPr="00A06A3E" w:rsidRDefault="00B9709A" w:rsidP="00FE1A89">
            <w:pPr>
              <w:jc w:val="both"/>
              <w:rPr>
                <w:rFonts w:eastAsia="Calibri"/>
                <w:sz w:val="20"/>
                <w:szCs w:val="20"/>
              </w:rPr>
            </w:pPr>
            <w:r w:rsidRPr="00A06A3E">
              <w:rPr>
                <w:rFonts w:eastAsia="Calibri"/>
                <w:sz w:val="20"/>
                <w:szCs w:val="20"/>
              </w:rPr>
              <w:t>Tax Court of Canada</w:t>
            </w:r>
          </w:p>
          <w:p w:rsidR="00B9709A" w:rsidRPr="00A06A3E" w:rsidRDefault="00B9709A" w:rsidP="00FE1A89">
            <w:pPr>
              <w:jc w:val="both"/>
              <w:rPr>
                <w:rFonts w:eastAsia="Calibri"/>
                <w:sz w:val="20"/>
                <w:szCs w:val="20"/>
              </w:rPr>
            </w:pPr>
            <w:r w:rsidRPr="00A06A3E">
              <w:rPr>
                <w:rFonts w:eastAsia="Calibri"/>
                <w:sz w:val="20"/>
                <w:szCs w:val="20"/>
              </w:rPr>
              <w:t>(Campbell J.)</w:t>
            </w:r>
          </w:p>
          <w:p w:rsidR="00B9709A" w:rsidRPr="00A06A3E" w:rsidRDefault="00B9709A" w:rsidP="00FE1A89">
            <w:pPr>
              <w:jc w:val="both"/>
              <w:rPr>
                <w:rFonts w:eastAsia="Calibri"/>
                <w:sz w:val="20"/>
                <w:szCs w:val="20"/>
              </w:rPr>
            </w:pPr>
            <w:r w:rsidRPr="00A06A3E">
              <w:rPr>
                <w:rFonts w:eastAsia="Calibri"/>
                <w:sz w:val="20"/>
                <w:szCs w:val="20"/>
              </w:rPr>
              <w:t>2011 TCC 343</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Appeal from the Minister’s decision dismissed</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October 30, 2012</w:t>
            </w:r>
          </w:p>
          <w:p w:rsidR="00B9709A" w:rsidRPr="00A06A3E" w:rsidRDefault="00B9709A" w:rsidP="00FE1A89">
            <w:pPr>
              <w:jc w:val="both"/>
              <w:rPr>
                <w:rFonts w:eastAsia="Calibri"/>
                <w:sz w:val="20"/>
                <w:szCs w:val="20"/>
              </w:rPr>
            </w:pPr>
            <w:r w:rsidRPr="00A06A3E">
              <w:rPr>
                <w:rFonts w:eastAsia="Calibri"/>
                <w:sz w:val="20"/>
                <w:szCs w:val="20"/>
              </w:rPr>
              <w:t>Federal Court of Appeal</w:t>
            </w:r>
          </w:p>
          <w:p w:rsidR="00B9709A" w:rsidRPr="00A06A3E" w:rsidRDefault="00B9709A"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Blais</w:t>
            </w:r>
            <w:proofErr w:type="spellEnd"/>
            <w:r w:rsidRPr="00A06A3E">
              <w:rPr>
                <w:rFonts w:eastAsia="Calibri"/>
                <w:sz w:val="20"/>
                <w:szCs w:val="20"/>
              </w:rPr>
              <w:t xml:space="preserve">, </w:t>
            </w:r>
            <w:proofErr w:type="spellStart"/>
            <w:r w:rsidRPr="00A06A3E">
              <w:rPr>
                <w:rFonts w:eastAsia="Calibri"/>
                <w:sz w:val="20"/>
                <w:szCs w:val="20"/>
              </w:rPr>
              <w:t>Sharlow</w:t>
            </w:r>
            <w:proofErr w:type="spellEnd"/>
            <w:r w:rsidRPr="00A06A3E">
              <w:rPr>
                <w:rFonts w:eastAsia="Calibri"/>
                <w:sz w:val="20"/>
                <w:szCs w:val="20"/>
              </w:rPr>
              <w:t xml:space="preserve"> and </w:t>
            </w:r>
            <w:proofErr w:type="spellStart"/>
            <w:r w:rsidRPr="00A06A3E">
              <w:rPr>
                <w:rFonts w:eastAsia="Calibri"/>
                <w:sz w:val="20"/>
                <w:szCs w:val="20"/>
              </w:rPr>
              <w:t>Mainville</w:t>
            </w:r>
            <w:proofErr w:type="spellEnd"/>
            <w:r w:rsidRPr="00A06A3E">
              <w:rPr>
                <w:rFonts w:eastAsia="Calibri"/>
                <w:sz w:val="20"/>
                <w:szCs w:val="20"/>
              </w:rPr>
              <w:t xml:space="preserve"> JJ.A.)</w:t>
            </w:r>
          </w:p>
          <w:p w:rsidR="00B9709A" w:rsidRPr="00A06A3E" w:rsidRDefault="00B9709A" w:rsidP="00FE1A89">
            <w:pPr>
              <w:jc w:val="both"/>
              <w:rPr>
                <w:rFonts w:eastAsia="Calibri"/>
                <w:sz w:val="20"/>
                <w:szCs w:val="20"/>
              </w:rPr>
            </w:pPr>
            <w:r w:rsidRPr="00A06A3E">
              <w:rPr>
                <w:rFonts w:eastAsia="Calibri"/>
                <w:sz w:val="20"/>
                <w:szCs w:val="20"/>
              </w:rPr>
              <w:t>2012 FCA 271; A-221-11</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Appeal dismissed</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lastRenderedPageBreak/>
              <w:t>January 23, 2013</w:t>
            </w:r>
          </w:p>
          <w:p w:rsidR="00B9709A" w:rsidRPr="00A06A3E" w:rsidRDefault="00B9709A" w:rsidP="00FE1A89">
            <w:pPr>
              <w:jc w:val="both"/>
              <w:rPr>
                <w:rFonts w:eastAsia="Calibri"/>
                <w:sz w:val="20"/>
                <w:szCs w:val="20"/>
              </w:rPr>
            </w:pPr>
            <w:r w:rsidRPr="00A06A3E">
              <w:rPr>
                <w:rFonts w:eastAsia="Calibri"/>
                <w:sz w:val="20"/>
                <w:szCs w:val="20"/>
              </w:rPr>
              <w:t>Supreme Court of Canada</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Application for leave to appeal filed</w:t>
            </w:r>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 xml:space="preserve">February 15, 2013 </w:t>
            </w:r>
          </w:p>
          <w:p w:rsidR="00B9709A" w:rsidRPr="00A06A3E" w:rsidRDefault="00B9709A" w:rsidP="00FE1A89">
            <w:pPr>
              <w:jc w:val="both"/>
              <w:rPr>
                <w:rFonts w:eastAsia="Calibri"/>
                <w:sz w:val="20"/>
                <w:szCs w:val="20"/>
              </w:rPr>
            </w:pPr>
            <w:r w:rsidRPr="00A06A3E">
              <w:rPr>
                <w:rFonts w:eastAsia="Calibri"/>
                <w:sz w:val="20"/>
                <w:szCs w:val="20"/>
              </w:rPr>
              <w:t>Supreme Court of Canada</w:t>
            </w: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r w:rsidRPr="00A06A3E">
              <w:rPr>
                <w:rFonts w:eastAsia="Calibri"/>
                <w:sz w:val="20"/>
                <w:szCs w:val="20"/>
              </w:rPr>
              <w:t>Motion for an extension of time to file and serve an application for leave to appeal filed</w:t>
            </w:r>
          </w:p>
        </w:tc>
      </w:tr>
    </w:tbl>
    <w:p w:rsidR="00EA167C" w:rsidRDefault="00EA167C" w:rsidP="00EA167C">
      <w:pPr>
        <w:rPr>
          <w:sz w:val="20"/>
          <w:szCs w:val="20"/>
        </w:rPr>
      </w:pPr>
    </w:p>
    <w:p w:rsidR="00EA167C" w:rsidRPr="00C50A5C" w:rsidRDefault="0017005E" w:rsidP="00EA167C">
      <w:pPr>
        <w:rPr>
          <w:sz w:val="20"/>
          <w:szCs w:val="20"/>
        </w:rPr>
      </w:pPr>
      <w:r w:rsidRPr="0017005E">
        <w:rPr>
          <w:sz w:val="20"/>
          <w:szCs w:val="20"/>
          <w:lang w:val="fr-CA"/>
        </w:rPr>
        <w:pict>
          <v:rect id="_x0000_i1048" style="width:2in;height:1pt" o:hrpct="0" o:hralign="center" o:hrstd="t" o:hrnoshade="t" o:hr="t" fillcolor="black [3213]" stroked="f"/>
        </w:pict>
      </w:r>
    </w:p>
    <w:p w:rsidR="00EA167C" w:rsidRDefault="00EA167C" w:rsidP="00EA167C">
      <w:pPr>
        <w:rPr>
          <w:sz w:val="20"/>
          <w:szCs w:val="20"/>
        </w:rPr>
      </w:pPr>
    </w:p>
    <w:p w:rsidR="00EA167C" w:rsidRPr="001B157C" w:rsidRDefault="00EA167C" w:rsidP="00EA167C">
      <w:pPr>
        <w:rPr>
          <w:sz w:val="20"/>
          <w:szCs w:val="20"/>
          <w:u w:val="single"/>
          <w:lang w:val="fr-CA"/>
        </w:rPr>
      </w:pPr>
      <w:r w:rsidRPr="001B157C">
        <w:rPr>
          <w:sz w:val="20"/>
          <w:szCs w:val="20"/>
          <w:u w:val="single"/>
          <w:lang w:val="fr-CA"/>
        </w:rPr>
        <w:t>RÉSUMÉ DE L’AFFAIRE</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9709A" w:rsidRPr="00A06A3E" w:rsidTr="00FE1A89">
        <w:tc>
          <w:tcPr>
            <w:tcW w:w="5000" w:type="pct"/>
            <w:gridSpan w:val="3"/>
          </w:tcPr>
          <w:p w:rsidR="00B9709A" w:rsidRPr="00A06A3E" w:rsidRDefault="00B9709A" w:rsidP="00FE1A89">
            <w:pPr>
              <w:jc w:val="both"/>
              <w:rPr>
                <w:rFonts w:eastAsia="Calibri"/>
                <w:sz w:val="20"/>
                <w:szCs w:val="20"/>
                <w:lang w:val="fr-FR"/>
              </w:rPr>
            </w:pPr>
            <w:r w:rsidRPr="00A06A3E">
              <w:rPr>
                <w:rFonts w:eastAsia="Calibri"/>
                <w:sz w:val="20"/>
                <w:szCs w:val="20"/>
                <w:lang w:val="fr-FR"/>
              </w:rPr>
              <w:t xml:space="preserve">Droit fiscal – Taxe sur les produits et services – Demande de remboursement de toute la TPS versée à l’occasion de l’achat d’un condominium au motif que la TPS avait été payée à tort – Demande rejetée – La propriété constituait-elle un « immeuble d’habitation » exempt de la TPS? – </w:t>
            </w:r>
            <w:r w:rsidRPr="00A06A3E">
              <w:rPr>
                <w:rFonts w:eastAsia="Calibri"/>
                <w:i/>
                <w:sz w:val="20"/>
                <w:szCs w:val="20"/>
                <w:lang w:val="fr-FR"/>
              </w:rPr>
              <w:t>Loi sur la taxe d’accise</w:t>
            </w:r>
            <w:r w:rsidRPr="00A06A3E">
              <w:rPr>
                <w:rFonts w:eastAsia="Calibri"/>
                <w:sz w:val="20"/>
                <w:szCs w:val="20"/>
                <w:lang w:val="fr-FR"/>
              </w:rPr>
              <w:t>, L.R.C. 1985, ch. E-15, art. 123(1), 261, annexe V.</w:t>
            </w:r>
          </w:p>
        </w:tc>
      </w:tr>
      <w:tr w:rsidR="00B9709A" w:rsidRPr="00A06A3E" w:rsidTr="00FE1A89">
        <w:tc>
          <w:tcPr>
            <w:tcW w:w="5000" w:type="pct"/>
            <w:gridSpan w:val="3"/>
          </w:tcPr>
          <w:p w:rsidR="00B9709A" w:rsidRPr="00A06A3E" w:rsidRDefault="00B9709A" w:rsidP="00FE1A89">
            <w:pPr>
              <w:jc w:val="both"/>
              <w:rPr>
                <w:rFonts w:eastAsia="Calibri"/>
                <w:sz w:val="20"/>
                <w:szCs w:val="20"/>
                <w:lang w:val="fr-FR"/>
              </w:rPr>
            </w:pPr>
          </w:p>
        </w:tc>
      </w:tr>
      <w:tr w:rsidR="00B9709A" w:rsidRPr="005C0D71" w:rsidTr="00FE1A89">
        <w:tc>
          <w:tcPr>
            <w:tcW w:w="5000" w:type="pct"/>
            <w:gridSpan w:val="3"/>
          </w:tcPr>
          <w:p w:rsidR="00B9709A" w:rsidRPr="00A06A3E" w:rsidRDefault="00B9709A" w:rsidP="00FE1A89">
            <w:pPr>
              <w:jc w:val="both"/>
              <w:rPr>
                <w:rFonts w:eastAsia="Calibri"/>
                <w:sz w:val="20"/>
                <w:szCs w:val="20"/>
                <w:lang w:val="fr-FR"/>
              </w:rPr>
            </w:pPr>
            <w:r w:rsidRPr="00A06A3E">
              <w:rPr>
                <w:rFonts w:eastAsia="Calibri"/>
                <w:sz w:val="20"/>
                <w:szCs w:val="20"/>
                <w:lang w:val="fr-FR"/>
              </w:rPr>
              <w:t xml:space="preserve">Le demandeur, James </w:t>
            </w:r>
            <w:proofErr w:type="spellStart"/>
            <w:r w:rsidRPr="00A06A3E">
              <w:rPr>
                <w:rFonts w:eastAsia="Calibri"/>
                <w:sz w:val="20"/>
                <w:szCs w:val="20"/>
                <w:lang w:val="fr-FR"/>
              </w:rPr>
              <w:t>Wotherspoon</w:t>
            </w:r>
            <w:proofErr w:type="spellEnd"/>
            <w:r w:rsidRPr="00A06A3E">
              <w:rPr>
                <w:rFonts w:eastAsia="Calibri"/>
                <w:sz w:val="20"/>
                <w:szCs w:val="20"/>
                <w:lang w:val="fr-FR"/>
              </w:rPr>
              <w:t xml:space="preserve">, a acheté un condominium à </w:t>
            </w:r>
            <w:proofErr w:type="spellStart"/>
            <w:r w:rsidRPr="00A06A3E">
              <w:rPr>
                <w:rFonts w:eastAsia="Calibri"/>
                <w:sz w:val="20"/>
                <w:szCs w:val="20"/>
                <w:lang w:val="fr-FR"/>
              </w:rPr>
              <w:t>Big</w:t>
            </w:r>
            <w:proofErr w:type="spellEnd"/>
            <w:r w:rsidRPr="00A06A3E">
              <w:rPr>
                <w:rFonts w:eastAsia="Calibri"/>
                <w:sz w:val="20"/>
                <w:szCs w:val="20"/>
                <w:lang w:val="fr-FR"/>
              </w:rPr>
              <w:t xml:space="preserve"> White, en </w:t>
            </w:r>
            <w:proofErr w:type="spellStart"/>
            <w:r w:rsidRPr="00A06A3E">
              <w:rPr>
                <w:rFonts w:eastAsia="Calibri"/>
                <w:sz w:val="20"/>
                <w:szCs w:val="20"/>
                <w:lang w:val="fr-FR"/>
              </w:rPr>
              <w:t>Colombie</w:t>
            </w:r>
            <w:r w:rsidRPr="00A06A3E">
              <w:rPr>
                <w:rFonts w:eastAsia="Calibri"/>
                <w:sz w:val="20"/>
                <w:szCs w:val="20"/>
                <w:lang w:val="fr-FR"/>
              </w:rPr>
              <w:noBreakHyphen/>
              <w:t>Britannique</w:t>
            </w:r>
            <w:proofErr w:type="spellEnd"/>
            <w:r w:rsidRPr="00A06A3E">
              <w:rPr>
                <w:rFonts w:eastAsia="Calibri"/>
                <w:sz w:val="20"/>
                <w:szCs w:val="20"/>
                <w:lang w:val="fr-FR"/>
              </w:rPr>
              <w:t>, à titre de résidence personnelle.  Il a payé une TPS de 6 % (8 340 $) sur le prix d’achat (139 000 $).  M. </w:t>
            </w:r>
            <w:proofErr w:type="spellStart"/>
            <w:r w:rsidRPr="00A06A3E">
              <w:rPr>
                <w:rFonts w:eastAsia="Calibri"/>
                <w:sz w:val="20"/>
                <w:szCs w:val="20"/>
                <w:lang w:val="fr-FR"/>
              </w:rPr>
              <w:t>Wotherspoon</w:t>
            </w:r>
            <w:proofErr w:type="spellEnd"/>
            <w:r w:rsidRPr="00A06A3E">
              <w:rPr>
                <w:rFonts w:eastAsia="Calibri"/>
                <w:sz w:val="20"/>
                <w:szCs w:val="20"/>
                <w:lang w:val="fr-FR"/>
              </w:rPr>
              <w:t xml:space="preserve"> a demandé le remboursement de la TPS pour habitations neuves, et il l’a obtenu (3 002,40 $) parce que la propriété en question, qui en était une à usage commercial, a été transformée en propriété à usage personnel.  M. </w:t>
            </w:r>
            <w:proofErr w:type="spellStart"/>
            <w:r w:rsidRPr="00A06A3E">
              <w:rPr>
                <w:rFonts w:eastAsia="Calibri"/>
                <w:sz w:val="20"/>
                <w:szCs w:val="20"/>
                <w:lang w:val="fr-FR"/>
              </w:rPr>
              <w:t>Wotherspoon</w:t>
            </w:r>
            <w:proofErr w:type="spellEnd"/>
            <w:r w:rsidRPr="00A06A3E">
              <w:rPr>
                <w:rFonts w:eastAsia="Calibri"/>
                <w:sz w:val="20"/>
                <w:szCs w:val="20"/>
                <w:lang w:val="fr-FR"/>
              </w:rPr>
              <w:t xml:space="preserve"> a demandé par la suite le remboursement de toute la TPS acquittée relativement à l’achat au motif qu’il l’avait payée à tort.</w:t>
            </w:r>
          </w:p>
          <w:p w:rsidR="00B9709A" w:rsidRPr="00A06A3E" w:rsidRDefault="00B9709A" w:rsidP="00FE1A89">
            <w:pPr>
              <w:jc w:val="both"/>
              <w:rPr>
                <w:rFonts w:eastAsia="Calibri"/>
                <w:sz w:val="20"/>
                <w:szCs w:val="20"/>
                <w:lang w:val="fr-FR"/>
              </w:rPr>
            </w:pPr>
          </w:p>
          <w:p w:rsidR="00B9709A" w:rsidRPr="00A06A3E" w:rsidRDefault="00B9709A" w:rsidP="00FE1A89">
            <w:pPr>
              <w:jc w:val="both"/>
              <w:rPr>
                <w:rFonts w:eastAsia="Calibri"/>
                <w:sz w:val="20"/>
                <w:szCs w:val="20"/>
                <w:lang w:val="fr-FR"/>
              </w:rPr>
            </w:pPr>
            <w:r w:rsidRPr="00A06A3E">
              <w:rPr>
                <w:rFonts w:eastAsia="Calibri"/>
                <w:sz w:val="20"/>
                <w:szCs w:val="20"/>
                <w:lang w:val="fr-FR"/>
              </w:rPr>
              <w:t>Le ministre du Revenu national a refusé le remboursement de la TPS.  M. </w:t>
            </w:r>
            <w:proofErr w:type="spellStart"/>
            <w:r w:rsidRPr="00A06A3E">
              <w:rPr>
                <w:rFonts w:eastAsia="Calibri"/>
                <w:sz w:val="20"/>
                <w:szCs w:val="20"/>
                <w:lang w:val="fr-FR"/>
              </w:rPr>
              <w:t>Wotherspoon</w:t>
            </w:r>
            <w:proofErr w:type="spellEnd"/>
            <w:r w:rsidRPr="00A06A3E">
              <w:rPr>
                <w:rFonts w:eastAsia="Calibri"/>
                <w:sz w:val="20"/>
                <w:szCs w:val="20"/>
                <w:lang w:val="fr-FR"/>
              </w:rPr>
              <w:t xml:space="preserve"> a interjeté appel à la Cour canadienne de l’impôt.  La juge Campbell a décidé que la TPS n’avait pas été payée à tort parce qu’au vu de la preuve, le condominium n’était pas un « immeuble d’habitation » au sens du par. 123(1) de la </w:t>
            </w:r>
            <w:r w:rsidRPr="00A06A3E">
              <w:rPr>
                <w:rFonts w:eastAsia="Calibri"/>
                <w:i/>
                <w:sz w:val="20"/>
                <w:szCs w:val="20"/>
                <w:lang w:val="fr-FR"/>
              </w:rPr>
              <w:t>Loi sur la taxe d’accise</w:t>
            </w:r>
            <w:r w:rsidRPr="00A06A3E">
              <w:rPr>
                <w:rFonts w:eastAsia="Calibri"/>
                <w:sz w:val="20"/>
                <w:szCs w:val="20"/>
                <w:lang w:val="fr-FR"/>
              </w:rPr>
              <w:t xml:space="preserve">.  Cette décision a été confirmée par la Cour d’appel fédérale. </w:t>
            </w:r>
          </w:p>
          <w:p w:rsidR="00B9709A" w:rsidRPr="00A06A3E" w:rsidRDefault="00B9709A" w:rsidP="00FE1A89">
            <w:pPr>
              <w:jc w:val="both"/>
              <w:rPr>
                <w:rFonts w:eastAsia="Calibri"/>
                <w:sz w:val="20"/>
                <w:szCs w:val="20"/>
                <w:lang w:val="fr-FR"/>
              </w:rPr>
            </w:pPr>
          </w:p>
        </w:tc>
      </w:tr>
      <w:tr w:rsidR="00B9709A" w:rsidRPr="005C0D71" w:rsidTr="00FE1A89">
        <w:tc>
          <w:tcPr>
            <w:tcW w:w="2427" w:type="pct"/>
          </w:tcPr>
          <w:p w:rsidR="00B9709A" w:rsidRPr="00A06A3E" w:rsidRDefault="00B9709A" w:rsidP="00FE1A89">
            <w:pPr>
              <w:jc w:val="both"/>
              <w:rPr>
                <w:rFonts w:eastAsia="Calibri"/>
                <w:sz w:val="20"/>
                <w:szCs w:val="20"/>
                <w:lang w:val="fr-FR"/>
              </w:rPr>
            </w:pPr>
            <w:r w:rsidRPr="00A06A3E">
              <w:rPr>
                <w:rFonts w:eastAsia="Calibri"/>
                <w:sz w:val="20"/>
                <w:szCs w:val="20"/>
                <w:lang w:val="fr-FR"/>
              </w:rPr>
              <w:t>8 juillet 2011</w:t>
            </w:r>
          </w:p>
          <w:p w:rsidR="00B9709A" w:rsidRPr="00A06A3E" w:rsidRDefault="00B9709A" w:rsidP="00FE1A89">
            <w:pPr>
              <w:jc w:val="both"/>
              <w:rPr>
                <w:rFonts w:eastAsia="Calibri"/>
                <w:sz w:val="20"/>
                <w:szCs w:val="20"/>
                <w:lang w:val="fr-FR"/>
              </w:rPr>
            </w:pPr>
            <w:r w:rsidRPr="00A06A3E">
              <w:rPr>
                <w:rFonts w:eastAsia="Calibri"/>
                <w:sz w:val="20"/>
                <w:szCs w:val="20"/>
                <w:lang w:val="fr-FR"/>
              </w:rPr>
              <w:t>Cour canadienne de l’impôt</w:t>
            </w:r>
          </w:p>
          <w:p w:rsidR="00B9709A" w:rsidRPr="00A06A3E" w:rsidRDefault="00B9709A" w:rsidP="00FE1A89">
            <w:pPr>
              <w:jc w:val="both"/>
              <w:rPr>
                <w:rFonts w:eastAsia="Calibri"/>
                <w:sz w:val="20"/>
                <w:szCs w:val="20"/>
                <w:lang w:val="fr-FR"/>
              </w:rPr>
            </w:pPr>
            <w:r w:rsidRPr="00A06A3E">
              <w:rPr>
                <w:rFonts w:eastAsia="Calibri"/>
                <w:sz w:val="20"/>
                <w:szCs w:val="20"/>
                <w:lang w:val="fr-FR"/>
              </w:rPr>
              <w:t>(Juge Campbell)</w:t>
            </w:r>
          </w:p>
          <w:p w:rsidR="00B9709A" w:rsidRPr="00A06A3E" w:rsidRDefault="00B9709A" w:rsidP="00FE1A89">
            <w:pPr>
              <w:jc w:val="both"/>
              <w:rPr>
                <w:rFonts w:eastAsia="Calibri"/>
                <w:sz w:val="20"/>
                <w:szCs w:val="20"/>
              </w:rPr>
            </w:pPr>
            <w:r w:rsidRPr="00A06A3E">
              <w:rPr>
                <w:rFonts w:eastAsia="Calibri"/>
                <w:sz w:val="20"/>
                <w:szCs w:val="20"/>
              </w:rPr>
              <w:t>2011 CCI 343</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lang w:val="fr-FR"/>
              </w:rPr>
            </w:pPr>
            <w:r w:rsidRPr="00A06A3E">
              <w:rPr>
                <w:rFonts w:eastAsia="Calibri"/>
                <w:sz w:val="20"/>
                <w:szCs w:val="20"/>
                <w:lang w:val="fr-FR"/>
              </w:rPr>
              <w:t xml:space="preserve">Appel de la décision du ministre rejeté </w:t>
            </w:r>
          </w:p>
          <w:p w:rsidR="00B9709A" w:rsidRPr="00A06A3E" w:rsidRDefault="00B9709A" w:rsidP="00FE1A89">
            <w:pPr>
              <w:jc w:val="both"/>
              <w:rPr>
                <w:rFonts w:eastAsia="Calibri"/>
                <w:sz w:val="20"/>
                <w:szCs w:val="20"/>
                <w:lang w:val="fr-FR"/>
              </w:rPr>
            </w:pPr>
          </w:p>
        </w:tc>
      </w:tr>
      <w:tr w:rsidR="00B9709A" w:rsidRPr="00A06A3E" w:rsidTr="00FE1A89">
        <w:tc>
          <w:tcPr>
            <w:tcW w:w="2427" w:type="pct"/>
          </w:tcPr>
          <w:p w:rsidR="00B9709A" w:rsidRPr="00A06A3E" w:rsidRDefault="00B9709A" w:rsidP="00FE1A89">
            <w:pPr>
              <w:jc w:val="both"/>
              <w:rPr>
                <w:rFonts w:eastAsia="Calibri"/>
                <w:sz w:val="20"/>
                <w:szCs w:val="20"/>
                <w:lang w:val="fr-FR"/>
              </w:rPr>
            </w:pPr>
            <w:r w:rsidRPr="00A06A3E">
              <w:rPr>
                <w:rFonts w:eastAsia="Calibri"/>
                <w:sz w:val="20"/>
                <w:szCs w:val="20"/>
                <w:lang w:val="fr-FR"/>
              </w:rPr>
              <w:t>30 octobre 2012</w:t>
            </w:r>
          </w:p>
          <w:p w:rsidR="00B9709A" w:rsidRPr="00A06A3E" w:rsidRDefault="00B9709A" w:rsidP="00FE1A89">
            <w:pPr>
              <w:jc w:val="both"/>
              <w:rPr>
                <w:rFonts w:eastAsia="Calibri"/>
                <w:sz w:val="20"/>
                <w:szCs w:val="20"/>
                <w:lang w:val="fr-FR"/>
              </w:rPr>
            </w:pPr>
            <w:r w:rsidRPr="00A06A3E">
              <w:rPr>
                <w:rFonts w:eastAsia="Calibri"/>
                <w:sz w:val="20"/>
                <w:szCs w:val="20"/>
                <w:lang w:val="fr-FR"/>
              </w:rPr>
              <w:t>Cour d’appel fédérale</w:t>
            </w:r>
          </w:p>
          <w:p w:rsidR="00B9709A" w:rsidRPr="00A06A3E" w:rsidRDefault="00B9709A" w:rsidP="00FE1A89">
            <w:pPr>
              <w:jc w:val="both"/>
              <w:rPr>
                <w:rFonts w:eastAsia="Calibri"/>
                <w:sz w:val="20"/>
                <w:szCs w:val="20"/>
                <w:lang w:val="fr-FR"/>
              </w:rPr>
            </w:pPr>
            <w:r w:rsidRPr="00A06A3E">
              <w:rPr>
                <w:rFonts w:eastAsia="Calibri"/>
                <w:sz w:val="20"/>
                <w:szCs w:val="20"/>
                <w:lang w:val="fr-FR"/>
              </w:rPr>
              <w:t xml:space="preserve">(Juges Blais, </w:t>
            </w:r>
            <w:proofErr w:type="spellStart"/>
            <w:r w:rsidRPr="00A06A3E">
              <w:rPr>
                <w:rFonts w:eastAsia="Calibri"/>
                <w:sz w:val="20"/>
                <w:szCs w:val="20"/>
                <w:lang w:val="fr-FR"/>
              </w:rPr>
              <w:t>Sharlow</w:t>
            </w:r>
            <w:proofErr w:type="spellEnd"/>
            <w:r w:rsidRPr="00A06A3E">
              <w:rPr>
                <w:rFonts w:eastAsia="Calibri"/>
                <w:sz w:val="20"/>
                <w:szCs w:val="20"/>
                <w:lang w:val="fr-FR"/>
              </w:rPr>
              <w:t xml:space="preserve"> et Mainville)</w:t>
            </w:r>
          </w:p>
          <w:p w:rsidR="00B9709A" w:rsidRPr="00A06A3E" w:rsidRDefault="00B9709A" w:rsidP="00FE1A89">
            <w:pPr>
              <w:jc w:val="both"/>
              <w:rPr>
                <w:rFonts w:eastAsia="Calibri"/>
                <w:sz w:val="20"/>
                <w:szCs w:val="20"/>
              </w:rPr>
            </w:pPr>
            <w:r w:rsidRPr="00A06A3E">
              <w:rPr>
                <w:rFonts w:eastAsia="Calibri"/>
                <w:sz w:val="20"/>
                <w:szCs w:val="20"/>
              </w:rPr>
              <w:t>2012 CAF 271; A-221-11</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proofErr w:type="spellStart"/>
            <w:r w:rsidRPr="00A06A3E">
              <w:rPr>
                <w:rFonts w:eastAsia="Calibri"/>
                <w:sz w:val="20"/>
                <w:szCs w:val="20"/>
              </w:rPr>
              <w:t>Appel</w:t>
            </w:r>
            <w:proofErr w:type="spellEnd"/>
            <w:r w:rsidRPr="00A06A3E">
              <w:rPr>
                <w:rFonts w:eastAsia="Calibri"/>
                <w:sz w:val="20"/>
                <w:szCs w:val="20"/>
              </w:rPr>
              <w:t xml:space="preserve"> </w:t>
            </w:r>
            <w:proofErr w:type="spellStart"/>
            <w:r w:rsidRPr="00A06A3E">
              <w:rPr>
                <w:rFonts w:eastAsia="Calibri"/>
                <w:sz w:val="20"/>
                <w:szCs w:val="20"/>
              </w:rPr>
              <w:t>rejeté</w:t>
            </w:r>
            <w:proofErr w:type="spellEnd"/>
          </w:p>
          <w:p w:rsidR="00B9709A" w:rsidRPr="00A06A3E" w:rsidRDefault="00B9709A" w:rsidP="00FE1A89">
            <w:pPr>
              <w:jc w:val="both"/>
              <w:rPr>
                <w:rFonts w:eastAsia="Calibri"/>
                <w:sz w:val="20"/>
                <w:szCs w:val="20"/>
              </w:rPr>
            </w:pPr>
          </w:p>
        </w:tc>
      </w:tr>
      <w:tr w:rsidR="00B9709A" w:rsidRPr="00A06A3E" w:rsidTr="00FE1A89">
        <w:tc>
          <w:tcPr>
            <w:tcW w:w="2427" w:type="pct"/>
          </w:tcPr>
          <w:p w:rsidR="00B9709A" w:rsidRPr="00A06A3E" w:rsidRDefault="00B9709A" w:rsidP="00FE1A89">
            <w:pPr>
              <w:jc w:val="both"/>
              <w:rPr>
                <w:rFonts w:eastAsia="Calibri"/>
                <w:sz w:val="20"/>
                <w:szCs w:val="20"/>
              </w:rPr>
            </w:pPr>
            <w:r w:rsidRPr="00A06A3E">
              <w:rPr>
                <w:rFonts w:eastAsia="Calibri"/>
                <w:sz w:val="20"/>
                <w:szCs w:val="20"/>
              </w:rPr>
              <w:t xml:space="preserve">23 </w:t>
            </w:r>
            <w:proofErr w:type="spellStart"/>
            <w:r w:rsidRPr="00A06A3E">
              <w:rPr>
                <w:rFonts w:eastAsia="Calibri"/>
                <w:sz w:val="20"/>
                <w:szCs w:val="20"/>
              </w:rPr>
              <w:t>janvier</w:t>
            </w:r>
            <w:proofErr w:type="spellEnd"/>
            <w:r w:rsidRPr="00A06A3E">
              <w:rPr>
                <w:rFonts w:eastAsia="Calibri"/>
                <w:sz w:val="20"/>
                <w:szCs w:val="20"/>
              </w:rPr>
              <w:t xml:space="preserve"> 2013</w:t>
            </w:r>
          </w:p>
          <w:p w:rsidR="00B9709A" w:rsidRPr="00A06A3E" w:rsidRDefault="00B9709A" w:rsidP="00FE1A89">
            <w:pPr>
              <w:jc w:val="both"/>
              <w:rPr>
                <w:rFonts w:eastAsia="Calibri"/>
                <w:sz w:val="20"/>
                <w:szCs w:val="20"/>
              </w:rPr>
            </w:pPr>
            <w:proofErr w:type="spellStart"/>
            <w:r w:rsidRPr="00A06A3E">
              <w:rPr>
                <w:rFonts w:eastAsia="Calibri"/>
                <w:sz w:val="20"/>
                <w:szCs w:val="20"/>
              </w:rPr>
              <w:t>Cour</w:t>
            </w:r>
            <w:proofErr w:type="spellEnd"/>
            <w:r w:rsidRPr="00A06A3E">
              <w:rPr>
                <w:rFonts w:eastAsia="Calibri"/>
                <w:sz w:val="20"/>
                <w:szCs w:val="20"/>
              </w:rPr>
              <w:t xml:space="preserve"> </w:t>
            </w:r>
            <w:proofErr w:type="spellStart"/>
            <w:r w:rsidRPr="00A06A3E">
              <w:rPr>
                <w:rFonts w:eastAsia="Calibri"/>
                <w:sz w:val="20"/>
                <w:szCs w:val="20"/>
              </w:rPr>
              <w:t>suprême</w:t>
            </w:r>
            <w:proofErr w:type="spellEnd"/>
            <w:r w:rsidRPr="00A06A3E">
              <w:rPr>
                <w:rFonts w:eastAsia="Calibri"/>
                <w:sz w:val="20"/>
                <w:szCs w:val="20"/>
              </w:rPr>
              <w:t xml:space="preserve"> du Canada</w:t>
            </w:r>
          </w:p>
          <w:p w:rsidR="00B9709A" w:rsidRPr="00A06A3E" w:rsidRDefault="00B9709A" w:rsidP="00FE1A89">
            <w:pPr>
              <w:jc w:val="both"/>
              <w:rPr>
                <w:rFonts w:eastAsia="Calibri"/>
                <w:sz w:val="20"/>
                <w:szCs w:val="20"/>
              </w:rPr>
            </w:pPr>
          </w:p>
        </w:tc>
        <w:tc>
          <w:tcPr>
            <w:tcW w:w="243" w:type="pct"/>
          </w:tcPr>
          <w:p w:rsidR="00B9709A" w:rsidRPr="00A06A3E" w:rsidRDefault="00B9709A" w:rsidP="00FE1A89">
            <w:pPr>
              <w:jc w:val="both"/>
              <w:rPr>
                <w:rFonts w:eastAsia="Calibri"/>
                <w:sz w:val="20"/>
                <w:szCs w:val="20"/>
              </w:rPr>
            </w:pPr>
          </w:p>
        </w:tc>
        <w:tc>
          <w:tcPr>
            <w:tcW w:w="2330" w:type="pct"/>
          </w:tcPr>
          <w:p w:rsidR="00B9709A" w:rsidRPr="00A06A3E" w:rsidRDefault="00B9709A" w:rsidP="00FE1A89">
            <w:pPr>
              <w:jc w:val="both"/>
              <w:rPr>
                <w:rFonts w:eastAsia="Calibri"/>
                <w:sz w:val="20"/>
                <w:szCs w:val="20"/>
              </w:rPr>
            </w:pPr>
            <w:proofErr w:type="spellStart"/>
            <w:r w:rsidRPr="00A06A3E">
              <w:rPr>
                <w:rFonts w:eastAsia="Calibri"/>
                <w:sz w:val="20"/>
                <w:szCs w:val="20"/>
              </w:rPr>
              <w:t>Demande</w:t>
            </w:r>
            <w:proofErr w:type="spellEnd"/>
            <w:r w:rsidRPr="00A06A3E">
              <w:rPr>
                <w:rFonts w:eastAsia="Calibri"/>
                <w:sz w:val="20"/>
                <w:szCs w:val="20"/>
              </w:rPr>
              <w:t xml:space="preserve"> </w:t>
            </w:r>
            <w:proofErr w:type="spellStart"/>
            <w:r w:rsidRPr="00A06A3E">
              <w:rPr>
                <w:rFonts w:eastAsia="Calibri"/>
                <w:sz w:val="20"/>
                <w:szCs w:val="20"/>
              </w:rPr>
              <w:t>d’autorisation</w:t>
            </w:r>
            <w:proofErr w:type="spellEnd"/>
            <w:r w:rsidRPr="00A06A3E">
              <w:rPr>
                <w:rFonts w:eastAsia="Calibri"/>
                <w:sz w:val="20"/>
                <w:szCs w:val="20"/>
              </w:rPr>
              <w:t xml:space="preserve"> </w:t>
            </w:r>
            <w:proofErr w:type="spellStart"/>
            <w:r w:rsidRPr="00A06A3E">
              <w:rPr>
                <w:rFonts w:eastAsia="Calibri"/>
                <w:sz w:val="20"/>
                <w:szCs w:val="20"/>
              </w:rPr>
              <w:t>d’appel</w:t>
            </w:r>
            <w:proofErr w:type="spellEnd"/>
            <w:r w:rsidRPr="00A06A3E">
              <w:rPr>
                <w:rFonts w:eastAsia="Calibri"/>
                <w:sz w:val="20"/>
                <w:szCs w:val="20"/>
              </w:rPr>
              <w:t xml:space="preserve"> </w:t>
            </w:r>
            <w:proofErr w:type="spellStart"/>
            <w:r w:rsidRPr="00A06A3E">
              <w:rPr>
                <w:rFonts w:eastAsia="Calibri"/>
                <w:sz w:val="20"/>
                <w:szCs w:val="20"/>
              </w:rPr>
              <w:t>déposée</w:t>
            </w:r>
            <w:proofErr w:type="spellEnd"/>
            <w:r w:rsidRPr="00A06A3E">
              <w:rPr>
                <w:rFonts w:eastAsia="Calibri"/>
                <w:sz w:val="20"/>
                <w:szCs w:val="20"/>
              </w:rPr>
              <w:t xml:space="preserve"> </w:t>
            </w:r>
          </w:p>
          <w:p w:rsidR="00B9709A" w:rsidRPr="00A06A3E" w:rsidRDefault="00B9709A" w:rsidP="00FE1A89">
            <w:pPr>
              <w:jc w:val="both"/>
              <w:rPr>
                <w:rFonts w:eastAsia="Calibri"/>
                <w:sz w:val="20"/>
                <w:szCs w:val="20"/>
              </w:rPr>
            </w:pPr>
          </w:p>
        </w:tc>
      </w:tr>
      <w:tr w:rsidR="00B9709A" w:rsidRPr="005C0D71" w:rsidTr="00FE1A89">
        <w:tc>
          <w:tcPr>
            <w:tcW w:w="2427" w:type="pct"/>
          </w:tcPr>
          <w:p w:rsidR="00B9709A" w:rsidRPr="00A06A3E" w:rsidRDefault="00B9709A" w:rsidP="00FE1A89">
            <w:pPr>
              <w:jc w:val="both"/>
              <w:rPr>
                <w:rFonts w:eastAsia="Calibri"/>
                <w:sz w:val="20"/>
                <w:szCs w:val="20"/>
                <w:lang w:val="fr-FR"/>
              </w:rPr>
            </w:pPr>
            <w:r w:rsidRPr="00A06A3E">
              <w:rPr>
                <w:rFonts w:eastAsia="Calibri"/>
                <w:sz w:val="20"/>
                <w:szCs w:val="20"/>
                <w:lang w:val="fr-FR"/>
              </w:rPr>
              <w:t xml:space="preserve">15 février 2013 </w:t>
            </w:r>
          </w:p>
          <w:p w:rsidR="00B9709A" w:rsidRPr="00A06A3E" w:rsidRDefault="00B9709A" w:rsidP="00FE1A89">
            <w:pPr>
              <w:jc w:val="both"/>
              <w:rPr>
                <w:rFonts w:eastAsia="Calibri"/>
                <w:sz w:val="20"/>
                <w:szCs w:val="20"/>
                <w:lang w:val="fr-FR"/>
              </w:rPr>
            </w:pPr>
            <w:r w:rsidRPr="00A06A3E">
              <w:rPr>
                <w:rFonts w:eastAsia="Calibri"/>
                <w:sz w:val="20"/>
                <w:szCs w:val="20"/>
                <w:lang w:val="fr-FR"/>
              </w:rPr>
              <w:t xml:space="preserve">Cour suprême du Canada </w:t>
            </w:r>
          </w:p>
        </w:tc>
        <w:tc>
          <w:tcPr>
            <w:tcW w:w="243" w:type="pct"/>
          </w:tcPr>
          <w:p w:rsidR="00B9709A" w:rsidRPr="00A06A3E" w:rsidRDefault="00B9709A" w:rsidP="00FE1A89">
            <w:pPr>
              <w:jc w:val="both"/>
              <w:rPr>
                <w:rFonts w:eastAsia="Calibri"/>
                <w:sz w:val="20"/>
                <w:szCs w:val="20"/>
                <w:lang w:val="fr-FR"/>
              </w:rPr>
            </w:pPr>
          </w:p>
        </w:tc>
        <w:tc>
          <w:tcPr>
            <w:tcW w:w="2330" w:type="pct"/>
          </w:tcPr>
          <w:p w:rsidR="00B9709A" w:rsidRPr="00A06A3E" w:rsidRDefault="00B9709A" w:rsidP="00FE1A89">
            <w:pPr>
              <w:jc w:val="both"/>
              <w:rPr>
                <w:rFonts w:eastAsia="Calibri"/>
                <w:sz w:val="20"/>
                <w:szCs w:val="20"/>
                <w:lang w:val="fr-FR"/>
              </w:rPr>
            </w:pPr>
            <w:r w:rsidRPr="00A06A3E">
              <w:rPr>
                <w:rFonts w:eastAsia="Calibri"/>
                <w:sz w:val="20"/>
                <w:szCs w:val="20"/>
                <w:lang w:val="fr-FR"/>
              </w:rPr>
              <w:t xml:space="preserve">Requête en prorogation du délai pour signifier et déposer une demande d’autorisation d’appel déposée </w:t>
            </w:r>
          </w:p>
        </w:tc>
      </w:tr>
    </w:tbl>
    <w:p w:rsidR="00EA167C" w:rsidRPr="00B9709A" w:rsidRDefault="00EA167C" w:rsidP="00EA167C">
      <w:pPr>
        <w:rPr>
          <w:sz w:val="20"/>
          <w:szCs w:val="20"/>
          <w:lang w:val="fr-CA"/>
        </w:rPr>
      </w:pPr>
    </w:p>
    <w:p w:rsidR="00EA167C" w:rsidRDefault="0017005E" w:rsidP="00EA167C">
      <w:pPr>
        <w:rPr>
          <w:sz w:val="20"/>
          <w:szCs w:val="20"/>
          <w:lang w:val="fr-CA"/>
        </w:rPr>
      </w:pPr>
      <w:r w:rsidRPr="0017005E">
        <w:rPr>
          <w:sz w:val="20"/>
          <w:szCs w:val="20"/>
          <w:lang w:val="fr-CA"/>
        </w:rPr>
        <w:pict>
          <v:rect id="_x0000_i1049" style="width:2in;height:1pt" o:hrpct="0" o:hralign="center" o:hrstd="t" o:hrnoshade="t" o:hr="t" fillcolor="black [3213]" stroked="f"/>
        </w:pict>
      </w:r>
    </w:p>
    <w:p w:rsidR="00EA167C" w:rsidRDefault="00EA167C" w:rsidP="00EA167C">
      <w:pPr>
        <w:rPr>
          <w:sz w:val="20"/>
          <w:szCs w:val="20"/>
        </w:rPr>
      </w:pPr>
    </w:p>
    <w:p w:rsidR="00D113B1" w:rsidRDefault="00D113B1">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13B1" w:rsidRPr="008902B9" w:rsidTr="00D113B1">
        <w:trPr>
          <w:cantSplit/>
        </w:trPr>
        <w:tc>
          <w:tcPr>
            <w:tcW w:w="1458" w:type="dxa"/>
          </w:tcPr>
          <w:p w:rsidR="00D113B1" w:rsidRPr="008902B9" w:rsidRDefault="00D113B1" w:rsidP="008A1E3D">
            <w:pPr>
              <w:rPr>
                <w:sz w:val="20"/>
                <w:szCs w:val="20"/>
              </w:rPr>
            </w:pPr>
            <w:r w:rsidRPr="008902B9">
              <w:rPr>
                <w:rStyle w:val="SCCFileNumberChar"/>
                <w:sz w:val="20"/>
                <w:szCs w:val="20"/>
              </w:rPr>
              <w:lastRenderedPageBreak/>
              <w:t>35222</w:t>
            </w:r>
          </w:p>
          <w:p w:rsidR="00D113B1" w:rsidRPr="008902B9" w:rsidRDefault="00D113B1" w:rsidP="008A1E3D">
            <w:pPr>
              <w:rPr>
                <w:b/>
                <w:sz w:val="20"/>
                <w:szCs w:val="20"/>
                <w:lang w:val="fr-CA"/>
              </w:rPr>
            </w:pPr>
          </w:p>
        </w:tc>
        <w:tc>
          <w:tcPr>
            <w:tcW w:w="8118" w:type="dxa"/>
          </w:tcPr>
          <w:p w:rsidR="00D113B1" w:rsidRPr="008902B9" w:rsidRDefault="00D113B1" w:rsidP="008A1E3D">
            <w:pPr>
              <w:rPr>
                <w:sz w:val="20"/>
                <w:szCs w:val="20"/>
              </w:rPr>
            </w:pPr>
            <w:r w:rsidRPr="008902B9">
              <w:rPr>
                <w:rStyle w:val="SCCLsocChar"/>
                <w:sz w:val="20"/>
                <w:szCs w:val="20"/>
                <w:lang w:val="en-CA"/>
              </w:rPr>
              <w:t>Warner Bruce Elmore v. Her Majesty the Queen</w:t>
            </w:r>
            <w:r w:rsidRPr="008902B9">
              <w:rPr>
                <w:sz w:val="20"/>
                <w:szCs w:val="20"/>
              </w:rPr>
              <w:t xml:space="preserve"> (Ont.) (Criminal) (By Leave)</w:t>
            </w:r>
          </w:p>
          <w:p w:rsidR="00D113B1" w:rsidRPr="008902B9" w:rsidRDefault="00D113B1" w:rsidP="008A1E3D">
            <w:pPr>
              <w:rPr>
                <w:sz w:val="20"/>
                <w:szCs w:val="20"/>
              </w:rPr>
            </w:pPr>
          </w:p>
        </w:tc>
      </w:tr>
      <w:tr w:rsidR="00D113B1" w:rsidRPr="008902B9" w:rsidTr="00D113B1">
        <w:trPr>
          <w:cantSplit/>
        </w:trPr>
        <w:tc>
          <w:tcPr>
            <w:tcW w:w="1458" w:type="dxa"/>
          </w:tcPr>
          <w:p w:rsidR="00D113B1" w:rsidRPr="008902B9" w:rsidRDefault="00D113B1" w:rsidP="008A1E3D">
            <w:pPr>
              <w:rPr>
                <w:sz w:val="20"/>
                <w:szCs w:val="20"/>
              </w:rPr>
            </w:pPr>
            <w:r w:rsidRPr="008902B9">
              <w:rPr>
                <w:sz w:val="20"/>
                <w:szCs w:val="20"/>
              </w:rPr>
              <w:t>Coram :</w:t>
            </w:r>
          </w:p>
        </w:tc>
        <w:tc>
          <w:tcPr>
            <w:tcW w:w="8118" w:type="dxa"/>
          </w:tcPr>
          <w:p w:rsidR="00D113B1" w:rsidRPr="008902B9" w:rsidRDefault="00D113B1" w:rsidP="008A1E3D">
            <w:pPr>
              <w:rPr>
                <w:sz w:val="20"/>
                <w:szCs w:val="20"/>
              </w:rPr>
            </w:pPr>
            <w:proofErr w:type="spellStart"/>
            <w:r w:rsidRPr="008902B9">
              <w:rPr>
                <w:rStyle w:val="SCCCoramChar"/>
                <w:sz w:val="20"/>
                <w:szCs w:val="20"/>
                <w:lang w:val="en-CA"/>
              </w:rPr>
              <w:t>LeBel</w:t>
            </w:r>
            <w:proofErr w:type="spellEnd"/>
            <w:r w:rsidRPr="008902B9">
              <w:rPr>
                <w:rStyle w:val="SCCCoramChar"/>
                <w:sz w:val="20"/>
                <w:szCs w:val="20"/>
                <w:lang w:val="en-CA"/>
              </w:rPr>
              <w:t xml:space="preserve">, </w:t>
            </w:r>
            <w:proofErr w:type="spellStart"/>
            <w:r w:rsidRPr="008902B9">
              <w:rPr>
                <w:rStyle w:val="SCCCoramChar"/>
                <w:sz w:val="20"/>
                <w:szCs w:val="20"/>
                <w:lang w:val="en-CA"/>
              </w:rPr>
              <w:t>Karakatsanis</w:t>
            </w:r>
            <w:proofErr w:type="spellEnd"/>
            <w:r w:rsidRPr="008902B9">
              <w:rPr>
                <w:rStyle w:val="SCCCoramChar"/>
                <w:sz w:val="20"/>
                <w:szCs w:val="20"/>
                <w:lang w:val="en-CA"/>
              </w:rPr>
              <w:t xml:space="preserve"> and Wagner JJ.</w:t>
            </w:r>
          </w:p>
          <w:p w:rsidR="00D113B1" w:rsidRPr="008902B9" w:rsidRDefault="00D113B1" w:rsidP="008A1E3D">
            <w:pPr>
              <w:rPr>
                <w:sz w:val="20"/>
                <w:szCs w:val="20"/>
                <w:u w:val="single"/>
              </w:rPr>
            </w:pPr>
          </w:p>
        </w:tc>
      </w:tr>
      <w:tr w:rsidR="00D113B1" w:rsidRPr="005C0D71" w:rsidTr="00D113B1">
        <w:trPr>
          <w:cantSplit/>
        </w:trPr>
        <w:tc>
          <w:tcPr>
            <w:tcW w:w="9576" w:type="dxa"/>
            <w:gridSpan w:val="2"/>
          </w:tcPr>
          <w:p w:rsidR="00D113B1" w:rsidRPr="008902B9" w:rsidRDefault="00D113B1" w:rsidP="008A1E3D">
            <w:pPr>
              <w:pStyle w:val="SCCShortJudgment"/>
              <w:rPr>
                <w:szCs w:val="20"/>
              </w:rPr>
            </w:pPr>
            <w:r w:rsidRPr="008902B9">
              <w:rPr>
                <w:szCs w:val="20"/>
              </w:rPr>
              <w:t>The application for leave to appeal from the judgment of the Court of Appeal for Ontario, Number C52381, dated November 20, 2012, is dismissed without costs.</w:t>
            </w:r>
          </w:p>
          <w:p w:rsidR="00D113B1" w:rsidRPr="008902B9" w:rsidRDefault="00D113B1" w:rsidP="008A1E3D">
            <w:pPr>
              <w:pStyle w:val="SCCShortJudgment"/>
              <w:ind w:firstLine="0"/>
              <w:rPr>
                <w:szCs w:val="20"/>
              </w:rPr>
            </w:pPr>
          </w:p>
          <w:p w:rsidR="00D113B1" w:rsidRPr="008902B9" w:rsidRDefault="00D113B1" w:rsidP="008A1E3D">
            <w:pPr>
              <w:pStyle w:val="SCCShortJudgment"/>
              <w:rPr>
                <w:szCs w:val="20"/>
                <w:lang w:val="fr-CA"/>
              </w:rPr>
            </w:pPr>
            <w:r w:rsidRPr="008902B9">
              <w:rPr>
                <w:szCs w:val="20"/>
                <w:lang w:val="fr-CA"/>
              </w:rPr>
              <w:t>La demande d’autorisation d’appel de l’arrêt de la Cour d’appel de l’Ontario, numéro C52381, daté du 20 novembre 2012, est rejetée sans dépens.</w:t>
            </w:r>
          </w:p>
        </w:tc>
      </w:tr>
    </w:tbl>
    <w:p w:rsidR="00EA167C" w:rsidRPr="00D113B1" w:rsidRDefault="00EA167C" w:rsidP="00EA167C">
      <w:pPr>
        <w:rPr>
          <w:sz w:val="20"/>
          <w:szCs w:val="20"/>
          <w:lang w:val="fr-CA"/>
        </w:rPr>
      </w:pPr>
    </w:p>
    <w:p w:rsidR="00EA167C" w:rsidRPr="001B157C" w:rsidRDefault="00EA167C" w:rsidP="00EA167C">
      <w:pPr>
        <w:rPr>
          <w:sz w:val="20"/>
          <w:szCs w:val="20"/>
          <w:u w:val="single"/>
        </w:rPr>
      </w:pPr>
      <w:r w:rsidRPr="001B157C">
        <w:rPr>
          <w:sz w:val="20"/>
          <w:szCs w:val="20"/>
          <w:u w:val="single"/>
        </w:rPr>
        <w:t>CASE SUMMARY</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E1A89" w:rsidRPr="00A06A3E" w:rsidTr="00FE1A89">
        <w:tc>
          <w:tcPr>
            <w:tcW w:w="5000" w:type="pct"/>
            <w:gridSpan w:val="3"/>
          </w:tcPr>
          <w:p w:rsidR="00FE1A89" w:rsidRPr="00A06A3E" w:rsidRDefault="00FE1A89" w:rsidP="00FE1A89">
            <w:pPr>
              <w:jc w:val="both"/>
              <w:rPr>
                <w:rFonts w:eastAsia="Calibri"/>
                <w:sz w:val="20"/>
                <w:szCs w:val="20"/>
              </w:rPr>
            </w:pPr>
            <w:r w:rsidRPr="00A06A3E">
              <w:rPr>
                <w:rFonts w:eastAsia="Calibri"/>
                <w:sz w:val="20"/>
                <w:szCs w:val="20"/>
              </w:rPr>
              <w:t xml:space="preserve">Criminal law – Bankruptcy and Insolvency – Applicant convicted of fraud, theft as well as for contraventions to </w:t>
            </w:r>
            <w:r w:rsidRPr="00A06A3E">
              <w:rPr>
                <w:rFonts w:eastAsia="Calibri"/>
                <w:i/>
                <w:sz w:val="20"/>
                <w:szCs w:val="20"/>
              </w:rPr>
              <w:t>Bankruptcy and Insolvency Act</w:t>
            </w:r>
            <w:r w:rsidRPr="00A06A3E">
              <w:rPr>
                <w:rFonts w:eastAsia="Calibri"/>
                <w:sz w:val="20"/>
                <w:szCs w:val="20"/>
              </w:rPr>
              <w:t xml:space="preserve"> – Whether the Court of Appeal erred in dismissing applicant’s appeal from conviction and sentence?</w:t>
            </w:r>
          </w:p>
        </w:tc>
      </w:tr>
      <w:tr w:rsidR="00FE1A89" w:rsidRPr="00A06A3E" w:rsidTr="00FE1A89">
        <w:tc>
          <w:tcPr>
            <w:tcW w:w="5000" w:type="pct"/>
            <w:gridSpan w:val="3"/>
          </w:tcPr>
          <w:p w:rsidR="00FE1A89" w:rsidRPr="00A06A3E" w:rsidRDefault="00FE1A89" w:rsidP="00FE1A89">
            <w:pPr>
              <w:jc w:val="both"/>
              <w:rPr>
                <w:rFonts w:eastAsia="Calibri"/>
                <w:sz w:val="20"/>
                <w:szCs w:val="20"/>
              </w:rPr>
            </w:pPr>
          </w:p>
        </w:tc>
      </w:tr>
      <w:tr w:rsidR="00FE1A89" w:rsidRPr="00A06A3E" w:rsidTr="00FE1A89">
        <w:tc>
          <w:tcPr>
            <w:tcW w:w="5000" w:type="pct"/>
            <w:gridSpan w:val="3"/>
          </w:tcPr>
          <w:p w:rsidR="00FE1A89" w:rsidRPr="00A06A3E" w:rsidRDefault="00FE1A89" w:rsidP="00FE1A89">
            <w:pPr>
              <w:jc w:val="both"/>
              <w:rPr>
                <w:rFonts w:eastAsia="Calibri"/>
                <w:sz w:val="20"/>
                <w:szCs w:val="20"/>
              </w:rPr>
            </w:pPr>
            <w:r w:rsidRPr="00A06A3E">
              <w:rPr>
                <w:rFonts w:eastAsia="Calibri"/>
                <w:sz w:val="20"/>
                <w:szCs w:val="20"/>
              </w:rPr>
              <w:t>Mr. Elmore ran Elmore Financial Services (EFS), a financial investment business in Eastern Ontario.  In September 2003, Mr. Elmore approached a Trustee in Bankruptcy to discuss his financial affairs as well as those of his companies, including EFS.  After the Trustee commenced bankruptcy procedures and garnered information about Mr. Elmore’s and EFS’ business affairs, it began to suspect that Mr. Elmore had defrauded his investors.  The Trustee informed the Superintendent of Bankruptcy of its suspicions and estimated that the individuals who had invested funds with EFS had suffered a combined financial loss of over $3,000,000.</w:t>
            </w:r>
          </w:p>
          <w:p w:rsidR="00FE1A89" w:rsidRPr="00A06A3E" w:rsidRDefault="00FE1A89" w:rsidP="00FE1A89">
            <w:pPr>
              <w:jc w:val="both"/>
              <w:rPr>
                <w:rFonts w:eastAsia="Calibri"/>
                <w:sz w:val="20"/>
                <w:szCs w:val="20"/>
              </w:rPr>
            </w:pPr>
          </w:p>
          <w:p w:rsidR="00FE1A89" w:rsidRPr="00A06A3E" w:rsidRDefault="00FE1A89" w:rsidP="00FE1A89">
            <w:pPr>
              <w:jc w:val="both"/>
              <w:rPr>
                <w:rFonts w:eastAsia="Calibri"/>
                <w:sz w:val="20"/>
                <w:szCs w:val="20"/>
              </w:rPr>
            </w:pPr>
            <w:r w:rsidRPr="00A06A3E">
              <w:rPr>
                <w:rFonts w:eastAsia="Calibri"/>
                <w:sz w:val="20"/>
                <w:szCs w:val="20"/>
              </w:rPr>
              <w:t xml:space="preserve">Following an RCMP investigation, Mr. Elmore was charged under the </w:t>
            </w:r>
            <w:r w:rsidRPr="00A06A3E">
              <w:rPr>
                <w:rFonts w:eastAsia="Calibri"/>
                <w:i/>
                <w:sz w:val="20"/>
                <w:szCs w:val="20"/>
              </w:rPr>
              <w:t>Criminal Code</w:t>
            </w:r>
            <w:r w:rsidRPr="00A06A3E">
              <w:rPr>
                <w:rFonts w:eastAsia="Calibri"/>
                <w:sz w:val="20"/>
                <w:szCs w:val="20"/>
              </w:rPr>
              <w:t xml:space="preserve"> and the </w:t>
            </w:r>
            <w:r w:rsidRPr="00A06A3E">
              <w:rPr>
                <w:rFonts w:eastAsia="Calibri"/>
                <w:i/>
                <w:sz w:val="20"/>
                <w:szCs w:val="20"/>
              </w:rPr>
              <w:t>Bankruptcy and Insolvency Act</w:t>
            </w:r>
            <w:r w:rsidRPr="00A06A3E">
              <w:rPr>
                <w:rFonts w:eastAsia="Calibri"/>
                <w:sz w:val="20"/>
                <w:szCs w:val="20"/>
              </w:rPr>
              <w:t>, R.S.C.  1985, c. B-3.  Among other things, it was alleged that Mr. Elmore had defrauded his investors by misleading them as to the investment type and style that their monies were being directed to, resulting in significant financial losses.  It was also alleged that he had provided misleading information to the Trustee, had failed to keep proper records and had failed to provide EFS’s complete records and books at the request of Trustee.</w:t>
            </w:r>
          </w:p>
          <w:p w:rsidR="00FE1A89" w:rsidRPr="00A06A3E" w:rsidRDefault="00FE1A89" w:rsidP="00FE1A89">
            <w:pPr>
              <w:jc w:val="both"/>
              <w:rPr>
                <w:rFonts w:eastAsia="Calibri"/>
                <w:sz w:val="20"/>
                <w:szCs w:val="20"/>
              </w:rPr>
            </w:pPr>
          </w:p>
        </w:tc>
      </w:tr>
      <w:tr w:rsidR="00FE1A89" w:rsidRPr="00A06A3E" w:rsidTr="00FE1A89">
        <w:tc>
          <w:tcPr>
            <w:tcW w:w="2427" w:type="pct"/>
          </w:tcPr>
          <w:p w:rsidR="00FE1A89" w:rsidRPr="00A06A3E" w:rsidRDefault="00FE1A89" w:rsidP="00FE1A89">
            <w:pPr>
              <w:jc w:val="both"/>
              <w:rPr>
                <w:rFonts w:eastAsia="Calibri"/>
                <w:sz w:val="20"/>
                <w:szCs w:val="20"/>
              </w:rPr>
            </w:pPr>
            <w:r w:rsidRPr="00A06A3E">
              <w:rPr>
                <w:rFonts w:eastAsia="Calibri"/>
                <w:sz w:val="20"/>
                <w:szCs w:val="20"/>
              </w:rPr>
              <w:t>April 23, 2010</w:t>
            </w:r>
          </w:p>
          <w:p w:rsidR="00FE1A89" w:rsidRPr="00A06A3E" w:rsidRDefault="00FE1A89" w:rsidP="00FE1A89">
            <w:pPr>
              <w:jc w:val="both"/>
              <w:rPr>
                <w:rFonts w:eastAsia="Calibri"/>
                <w:sz w:val="20"/>
                <w:szCs w:val="20"/>
              </w:rPr>
            </w:pPr>
            <w:r w:rsidRPr="00A06A3E">
              <w:rPr>
                <w:rFonts w:eastAsia="Calibri"/>
                <w:sz w:val="20"/>
                <w:szCs w:val="20"/>
              </w:rPr>
              <w:t>Ontario Superior Court of Justice</w:t>
            </w:r>
          </w:p>
          <w:p w:rsidR="00FE1A89" w:rsidRPr="00A06A3E" w:rsidRDefault="00FE1A89"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Linhares</w:t>
            </w:r>
            <w:proofErr w:type="spellEnd"/>
            <w:r w:rsidRPr="00A06A3E">
              <w:rPr>
                <w:rFonts w:eastAsia="Calibri"/>
                <w:sz w:val="20"/>
                <w:szCs w:val="20"/>
              </w:rPr>
              <w:t xml:space="preserve"> De Sousa J.)</w:t>
            </w:r>
          </w:p>
        </w:tc>
        <w:tc>
          <w:tcPr>
            <w:tcW w:w="243" w:type="pct"/>
          </w:tcPr>
          <w:p w:rsidR="00FE1A89" w:rsidRPr="00A06A3E" w:rsidRDefault="00FE1A89" w:rsidP="00FE1A89">
            <w:pPr>
              <w:jc w:val="both"/>
              <w:rPr>
                <w:rFonts w:eastAsia="Calibri"/>
                <w:sz w:val="20"/>
                <w:szCs w:val="20"/>
              </w:rPr>
            </w:pPr>
          </w:p>
        </w:tc>
        <w:tc>
          <w:tcPr>
            <w:tcW w:w="2330" w:type="pct"/>
          </w:tcPr>
          <w:p w:rsidR="00FE1A89" w:rsidRPr="00A06A3E" w:rsidRDefault="00FE1A89" w:rsidP="00FE1A89">
            <w:pPr>
              <w:jc w:val="both"/>
              <w:rPr>
                <w:rFonts w:eastAsia="Calibri"/>
                <w:sz w:val="20"/>
                <w:szCs w:val="20"/>
              </w:rPr>
            </w:pPr>
            <w:r w:rsidRPr="00A06A3E">
              <w:rPr>
                <w:rFonts w:eastAsia="Calibri"/>
                <w:sz w:val="20"/>
                <w:szCs w:val="20"/>
              </w:rPr>
              <w:t>Applicant convicted by a jury of three counts of fraud over $5000, three counts of theft over $5000 as well as of filing a false prospectus and failing to answer questions put to a bankrupt;</w:t>
            </w:r>
          </w:p>
          <w:p w:rsidR="00FE1A89" w:rsidRPr="00A06A3E" w:rsidRDefault="00FE1A89" w:rsidP="00FE1A89">
            <w:pPr>
              <w:jc w:val="both"/>
              <w:rPr>
                <w:rFonts w:eastAsia="Calibri"/>
                <w:sz w:val="20"/>
                <w:szCs w:val="20"/>
              </w:rPr>
            </w:pPr>
          </w:p>
        </w:tc>
      </w:tr>
      <w:tr w:rsidR="00FE1A89" w:rsidRPr="00A06A3E" w:rsidTr="00FE1A89">
        <w:tc>
          <w:tcPr>
            <w:tcW w:w="2427" w:type="pct"/>
          </w:tcPr>
          <w:p w:rsidR="00FE1A89" w:rsidRPr="00A06A3E" w:rsidRDefault="00FE1A89" w:rsidP="00FE1A89">
            <w:pPr>
              <w:jc w:val="both"/>
              <w:rPr>
                <w:rFonts w:eastAsia="Calibri"/>
                <w:sz w:val="20"/>
                <w:szCs w:val="20"/>
              </w:rPr>
            </w:pPr>
            <w:r w:rsidRPr="00A06A3E">
              <w:rPr>
                <w:rFonts w:eastAsia="Calibri"/>
                <w:sz w:val="20"/>
                <w:szCs w:val="20"/>
              </w:rPr>
              <w:t>June 29, 2010</w:t>
            </w:r>
          </w:p>
          <w:p w:rsidR="00FE1A89" w:rsidRPr="00A06A3E" w:rsidRDefault="00FE1A89" w:rsidP="00FE1A89">
            <w:pPr>
              <w:jc w:val="both"/>
              <w:rPr>
                <w:rFonts w:eastAsia="Calibri"/>
                <w:sz w:val="20"/>
                <w:szCs w:val="20"/>
              </w:rPr>
            </w:pPr>
            <w:r w:rsidRPr="00A06A3E">
              <w:rPr>
                <w:rFonts w:eastAsia="Calibri"/>
                <w:sz w:val="20"/>
                <w:szCs w:val="20"/>
              </w:rPr>
              <w:t>Ontario Superior Court of Justice</w:t>
            </w:r>
          </w:p>
          <w:p w:rsidR="00FE1A89" w:rsidRPr="00A06A3E" w:rsidRDefault="00FE1A89"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Linhares</w:t>
            </w:r>
            <w:proofErr w:type="spellEnd"/>
            <w:r w:rsidRPr="00A06A3E">
              <w:rPr>
                <w:rFonts w:eastAsia="Calibri"/>
                <w:sz w:val="20"/>
                <w:szCs w:val="20"/>
              </w:rPr>
              <w:t xml:space="preserve"> De Sousa J.)</w:t>
            </w:r>
          </w:p>
          <w:p w:rsidR="00FE1A89" w:rsidRPr="00A06A3E" w:rsidRDefault="00FE1A89" w:rsidP="00FE1A89">
            <w:pPr>
              <w:jc w:val="both"/>
              <w:rPr>
                <w:rFonts w:eastAsia="Calibri"/>
                <w:sz w:val="20"/>
                <w:szCs w:val="20"/>
              </w:rPr>
            </w:pPr>
          </w:p>
        </w:tc>
        <w:tc>
          <w:tcPr>
            <w:tcW w:w="243" w:type="pct"/>
          </w:tcPr>
          <w:p w:rsidR="00FE1A89" w:rsidRPr="00A06A3E" w:rsidRDefault="00FE1A89" w:rsidP="00FE1A89">
            <w:pPr>
              <w:jc w:val="both"/>
              <w:rPr>
                <w:rFonts w:eastAsia="Calibri"/>
                <w:sz w:val="20"/>
                <w:szCs w:val="20"/>
              </w:rPr>
            </w:pPr>
          </w:p>
        </w:tc>
        <w:tc>
          <w:tcPr>
            <w:tcW w:w="2330" w:type="pct"/>
          </w:tcPr>
          <w:p w:rsidR="00FE1A89" w:rsidRPr="00A06A3E" w:rsidRDefault="00FE1A89" w:rsidP="00FE1A89">
            <w:pPr>
              <w:jc w:val="both"/>
              <w:rPr>
                <w:rFonts w:eastAsia="Calibri"/>
                <w:sz w:val="20"/>
                <w:szCs w:val="20"/>
              </w:rPr>
            </w:pPr>
            <w:r w:rsidRPr="00A06A3E">
              <w:rPr>
                <w:rFonts w:eastAsia="Calibri"/>
                <w:sz w:val="20"/>
                <w:szCs w:val="20"/>
              </w:rPr>
              <w:t>Applicant sentenced to six years in jail and fined $2,763,041.63;</w:t>
            </w:r>
          </w:p>
        </w:tc>
      </w:tr>
      <w:tr w:rsidR="00FE1A89" w:rsidRPr="00A06A3E" w:rsidTr="00FE1A89">
        <w:tc>
          <w:tcPr>
            <w:tcW w:w="2427" w:type="pct"/>
          </w:tcPr>
          <w:p w:rsidR="00FE1A89" w:rsidRPr="00A06A3E" w:rsidRDefault="00FE1A89" w:rsidP="00FE1A89">
            <w:pPr>
              <w:jc w:val="both"/>
              <w:rPr>
                <w:rFonts w:eastAsia="Calibri"/>
                <w:sz w:val="20"/>
                <w:szCs w:val="20"/>
              </w:rPr>
            </w:pPr>
            <w:r w:rsidRPr="00A06A3E">
              <w:rPr>
                <w:rFonts w:eastAsia="Calibri"/>
                <w:sz w:val="20"/>
                <w:szCs w:val="20"/>
              </w:rPr>
              <w:t>November 20, 2012</w:t>
            </w:r>
          </w:p>
          <w:p w:rsidR="00FE1A89" w:rsidRPr="00A06A3E" w:rsidRDefault="00FE1A89" w:rsidP="00FE1A89">
            <w:pPr>
              <w:jc w:val="both"/>
              <w:rPr>
                <w:rFonts w:eastAsia="Calibri"/>
                <w:sz w:val="20"/>
                <w:szCs w:val="20"/>
              </w:rPr>
            </w:pPr>
            <w:r w:rsidRPr="00A06A3E">
              <w:rPr>
                <w:rFonts w:eastAsia="Calibri"/>
                <w:sz w:val="20"/>
                <w:szCs w:val="20"/>
              </w:rPr>
              <w:t>Court of Appeal for Ontario</w:t>
            </w:r>
          </w:p>
          <w:p w:rsidR="00FE1A89" w:rsidRPr="00A06A3E" w:rsidRDefault="00FE1A89"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Juriansz</w:t>
            </w:r>
            <w:proofErr w:type="spellEnd"/>
            <w:r w:rsidRPr="00A06A3E">
              <w:rPr>
                <w:rFonts w:eastAsia="Calibri"/>
                <w:sz w:val="20"/>
                <w:szCs w:val="20"/>
              </w:rPr>
              <w:t>, Watt and Epstein JJ.A.)</w:t>
            </w:r>
          </w:p>
          <w:p w:rsidR="00FE1A89" w:rsidRPr="00A06A3E" w:rsidRDefault="00FE1A89" w:rsidP="00FE1A89">
            <w:pPr>
              <w:jc w:val="both"/>
              <w:rPr>
                <w:rFonts w:eastAsia="Calibri"/>
                <w:sz w:val="20"/>
                <w:szCs w:val="20"/>
              </w:rPr>
            </w:pPr>
          </w:p>
        </w:tc>
        <w:tc>
          <w:tcPr>
            <w:tcW w:w="243" w:type="pct"/>
          </w:tcPr>
          <w:p w:rsidR="00FE1A89" w:rsidRPr="00A06A3E" w:rsidRDefault="00FE1A89" w:rsidP="00FE1A89">
            <w:pPr>
              <w:jc w:val="both"/>
              <w:rPr>
                <w:rFonts w:eastAsia="Calibri"/>
                <w:sz w:val="20"/>
                <w:szCs w:val="20"/>
              </w:rPr>
            </w:pPr>
          </w:p>
        </w:tc>
        <w:tc>
          <w:tcPr>
            <w:tcW w:w="2330" w:type="pct"/>
          </w:tcPr>
          <w:p w:rsidR="00FE1A89" w:rsidRPr="00A06A3E" w:rsidRDefault="00FE1A89" w:rsidP="00FE1A89">
            <w:pPr>
              <w:jc w:val="both"/>
              <w:rPr>
                <w:rFonts w:eastAsia="Calibri"/>
                <w:sz w:val="20"/>
                <w:szCs w:val="20"/>
              </w:rPr>
            </w:pPr>
            <w:r w:rsidRPr="00A06A3E">
              <w:rPr>
                <w:rFonts w:eastAsia="Calibri"/>
                <w:sz w:val="20"/>
                <w:szCs w:val="20"/>
              </w:rPr>
              <w:t>Appeals against conviction and sentence, dismissed;</w:t>
            </w:r>
          </w:p>
          <w:p w:rsidR="00FE1A89" w:rsidRPr="00A06A3E" w:rsidRDefault="00FE1A89" w:rsidP="00FE1A89">
            <w:pPr>
              <w:jc w:val="both"/>
              <w:rPr>
                <w:rFonts w:eastAsia="Calibri"/>
                <w:sz w:val="20"/>
                <w:szCs w:val="20"/>
              </w:rPr>
            </w:pPr>
          </w:p>
        </w:tc>
      </w:tr>
      <w:tr w:rsidR="00FE1A89" w:rsidRPr="00A06A3E" w:rsidTr="00FE1A89">
        <w:tc>
          <w:tcPr>
            <w:tcW w:w="2427" w:type="pct"/>
          </w:tcPr>
          <w:p w:rsidR="00FE1A89" w:rsidRPr="00A06A3E" w:rsidRDefault="00FE1A89" w:rsidP="00FE1A89">
            <w:pPr>
              <w:jc w:val="both"/>
              <w:rPr>
                <w:rFonts w:eastAsia="Calibri"/>
                <w:sz w:val="20"/>
                <w:szCs w:val="20"/>
              </w:rPr>
            </w:pPr>
            <w:r w:rsidRPr="00A06A3E">
              <w:rPr>
                <w:rFonts w:eastAsia="Calibri"/>
                <w:sz w:val="20"/>
                <w:szCs w:val="20"/>
              </w:rPr>
              <w:t>January 21, 2013</w:t>
            </w:r>
          </w:p>
          <w:p w:rsidR="00FE1A89" w:rsidRPr="00A06A3E" w:rsidRDefault="00FE1A89" w:rsidP="00FE1A89">
            <w:pPr>
              <w:jc w:val="both"/>
              <w:rPr>
                <w:rFonts w:eastAsia="Calibri"/>
                <w:sz w:val="20"/>
                <w:szCs w:val="20"/>
              </w:rPr>
            </w:pPr>
            <w:r w:rsidRPr="00A06A3E">
              <w:rPr>
                <w:rFonts w:eastAsia="Calibri"/>
                <w:sz w:val="20"/>
                <w:szCs w:val="20"/>
              </w:rPr>
              <w:t>Supreme Court of Canada</w:t>
            </w:r>
          </w:p>
        </w:tc>
        <w:tc>
          <w:tcPr>
            <w:tcW w:w="243" w:type="pct"/>
          </w:tcPr>
          <w:p w:rsidR="00FE1A89" w:rsidRPr="00A06A3E" w:rsidRDefault="00FE1A89" w:rsidP="00FE1A89">
            <w:pPr>
              <w:jc w:val="both"/>
              <w:rPr>
                <w:rFonts w:eastAsia="Calibri"/>
                <w:sz w:val="20"/>
                <w:szCs w:val="20"/>
              </w:rPr>
            </w:pPr>
          </w:p>
        </w:tc>
        <w:tc>
          <w:tcPr>
            <w:tcW w:w="2330" w:type="pct"/>
          </w:tcPr>
          <w:p w:rsidR="00FE1A89" w:rsidRPr="00A06A3E" w:rsidRDefault="00FE1A89" w:rsidP="00FE1A89">
            <w:pPr>
              <w:jc w:val="both"/>
              <w:rPr>
                <w:rFonts w:eastAsia="Calibri"/>
                <w:sz w:val="20"/>
                <w:szCs w:val="20"/>
              </w:rPr>
            </w:pPr>
            <w:r w:rsidRPr="00A06A3E">
              <w:rPr>
                <w:rFonts w:eastAsia="Calibri"/>
                <w:sz w:val="20"/>
                <w:szCs w:val="20"/>
              </w:rPr>
              <w:t>Application for leave to appeal filed.</w:t>
            </w:r>
          </w:p>
        </w:tc>
      </w:tr>
    </w:tbl>
    <w:p w:rsidR="00EA167C" w:rsidRDefault="00EA167C" w:rsidP="00EA167C">
      <w:pPr>
        <w:rPr>
          <w:sz w:val="20"/>
          <w:szCs w:val="20"/>
        </w:rPr>
      </w:pPr>
    </w:p>
    <w:p w:rsidR="00EA167C" w:rsidRPr="00C50A5C" w:rsidRDefault="0017005E" w:rsidP="00EA167C">
      <w:pPr>
        <w:rPr>
          <w:sz w:val="20"/>
          <w:szCs w:val="20"/>
        </w:rPr>
      </w:pPr>
      <w:r w:rsidRPr="0017005E">
        <w:rPr>
          <w:sz w:val="20"/>
          <w:szCs w:val="20"/>
          <w:lang w:val="fr-CA"/>
        </w:rPr>
        <w:pict>
          <v:rect id="_x0000_i1050" style="width:2in;height:1pt" o:hrpct="0" o:hralign="center" o:hrstd="t" o:hrnoshade="t" o:hr="t" fillcolor="black [3213]" stroked="f"/>
        </w:pict>
      </w:r>
    </w:p>
    <w:p w:rsidR="00EA167C" w:rsidRDefault="00EA167C" w:rsidP="00EA167C">
      <w:pPr>
        <w:rPr>
          <w:sz w:val="20"/>
          <w:szCs w:val="20"/>
        </w:rPr>
      </w:pPr>
    </w:p>
    <w:p w:rsidR="00D113B1" w:rsidRDefault="00D113B1">
      <w:pPr>
        <w:rPr>
          <w:sz w:val="20"/>
          <w:szCs w:val="20"/>
          <w:u w:val="single"/>
          <w:lang w:val="fr-CA"/>
        </w:rPr>
      </w:pPr>
      <w:r>
        <w:rPr>
          <w:sz w:val="20"/>
          <w:szCs w:val="20"/>
          <w:u w:val="single"/>
          <w:lang w:val="fr-CA"/>
        </w:rPr>
        <w:br w:type="page"/>
      </w:r>
    </w:p>
    <w:p w:rsidR="00EA167C" w:rsidRPr="001B157C" w:rsidRDefault="00EA167C" w:rsidP="00EA167C">
      <w:pPr>
        <w:rPr>
          <w:sz w:val="20"/>
          <w:szCs w:val="20"/>
          <w:u w:val="single"/>
          <w:lang w:val="fr-CA"/>
        </w:rPr>
      </w:pPr>
      <w:r w:rsidRPr="001B157C">
        <w:rPr>
          <w:sz w:val="20"/>
          <w:szCs w:val="20"/>
          <w:u w:val="single"/>
          <w:lang w:val="fr-CA"/>
        </w:rPr>
        <w:lastRenderedPageBreak/>
        <w:t>RÉSUMÉ DE L’AFFAIRE</w:t>
      </w:r>
    </w:p>
    <w:p w:rsidR="00EA167C" w:rsidRDefault="00EA167C" w:rsidP="00EA167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E1A89" w:rsidRPr="005C0D71" w:rsidTr="00FE1A89">
        <w:tc>
          <w:tcPr>
            <w:tcW w:w="5000" w:type="pct"/>
            <w:gridSpan w:val="3"/>
          </w:tcPr>
          <w:p w:rsidR="00FE1A89" w:rsidRPr="00A06A3E" w:rsidRDefault="00FE1A89" w:rsidP="00FE1A89">
            <w:pPr>
              <w:jc w:val="both"/>
              <w:rPr>
                <w:rFonts w:eastAsia="Calibri"/>
                <w:sz w:val="20"/>
                <w:szCs w:val="20"/>
                <w:lang w:val="fr-FR"/>
              </w:rPr>
            </w:pPr>
            <w:r w:rsidRPr="00A06A3E">
              <w:rPr>
                <w:rFonts w:eastAsia="Calibri"/>
                <w:sz w:val="20"/>
                <w:szCs w:val="20"/>
                <w:lang w:val="fr-FR"/>
              </w:rPr>
              <w:t xml:space="preserve">Droit criminel – Faillite et insolvabilité – Demandeur reconnu coupable de fraude, de vol et de contraventions à la </w:t>
            </w:r>
            <w:r w:rsidRPr="00A06A3E">
              <w:rPr>
                <w:rFonts w:eastAsia="Calibri"/>
                <w:i/>
                <w:sz w:val="20"/>
                <w:szCs w:val="20"/>
                <w:lang w:val="fr-FR"/>
              </w:rPr>
              <w:t>Loi sur la faillite et l’insolvabilité</w:t>
            </w:r>
            <w:r w:rsidRPr="00A06A3E">
              <w:rPr>
                <w:rFonts w:eastAsia="Calibri"/>
                <w:sz w:val="20"/>
                <w:szCs w:val="20"/>
                <w:lang w:val="fr-FR"/>
              </w:rPr>
              <w:t xml:space="preserve"> – La Cour d’appel a-t-elle rejeté à tort les appels interjetés par le demandeur à l’encontre de sa déclaration de culpabilité et de sa peine?</w:t>
            </w:r>
          </w:p>
        </w:tc>
      </w:tr>
      <w:tr w:rsidR="00FE1A89" w:rsidRPr="005C0D71" w:rsidTr="00FE1A89">
        <w:tc>
          <w:tcPr>
            <w:tcW w:w="5000" w:type="pct"/>
            <w:gridSpan w:val="3"/>
          </w:tcPr>
          <w:p w:rsidR="00FE1A89" w:rsidRPr="00A06A3E" w:rsidRDefault="00FE1A89" w:rsidP="00FE1A89">
            <w:pPr>
              <w:jc w:val="both"/>
              <w:rPr>
                <w:rFonts w:eastAsia="Calibri"/>
                <w:sz w:val="20"/>
                <w:szCs w:val="20"/>
                <w:lang w:val="fr-FR"/>
              </w:rPr>
            </w:pPr>
          </w:p>
        </w:tc>
      </w:tr>
      <w:tr w:rsidR="00FE1A89" w:rsidRPr="005C0D71" w:rsidTr="00FE1A89">
        <w:tc>
          <w:tcPr>
            <w:tcW w:w="5000" w:type="pct"/>
            <w:gridSpan w:val="3"/>
          </w:tcPr>
          <w:p w:rsidR="00FE1A89" w:rsidRPr="00A06A3E" w:rsidRDefault="00FE1A89" w:rsidP="00FE1A89">
            <w:pPr>
              <w:jc w:val="both"/>
              <w:rPr>
                <w:rFonts w:eastAsia="Calibri"/>
                <w:sz w:val="20"/>
                <w:szCs w:val="20"/>
                <w:lang w:val="fr-FR"/>
              </w:rPr>
            </w:pPr>
            <w:r w:rsidRPr="00A06A3E">
              <w:rPr>
                <w:rFonts w:eastAsia="Calibri"/>
                <w:sz w:val="20"/>
                <w:szCs w:val="20"/>
                <w:lang w:val="fr-FR"/>
              </w:rPr>
              <w:t>M. </w:t>
            </w:r>
            <w:proofErr w:type="spellStart"/>
            <w:r w:rsidRPr="00A06A3E">
              <w:rPr>
                <w:rFonts w:eastAsia="Calibri"/>
                <w:sz w:val="20"/>
                <w:szCs w:val="20"/>
                <w:lang w:val="fr-FR"/>
              </w:rPr>
              <w:t>Elmore</w:t>
            </w:r>
            <w:proofErr w:type="spellEnd"/>
            <w:r w:rsidRPr="00A06A3E">
              <w:rPr>
                <w:rFonts w:eastAsia="Calibri"/>
                <w:sz w:val="20"/>
                <w:szCs w:val="20"/>
                <w:lang w:val="fr-FR"/>
              </w:rPr>
              <w:t xml:space="preserve"> a dirigé </w:t>
            </w:r>
            <w:proofErr w:type="spellStart"/>
            <w:r w:rsidRPr="00A06A3E">
              <w:rPr>
                <w:rFonts w:eastAsia="Calibri"/>
                <w:sz w:val="20"/>
                <w:szCs w:val="20"/>
                <w:lang w:val="fr-FR"/>
              </w:rPr>
              <w:t>Elmore</w:t>
            </w:r>
            <w:proofErr w:type="spellEnd"/>
            <w:r w:rsidRPr="00A06A3E">
              <w:rPr>
                <w:rFonts w:eastAsia="Calibri"/>
                <w:sz w:val="20"/>
                <w:szCs w:val="20"/>
                <w:lang w:val="fr-FR"/>
              </w:rPr>
              <w:t xml:space="preserve"> Financial Services (EFS), une entreprise de placements financiers établie dans l’Est ontarien.  M. </w:t>
            </w:r>
            <w:proofErr w:type="spellStart"/>
            <w:r w:rsidRPr="00A06A3E">
              <w:rPr>
                <w:rFonts w:eastAsia="Calibri"/>
                <w:sz w:val="20"/>
                <w:szCs w:val="20"/>
                <w:lang w:val="fr-FR"/>
              </w:rPr>
              <w:t>Elmore</w:t>
            </w:r>
            <w:proofErr w:type="spellEnd"/>
            <w:r w:rsidRPr="00A06A3E">
              <w:rPr>
                <w:rFonts w:eastAsia="Calibri"/>
                <w:sz w:val="20"/>
                <w:szCs w:val="20"/>
                <w:lang w:val="fr-FR"/>
              </w:rPr>
              <w:t xml:space="preserve"> est entré en contact avec un syndic de faillite en septembre 2003 pour discuter de sa situation financière et de celle de ses sociétés, dont EFS.  Après avoir engagé une procédure de faillite et s’être renseigné sur les affaires financières de M. </w:t>
            </w:r>
            <w:proofErr w:type="spellStart"/>
            <w:r w:rsidRPr="00A06A3E">
              <w:rPr>
                <w:rFonts w:eastAsia="Calibri"/>
                <w:sz w:val="20"/>
                <w:szCs w:val="20"/>
                <w:lang w:val="fr-FR"/>
              </w:rPr>
              <w:t>Elmore</w:t>
            </w:r>
            <w:proofErr w:type="spellEnd"/>
            <w:r w:rsidRPr="00A06A3E">
              <w:rPr>
                <w:rFonts w:eastAsia="Calibri"/>
                <w:sz w:val="20"/>
                <w:szCs w:val="20"/>
                <w:lang w:val="fr-FR"/>
              </w:rPr>
              <w:t xml:space="preserve"> et d’EFS, le syndic a commencé à le soupçonner d’avoir fraudé ses investisseurs.  Le syndic a fait part de ses soupçons au surintendant des faillites et estimé à plus de 3 000 000 $ l’ensemble des pertes financières subies par les personnes ayant placé des fonds chez EFS.</w:t>
            </w:r>
          </w:p>
          <w:p w:rsidR="00FE1A89" w:rsidRPr="00A06A3E" w:rsidRDefault="00FE1A89" w:rsidP="00FE1A89">
            <w:pPr>
              <w:jc w:val="both"/>
              <w:rPr>
                <w:rFonts w:eastAsia="Calibri"/>
                <w:sz w:val="20"/>
                <w:szCs w:val="20"/>
                <w:lang w:val="fr-FR"/>
              </w:rPr>
            </w:pPr>
          </w:p>
          <w:p w:rsidR="00FE1A89" w:rsidRPr="00A06A3E" w:rsidRDefault="00FE1A89" w:rsidP="00FE1A89">
            <w:pPr>
              <w:jc w:val="both"/>
              <w:rPr>
                <w:rFonts w:eastAsia="Calibri"/>
                <w:sz w:val="20"/>
                <w:szCs w:val="20"/>
                <w:lang w:val="fr-FR"/>
              </w:rPr>
            </w:pPr>
            <w:r w:rsidRPr="00A06A3E">
              <w:rPr>
                <w:rFonts w:eastAsia="Calibri"/>
                <w:sz w:val="20"/>
                <w:szCs w:val="20"/>
                <w:lang w:val="fr-FR"/>
              </w:rPr>
              <w:t xml:space="preserve">M. </w:t>
            </w:r>
            <w:proofErr w:type="spellStart"/>
            <w:r w:rsidRPr="00A06A3E">
              <w:rPr>
                <w:rFonts w:eastAsia="Calibri"/>
                <w:sz w:val="20"/>
                <w:szCs w:val="20"/>
                <w:lang w:val="fr-FR"/>
              </w:rPr>
              <w:t>Elmore</w:t>
            </w:r>
            <w:proofErr w:type="spellEnd"/>
            <w:r w:rsidRPr="00A06A3E">
              <w:rPr>
                <w:rFonts w:eastAsia="Calibri"/>
                <w:sz w:val="20"/>
                <w:szCs w:val="20"/>
                <w:lang w:val="fr-FR"/>
              </w:rPr>
              <w:t xml:space="preserve"> a été accusé en vertu du </w:t>
            </w:r>
            <w:r w:rsidRPr="00A06A3E">
              <w:rPr>
                <w:rFonts w:eastAsia="Calibri"/>
                <w:i/>
                <w:sz w:val="20"/>
                <w:szCs w:val="20"/>
                <w:lang w:val="fr-FR"/>
              </w:rPr>
              <w:t>Code criminel</w:t>
            </w:r>
            <w:r w:rsidRPr="00A06A3E">
              <w:rPr>
                <w:rFonts w:eastAsia="Calibri"/>
                <w:sz w:val="20"/>
                <w:szCs w:val="20"/>
                <w:lang w:val="fr-FR"/>
              </w:rPr>
              <w:t xml:space="preserve"> et de la </w:t>
            </w:r>
            <w:r w:rsidRPr="00A06A3E">
              <w:rPr>
                <w:rFonts w:eastAsia="Calibri"/>
                <w:i/>
                <w:sz w:val="20"/>
                <w:szCs w:val="20"/>
                <w:lang w:val="fr-FR"/>
              </w:rPr>
              <w:t>Loi sur la faillite et l’insolvabilité</w:t>
            </w:r>
            <w:r w:rsidRPr="00A06A3E">
              <w:rPr>
                <w:rFonts w:eastAsia="Calibri"/>
                <w:sz w:val="20"/>
                <w:szCs w:val="20"/>
                <w:lang w:val="fr-FR"/>
              </w:rPr>
              <w:t>, L.R.C. 1985, ch. </w:t>
            </w:r>
            <w:r w:rsidRPr="00A06A3E">
              <w:rPr>
                <w:rFonts w:eastAsia="Calibri"/>
                <w:sz w:val="20"/>
                <w:szCs w:val="20"/>
                <w:lang w:val="fr-CA"/>
              </w:rPr>
              <w:t xml:space="preserve">B-3, à la suite d’une enquête de la GRC.  </w:t>
            </w:r>
            <w:r w:rsidRPr="00A06A3E">
              <w:rPr>
                <w:rFonts w:eastAsia="Calibri"/>
                <w:sz w:val="20"/>
                <w:szCs w:val="20"/>
                <w:lang w:val="fr-FR"/>
              </w:rPr>
              <w:t xml:space="preserve">On lui reprochait entre autres d’avoir fraudé ses investisseurs en les induisant en erreur quant au type et à la forme de leurs placements, ce qui leur a fait subir des pertes financières considérables.  Il aurait également fourni de l’information trompeuse au syndic, et omis de tenir les registres voulus et de produire tous les registres et livres d’EFS à la demande du syndic. </w:t>
            </w:r>
          </w:p>
          <w:p w:rsidR="00FE1A89" w:rsidRPr="00A06A3E" w:rsidRDefault="00FE1A89" w:rsidP="00FE1A89">
            <w:pPr>
              <w:jc w:val="both"/>
              <w:rPr>
                <w:rFonts w:eastAsia="Calibri"/>
                <w:sz w:val="20"/>
                <w:szCs w:val="20"/>
                <w:lang w:val="fr-FR"/>
              </w:rPr>
            </w:pPr>
          </w:p>
          <w:p w:rsidR="00FE1A89" w:rsidRPr="00A06A3E" w:rsidRDefault="00FE1A89" w:rsidP="00FE1A89">
            <w:pPr>
              <w:jc w:val="both"/>
              <w:rPr>
                <w:rFonts w:eastAsia="Calibri"/>
                <w:sz w:val="20"/>
                <w:szCs w:val="20"/>
                <w:lang w:val="fr-FR"/>
              </w:rPr>
            </w:pPr>
          </w:p>
        </w:tc>
      </w:tr>
      <w:tr w:rsidR="00FE1A89" w:rsidRPr="005C0D71" w:rsidTr="00FE1A89">
        <w:tc>
          <w:tcPr>
            <w:tcW w:w="2427" w:type="pct"/>
          </w:tcPr>
          <w:p w:rsidR="00FE1A89" w:rsidRPr="00A06A3E" w:rsidRDefault="00FE1A89" w:rsidP="00FE1A89">
            <w:pPr>
              <w:jc w:val="both"/>
              <w:rPr>
                <w:rFonts w:eastAsia="Calibri"/>
                <w:sz w:val="20"/>
                <w:szCs w:val="20"/>
                <w:lang w:val="fr-FR"/>
              </w:rPr>
            </w:pPr>
            <w:r w:rsidRPr="00A06A3E">
              <w:rPr>
                <w:rFonts w:eastAsia="Calibri"/>
                <w:sz w:val="20"/>
                <w:szCs w:val="20"/>
                <w:lang w:val="fr-FR"/>
              </w:rPr>
              <w:t>23 avril 2010</w:t>
            </w:r>
          </w:p>
          <w:p w:rsidR="00FE1A89" w:rsidRPr="00A06A3E" w:rsidRDefault="00FE1A89" w:rsidP="00FE1A89">
            <w:pPr>
              <w:jc w:val="both"/>
              <w:rPr>
                <w:rFonts w:eastAsia="Calibri"/>
                <w:sz w:val="20"/>
                <w:szCs w:val="20"/>
                <w:lang w:val="fr-FR"/>
              </w:rPr>
            </w:pPr>
            <w:r w:rsidRPr="00A06A3E">
              <w:rPr>
                <w:rFonts w:eastAsia="Calibri"/>
                <w:sz w:val="20"/>
                <w:szCs w:val="20"/>
                <w:lang w:val="fr-FR"/>
              </w:rPr>
              <w:t xml:space="preserve">Cour supérieure de justice de l’Ontario </w:t>
            </w:r>
          </w:p>
          <w:p w:rsidR="00FE1A89" w:rsidRPr="00A06A3E" w:rsidRDefault="00FE1A89" w:rsidP="00FE1A89">
            <w:pPr>
              <w:jc w:val="both"/>
              <w:rPr>
                <w:rFonts w:eastAsia="Calibri"/>
                <w:sz w:val="20"/>
                <w:szCs w:val="20"/>
              </w:rPr>
            </w:pPr>
            <w:r w:rsidRPr="00A06A3E">
              <w:rPr>
                <w:rFonts w:eastAsia="Calibri"/>
                <w:sz w:val="20"/>
                <w:szCs w:val="20"/>
              </w:rPr>
              <w:t>(</w:t>
            </w:r>
            <w:proofErr w:type="spellStart"/>
            <w:r w:rsidRPr="00A06A3E">
              <w:rPr>
                <w:rFonts w:eastAsia="Calibri"/>
                <w:sz w:val="20"/>
                <w:szCs w:val="20"/>
              </w:rPr>
              <w:t>Juge</w:t>
            </w:r>
            <w:proofErr w:type="spellEnd"/>
            <w:r w:rsidRPr="00A06A3E">
              <w:rPr>
                <w:rFonts w:eastAsia="Calibri"/>
                <w:sz w:val="20"/>
                <w:szCs w:val="20"/>
              </w:rPr>
              <w:t xml:space="preserve"> </w:t>
            </w:r>
            <w:proofErr w:type="spellStart"/>
            <w:r w:rsidRPr="00A06A3E">
              <w:rPr>
                <w:rFonts w:eastAsia="Calibri"/>
                <w:sz w:val="20"/>
                <w:szCs w:val="20"/>
              </w:rPr>
              <w:t>Linhares</w:t>
            </w:r>
            <w:proofErr w:type="spellEnd"/>
            <w:r w:rsidRPr="00A06A3E">
              <w:rPr>
                <w:rFonts w:eastAsia="Calibri"/>
                <w:sz w:val="20"/>
                <w:szCs w:val="20"/>
              </w:rPr>
              <w:t xml:space="preserve"> De Sousa)</w:t>
            </w:r>
          </w:p>
        </w:tc>
        <w:tc>
          <w:tcPr>
            <w:tcW w:w="243" w:type="pct"/>
          </w:tcPr>
          <w:p w:rsidR="00FE1A89" w:rsidRPr="00A06A3E" w:rsidRDefault="00FE1A89" w:rsidP="00FE1A89">
            <w:pPr>
              <w:jc w:val="both"/>
              <w:rPr>
                <w:rFonts w:eastAsia="Calibri"/>
                <w:sz w:val="20"/>
                <w:szCs w:val="20"/>
              </w:rPr>
            </w:pPr>
          </w:p>
        </w:tc>
        <w:tc>
          <w:tcPr>
            <w:tcW w:w="2330" w:type="pct"/>
          </w:tcPr>
          <w:p w:rsidR="00FE1A89" w:rsidRPr="00A06A3E" w:rsidRDefault="00FE1A89" w:rsidP="00FE1A89">
            <w:pPr>
              <w:jc w:val="both"/>
              <w:rPr>
                <w:rFonts w:eastAsia="Calibri"/>
                <w:sz w:val="20"/>
                <w:szCs w:val="20"/>
                <w:lang w:val="fr-FR"/>
              </w:rPr>
            </w:pPr>
            <w:r w:rsidRPr="00A06A3E">
              <w:rPr>
                <w:rFonts w:eastAsia="Calibri"/>
                <w:sz w:val="20"/>
                <w:szCs w:val="20"/>
                <w:lang w:val="fr-FR"/>
              </w:rPr>
              <w:t xml:space="preserve">Demandeur reconnu coupable, par un jury, de trois chefs d’accusation de fraude de plus de 5 000 $, de trois chefs d’accusation de vol de plus de 5 000 $, d’avoir déposé un faux prospectus et de ne pas avoir répondu à des questions posées à un failli; </w:t>
            </w:r>
          </w:p>
          <w:p w:rsidR="00FE1A89" w:rsidRPr="00A06A3E" w:rsidRDefault="00FE1A89" w:rsidP="00FE1A89">
            <w:pPr>
              <w:jc w:val="both"/>
              <w:rPr>
                <w:rFonts w:eastAsia="Calibri"/>
                <w:sz w:val="20"/>
                <w:szCs w:val="20"/>
                <w:lang w:val="fr-FR"/>
              </w:rPr>
            </w:pPr>
          </w:p>
        </w:tc>
      </w:tr>
      <w:tr w:rsidR="00FE1A89" w:rsidRPr="005C0D71" w:rsidTr="00FE1A89">
        <w:tc>
          <w:tcPr>
            <w:tcW w:w="2427" w:type="pct"/>
          </w:tcPr>
          <w:p w:rsidR="00FE1A89" w:rsidRPr="00A06A3E" w:rsidRDefault="00FE1A89" w:rsidP="00FE1A89">
            <w:pPr>
              <w:jc w:val="both"/>
              <w:rPr>
                <w:rFonts w:eastAsia="Calibri"/>
                <w:sz w:val="20"/>
                <w:szCs w:val="20"/>
                <w:lang w:val="fr-FR"/>
              </w:rPr>
            </w:pPr>
            <w:r w:rsidRPr="00A06A3E">
              <w:rPr>
                <w:rFonts w:eastAsia="Calibri"/>
                <w:sz w:val="20"/>
                <w:szCs w:val="20"/>
                <w:lang w:val="fr-FR"/>
              </w:rPr>
              <w:t>29 juin 2010</w:t>
            </w:r>
          </w:p>
          <w:p w:rsidR="00FE1A89" w:rsidRPr="00A06A3E" w:rsidRDefault="00FE1A89" w:rsidP="00FE1A89">
            <w:pPr>
              <w:jc w:val="both"/>
              <w:rPr>
                <w:rFonts w:eastAsia="Calibri"/>
                <w:sz w:val="20"/>
                <w:szCs w:val="20"/>
                <w:lang w:val="fr-FR"/>
              </w:rPr>
            </w:pPr>
            <w:r w:rsidRPr="00A06A3E">
              <w:rPr>
                <w:rFonts w:eastAsia="Calibri"/>
                <w:sz w:val="20"/>
                <w:szCs w:val="20"/>
                <w:lang w:val="fr-FR"/>
              </w:rPr>
              <w:t xml:space="preserve">Cour supérieure de justice de l’Ontario </w:t>
            </w:r>
          </w:p>
          <w:p w:rsidR="00FE1A89" w:rsidRPr="00A06A3E" w:rsidRDefault="00FE1A89" w:rsidP="00FE1A89">
            <w:pPr>
              <w:jc w:val="both"/>
              <w:rPr>
                <w:rFonts w:eastAsia="Calibri"/>
                <w:sz w:val="20"/>
                <w:szCs w:val="20"/>
                <w:lang w:val="fr-FR"/>
              </w:rPr>
            </w:pPr>
            <w:r w:rsidRPr="00A06A3E">
              <w:rPr>
                <w:rFonts w:eastAsia="Calibri"/>
                <w:sz w:val="20"/>
                <w:szCs w:val="20"/>
                <w:lang w:val="fr-FR"/>
              </w:rPr>
              <w:t xml:space="preserve">(Juge </w:t>
            </w:r>
            <w:proofErr w:type="spellStart"/>
            <w:r w:rsidRPr="00A06A3E">
              <w:rPr>
                <w:rFonts w:eastAsia="Calibri"/>
                <w:sz w:val="20"/>
                <w:szCs w:val="20"/>
                <w:lang w:val="fr-FR"/>
              </w:rPr>
              <w:t>Linhares</w:t>
            </w:r>
            <w:proofErr w:type="spellEnd"/>
            <w:r w:rsidRPr="00A06A3E">
              <w:rPr>
                <w:rFonts w:eastAsia="Calibri"/>
                <w:sz w:val="20"/>
                <w:szCs w:val="20"/>
                <w:lang w:val="fr-FR"/>
              </w:rPr>
              <w:t xml:space="preserve"> De Sousa)</w:t>
            </w:r>
          </w:p>
          <w:p w:rsidR="00FE1A89" w:rsidRPr="00A06A3E" w:rsidRDefault="00FE1A89" w:rsidP="00FE1A89">
            <w:pPr>
              <w:jc w:val="both"/>
              <w:rPr>
                <w:rFonts w:eastAsia="Calibri"/>
                <w:sz w:val="20"/>
                <w:szCs w:val="20"/>
                <w:lang w:val="fr-FR"/>
              </w:rPr>
            </w:pPr>
          </w:p>
        </w:tc>
        <w:tc>
          <w:tcPr>
            <w:tcW w:w="243" w:type="pct"/>
          </w:tcPr>
          <w:p w:rsidR="00FE1A89" w:rsidRPr="00A06A3E" w:rsidRDefault="00FE1A89" w:rsidP="00FE1A89">
            <w:pPr>
              <w:jc w:val="both"/>
              <w:rPr>
                <w:rFonts w:eastAsia="Calibri"/>
                <w:sz w:val="20"/>
                <w:szCs w:val="20"/>
                <w:lang w:val="fr-FR"/>
              </w:rPr>
            </w:pPr>
          </w:p>
        </w:tc>
        <w:tc>
          <w:tcPr>
            <w:tcW w:w="2330" w:type="pct"/>
          </w:tcPr>
          <w:p w:rsidR="00FE1A89" w:rsidRPr="00A06A3E" w:rsidRDefault="00FE1A89" w:rsidP="00FE1A89">
            <w:pPr>
              <w:jc w:val="both"/>
              <w:rPr>
                <w:rFonts w:eastAsia="Calibri"/>
                <w:sz w:val="20"/>
                <w:szCs w:val="20"/>
                <w:lang w:val="fr-FR"/>
              </w:rPr>
            </w:pPr>
            <w:r w:rsidRPr="00A06A3E">
              <w:rPr>
                <w:rFonts w:eastAsia="Calibri"/>
                <w:sz w:val="20"/>
                <w:szCs w:val="20"/>
                <w:lang w:val="fr-FR"/>
              </w:rPr>
              <w:t>Demandeur condamné à un emprisonnement de six ans et à une amende de 2 763 041,63 $;</w:t>
            </w:r>
          </w:p>
        </w:tc>
      </w:tr>
      <w:tr w:rsidR="00FE1A89" w:rsidRPr="005C0D71" w:rsidTr="00FE1A89">
        <w:tc>
          <w:tcPr>
            <w:tcW w:w="2427" w:type="pct"/>
          </w:tcPr>
          <w:p w:rsidR="00FE1A89" w:rsidRPr="00A06A3E" w:rsidRDefault="00FE1A89" w:rsidP="00FE1A89">
            <w:pPr>
              <w:jc w:val="both"/>
              <w:rPr>
                <w:rFonts w:eastAsia="Calibri"/>
                <w:sz w:val="20"/>
                <w:szCs w:val="20"/>
                <w:lang w:val="fr-FR"/>
              </w:rPr>
            </w:pPr>
            <w:r w:rsidRPr="00A06A3E">
              <w:rPr>
                <w:rFonts w:eastAsia="Calibri"/>
                <w:sz w:val="20"/>
                <w:szCs w:val="20"/>
                <w:lang w:val="fr-FR"/>
              </w:rPr>
              <w:t>20 novembre 2012</w:t>
            </w:r>
          </w:p>
          <w:p w:rsidR="00FE1A89" w:rsidRPr="00A06A3E" w:rsidRDefault="00FE1A89" w:rsidP="00FE1A89">
            <w:pPr>
              <w:jc w:val="both"/>
              <w:rPr>
                <w:rFonts w:eastAsia="Calibri"/>
                <w:sz w:val="20"/>
                <w:szCs w:val="20"/>
                <w:lang w:val="fr-FR"/>
              </w:rPr>
            </w:pPr>
            <w:r w:rsidRPr="00A06A3E">
              <w:rPr>
                <w:rFonts w:eastAsia="Calibri"/>
                <w:sz w:val="20"/>
                <w:szCs w:val="20"/>
                <w:lang w:val="fr-FR"/>
              </w:rPr>
              <w:t>Cour d’appel de l’Ontario</w:t>
            </w:r>
          </w:p>
          <w:p w:rsidR="00FE1A89" w:rsidRPr="00A06A3E" w:rsidRDefault="00FE1A89" w:rsidP="00FE1A89">
            <w:pPr>
              <w:jc w:val="both"/>
              <w:rPr>
                <w:rFonts w:eastAsia="Calibri"/>
                <w:sz w:val="20"/>
                <w:szCs w:val="20"/>
                <w:lang w:val="fr-FR"/>
              </w:rPr>
            </w:pPr>
            <w:r w:rsidRPr="00A06A3E">
              <w:rPr>
                <w:rFonts w:eastAsia="Calibri"/>
                <w:sz w:val="20"/>
                <w:szCs w:val="20"/>
                <w:lang w:val="fr-FR"/>
              </w:rPr>
              <w:t xml:space="preserve">(Juges </w:t>
            </w:r>
            <w:proofErr w:type="spellStart"/>
            <w:r w:rsidRPr="00A06A3E">
              <w:rPr>
                <w:rFonts w:eastAsia="Calibri"/>
                <w:sz w:val="20"/>
                <w:szCs w:val="20"/>
                <w:lang w:val="fr-FR"/>
              </w:rPr>
              <w:t>Juriansz</w:t>
            </w:r>
            <w:proofErr w:type="spellEnd"/>
            <w:r w:rsidRPr="00A06A3E">
              <w:rPr>
                <w:rFonts w:eastAsia="Calibri"/>
                <w:sz w:val="20"/>
                <w:szCs w:val="20"/>
                <w:lang w:val="fr-FR"/>
              </w:rPr>
              <w:t>, Watt et Epstein)</w:t>
            </w:r>
          </w:p>
          <w:p w:rsidR="00FE1A89" w:rsidRPr="00A06A3E" w:rsidRDefault="00FE1A89" w:rsidP="00FE1A89">
            <w:pPr>
              <w:jc w:val="both"/>
              <w:rPr>
                <w:rFonts w:eastAsia="Calibri"/>
                <w:sz w:val="20"/>
                <w:szCs w:val="20"/>
                <w:lang w:val="fr-FR"/>
              </w:rPr>
            </w:pPr>
          </w:p>
        </w:tc>
        <w:tc>
          <w:tcPr>
            <w:tcW w:w="243" w:type="pct"/>
          </w:tcPr>
          <w:p w:rsidR="00FE1A89" w:rsidRPr="00A06A3E" w:rsidRDefault="00FE1A89" w:rsidP="00FE1A89">
            <w:pPr>
              <w:jc w:val="both"/>
              <w:rPr>
                <w:rFonts w:eastAsia="Calibri"/>
                <w:sz w:val="20"/>
                <w:szCs w:val="20"/>
                <w:lang w:val="fr-FR"/>
              </w:rPr>
            </w:pPr>
          </w:p>
        </w:tc>
        <w:tc>
          <w:tcPr>
            <w:tcW w:w="2330" w:type="pct"/>
          </w:tcPr>
          <w:p w:rsidR="00FE1A89" w:rsidRPr="00A06A3E" w:rsidRDefault="00FE1A89" w:rsidP="00FE1A89">
            <w:pPr>
              <w:jc w:val="both"/>
              <w:rPr>
                <w:rFonts w:eastAsia="Calibri"/>
                <w:sz w:val="20"/>
                <w:szCs w:val="20"/>
                <w:lang w:val="fr-FR"/>
              </w:rPr>
            </w:pPr>
            <w:r w:rsidRPr="00A06A3E">
              <w:rPr>
                <w:rFonts w:eastAsia="Calibri"/>
                <w:sz w:val="20"/>
                <w:szCs w:val="20"/>
                <w:lang w:val="fr-FR"/>
              </w:rPr>
              <w:t>Appel de la déclaration de culpabilité et appel de la peine rejetés;</w:t>
            </w:r>
          </w:p>
          <w:p w:rsidR="00FE1A89" w:rsidRPr="00A06A3E" w:rsidRDefault="00FE1A89" w:rsidP="00FE1A89">
            <w:pPr>
              <w:jc w:val="both"/>
              <w:rPr>
                <w:rFonts w:eastAsia="Calibri"/>
                <w:sz w:val="20"/>
                <w:szCs w:val="20"/>
                <w:lang w:val="fr-FR"/>
              </w:rPr>
            </w:pPr>
          </w:p>
        </w:tc>
      </w:tr>
      <w:tr w:rsidR="00FE1A89" w:rsidRPr="00A06A3E" w:rsidTr="00FE1A89">
        <w:tc>
          <w:tcPr>
            <w:tcW w:w="2427" w:type="pct"/>
          </w:tcPr>
          <w:p w:rsidR="00FE1A89" w:rsidRPr="00A06A3E" w:rsidRDefault="00FE1A89" w:rsidP="00FE1A89">
            <w:pPr>
              <w:jc w:val="both"/>
              <w:rPr>
                <w:rFonts w:eastAsia="Calibri"/>
                <w:sz w:val="20"/>
                <w:szCs w:val="20"/>
                <w:lang w:val="fr-FR"/>
              </w:rPr>
            </w:pPr>
            <w:r w:rsidRPr="00A06A3E">
              <w:rPr>
                <w:rFonts w:eastAsia="Calibri"/>
                <w:sz w:val="20"/>
                <w:szCs w:val="20"/>
                <w:lang w:val="fr-FR"/>
              </w:rPr>
              <w:t>21 janvier 2013</w:t>
            </w:r>
          </w:p>
          <w:p w:rsidR="00FE1A89" w:rsidRPr="00A06A3E" w:rsidRDefault="00FE1A89" w:rsidP="00FE1A89">
            <w:pPr>
              <w:jc w:val="both"/>
              <w:rPr>
                <w:rFonts w:eastAsia="Calibri"/>
                <w:sz w:val="20"/>
                <w:szCs w:val="20"/>
                <w:lang w:val="fr-FR"/>
              </w:rPr>
            </w:pPr>
            <w:r w:rsidRPr="00A06A3E">
              <w:rPr>
                <w:rFonts w:eastAsia="Calibri"/>
                <w:sz w:val="20"/>
                <w:szCs w:val="20"/>
                <w:lang w:val="fr-FR"/>
              </w:rPr>
              <w:t>Cour suprême du Canada</w:t>
            </w:r>
          </w:p>
        </w:tc>
        <w:tc>
          <w:tcPr>
            <w:tcW w:w="243" w:type="pct"/>
          </w:tcPr>
          <w:p w:rsidR="00FE1A89" w:rsidRPr="00A06A3E" w:rsidRDefault="00FE1A89" w:rsidP="00FE1A89">
            <w:pPr>
              <w:jc w:val="both"/>
              <w:rPr>
                <w:rFonts w:eastAsia="Calibri"/>
                <w:sz w:val="20"/>
                <w:szCs w:val="20"/>
                <w:lang w:val="fr-FR"/>
              </w:rPr>
            </w:pPr>
          </w:p>
        </w:tc>
        <w:tc>
          <w:tcPr>
            <w:tcW w:w="2330" w:type="pct"/>
          </w:tcPr>
          <w:p w:rsidR="00FE1A89" w:rsidRPr="00A06A3E" w:rsidRDefault="00FE1A89" w:rsidP="00FE1A89">
            <w:pPr>
              <w:jc w:val="both"/>
              <w:rPr>
                <w:rFonts w:eastAsia="Calibri"/>
                <w:sz w:val="20"/>
                <w:szCs w:val="20"/>
              </w:rPr>
            </w:pPr>
            <w:r w:rsidRPr="00A06A3E">
              <w:rPr>
                <w:rFonts w:eastAsia="Calibri"/>
                <w:sz w:val="20"/>
                <w:szCs w:val="20"/>
                <w:lang w:val="fr-FR"/>
              </w:rPr>
              <w:t>Demande d’autorisation d’appel déposée</w:t>
            </w:r>
            <w:r w:rsidRPr="00A06A3E">
              <w:rPr>
                <w:rFonts w:eastAsia="Calibri"/>
                <w:sz w:val="20"/>
                <w:szCs w:val="20"/>
              </w:rPr>
              <w:t>.</w:t>
            </w:r>
          </w:p>
        </w:tc>
      </w:tr>
    </w:tbl>
    <w:p w:rsidR="00EA167C" w:rsidRDefault="00EA167C" w:rsidP="00EA167C">
      <w:pPr>
        <w:rPr>
          <w:sz w:val="20"/>
          <w:szCs w:val="20"/>
        </w:rPr>
      </w:pPr>
    </w:p>
    <w:p w:rsidR="00EA167C" w:rsidRDefault="0017005E" w:rsidP="00EA167C">
      <w:pPr>
        <w:rPr>
          <w:sz w:val="20"/>
          <w:szCs w:val="20"/>
          <w:lang w:val="fr-CA"/>
        </w:rPr>
      </w:pPr>
      <w:r w:rsidRPr="0017005E">
        <w:rPr>
          <w:sz w:val="20"/>
          <w:szCs w:val="20"/>
          <w:lang w:val="fr-CA"/>
        </w:rPr>
        <w:pict>
          <v:rect id="_x0000_i1051" style="width:2in;height:1pt" o:hrpct="0" o:hralign="center" o:hrstd="t" o:hrnoshade="t" o:hr="t" fillcolor="black [3213]" stroked="f"/>
        </w:pict>
      </w:r>
    </w:p>
    <w:p w:rsidR="00EA167C" w:rsidRDefault="00EA167C" w:rsidP="00EA167C">
      <w:pPr>
        <w:rPr>
          <w:sz w:val="20"/>
          <w:szCs w:val="20"/>
        </w:rPr>
      </w:pPr>
    </w:p>
    <w:p w:rsidR="008D292F" w:rsidRDefault="008D292F" w:rsidP="008D292F">
      <w:pPr>
        <w:rPr>
          <w:b/>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77472" w:rsidRPr="0005425A" w:rsidRDefault="00377472" w:rsidP="00377472">
      <w:pPr>
        <w:tabs>
          <w:tab w:val="left" w:pos="-1440"/>
          <w:tab w:val="left" w:pos="-720"/>
        </w:tabs>
        <w:jc w:val="both"/>
        <w:rPr>
          <w:sz w:val="20"/>
          <w:szCs w:val="20"/>
        </w:rPr>
      </w:pPr>
      <w:r w:rsidRPr="0005425A">
        <w:rPr>
          <w:sz w:val="20"/>
          <w:szCs w:val="20"/>
        </w:rPr>
        <w:t>22.04.2013</w:t>
      </w:r>
    </w:p>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jc w:val="both"/>
        <w:rPr>
          <w:sz w:val="20"/>
          <w:szCs w:val="20"/>
        </w:rPr>
      </w:pPr>
      <w:r w:rsidRPr="0005425A">
        <w:rPr>
          <w:sz w:val="20"/>
          <w:szCs w:val="20"/>
        </w:rPr>
        <w:t xml:space="preserve">Before / </w:t>
      </w:r>
      <w:proofErr w:type="spellStart"/>
      <w:proofErr w:type="gramStart"/>
      <w:r w:rsidRPr="0005425A">
        <w:rPr>
          <w:sz w:val="20"/>
          <w:szCs w:val="20"/>
        </w:rPr>
        <w:t>Devant</w:t>
      </w:r>
      <w:proofErr w:type="spellEnd"/>
      <w:r w:rsidRPr="0005425A">
        <w:rPr>
          <w:sz w:val="20"/>
          <w:szCs w:val="20"/>
        </w:rPr>
        <w:t xml:space="preserve"> :</w:t>
      </w:r>
      <w:proofErr w:type="gramEnd"/>
      <w:r w:rsidRPr="0005425A">
        <w:rPr>
          <w:sz w:val="20"/>
          <w:szCs w:val="20"/>
        </w:rPr>
        <w:t xml:space="preserve">   THE DEPUTY REGISTRAR / LA REGISTRAIRE ADJOINTE</w:t>
      </w:r>
    </w:p>
    <w:p w:rsidR="00377472" w:rsidRPr="0005425A" w:rsidRDefault="00377472" w:rsidP="0037747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77472" w:rsidRPr="005C0D71" w:rsidTr="008E3015">
        <w:tc>
          <w:tcPr>
            <w:tcW w:w="4338" w:type="dxa"/>
          </w:tcPr>
          <w:p w:rsidR="00377472" w:rsidRPr="0005425A" w:rsidRDefault="0017005E" w:rsidP="008E3015">
            <w:pPr>
              <w:tabs>
                <w:tab w:val="left" w:pos="-1440"/>
                <w:tab w:val="left" w:pos="-720"/>
              </w:tabs>
              <w:jc w:val="both"/>
              <w:rPr>
                <w:b/>
                <w:sz w:val="20"/>
                <w:szCs w:val="20"/>
              </w:rPr>
            </w:pPr>
            <w:r w:rsidRPr="0005425A">
              <w:rPr>
                <w:sz w:val="20"/>
                <w:szCs w:val="20"/>
              </w:rPr>
              <w:fldChar w:fldCharType="begin"/>
            </w:r>
            <w:r w:rsidR="00377472" w:rsidRPr="0005425A">
              <w:rPr>
                <w:sz w:val="20"/>
                <w:szCs w:val="20"/>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rPr>
              <w:instrText xml:space="preserve"> SEQ CHAPTER \h \r 1</w:instrText>
            </w:r>
            <w:r w:rsidRPr="0005425A">
              <w:rPr>
                <w:sz w:val="20"/>
                <w:szCs w:val="20"/>
              </w:rPr>
              <w:fldChar w:fldCharType="end"/>
            </w:r>
            <w:r w:rsidR="00377472" w:rsidRPr="0005425A">
              <w:rPr>
                <w:b/>
                <w:bCs/>
                <w:sz w:val="20"/>
                <w:szCs w:val="20"/>
              </w:rPr>
              <w:t>Motion to extend the time to serve and file the appellant’s record, factum and book of authorities</w:t>
            </w:r>
          </w:p>
        </w:tc>
        <w:tc>
          <w:tcPr>
            <w:tcW w:w="1170" w:type="dxa"/>
          </w:tcPr>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17005E" w:rsidP="008E3015">
            <w:pPr>
              <w:tabs>
                <w:tab w:val="left" w:pos="-1440"/>
                <w:tab w:val="left" w:pos="-720"/>
              </w:tabs>
              <w:jc w:val="both"/>
              <w:rPr>
                <w:sz w:val="20"/>
                <w:szCs w:val="20"/>
                <w:lang w:val="fr-CA"/>
              </w:rPr>
            </w:pP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 xml:space="preserve">Requête en prorogation du délai de signification et de dépôt </w:t>
            </w:r>
            <w:proofErr w:type="gramStart"/>
            <w:r w:rsidR="00377472" w:rsidRPr="0005425A">
              <w:rPr>
                <w:b/>
                <w:bCs/>
                <w:sz w:val="20"/>
                <w:szCs w:val="20"/>
                <w:lang w:val="fr-CA"/>
              </w:rPr>
              <w:t>des dossier</w:t>
            </w:r>
            <w:proofErr w:type="gramEnd"/>
            <w:r w:rsidR="00377472" w:rsidRPr="0005425A">
              <w:rPr>
                <w:b/>
                <w:bCs/>
                <w:sz w:val="20"/>
                <w:szCs w:val="20"/>
                <w:lang w:val="fr-CA"/>
              </w:rPr>
              <w:t>, mémoire et recueil de sources de l’appelant</w:t>
            </w:r>
            <w:r w:rsidR="00377472" w:rsidRPr="0005425A">
              <w:rPr>
                <w:sz w:val="20"/>
                <w:szCs w:val="20"/>
                <w:lang w:val="fr-CA"/>
              </w:rPr>
              <w:t xml:space="preserve"> </w:t>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p>
        </w:tc>
      </w:tr>
      <w:tr w:rsidR="00377472" w:rsidRPr="0005425A" w:rsidTr="008E3015">
        <w:tc>
          <w:tcPr>
            <w:tcW w:w="4338" w:type="dxa"/>
          </w:tcPr>
          <w:p w:rsidR="00377472" w:rsidRPr="0005425A" w:rsidRDefault="00377472" w:rsidP="008E3015">
            <w:pPr>
              <w:tabs>
                <w:tab w:val="left" w:pos="-1440"/>
                <w:tab w:val="left" w:pos="-720"/>
              </w:tabs>
              <w:jc w:val="both"/>
              <w:rPr>
                <w:sz w:val="20"/>
                <w:szCs w:val="20"/>
                <w:lang w:val="fr-CA"/>
              </w:rPr>
            </w:pPr>
            <w:r w:rsidRPr="0005425A">
              <w:rPr>
                <w:sz w:val="20"/>
                <w:szCs w:val="20"/>
                <w:lang w:val="fr-CA"/>
              </w:rPr>
              <w:t>R.L.</w:t>
            </w:r>
          </w:p>
          <w:p w:rsidR="00377472" w:rsidRPr="0005425A" w:rsidRDefault="00377472" w:rsidP="008E3015">
            <w:pPr>
              <w:tabs>
                <w:tab w:val="left" w:pos="-1440"/>
                <w:tab w:val="left" w:pos="-720"/>
              </w:tabs>
              <w:jc w:val="both"/>
              <w:rPr>
                <w:sz w:val="20"/>
                <w:szCs w:val="20"/>
                <w:lang w:val="fr-CA"/>
              </w:rPr>
            </w:pPr>
          </w:p>
          <w:p w:rsidR="00377472" w:rsidRPr="0005425A" w:rsidRDefault="00377472" w:rsidP="008E3015">
            <w:pPr>
              <w:tabs>
                <w:tab w:val="left" w:pos="-1440"/>
                <w:tab w:val="left" w:pos="-720"/>
              </w:tabs>
              <w:jc w:val="both"/>
              <w:rPr>
                <w:sz w:val="20"/>
                <w:szCs w:val="20"/>
                <w:lang w:val="fr-CA"/>
              </w:rPr>
            </w:pPr>
            <w:r w:rsidRPr="0005425A">
              <w:rPr>
                <w:sz w:val="20"/>
                <w:szCs w:val="20"/>
                <w:lang w:val="fr-CA"/>
              </w:rPr>
              <w:tab/>
              <w:t>c. (34871)</w:t>
            </w:r>
          </w:p>
          <w:p w:rsidR="00377472" w:rsidRPr="0005425A" w:rsidRDefault="00377472" w:rsidP="008E3015">
            <w:pPr>
              <w:tabs>
                <w:tab w:val="left" w:pos="-1440"/>
                <w:tab w:val="left" w:pos="-720"/>
              </w:tabs>
              <w:jc w:val="both"/>
              <w:rPr>
                <w:sz w:val="20"/>
                <w:szCs w:val="20"/>
                <w:lang w:val="fr-CA"/>
              </w:rPr>
            </w:pPr>
          </w:p>
          <w:p w:rsidR="00377472" w:rsidRPr="0005425A" w:rsidRDefault="00377472" w:rsidP="008E3015">
            <w:pPr>
              <w:tabs>
                <w:tab w:val="left" w:pos="-1440"/>
                <w:tab w:val="left" w:pos="-720"/>
              </w:tabs>
              <w:jc w:val="both"/>
              <w:rPr>
                <w:sz w:val="20"/>
                <w:szCs w:val="20"/>
                <w:lang w:val="fr-CA"/>
              </w:rPr>
            </w:pPr>
            <w:r w:rsidRPr="0005425A">
              <w:rPr>
                <w:sz w:val="20"/>
                <w:szCs w:val="20"/>
                <w:lang w:val="fr-CA"/>
              </w:rPr>
              <w:t>Sa Majesté la Reine (</w:t>
            </w:r>
            <w:proofErr w:type="spellStart"/>
            <w:r w:rsidRPr="0005425A">
              <w:rPr>
                <w:sz w:val="20"/>
                <w:szCs w:val="20"/>
                <w:lang w:val="fr-CA"/>
              </w:rPr>
              <w:t>Crim</w:t>
            </w:r>
            <w:proofErr w:type="spellEnd"/>
            <w:r w:rsidRPr="0005425A">
              <w:rPr>
                <w:sz w:val="20"/>
                <w:szCs w:val="20"/>
                <w:lang w:val="fr-CA"/>
              </w:rPr>
              <w:t>.) (</w:t>
            </w:r>
            <w:proofErr w:type="spellStart"/>
            <w:r w:rsidRPr="0005425A">
              <w:rPr>
                <w:sz w:val="20"/>
                <w:szCs w:val="20"/>
                <w:lang w:val="fr-CA"/>
              </w:rPr>
              <w:t>Qc</w:t>
            </w:r>
            <w:proofErr w:type="spellEnd"/>
            <w:r w:rsidRPr="0005425A">
              <w:rPr>
                <w:sz w:val="20"/>
                <w:szCs w:val="20"/>
                <w:lang w:val="fr-CA"/>
              </w:rPr>
              <w:t>)</w:t>
            </w:r>
          </w:p>
        </w:tc>
        <w:tc>
          <w:tcPr>
            <w:tcW w:w="1170" w:type="dxa"/>
          </w:tcPr>
          <w:p w:rsidR="00377472" w:rsidRPr="0005425A" w:rsidRDefault="00377472" w:rsidP="008E3015">
            <w:pPr>
              <w:tabs>
                <w:tab w:val="left" w:pos="-1440"/>
                <w:tab w:val="left" w:pos="-720"/>
              </w:tabs>
              <w:jc w:val="both"/>
              <w:rPr>
                <w:sz w:val="20"/>
                <w:szCs w:val="20"/>
                <w:lang w:val="fr-CA"/>
              </w:rPr>
            </w:pPr>
          </w:p>
        </w:tc>
        <w:tc>
          <w:tcPr>
            <w:tcW w:w="4327" w:type="dxa"/>
          </w:tcPr>
          <w:p w:rsidR="00377472" w:rsidRPr="0005425A" w:rsidRDefault="00377472" w:rsidP="008E3015">
            <w:pPr>
              <w:tabs>
                <w:tab w:val="left" w:pos="-1440"/>
                <w:tab w:val="left" w:pos="-720"/>
              </w:tabs>
              <w:jc w:val="both"/>
              <w:rPr>
                <w:sz w:val="20"/>
                <w:szCs w:val="20"/>
                <w:lang w:val="fr-CA"/>
              </w:rPr>
            </w:pPr>
          </w:p>
        </w:tc>
      </w:tr>
    </w:tbl>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b/>
          <w:sz w:val="20"/>
          <w:szCs w:val="20"/>
          <w:lang w:val="fr-CA"/>
        </w:rPr>
      </w:pPr>
      <w:r w:rsidRPr="0005425A">
        <w:rPr>
          <w:b/>
          <w:sz w:val="20"/>
          <w:szCs w:val="20"/>
          <w:lang w:val="fr-CA"/>
        </w:rPr>
        <w:t>GRANTED / ACCORDÉE</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spacing w:line="233" w:lineRule="auto"/>
        <w:jc w:val="both"/>
        <w:rPr>
          <w:b/>
          <w:bCs/>
          <w:sz w:val="20"/>
          <w:szCs w:val="20"/>
        </w:rPr>
      </w:pPr>
      <w:r w:rsidRPr="0005425A">
        <w:rPr>
          <w:b/>
          <w:bCs/>
          <w:sz w:val="20"/>
          <w:szCs w:val="20"/>
        </w:rPr>
        <w:t xml:space="preserve">UPON APPLICATION </w:t>
      </w:r>
      <w:r w:rsidRPr="0005425A">
        <w:rPr>
          <w:bCs/>
          <w:sz w:val="20"/>
          <w:szCs w:val="20"/>
        </w:rPr>
        <w:t xml:space="preserve">by the appellant for an order extending the time to file and serve his record, factum and book of authorities to April </w:t>
      </w:r>
      <w:r w:rsidRPr="0005425A">
        <w:rPr>
          <w:sz w:val="20"/>
          <w:szCs w:val="20"/>
        </w:rPr>
        <w:t>25, 2013;</w:t>
      </w:r>
    </w:p>
    <w:p w:rsidR="00377472" w:rsidRPr="0005425A" w:rsidRDefault="00377472" w:rsidP="00377472">
      <w:pPr>
        <w:spacing w:line="233" w:lineRule="auto"/>
        <w:jc w:val="both"/>
        <w:rPr>
          <w:b/>
          <w:bCs/>
          <w:sz w:val="20"/>
          <w:szCs w:val="20"/>
        </w:rPr>
      </w:pPr>
    </w:p>
    <w:p w:rsidR="00377472" w:rsidRPr="0005425A" w:rsidRDefault="00377472" w:rsidP="00377472">
      <w:pPr>
        <w:spacing w:line="233" w:lineRule="auto"/>
        <w:jc w:val="both"/>
        <w:rPr>
          <w:sz w:val="20"/>
          <w:szCs w:val="20"/>
        </w:rPr>
      </w:pPr>
      <w:r w:rsidRPr="0005425A">
        <w:rPr>
          <w:b/>
          <w:bCs/>
          <w:sz w:val="20"/>
          <w:szCs w:val="20"/>
        </w:rPr>
        <w:t xml:space="preserve">AND THE MATERIAL FILED </w:t>
      </w:r>
      <w:r w:rsidRPr="0005425A">
        <w:rPr>
          <w:bCs/>
          <w:sz w:val="20"/>
          <w:szCs w:val="20"/>
        </w:rPr>
        <w:t>having been read</w:t>
      </w:r>
      <w:r w:rsidRPr="0005425A">
        <w:rPr>
          <w:sz w:val="20"/>
          <w:szCs w:val="20"/>
        </w:rPr>
        <w:t xml:space="preserve">; </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r w:rsidRPr="0005425A">
        <w:rPr>
          <w:b/>
          <w:bCs/>
          <w:sz w:val="20"/>
          <w:szCs w:val="20"/>
        </w:rPr>
        <w:t xml:space="preserve">IT IS HEREBY ORDERED THAT: </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lang w:val="fr-FR"/>
        </w:rPr>
      </w:pPr>
      <w:r w:rsidRPr="0005425A">
        <w:rPr>
          <w:sz w:val="20"/>
          <w:szCs w:val="20"/>
        </w:rPr>
        <w:tab/>
      </w:r>
      <w:r w:rsidRPr="0005425A">
        <w:rPr>
          <w:sz w:val="20"/>
          <w:szCs w:val="20"/>
          <w:lang w:val="fr-FR"/>
        </w:rPr>
        <w:t xml:space="preserve">The motion </w:t>
      </w:r>
      <w:proofErr w:type="spellStart"/>
      <w:r w:rsidRPr="0005425A">
        <w:rPr>
          <w:sz w:val="20"/>
          <w:szCs w:val="20"/>
          <w:lang w:val="fr-FR"/>
        </w:rPr>
        <w:t>is</w:t>
      </w:r>
      <w:proofErr w:type="spellEnd"/>
      <w:r w:rsidRPr="0005425A">
        <w:rPr>
          <w:sz w:val="20"/>
          <w:szCs w:val="20"/>
          <w:lang w:val="fr-FR"/>
        </w:rPr>
        <w:t xml:space="preserve"> </w:t>
      </w:r>
      <w:proofErr w:type="spellStart"/>
      <w:r w:rsidRPr="0005425A">
        <w:rPr>
          <w:sz w:val="20"/>
          <w:szCs w:val="20"/>
          <w:lang w:val="fr-FR"/>
        </w:rPr>
        <w:t>granted</w:t>
      </w:r>
      <w:proofErr w:type="spellEnd"/>
      <w:r w:rsidRPr="0005425A">
        <w:rPr>
          <w:sz w:val="20"/>
          <w:szCs w:val="20"/>
          <w:lang w:val="fr-FR"/>
        </w:rPr>
        <w:t>.</w:t>
      </w:r>
    </w:p>
    <w:p w:rsidR="00377472" w:rsidRPr="0005425A" w:rsidRDefault="00377472" w:rsidP="00377472">
      <w:pPr>
        <w:spacing w:line="233" w:lineRule="auto"/>
        <w:jc w:val="both"/>
        <w:rPr>
          <w:bCs/>
          <w:sz w:val="20"/>
          <w:szCs w:val="20"/>
          <w:lang w:val="fr-CA"/>
        </w:rPr>
      </w:pPr>
    </w:p>
    <w:p w:rsidR="00377472" w:rsidRPr="0005425A" w:rsidRDefault="00377472" w:rsidP="00377472">
      <w:pPr>
        <w:spacing w:line="233" w:lineRule="auto"/>
        <w:jc w:val="both"/>
        <w:rPr>
          <w:bCs/>
          <w:sz w:val="20"/>
          <w:szCs w:val="20"/>
          <w:lang w:val="fr-CA"/>
        </w:rPr>
      </w:pPr>
    </w:p>
    <w:p w:rsidR="00377472" w:rsidRPr="0005425A" w:rsidRDefault="00377472" w:rsidP="00377472">
      <w:pPr>
        <w:spacing w:line="233" w:lineRule="auto"/>
        <w:jc w:val="both"/>
        <w:rPr>
          <w:bCs/>
          <w:sz w:val="20"/>
          <w:szCs w:val="20"/>
          <w:lang w:val="fr-CA"/>
        </w:rPr>
      </w:pPr>
    </w:p>
    <w:p w:rsidR="00377472" w:rsidRPr="0005425A" w:rsidRDefault="00377472" w:rsidP="00377472">
      <w:pPr>
        <w:spacing w:line="233" w:lineRule="auto"/>
        <w:jc w:val="both"/>
        <w:rPr>
          <w:b/>
          <w:bCs/>
          <w:sz w:val="20"/>
          <w:szCs w:val="20"/>
          <w:lang w:val="fr-CA"/>
        </w:rPr>
      </w:pPr>
      <w:r w:rsidRPr="0005425A">
        <w:rPr>
          <w:b/>
          <w:bCs/>
          <w:sz w:val="20"/>
          <w:szCs w:val="20"/>
          <w:lang w:val="fr-CA"/>
        </w:rPr>
        <w:t xml:space="preserve">À LA SUITE DE LA DEMANDE </w:t>
      </w:r>
      <w:r w:rsidRPr="0005425A">
        <w:rPr>
          <w:sz w:val="20"/>
          <w:szCs w:val="20"/>
          <w:lang w:val="fr-CA"/>
        </w:rPr>
        <w:t xml:space="preserve">présentée par l’appelant pour obtenir la prorogation du délai pour déposer et signifier </w:t>
      </w:r>
      <w:proofErr w:type="gramStart"/>
      <w:r w:rsidRPr="0005425A">
        <w:rPr>
          <w:sz w:val="20"/>
          <w:szCs w:val="20"/>
          <w:lang w:val="fr-CA"/>
        </w:rPr>
        <w:t>ses dossier</w:t>
      </w:r>
      <w:proofErr w:type="gramEnd"/>
      <w:r w:rsidRPr="0005425A">
        <w:rPr>
          <w:sz w:val="20"/>
          <w:szCs w:val="20"/>
          <w:lang w:val="fr-CA"/>
        </w:rPr>
        <w:t>, mémoire et recueil de sources au 25 avril 2013;</w:t>
      </w:r>
    </w:p>
    <w:p w:rsidR="00377472" w:rsidRPr="0005425A" w:rsidRDefault="00377472" w:rsidP="00377472">
      <w:pPr>
        <w:spacing w:line="233" w:lineRule="auto"/>
        <w:jc w:val="both"/>
        <w:rPr>
          <w:b/>
          <w:bCs/>
          <w:sz w:val="20"/>
          <w:szCs w:val="20"/>
          <w:lang w:val="fr-CA"/>
        </w:rPr>
      </w:pPr>
    </w:p>
    <w:p w:rsidR="00377472" w:rsidRPr="0005425A" w:rsidRDefault="00377472" w:rsidP="00377472">
      <w:pPr>
        <w:spacing w:line="233" w:lineRule="auto"/>
        <w:jc w:val="both"/>
        <w:rPr>
          <w:sz w:val="20"/>
          <w:szCs w:val="20"/>
          <w:lang w:val="fr-CA"/>
        </w:rPr>
      </w:pPr>
      <w:r w:rsidRPr="0005425A">
        <w:rPr>
          <w:b/>
          <w:bCs/>
          <w:sz w:val="20"/>
          <w:szCs w:val="20"/>
          <w:lang w:val="fr-CA"/>
        </w:rPr>
        <w:t xml:space="preserve">ET APRÈS EXAMEN </w:t>
      </w:r>
      <w:r w:rsidRPr="0005425A">
        <w:rPr>
          <w:sz w:val="20"/>
          <w:szCs w:val="20"/>
          <w:lang w:val="fr-CA"/>
        </w:rPr>
        <w:t xml:space="preserve">des documents déposés; </w:t>
      </w:r>
    </w:p>
    <w:p w:rsidR="00377472" w:rsidRPr="0005425A" w:rsidRDefault="00377472" w:rsidP="00377472">
      <w:pPr>
        <w:spacing w:line="233" w:lineRule="auto"/>
        <w:jc w:val="both"/>
        <w:rPr>
          <w:sz w:val="20"/>
          <w:szCs w:val="20"/>
          <w:lang w:val="fr-CA"/>
        </w:rPr>
      </w:pPr>
    </w:p>
    <w:p w:rsidR="00377472" w:rsidRPr="0005425A" w:rsidRDefault="00377472" w:rsidP="00377472">
      <w:pPr>
        <w:spacing w:line="233" w:lineRule="auto"/>
        <w:jc w:val="both"/>
        <w:rPr>
          <w:sz w:val="20"/>
          <w:szCs w:val="20"/>
          <w:lang w:val="fr-CA"/>
        </w:rPr>
      </w:pPr>
      <w:r w:rsidRPr="0005425A">
        <w:rPr>
          <w:b/>
          <w:bCs/>
          <w:sz w:val="20"/>
          <w:szCs w:val="20"/>
          <w:lang w:val="fr-CA"/>
        </w:rPr>
        <w:t xml:space="preserve">IL EST ORDONNÉ CE QUI SUIT : </w:t>
      </w:r>
    </w:p>
    <w:p w:rsidR="00377472" w:rsidRPr="0005425A" w:rsidRDefault="00377472" w:rsidP="00377472">
      <w:pPr>
        <w:spacing w:line="233" w:lineRule="auto"/>
        <w:jc w:val="both"/>
        <w:rPr>
          <w:sz w:val="20"/>
          <w:szCs w:val="20"/>
          <w:lang w:val="fr-CA"/>
        </w:rPr>
      </w:pPr>
    </w:p>
    <w:p w:rsidR="00377472" w:rsidRPr="0005425A" w:rsidRDefault="00377472" w:rsidP="00377472">
      <w:pPr>
        <w:spacing w:line="233" w:lineRule="auto"/>
        <w:jc w:val="both"/>
        <w:rPr>
          <w:sz w:val="20"/>
          <w:szCs w:val="20"/>
          <w:lang w:val="fr-CA"/>
        </w:rPr>
      </w:pPr>
      <w:r w:rsidRPr="0005425A">
        <w:rPr>
          <w:sz w:val="20"/>
          <w:szCs w:val="20"/>
          <w:lang w:val="fr-CA"/>
        </w:rPr>
        <w:tab/>
        <w:t>La requête est accueillie.</w:t>
      </w:r>
    </w:p>
    <w:p w:rsidR="00377472" w:rsidRPr="0005425A" w:rsidRDefault="00377472" w:rsidP="00377472">
      <w:pPr>
        <w:tabs>
          <w:tab w:val="left" w:pos="-1440"/>
          <w:tab w:val="left" w:pos="-720"/>
        </w:tabs>
        <w:jc w:val="both"/>
        <w:rPr>
          <w:sz w:val="20"/>
          <w:szCs w:val="20"/>
          <w:lang w:val="fr-CA"/>
        </w:rPr>
      </w:pPr>
    </w:p>
    <w:p w:rsidR="00377472" w:rsidRPr="0005425A" w:rsidRDefault="0017005E" w:rsidP="00377472">
      <w:pPr>
        <w:tabs>
          <w:tab w:val="left" w:pos="-1440"/>
          <w:tab w:val="left" w:pos="-720"/>
        </w:tabs>
        <w:jc w:val="both"/>
        <w:rPr>
          <w:sz w:val="20"/>
          <w:szCs w:val="20"/>
          <w:lang w:val="fr-CA"/>
        </w:rPr>
      </w:pPr>
      <w:r w:rsidRPr="0017005E">
        <w:rPr>
          <w:sz w:val="20"/>
          <w:szCs w:val="20"/>
          <w:lang w:val="fr-CA"/>
        </w:rPr>
        <w:pict>
          <v:rect id="_x0000_i1054" style="width:2in;height:1pt" o:hrpct="0" o:hralign="center" o:hrstd="t" o:hrnoshade="t" o:hr="t" fillcolor="black [3213]" stroked="f"/>
        </w:pic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lang w:val="fr-CA"/>
        </w:rPr>
      </w:pPr>
      <w:r w:rsidRPr="0005425A">
        <w:rPr>
          <w:sz w:val="20"/>
          <w:szCs w:val="20"/>
          <w:lang w:val="fr-CA"/>
        </w:rPr>
        <w:t>24.04.2013</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lang w:val="fr-CA"/>
        </w:rPr>
      </w:pPr>
      <w:proofErr w:type="spellStart"/>
      <w:r w:rsidRPr="0005425A">
        <w:rPr>
          <w:sz w:val="20"/>
          <w:szCs w:val="20"/>
          <w:lang w:val="fr-CA"/>
        </w:rPr>
        <w:t>Before</w:t>
      </w:r>
      <w:proofErr w:type="spellEnd"/>
      <w:r w:rsidRPr="0005425A">
        <w:rPr>
          <w:sz w:val="20"/>
          <w:szCs w:val="20"/>
          <w:lang w:val="fr-CA"/>
        </w:rPr>
        <w:t xml:space="preserve"> / Devant :   KARAKATSANIS J. / LA JUGE KARAKATSANIS</w:t>
      </w:r>
    </w:p>
    <w:p w:rsidR="00377472" w:rsidRPr="0005425A" w:rsidRDefault="00377472" w:rsidP="003774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77472" w:rsidRPr="005C0D71" w:rsidTr="008E3015">
        <w:tc>
          <w:tcPr>
            <w:tcW w:w="4338" w:type="dxa"/>
          </w:tcPr>
          <w:p w:rsidR="00377472" w:rsidRPr="0005425A" w:rsidRDefault="0017005E" w:rsidP="008E3015">
            <w:pPr>
              <w:tabs>
                <w:tab w:val="left" w:pos="-1440"/>
                <w:tab w:val="left" w:pos="-720"/>
              </w:tabs>
              <w:jc w:val="both"/>
              <w:rPr>
                <w:b/>
                <w:sz w:val="20"/>
                <w:szCs w:val="20"/>
              </w:rPr>
            </w:pPr>
            <w:r w:rsidRPr="0005425A">
              <w:rPr>
                <w:sz w:val="20"/>
                <w:szCs w:val="20"/>
              </w:rPr>
              <w:fldChar w:fldCharType="begin"/>
            </w:r>
            <w:r w:rsidR="00377472" w:rsidRPr="0005425A">
              <w:rPr>
                <w:sz w:val="20"/>
                <w:szCs w:val="20"/>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rPr>
              <w:instrText xml:space="preserve"> SEQ CHAPTER \h \r 1</w:instrText>
            </w:r>
            <w:r w:rsidRPr="0005425A">
              <w:rPr>
                <w:sz w:val="20"/>
                <w:szCs w:val="20"/>
              </w:rPr>
              <w:fldChar w:fldCharType="end"/>
            </w:r>
            <w:r w:rsidR="00377472" w:rsidRPr="0005425A">
              <w:rPr>
                <w:b/>
                <w:bCs/>
                <w:sz w:val="20"/>
                <w:szCs w:val="20"/>
              </w:rPr>
              <w:t xml:space="preserve">Order appointing an </w:t>
            </w:r>
            <w:r w:rsidR="00377472" w:rsidRPr="0005425A">
              <w:rPr>
                <w:b/>
                <w:bCs/>
                <w:i/>
                <w:sz w:val="20"/>
                <w:szCs w:val="20"/>
              </w:rPr>
              <w:t>amicus curiae</w:t>
            </w:r>
            <w:r w:rsidR="00377472" w:rsidRPr="0005425A">
              <w:rPr>
                <w:b/>
                <w:bCs/>
                <w:sz w:val="20"/>
                <w:szCs w:val="20"/>
              </w:rPr>
              <w:t xml:space="preserve"> and counsel</w:t>
            </w:r>
          </w:p>
        </w:tc>
        <w:tc>
          <w:tcPr>
            <w:tcW w:w="1170" w:type="dxa"/>
          </w:tcPr>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17005E" w:rsidP="008E3015">
            <w:pPr>
              <w:tabs>
                <w:tab w:val="left" w:pos="-1440"/>
                <w:tab w:val="left" w:pos="-720"/>
              </w:tabs>
              <w:jc w:val="both"/>
              <w:rPr>
                <w:sz w:val="20"/>
                <w:szCs w:val="20"/>
                <w:lang w:val="fr-CA"/>
              </w:rPr>
            </w:pP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 xml:space="preserve">Ordonnance visant la nomination d’un </w:t>
            </w:r>
            <w:proofErr w:type="spellStart"/>
            <w:r w:rsidR="00377472" w:rsidRPr="0005425A">
              <w:rPr>
                <w:b/>
                <w:bCs/>
                <w:i/>
                <w:iCs/>
                <w:sz w:val="20"/>
                <w:szCs w:val="20"/>
                <w:lang w:val="fr-CA"/>
              </w:rPr>
              <w:t>amicus</w:t>
            </w:r>
            <w:proofErr w:type="spellEnd"/>
            <w:r w:rsidR="00377472" w:rsidRPr="0005425A">
              <w:rPr>
                <w:b/>
                <w:bCs/>
                <w:i/>
                <w:iCs/>
                <w:sz w:val="20"/>
                <w:szCs w:val="20"/>
                <w:lang w:val="fr-CA"/>
              </w:rPr>
              <w:t xml:space="preserve"> </w:t>
            </w:r>
            <w:proofErr w:type="spellStart"/>
            <w:r w:rsidR="00377472" w:rsidRPr="0005425A">
              <w:rPr>
                <w:b/>
                <w:bCs/>
                <w:i/>
                <w:iCs/>
                <w:sz w:val="20"/>
                <w:szCs w:val="20"/>
                <w:lang w:val="fr-CA"/>
              </w:rPr>
              <w:t>curiae</w:t>
            </w:r>
            <w:proofErr w:type="spellEnd"/>
            <w:r w:rsidR="00377472" w:rsidRPr="0005425A">
              <w:rPr>
                <w:b/>
                <w:bCs/>
                <w:iCs/>
                <w:sz w:val="20"/>
                <w:szCs w:val="20"/>
                <w:lang w:val="fr-CA"/>
              </w:rPr>
              <w:t xml:space="preserve"> et la désignation d’</w:t>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 xml:space="preserve">un avocat </w:t>
            </w:r>
            <w:r w:rsidR="00377472" w:rsidRPr="0005425A">
              <w:rPr>
                <w:sz w:val="20"/>
                <w:szCs w:val="20"/>
                <w:lang w:val="fr-CA"/>
              </w:rPr>
              <w:t xml:space="preserve"> </w:t>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p>
        </w:tc>
      </w:tr>
      <w:tr w:rsidR="00377472" w:rsidRPr="0005425A" w:rsidTr="008E3015">
        <w:tc>
          <w:tcPr>
            <w:tcW w:w="4338" w:type="dxa"/>
          </w:tcPr>
          <w:p w:rsidR="00377472" w:rsidRPr="0005425A" w:rsidRDefault="00377472" w:rsidP="008E3015">
            <w:pPr>
              <w:tabs>
                <w:tab w:val="left" w:pos="-1440"/>
                <w:tab w:val="left" w:pos="-720"/>
              </w:tabs>
              <w:jc w:val="both"/>
              <w:rPr>
                <w:sz w:val="20"/>
                <w:szCs w:val="20"/>
              </w:rPr>
            </w:pPr>
            <w:r w:rsidRPr="0005425A">
              <w:rPr>
                <w:sz w:val="20"/>
                <w:szCs w:val="20"/>
              </w:rPr>
              <w:t xml:space="preserve">Her Majesty the Queen </w:t>
            </w: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r w:rsidRPr="0005425A">
              <w:rPr>
                <w:sz w:val="20"/>
                <w:szCs w:val="20"/>
              </w:rPr>
              <w:tab/>
              <w:t>v. (35049)</w:t>
            </w: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lang w:val="fr-CA"/>
              </w:rPr>
            </w:pPr>
            <w:r w:rsidRPr="0005425A">
              <w:rPr>
                <w:sz w:val="20"/>
                <w:szCs w:val="20"/>
                <w:lang w:val="fr-CA"/>
              </w:rPr>
              <w:t xml:space="preserve">Nelson Lloyd Hart </w:t>
            </w:r>
            <w:r w:rsidRPr="0005425A">
              <w:rPr>
                <w:sz w:val="20"/>
                <w:szCs w:val="20"/>
              </w:rPr>
              <w:t>(Crim.) (N.L.)</w:t>
            </w:r>
          </w:p>
        </w:tc>
        <w:tc>
          <w:tcPr>
            <w:tcW w:w="1170" w:type="dxa"/>
          </w:tcPr>
          <w:p w:rsidR="00377472" w:rsidRPr="0005425A" w:rsidRDefault="00377472" w:rsidP="008E3015">
            <w:pPr>
              <w:tabs>
                <w:tab w:val="left" w:pos="-1440"/>
                <w:tab w:val="left" w:pos="-720"/>
              </w:tabs>
              <w:jc w:val="both"/>
              <w:rPr>
                <w:sz w:val="20"/>
                <w:szCs w:val="20"/>
                <w:lang w:val="fr-CA"/>
              </w:rPr>
            </w:pPr>
          </w:p>
        </w:tc>
        <w:tc>
          <w:tcPr>
            <w:tcW w:w="4327" w:type="dxa"/>
          </w:tcPr>
          <w:p w:rsidR="00377472" w:rsidRPr="0005425A" w:rsidRDefault="00377472" w:rsidP="008E3015">
            <w:pPr>
              <w:tabs>
                <w:tab w:val="left" w:pos="-1440"/>
                <w:tab w:val="left" w:pos="-720"/>
              </w:tabs>
              <w:jc w:val="both"/>
              <w:rPr>
                <w:sz w:val="20"/>
                <w:szCs w:val="20"/>
                <w:lang w:val="fr-CA"/>
              </w:rPr>
            </w:pPr>
          </w:p>
        </w:tc>
      </w:tr>
    </w:tbl>
    <w:p w:rsidR="00377472" w:rsidRPr="0005425A" w:rsidRDefault="00377472" w:rsidP="00377472">
      <w:pPr>
        <w:tabs>
          <w:tab w:val="left" w:pos="-1440"/>
          <w:tab w:val="left" w:pos="-720"/>
        </w:tabs>
        <w:jc w:val="both"/>
        <w:rPr>
          <w:sz w:val="20"/>
          <w:szCs w:val="20"/>
          <w:lang w:val="fr-CA"/>
        </w:rPr>
      </w:pPr>
    </w:p>
    <w:p w:rsidR="00377472" w:rsidRDefault="00377472">
      <w:pPr>
        <w:rPr>
          <w:b/>
          <w:sz w:val="20"/>
          <w:szCs w:val="20"/>
          <w:lang w:val="fr-CA"/>
        </w:rPr>
      </w:pPr>
      <w:r>
        <w:rPr>
          <w:b/>
          <w:sz w:val="20"/>
          <w:szCs w:val="20"/>
          <w:lang w:val="fr-CA"/>
        </w:rPr>
        <w:br w:type="page"/>
      </w:r>
    </w:p>
    <w:p w:rsidR="00377472" w:rsidRPr="0005425A" w:rsidRDefault="00377472" w:rsidP="00377472">
      <w:pPr>
        <w:tabs>
          <w:tab w:val="left" w:pos="-1440"/>
          <w:tab w:val="left" w:pos="-720"/>
        </w:tabs>
        <w:jc w:val="both"/>
        <w:rPr>
          <w:b/>
          <w:sz w:val="20"/>
          <w:szCs w:val="20"/>
          <w:lang w:val="fr-CA"/>
        </w:rPr>
      </w:pPr>
      <w:r w:rsidRPr="0005425A">
        <w:rPr>
          <w:b/>
          <w:sz w:val="20"/>
          <w:szCs w:val="20"/>
          <w:lang w:val="fr-CA"/>
        </w:rPr>
        <w:lastRenderedPageBreak/>
        <w:t>GRANTED / ACCORDÉE</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jc w:val="both"/>
        <w:rPr>
          <w:sz w:val="20"/>
          <w:szCs w:val="20"/>
        </w:rPr>
      </w:pPr>
      <w:r w:rsidRPr="0005425A">
        <w:rPr>
          <w:b/>
          <w:bCs/>
          <w:sz w:val="20"/>
          <w:szCs w:val="20"/>
        </w:rPr>
        <w:t>UPON APPLICATION</w:t>
      </w:r>
      <w:r w:rsidRPr="0005425A">
        <w:rPr>
          <w:sz w:val="20"/>
          <w:szCs w:val="20"/>
        </w:rPr>
        <w:t xml:space="preserve"> by the appellant for an order appointing</w:t>
      </w:r>
      <w:r w:rsidRPr="0005425A">
        <w:rPr>
          <w:rFonts w:eastAsia="PMingLiU"/>
          <w:sz w:val="20"/>
          <w:szCs w:val="20"/>
          <w:lang w:val="en-GB"/>
        </w:rPr>
        <w:t xml:space="preserve"> </w:t>
      </w:r>
      <w:proofErr w:type="gramStart"/>
      <w:r w:rsidRPr="0005425A">
        <w:rPr>
          <w:rFonts w:eastAsia="PMingLiU"/>
          <w:sz w:val="20"/>
          <w:szCs w:val="20"/>
          <w:lang w:val="en-GB"/>
        </w:rPr>
        <w:t xml:space="preserve">an </w:t>
      </w:r>
      <w:r w:rsidRPr="0005425A">
        <w:rPr>
          <w:rFonts w:eastAsia="PMingLiU"/>
          <w:i/>
          <w:sz w:val="20"/>
          <w:szCs w:val="20"/>
          <w:lang w:val="en-GB"/>
        </w:rPr>
        <w:t>amicus</w:t>
      </w:r>
      <w:proofErr w:type="gramEnd"/>
      <w:r w:rsidRPr="0005425A">
        <w:rPr>
          <w:rFonts w:eastAsia="PMingLiU"/>
          <w:i/>
          <w:sz w:val="20"/>
          <w:szCs w:val="20"/>
          <w:lang w:val="en-GB"/>
        </w:rPr>
        <w:t xml:space="preserve"> curiae</w:t>
      </w:r>
      <w:r w:rsidRPr="0005425A">
        <w:rPr>
          <w:rFonts w:eastAsia="PMingLiU"/>
          <w:sz w:val="20"/>
          <w:szCs w:val="20"/>
          <w:lang w:val="en-GB"/>
        </w:rPr>
        <w:t xml:space="preserve"> pursuant to s. 92 of the </w:t>
      </w:r>
      <w:r w:rsidRPr="0005425A">
        <w:rPr>
          <w:rFonts w:eastAsia="PMingLiU"/>
          <w:i/>
          <w:sz w:val="20"/>
          <w:szCs w:val="20"/>
          <w:lang w:val="en-GB"/>
        </w:rPr>
        <w:t>Rules of the Supreme Court of Canada</w:t>
      </w:r>
      <w:r w:rsidRPr="0005425A">
        <w:rPr>
          <w:sz w:val="20"/>
          <w:szCs w:val="20"/>
        </w:rPr>
        <w:t>;</w:t>
      </w:r>
    </w:p>
    <w:p w:rsidR="00377472" w:rsidRPr="0005425A" w:rsidRDefault="00377472" w:rsidP="00377472">
      <w:pPr>
        <w:rPr>
          <w:b/>
          <w:bCs/>
          <w:sz w:val="20"/>
          <w:szCs w:val="20"/>
        </w:rPr>
      </w:pPr>
    </w:p>
    <w:p w:rsidR="00377472" w:rsidRPr="0005425A" w:rsidRDefault="00377472" w:rsidP="00377472">
      <w:pPr>
        <w:jc w:val="both"/>
        <w:rPr>
          <w:sz w:val="20"/>
          <w:szCs w:val="20"/>
        </w:rPr>
      </w:pPr>
      <w:r w:rsidRPr="0005425A">
        <w:rPr>
          <w:b/>
          <w:sz w:val="20"/>
          <w:szCs w:val="20"/>
        </w:rPr>
        <w:t>AND UPON</w:t>
      </w:r>
      <w:r w:rsidRPr="0005425A">
        <w:rPr>
          <w:sz w:val="20"/>
          <w:szCs w:val="20"/>
        </w:rPr>
        <w:t xml:space="preserve"> the request of the respondent, Mr. Nelson Lloyd Hart, for an order appointing Mr. Robby D. Ash to act as his counsel in this appeal pursuant to s. 694.1 of the </w:t>
      </w:r>
      <w:r w:rsidRPr="0005425A">
        <w:rPr>
          <w:i/>
          <w:sz w:val="20"/>
          <w:szCs w:val="20"/>
        </w:rPr>
        <w:t>Criminal Code</w:t>
      </w:r>
      <w:r w:rsidRPr="0005425A">
        <w:rPr>
          <w:sz w:val="20"/>
          <w:szCs w:val="20"/>
        </w:rPr>
        <w:t xml:space="preserve">; </w:t>
      </w:r>
    </w:p>
    <w:p w:rsidR="00377472" w:rsidRPr="0005425A" w:rsidRDefault="00377472" w:rsidP="00377472">
      <w:pPr>
        <w:jc w:val="both"/>
        <w:rPr>
          <w:sz w:val="20"/>
          <w:szCs w:val="20"/>
        </w:rPr>
      </w:pPr>
    </w:p>
    <w:p w:rsidR="00377472" w:rsidRPr="0005425A" w:rsidRDefault="00377472" w:rsidP="00377472">
      <w:pPr>
        <w:jc w:val="both"/>
        <w:rPr>
          <w:sz w:val="20"/>
          <w:szCs w:val="20"/>
        </w:rPr>
      </w:pPr>
      <w:r w:rsidRPr="0005425A">
        <w:rPr>
          <w:b/>
          <w:sz w:val="20"/>
          <w:szCs w:val="20"/>
        </w:rPr>
        <w:t xml:space="preserve">AND UPON </w:t>
      </w:r>
      <w:r w:rsidRPr="0005425A">
        <w:rPr>
          <w:sz w:val="20"/>
          <w:szCs w:val="20"/>
        </w:rPr>
        <w:t xml:space="preserve">noting that the appellant agrees to fund the appointment </w:t>
      </w:r>
      <w:proofErr w:type="gramStart"/>
      <w:r w:rsidRPr="0005425A">
        <w:rPr>
          <w:sz w:val="20"/>
          <w:szCs w:val="20"/>
        </w:rPr>
        <w:t>of an</w:t>
      </w:r>
      <w:proofErr w:type="gramEnd"/>
      <w:r w:rsidRPr="0005425A">
        <w:rPr>
          <w:sz w:val="20"/>
          <w:szCs w:val="20"/>
        </w:rPr>
        <w:t xml:space="preserve"> </w:t>
      </w:r>
      <w:r w:rsidRPr="0005425A">
        <w:rPr>
          <w:i/>
          <w:sz w:val="20"/>
          <w:szCs w:val="20"/>
        </w:rPr>
        <w:t>amicus curiae</w:t>
      </w:r>
      <w:r w:rsidRPr="0005425A">
        <w:rPr>
          <w:sz w:val="20"/>
          <w:szCs w:val="20"/>
        </w:rPr>
        <w:t>;</w:t>
      </w:r>
    </w:p>
    <w:p w:rsidR="00377472" w:rsidRPr="0005425A" w:rsidRDefault="00377472" w:rsidP="00377472">
      <w:pPr>
        <w:rPr>
          <w:b/>
          <w:bCs/>
          <w:i/>
          <w:sz w:val="20"/>
          <w:szCs w:val="20"/>
        </w:rPr>
      </w:pPr>
    </w:p>
    <w:p w:rsidR="00377472" w:rsidRPr="0005425A" w:rsidRDefault="00377472" w:rsidP="00377472">
      <w:pPr>
        <w:rPr>
          <w:sz w:val="20"/>
          <w:szCs w:val="20"/>
        </w:rPr>
      </w:pPr>
      <w:r w:rsidRPr="0005425A">
        <w:rPr>
          <w:b/>
          <w:sz w:val="20"/>
          <w:szCs w:val="20"/>
        </w:rPr>
        <w:t>IT IS HEREBY ORDERED THAT</w:t>
      </w:r>
      <w:r w:rsidRPr="0005425A">
        <w:rPr>
          <w:sz w:val="20"/>
          <w:szCs w:val="20"/>
        </w:rPr>
        <w:t xml:space="preserve">: </w:t>
      </w:r>
    </w:p>
    <w:p w:rsidR="00377472" w:rsidRPr="0005425A" w:rsidRDefault="00377472" w:rsidP="00377472">
      <w:pPr>
        <w:jc w:val="both"/>
        <w:rPr>
          <w:b/>
          <w:bCs/>
          <w:sz w:val="20"/>
          <w:szCs w:val="20"/>
        </w:rPr>
      </w:pPr>
    </w:p>
    <w:p w:rsidR="00377472" w:rsidRPr="0005425A" w:rsidRDefault="00377472" w:rsidP="00377472">
      <w:pPr>
        <w:ind w:left="720"/>
        <w:jc w:val="both"/>
        <w:rPr>
          <w:sz w:val="20"/>
          <w:szCs w:val="20"/>
        </w:rPr>
      </w:pPr>
      <w:r w:rsidRPr="0005425A">
        <w:rPr>
          <w:sz w:val="20"/>
          <w:szCs w:val="20"/>
        </w:rPr>
        <w:t xml:space="preserve">1) Ms. Marie </w:t>
      </w:r>
      <w:proofErr w:type="spellStart"/>
      <w:r w:rsidRPr="0005425A">
        <w:rPr>
          <w:sz w:val="20"/>
          <w:szCs w:val="20"/>
        </w:rPr>
        <w:t>Henein</w:t>
      </w:r>
      <w:proofErr w:type="spellEnd"/>
      <w:r w:rsidRPr="0005425A">
        <w:rPr>
          <w:sz w:val="20"/>
          <w:szCs w:val="20"/>
        </w:rPr>
        <w:t xml:space="preserve"> </w:t>
      </w:r>
      <w:proofErr w:type="gramStart"/>
      <w:r w:rsidRPr="0005425A">
        <w:rPr>
          <w:sz w:val="20"/>
          <w:szCs w:val="20"/>
        </w:rPr>
        <w:t>be</w:t>
      </w:r>
      <w:proofErr w:type="gramEnd"/>
      <w:r w:rsidRPr="0005425A">
        <w:rPr>
          <w:sz w:val="20"/>
          <w:szCs w:val="20"/>
        </w:rPr>
        <w:t xml:space="preserve"> appointed as </w:t>
      </w:r>
      <w:r w:rsidRPr="0005425A">
        <w:rPr>
          <w:i/>
          <w:sz w:val="20"/>
          <w:szCs w:val="20"/>
        </w:rPr>
        <w:t>amicus curiae</w:t>
      </w:r>
      <w:r w:rsidRPr="0005425A">
        <w:rPr>
          <w:sz w:val="20"/>
          <w:szCs w:val="20"/>
        </w:rPr>
        <w:t xml:space="preserve"> to assist the Court by serving and filing a factum and book of authorities on or before August 30, 2013, and by making oral submissions at the hearing of the appeal.  Ms. </w:t>
      </w:r>
      <w:proofErr w:type="spellStart"/>
      <w:r w:rsidRPr="0005425A">
        <w:rPr>
          <w:sz w:val="20"/>
          <w:szCs w:val="20"/>
        </w:rPr>
        <w:t>Henein</w:t>
      </w:r>
      <w:proofErr w:type="spellEnd"/>
      <w:r w:rsidRPr="0005425A">
        <w:rPr>
          <w:sz w:val="20"/>
          <w:szCs w:val="20"/>
        </w:rPr>
        <w:t xml:space="preserve"> is permitted to be assisted by a junior counsel;</w:t>
      </w:r>
    </w:p>
    <w:p w:rsidR="00377472" w:rsidRPr="0005425A" w:rsidRDefault="00377472" w:rsidP="00377472">
      <w:pPr>
        <w:ind w:left="708"/>
        <w:jc w:val="both"/>
        <w:rPr>
          <w:sz w:val="20"/>
          <w:szCs w:val="20"/>
        </w:rPr>
      </w:pPr>
    </w:p>
    <w:p w:rsidR="00377472" w:rsidRPr="0005425A" w:rsidRDefault="00377472" w:rsidP="00377472">
      <w:pPr>
        <w:ind w:left="708"/>
        <w:jc w:val="both"/>
        <w:rPr>
          <w:sz w:val="20"/>
          <w:szCs w:val="20"/>
        </w:rPr>
      </w:pPr>
      <w:r w:rsidRPr="0005425A">
        <w:rPr>
          <w:sz w:val="20"/>
          <w:szCs w:val="20"/>
        </w:rPr>
        <w:t xml:space="preserve">2) Mr. Robby D. Ash be appointed counsel for the respondent pursuant to s. 694.1 of the </w:t>
      </w:r>
      <w:r w:rsidRPr="0005425A">
        <w:rPr>
          <w:i/>
          <w:sz w:val="20"/>
          <w:szCs w:val="20"/>
        </w:rPr>
        <w:t>Criminal Code</w:t>
      </w:r>
      <w:r w:rsidRPr="0005425A">
        <w:rPr>
          <w:sz w:val="20"/>
          <w:szCs w:val="20"/>
        </w:rPr>
        <w:t xml:space="preserve"> and is permitted to be assisted by a junior counsel. Mr. Ash’s factum, record and book of authorities shall be served and filed on or before August 30, 2013;</w:t>
      </w:r>
    </w:p>
    <w:p w:rsidR="00377472" w:rsidRPr="0005425A" w:rsidRDefault="00377472" w:rsidP="00377472">
      <w:pPr>
        <w:ind w:left="708"/>
        <w:jc w:val="both"/>
        <w:rPr>
          <w:sz w:val="20"/>
          <w:szCs w:val="20"/>
        </w:rPr>
      </w:pPr>
    </w:p>
    <w:p w:rsidR="00377472" w:rsidRPr="0005425A" w:rsidRDefault="00377472" w:rsidP="00377472">
      <w:pPr>
        <w:ind w:left="708"/>
        <w:jc w:val="both"/>
        <w:rPr>
          <w:sz w:val="20"/>
          <w:szCs w:val="20"/>
        </w:rPr>
      </w:pPr>
      <w:r w:rsidRPr="0005425A">
        <w:rPr>
          <w:sz w:val="20"/>
          <w:szCs w:val="20"/>
        </w:rPr>
        <w:t xml:space="preserve">3) The reasonable fees and disbursements of Ms. </w:t>
      </w:r>
      <w:proofErr w:type="spellStart"/>
      <w:r w:rsidRPr="0005425A">
        <w:rPr>
          <w:sz w:val="20"/>
          <w:szCs w:val="20"/>
        </w:rPr>
        <w:t>Henein</w:t>
      </w:r>
      <w:proofErr w:type="spellEnd"/>
      <w:r w:rsidRPr="0005425A">
        <w:rPr>
          <w:sz w:val="20"/>
          <w:szCs w:val="20"/>
        </w:rPr>
        <w:t xml:space="preserve"> and Mr. Ash, and any junior counsel, shall be paid by the Attorney General of Newfoundland and Labrador.</w:t>
      </w:r>
    </w:p>
    <w:p w:rsidR="00377472" w:rsidRPr="0005425A" w:rsidRDefault="00377472" w:rsidP="00377472">
      <w:pPr>
        <w:jc w:val="both"/>
        <w:rPr>
          <w:sz w:val="20"/>
          <w:szCs w:val="20"/>
        </w:rPr>
      </w:pPr>
    </w:p>
    <w:p w:rsidR="00377472" w:rsidRPr="0005425A" w:rsidRDefault="00377472" w:rsidP="00377472">
      <w:pPr>
        <w:jc w:val="both"/>
        <w:rPr>
          <w:sz w:val="20"/>
          <w:szCs w:val="20"/>
        </w:rPr>
      </w:pPr>
    </w:p>
    <w:p w:rsidR="00377472" w:rsidRPr="0005425A" w:rsidRDefault="00377472" w:rsidP="00377472">
      <w:pPr>
        <w:jc w:val="both"/>
        <w:rPr>
          <w:sz w:val="20"/>
          <w:szCs w:val="20"/>
        </w:rPr>
      </w:pPr>
    </w:p>
    <w:p w:rsidR="00377472" w:rsidRPr="0005425A" w:rsidRDefault="00377472" w:rsidP="00377472">
      <w:pPr>
        <w:jc w:val="both"/>
        <w:rPr>
          <w:sz w:val="20"/>
          <w:szCs w:val="20"/>
          <w:lang w:val="fr-CA"/>
        </w:rPr>
      </w:pPr>
      <w:r w:rsidRPr="0005425A">
        <w:rPr>
          <w:b/>
          <w:sz w:val="20"/>
          <w:szCs w:val="20"/>
          <w:lang w:val="fr-CA"/>
        </w:rPr>
        <w:t xml:space="preserve">À LA SUITE DE LA REQUÊTE </w:t>
      </w:r>
      <w:r w:rsidRPr="0005425A">
        <w:rPr>
          <w:sz w:val="20"/>
          <w:szCs w:val="20"/>
          <w:lang w:val="fr-CA"/>
        </w:rPr>
        <w:t xml:space="preserve">de l’appelant visant la nomination d’un </w:t>
      </w:r>
      <w:proofErr w:type="spellStart"/>
      <w:r w:rsidRPr="0005425A">
        <w:rPr>
          <w:i/>
          <w:sz w:val="20"/>
          <w:szCs w:val="20"/>
          <w:lang w:val="fr-CA"/>
        </w:rPr>
        <w:t>amicus</w:t>
      </w:r>
      <w:proofErr w:type="spellEnd"/>
      <w:r w:rsidRPr="0005425A">
        <w:rPr>
          <w:i/>
          <w:sz w:val="20"/>
          <w:szCs w:val="20"/>
          <w:lang w:val="fr-CA"/>
        </w:rPr>
        <w:t xml:space="preserve"> </w:t>
      </w:r>
      <w:proofErr w:type="spellStart"/>
      <w:r w:rsidRPr="0005425A">
        <w:rPr>
          <w:i/>
          <w:sz w:val="20"/>
          <w:szCs w:val="20"/>
          <w:lang w:val="fr-CA"/>
        </w:rPr>
        <w:t>curiae</w:t>
      </w:r>
      <w:proofErr w:type="spellEnd"/>
      <w:r w:rsidRPr="0005425A">
        <w:rPr>
          <w:i/>
          <w:sz w:val="20"/>
          <w:szCs w:val="20"/>
          <w:lang w:val="fr-CA"/>
        </w:rPr>
        <w:t xml:space="preserve"> </w:t>
      </w:r>
      <w:r w:rsidRPr="0005425A">
        <w:rPr>
          <w:sz w:val="20"/>
          <w:szCs w:val="20"/>
          <w:lang w:val="fr-CA"/>
        </w:rPr>
        <w:t xml:space="preserve">en application de l’art. 92 des </w:t>
      </w:r>
      <w:r w:rsidRPr="0005425A">
        <w:rPr>
          <w:i/>
          <w:sz w:val="20"/>
          <w:szCs w:val="20"/>
          <w:lang w:val="fr-CA"/>
        </w:rPr>
        <w:t>Règles de la Cour suprême du Canada</w:t>
      </w:r>
      <w:r w:rsidRPr="0005425A">
        <w:rPr>
          <w:sz w:val="20"/>
          <w:szCs w:val="20"/>
          <w:lang w:val="fr-CA"/>
        </w:rPr>
        <w:t xml:space="preserve">; </w:t>
      </w:r>
    </w:p>
    <w:p w:rsidR="00377472" w:rsidRPr="0005425A" w:rsidRDefault="00377472" w:rsidP="00377472">
      <w:pPr>
        <w:jc w:val="both"/>
        <w:rPr>
          <w:sz w:val="20"/>
          <w:szCs w:val="20"/>
          <w:lang w:val="fr-CA"/>
        </w:rPr>
      </w:pPr>
    </w:p>
    <w:p w:rsidR="00377472" w:rsidRPr="0005425A" w:rsidRDefault="00377472" w:rsidP="00377472">
      <w:pPr>
        <w:jc w:val="both"/>
        <w:rPr>
          <w:sz w:val="20"/>
          <w:szCs w:val="20"/>
          <w:lang w:val="fr-CA"/>
        </w:rPr>
      </w:pPr>
      <w:r w:rsidRPr="0005425A">
        <w:rPr>
          <w:b/>
          <w:sz w:val="20"/>
          <w:szCs w:val="20"/>
          <w:lang w:val="fr-CA"/>
        </w:rPr>
        <w:t>ET À LA SUITE</w:t>
      </w:r>
      <w:r w:rsidRPr="0005425A">
        <w:rPr>
          <w:sz w:val="20"/>
          <w:szCs w:val="20"/>
          <w:lang w:val="fr-CA"/>
        </w:rPr>
        <w:t xml:space="preserve"> de la demande de l’intimé, M. Nelson Lloyd Hart, en vue de la nomination, en application de l’art. 694.1 </w:t>
      </w:r>
      <w:proofErr w:type="gramStart"/>
      <w:r w:rsidRPr="0005425A">
        <w:rPr>
          <w:sz w:val="20"/>
          <w:szCs w:val="20"/>
          <w:lang w:val="fr-CA"/>
        </w:rPr>
        <w:t>du</w:t>
      </w:r>
      <w:proofErr w:type="gramEnd"/>
      <w:r w:rsidRPr="0005425A">
        <w:rPr>
          <w:sz w:val="20"/>
          <w:szCs w:val="20"/>
          <w:lang w:val="fr-CA"/>
        </w:rPr>
        <w:t xml:space="preserve"> </w:t>
      </w:r>
      <w:r w:rsidRPr="0005425A">
        <w:rPr>
          <w:i/>
          <w:sz w:val="20"/>
          <w:szCs w:val="20"/>
          <w:lang w:val="fr-CA"/>
        </w:rPr>
        <w:t>Code criminel</w:t>
      </w:r>
      <w:r w:rsidRPr="0005425A">
        <w:rPr>
          <w:sz w:val="20"/>
          <w:szCs w:val="20"/>
          <w:lang w:val="fr-CA"/>
        </w:rPr>
        <w:t>, de M</w:t>
      </w:r>
      <w:r w:rsidRPr="0005425A">
        <w:rPr>
          <w:sz w:val="20"/>
          <w:szCs w:val="20"/>
          <w:vertAlign w:val="superscript"/>
          <w:lang w:val="fr-CA"/>
        </w:rPr>
        <w:t>e</w:t>
      </w:r>
      <w:r w:rsidRPr="0005425A">
        <w:rPr>
          <w:sz w:val="20"/>
          <w:szCs w:val="20"/>
          <w:lang w:val="fr-CA"/>
        </w:rPr>
        <w:t xml:space="preserve"> </w:t>
      </w:r>
      <w:proofErr w:type="spellStart"/>
      <w:r w:rsidRPr="0005425A">
        <w:rPr>
          <w:sz w:val="20"/>
          <w:szCs w:val="20"/>
          <w:lang w:val="fr-CA"/>
        </w:rPr>
        <w:t>Robby</w:t>
      </w:r>
      <w:proofErr w:type="spellEnd"/>
      <w:r w:rsidRPr="0005425A">
        <w:rPr>
          <w:sz w:val="20"/>
          <w:szCs w:val="20"/>
          <w:lang w:val="fr-CA"/>
        </w:rPr>
        <w:t xml:space="preserve"> D. </w:t>
      </w:r>
      <w:proofErr w:type="spellStart"/>
      <w:r w:rsidRPr="0005425A">
        <w:rPr>
          <w:sz w:val="20"/>
          <w:szCs w:val="20"/>
          <w:lang w:val="fr-CA"/>
        </w:rPr>
        <w:t>Ash</w:t>
      </w:r>
      <w:proofErr w:type="spellEnd"/>
      <w:r w:rsidRPr="0005425A">
        <w:rPr>
          <w:sz w:val="20"/>
          <w:szCs w:val="20"/>
          <w:lang w:val="fr-CA"/>
        </w:rPr>
        <w:t xml:space="preserve"> pour qu’il le représente dans le cadre du présent appel;</w:t>
      </w:r>
    </w:p>
    <w:p w:rsidR="00377472" w:rsidRPr="0005425A" w:rsidRDefault="00377472" w:rsidP="00377472">
      <w:pPr>
        <w:jc w:val="both"/>
        <w:rPr>
          <w:sz w:val="20"/>
          <w:szCs w:val="20"/>
          <w:lang w:val="fr-CA"/>
        </w:rPr>
      </w:pPr>
    </w:p>
    <w:p w:rsidR="00377472" w:rsidRPr="0005425A" w:rsidRDefault="00377472" w:rsidP="00377472">
      <w:pPr>
        <w:jc w:val="both"/>
        <w:rPr>
          <w:sz w:val="20"/>
          <w:szCs w:val="20"/>
          <w:lang w:val="fr-CA"/>
        </w:rPr>
      </w:pPr>
      <w:r w:rsidRPr="0005425A">
        <w:rPr>
          <w:b/>
          <w:sz w:val="20"/>
          <w:szCs w:val="20"/>
          <w:lang w:val="fr-CA"/>
        </w:rPr>
        <w:t>ET À LA SUITE</w:t>
      </w:r>
      <w:r w:rsidRPr="0005425A">
        <w:rPr>
          <w:sz w:val="20"/>
          <w:szCs w:val="20"/>
          <w:lang w:val="fr-CA"/>
        </w:rPr>
        <w:t xml:space="preserve"> de l’expression par l’appelante de son accord pour assumer les frais de la nomination d’un </w:t>
      </w:r>
      <w:proofErr w:type="spellStart"/>
      <w:r w:rsidRPr="0005425A">
        <w:rPr>
          <w:i/>
          <w:sz w:val="20"/>
          <w:szCs w:val="20"/>
          <w:lang w:val="fr-CA"/>
        </w:rPr>
        <w:t>amicus</w:t>
      </w:r>
      <w:proofErr w:type="spellEnd"/>
      <w:r w:rsidRPr="0005425A">
        <w:rPr>
          <w:i/>
          <w:sz w:val="20"/>
          <w:szCs w:val="20"/>
          <w:lang w:val="fr-CA"/>
        </w:rPr>
        <w:t xml:space="preserve"> </w:t>
      </w:r>
      <w:proofErr w:type="spellStart"/>
      <w:r w:rsidRPr="0005425A">
        <w:rPr>
          <w:i/>
          <w:sz w:val="20"/>
          <w:szCs w:val="20"/>
          <w:lang w:val="fr-CA"/>
        </w:rPr>
        <w:t>curiae</w:t>
      </w:r>
      <w:proofErr w:type="spellEnd"/>
      <w:r w:rsidRPr="0005425A">
        <w:rPr>
          <w:sz w:val="20"/>
          <w:szCs w:val="20"/>
          <w:lang w:val="fr-CA"/>
        </w:rPr>
        <w:t>;</w:t>
      </w:r>
    </w:p>
    <w:p w:rsidR="00377472" w:rsidRPr="0005425A" w:rsidRDefault="00377472" w:rsidP="00377472">
      <w:pPr>
        <w:jc w:val="both"/>
        <w:rPr>
          <w:sz w:val="20"/>
          <w:szCs w:val="20"/>
          <w:lang w:val="fr-CA"/>
        </w:rPr>
      </w:pPr>
    </w:p>
    <w:p w:rsidR="00377472" w:rsidRPr="0005425A" w:rsidRDefault="00377472" w:rsidP="00377472">
      <w:pPr>
        <w:jc w:val="both"/>
        <w:rPr>
          <w:b/>
          <w:sz w:val="20"/>
          <w:szCs w:val="20"/>
          <w:lang w:val="fr-CA"/>
        </w:rPr>
      </w:pPr>
      <w:r w:rsidRPr="0005425A">
        <w:rPr>
          <w:b/>
          <w:sz w:val="20"/>
          <w:szCs w:val="20"/>
          <w:lang w:val="fr-CA"/>
        </w:rPr>
        <w:t>IL EST ORDONNÉ CE QUI SUIT :</w:t>
      </w:r>
    </w:p>
    <w:p w:rsidR="00377472" w:rsidRPr="0005425A" w:rsidRDefault="00377472" w:rsidP="00377472">
      <w:pPr>
        <w:ind w:left="720"/>
        <w:jc w:val="both"/>
        <w:rPr>
          <w:b/>
          <w:sz w:val="20"/>
          <w:szCs w:val="20"/>
          <w:lang w:val="fr-CA"/>
        </w:rPr>
      </w:pPr>
    </w:p>
    <w:p w:rsidR="00377472" w:rsidRPr="0005425A" w:rsidRDefault="00377472" w:rsidP="00377472">
      <w:pPr>
        <w:pStyle w:val="ListParagraph"/>
        <w:autoSpaceDE w:val="0"/>
        <w:autoSpaceDN w:val="0"/>
        <w:adjustRightInd w:val="0"/>
        <w:jc w:val="both"/>
        <w:rPr>
          <w:sz w:val="20"/>
          <w:szCs w:val="20"/>
          <w:lang w:val="fr-CA"/>
        </w:rPr>
      </w:pPr>
      <w:r w:rsidRPr="0005425A">
        <w:rPr>
          <w:sz w:val="20"/>
          <w:szCs w:val="20"/>
          <w:lang w:val="fr-CA"/>
        </w:rPr>
        <w:t>1) M</w:t>
      </w:r>
      <w:r w:rsidRPr="0005425A">
        <w:rPr>
          <w:sz w:val="20"/>
          <w:szCs w:val="20"/>
          <w:vertAlign w:val="superscript"/>
          <w:lang w:val="fr-CA"/>
        </w:rPr>
        <w:t>e</w:t>
      </w:r>
      <w:r w:rsidRPr="0005425A">
        <w:rPr>
          <w:sz w:val="20"/>
          <w:szCs w:val="20"/>
          <w:lang w:val="fr-CA"/>
        </w:rPr>
        <w:t xml:space="preserve"> Marie </w:t>
      </w:r>
      <w:proofErr w:type="spellStart"/>
      <w:r w:rsidRPr="0005425A">
        <w:rPr>
          <w:sz w:val="20"/>
          <w:szCs w:val="20"/>
          <w:lang w:val="fr-CA"/>
        </w:rPr>
        <w:t>Henein</w:t>
      </w:r>
      <w:proofErr w:type="spellEnd"/>
      <w:r w:rsidRPr="0005425A">
        <w:rPr>
          <w:sz w:val="20"/>
          <w:szCs w:val="20"/>
          <w:lang w:val="fr-CA"/>
        </w:rPr>
        <w:t xml:space="preserve"> est nommé </w:t>
      </w:r>
      <w:proofErr w:type="spellStart"/>
      <w:r w:rsidRPr="0005425A">
        <w:rPr>
          <w:i/>
          <w:sz w:val="20"/>
          <w:szCs w:val="20"/>
          <w:lang w:val="fr-CA"/>
        </w:rPr>
        <w:t>amicus</w:t>
      </w:r>
      <w:proofErr w:type="spellEnd"/>
      <w:r w:rsidRPr="0005425A">
        <w:rPr>
          <w:i/>
          <w:sz w:val="20"/>
          <w:szCs w:val="20"/>
          <w:lang w:val="fr-CA"/>
        </w:rPr>
        <w:t xml:space="preserve"> </w:t>
      </w:r>
      <w:proofErr w:type="spellStart"/>
      <w:r w:rsidRPr="0005425A">
        <w:rPr>
          <w:i/>
          <w:sz w:val="20"/>
          <w:szCs w:val="20"/>
          <w:lang w:val="fr-CA"/>
        </w:rPr>
        <w:t>curiæ</w:t>
      </w:r>
      <w:proofErr w:type="spellEnd"/>
      <w:r w:rsidRPr="0005425A">
        <w:rPr>
          <w:sz w:val="20"/>
          <w:szCs w:val="20"/>
          <w:lang w:val="fr-CA"/>
        </w:rPr>
        <w:t xml:space="preserve"> pour assister la Cour en signifiant et déposant un mémoire et un recueil de sources au plus tard le 30 août 2013 et en présentant des observations orales à l’audition de l’appel. M</w:t>
      </w:r>
      <w:r w:rsidRPr="0005425A">
        <w:rPr>
          <w:sz w:val="20"/>
          <w:szCs w:val="20"/>
          <w:vertAlign w:val="superscript"/>
          <w:lang w:val="fr-CA"/>
        </w:rPr>
        <w:t>e</w:t>
      </w:r>
      <w:r w:rsidRPr="0005425A">
        <w:rPr>
          <w:sz w:val="20"/>
          <w:szCs w:val="20"/>
          <w:lang w:val="fr-CA"/>
        </w:rPr>
        <w:t xml:space="preserve"> Marie </w:t>
      </w:r>
      <w:proofErr w:type="spellStart"/>
      <w:r w:rsidRPr="0005425A">
        <w:rPr>
          <w:sz w:val="20"/>
          <w:szCs w:val="20"/>
          <w:lang w:val="fr-CA"/>
        </w:rPr>
        <w:t>Henein</w:t>
      </w:r>
      <w:proofErr w:type="spellEnd"/>
      <w:r w:rsidRPr="0005425A">
        <w:rPr>
          <w:sz w:val="20"/>
          <w:szCs w:val="20"/>
          <w:lang w:val="fr-CA"/>
        </w:rPr>
        <w:t xml:space="preserve"> peut être assistée d’un avocat en second;</w:t>
      </w:r>
    </w:p>
    <w:p w:rsidR="00377472" w:rsidRPr="0005425A" w:rsidRDefault="00377472" w:rsidP="00377472">
      <w:pPr>
        <w:pStyle w:val="ListParagraph"/>
        <w:jc w:val="both"/>
        <w:rPr>
          <w:sz w:val="20"/>
          <w:szCs w:val="20"/>
          <w:lang w:val="fr-CA"/>
        </w:rPr>
      </w:pPr>
    </w:p>
    <w:p w:rsidR="00377472" w:rsidRPr="0005425A" w:rsidRDefault="00377472" w:rsidP="00377472">
      <w:pPr>
        <w:pStyle w:val="ListParagraph"/>
        <w:autoSpaceDE w:val="0"/>
        <w:autoSpaceDN w:val="0"/>
        <w:adjustRightInd w:val="0"/>
        <w:jc w:val="both"/>
        <w:rPr>
          <w:sz w:val="20"/>
          <w:szCs w:val="20"/>
          <w:lang w:val="fr-CA"/>
        </w:rPr>
      </w:pPr>
      <w:r w:rsidRPr="0005425A">
        <w:rPr>
          <w:sz w:val="20"/>
          <w:szCs w:val="20"/>
          <w:lang w:val="fr-CA"/>
        </w:rPr>
        <w:t>2) M</w:t>
      </w:r>
      <w:r w:rsidRPr="0005425A">
        <w:rPr>
          <w:sz w:val="20"/>
          <w:szCs w:val="20"/>
          <w:vertAlign w:val="superscript"/>
          <w:lang w:val="fr-CA"/>
        </w:rPr>
        <w:t>e</w:t>
      </w:r>
      <w:r w:rsidRPr="0005425A">
        <w:rPr>
          <w:sz w:val="20"/>
          <w:szCs w:val="20"/>
          <w:lang w:val="fr-CA"/>
        </w:rPr>
        <w:t xml:space="preserve"> </w:t>
      </w:r>
      <w:proofErr w:type="spellStart"/>
      <w:r w:rsidRPr="0005425A">
        <w:rPr>
          <w:sz w:val="20"/>
          <w:szCs w:val="20"/>
          <w:lang w:val="fr-CA"/>
        </w:rPr>
        <w:t>Robby</w:t>
      </w:r>
      <w:proofErr w:type="spellEnd"/>
      <w:r w:rsidRPr="0005425A">
        <w:rPr>
          <w:sz w:val="20"/>
          <w:szCs w:val="20"/>
          <w:lang w:val="fr-CA"/>
        </w:rPr>
        <w:t xml:space="preserve"> D. </w:t>
      </w:r>
      <w:proofErr w:type="spellStart"/>
      <w:r w:rsidRPr="0005425A">
        <w:rPr>
          <w:sz w:val="20"/>
          <w:szCs w:val="20"/>
          <w:lang w:val="fr-CA"/>
        </w:rPr>
        <w:t>Ash</w:t>
      </w:r>
      <w:proofErr w:type="spellEnd"/>
      <w:r w:rsidRPr="0005425A">
        <w:rPr>
          <w:sz w:val="20"/>
          <w:szCs w:val="20"/>
          <w:lang w:val="fr-CA"/>
        </w:rPr>
        <w:t xml:space="preserve"> est nommé avocat de l’intimé en application de l’art. 694.1 </w:t>
      </w:r>
      <w:proofErr w:type="gramStart"/>
      <w:r w:rsidRPr="0005425A">
        <w:rPr>
          <w:sz w:val="20"/>
          <w:szCs w:val="20"/>
          <w:lang w:val="fr-CA"/>
        </w:rPr>
        <w:t>du</w:t>
      </w:r>
      <w:proofErr w:type="gramEnd"/>
      <w:r w:rsidRPr="0005425A">
        <w:rPr>
          <w:sz w:val="20"/>
          <w:szCs w:val="20"/>
          <w:lang w:val="fr-CA"/>
        </w:rPr>
        <w:t xml:space="preserve"> </w:t>
      </w:r>
      <w:r w:rsidRPr="0005425A">
        <w:rPr>
          <w:i/>
          <w:sz w:val="20"/>
          <w:szCs w:val="20"/>
          <w:lang w:val="fr-CA"/>
        </w:rPr>
        <w:t>Code criminel</w:t>
      </w:r>
      <w:r w:rsidRPr="0005425A">
        <w:rPr>
          <w:sz w:val="20"/>
          <w:szCs w:val="20"/>
          <w:lang w:val="fr-CA"/>
        </w:rPr>
        <w:t xml:space="preserve"> et peut être assisté d’un avocat en second.  Le mémoire, le dossier et le recueil de sources préparés par M</w:t>
      </w:r>
      <w:r w:rsidRPr="0005425A">
        <w:rPr>
          <w:sz w:val="20"/>
          <w:szCs w:val="20"/>
          <w:vertAlign w:val="superscript"/>
          <w:lang w:val="fr-CA"/>
        </w:rPr>
        <w:t>e</w:t>
      </w:r>
      <w:r w:rsidRPr="0005425A">
        <w:rPr>
          <w:sz w:val="20"/>
          <w:szCs w:val="20"/>
          <w:lang w:val="fr-CA"/>
        </w:rPr>
        <w:t xml:space="preserve"> </w:t>
      </w:r>
      <w:proofErr w:type="spellStart"/>
      <w:r w:rsidRPr="0005425A">
        <w:rPr>
          <w:sz w:val="20"/>
          <w:szCs w:val="20"/>
          <w:lang w:val="fr-CA"/>
        </w:rPr>
        <w:t>Ash</w:t>
      </w:r>
      <w:proofErr w:type="spellEnd"/>
      <w:r w:rsidRPr="0005425A">
        <w:rPr>
          <w:sz w:val="20"/>
          <w:szCs w:val="20"/>
          <w:lang w:val="fr-CA"/>
        </w:rPr>
        <w:t xml:space="preserve"> devront être signifiés et déposés au plus tard le 30 août 2013;</w:t>
      </w:r>
    </w:p>
    <w:p w:rsidR="00377472" w:rsidRPr="0005425A" w:rsidRDefault="00377472" w:rsidP="00377472">
      <w:pPr>
        <w:pStyle w:val="ListParagraph"/>
        <w:jc w:val="both"/>
        <w:rPr>
          <w:sz w:val="20"/>
          <w:szCs w:val="20"/>
          <w:lang w:val="fr-CA"/>
        </w:rPr>
      </w:pPr>
    </w:p>
    <w:p w:rsidR="00377472" w:rsidRPr="0005425A" w:rsidRDefault="00377472" w:rsidP="00377472">
      <w:pPr>
        <w:pStyle w:val="ListParagraph"/>
        <w:autoSpaceDE w:val="0"/>
        <w:autoSpaceDN w:val="0"/>
        <w:adjustRightInd w:val="0"/>
        <w:jc w:val="both"/>
        <w:rPr>
          <w:sz w:val="20"/>
          <w:szCs w:val="20"/>
          <w:lang w:val="fr-CA"/>
        </w:rPr>
      </w:pPr>
      <w:r w:rsidRPr="0005425A">
        <w:rPr>
          <w:sz w:val="20"/>
          <w:szCs w:val="20"/>
          <w:lang w:val="fr-CA"/>
        </w:rPr>
        <w:t>3) Les honoraires et débours raisonnables de M</w:t>
      </w:r>
      <w:r w:rsidRPr="0005425A">
        <w:rPr>
          <w:sz w:val="20"/>
          <w:szCs w:val="20"/>
          <w:vertAlign w:val="superscript"/>
          <w:lang w:val="fr-CA"/>
        </w:rPr>
        <w:t>es</w:t>
      </w:r>
      <w:r w:rsidRPr="0005425A">
        <w:rPr>
          <w:sz w:val="20"/>
          <w:szCs w:val="20"/>
          <w:lang w:val="fr-CA"/>
        </w:rPr>
        <w:t xml:space="preserve"> </w:t>
      </w:r>
      <w:proofErr w:type="spellStart"/>
      <w:r w:rsidRPr="0005425A">
        <w:rPr>
          <w:sz w:val="20"/>
          <w:szCs w:val="20"/>
          <w:lang w:val="fr-CA"/>
        </w:rPr>
        <w:t>Henein</w:t>
      </w:r>
      <w:proofErr w:type="spellEnd"/>
      <w:r w:rsidRPr="0005425A">
        <w:rPr>
          <w:sz w:val="20"/>
          <w:szCs w:val="20"/>
          <w:lang w:val="fr-CA"/>
        </w:rPr>
        <w:t xml:space="preserve"> et </w:t>
      </w:r>
      <w:proofErr w:type="spellStart"/>
      <w:r w:rsidRPr="0005425A">
        <w:rPr>
          <w:sz w:val="20"/>
          <w:szCs w:val="20"/>
          <w:lang w:val="fr-CA"/>
        </w:rPr>
        <w:t>Ash</w:t>
      </w:r>
      <w:proofErr w:type="spellEnd"/>
      <w:r w:rsidRPr="0005425A">
        <w:rPr>
          <w:sz w:val="20"/>
          <w:szCs w:val="20"/>
          <w:lang w:val="fr-CA"/>
        </w:rPr>
        <w:t>, ainsi que ceux d’avocats en second, seront payés par le procureur général de Terre-Neuve-et-Labrador.</w:t>
      </w:r>
    </w:p>
    <w:p w:rsidR="00377472" w:rsidRPr="0005425A" w:rsidRDefault="00377472" w:rsidP="00377472">
      <w:pPr>
        <w:tabs>
          <w:tab w:val="left" w:pos="-1440"/>
          <w:tab w:val="left" w:pos="-720"/>
        </w:tabs>
        <w:jc w:val="both"/>
        <w:rPr>
          <w:sz w:val="20"/>
          <w:szCs w:val="20"/>
          <w:lang w:val="fr-CA"/>
        </w:rPr>
      </w:pPr>
    </w:p>
    <w:p w:rsidR="00377472" w:rsidRPr="0005425A" w:rsidRDefault="0017005E" w:rsidP="00377472">
      <w:pPr>
        <w:tabs>
          <w:tab w:val="left" w:pos="-1440"/>
          <w:tab w:val="left" w:pos="-720"/>
        </w:tabs>
        <w:jc w:val="both"/>
        <w:rPr>
          <w:sz w:val="20"/>
          <w:szCs w:val="20"/>
          <w:lang w:val="fr-CA"/>
        </w:rPr>
      </w:pPr>
      <w:r w:rsidRPr="0017005E">
        <w:rPr>
          <w:sz w:val="20"/>
          <w:szCs w:val="20"/>
          <w:lang w:val="fr-CA"/>
        </w:rPr>
        <w:pict>
          <v:rect id="_x0000_i1055" style="width:2in;height:1pt" o:hrpct="0" o:hralign="center" o:hrstd="t" o:hrnoshade="t" o:hr="t" fillcolor="black [3213]" stroked="f"/>
        </w:pic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rPr>
          <w:sz w:val="20"/>
          <w:szCs w:val="20"/>
          <w:lang w:val="fr-CA"/>
        </w:rPr>
      </w:pPr>
      <w:r w:rsidRPr="0005425A">
        <w:rPr>
          <w:sz w:val="20"/>
          <w:szCs w:val="20"/>
          <w:lang w:val="fr-CA"/>
        </w:rPr>
        <w:br w:type="page"/>
      </w:r>
    </w:p>
    <w:p w:rsidR="00377472" w:rsidRPr="0005425A" w:rsidRDefault="00377472" w:rsidP="00377472">
      <w:pPr>
        <w:tabs>
          <w:tab w:val="left" w:pos="-1440"/>
          <w:tab w:val="left" w:pos="-720"/>
        </w:tabs>
        <w:jc w:val="both"/>
        <w:rPr>
          <w:sz w:val="20"/>
          <w:szCs w:val="20"/>
          <w:lang w:val="fr-CA"/>
        </w:rPr>
      </w:pPr>
      <w:r w:rsidRPr="0005425A">
        <w:rPr>
          <w:sz w:val="20"/>
          <w:szCs w:val="20"/>
          <w:lang w:val="fr-CA"/>
        </w:rPr>
        <w:lastRenderedPageBreak/>
        <w:t>25.04.2013</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lang w:val="fr-CA"/>
        </w:rPr>
      </w:pPr>
      <w:proofErr w:type="spellStart"/>
      <w:r w:rsidRPr="0005425A">
        <w:rPr>
          <w:sz w:val="20"/>
          <w:szCs w:val="20"/>
          <w:lang w:val="fr-CA"/>
        </w:rPr>
        <w:t>Before</w:t>
      </w:r>
      <w:proofErr w:type="spellEnd"/>
      <w:r w:rsidRPr="0005425A">
        <w:rPr>
          <w:sz w:val="20"/>
          <w:szCs w:val="20"/>
          <w:lang w:val="fr-CA"/>
        </w:rPr>
        <w:t xml:space="preserve"> / Devant :   ROTHSTEIN J. / LE JUGE ROTHSTEIN</w:t>
      </w:r>
    </w:p>
    <w:p w:rsidR="00377472" w:rsidRPr="0005425A" w:rsidRDefault="00377472" w:rsidP="003774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77472" w:rsidRPr="005C0D71" w:rsidTr="008E3015">
        <w:tc>
          <w:tcPr>
            <w:tcW w:w="4338" w:type="dxa"/>
          </w:tcPr>
          <w:p w:rsidR="00377472" w:rsidRPr="0005425A" w:rsidRDefault="0017005E" w:rsidP="008E3015">
            <w:pPr>
              <w:tabs>
                <w:tab w:val="left" w:pos="-1440"/>
                <w:tab w:val="left" w:pos="-720"/>
              </w:tabs>
              <w:jc w:val="both"/>
              <w:rPr>
                <w:b/>
                <w:sz w:val="20"/>
                <w:szCs w:val="20"/>
              </w:rPr>
            </w:pPr>
            <w:r w:rsidRPr="0005425A">
              <w:rPr>
                <w:sz w:val="20"/>
                <w:szCs w:val="20"/>
              </w:rPr>
              <w:fldChar w:fldCharType="begin"/>
            </w:r>
            <w:r w:rsidR="00377472" w:rsidRPr="0005425A">
              <w:rPr>
                <w:sz w:val="20"/>
                <w:szCs w:val="20"/>
              </w:rPr>
              <w:instrText xml:space="preserve"> SEQ CHAPTER \h \r 1</w:instrText>
            </w:r>
            <w:r w:rsidRPr="0005425A">
              <w:rPr>
                <w:sz w:val="20"/>
                <w:szCs w:val="20"/>
              </w:rPr>
              <w:fldChar w:fldCharType="end"/>
            </w:r>
            <w:r w:rsidR="00377472" w:rsidRPr="0005425A">
              <w:rPr>
                <w:b/>
                <w:bCs/>
                <w:sz w:val="20"/>
                <w:szCs w:val="20"/>
              </w:rPr>
              <w:t>Order re-scheduling the hearing of the appeal and regarding the filing of appeal documents</w:t>
            </w:r>
          </w:p>
        </w:tc>
        <w:tc>
          <w:tcPr>
            <w:tcW w:w="1170" w:type="dxa"/>
          </w:tcPr>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17005E" w:rsidP="008E3015">
            <w:pPr>
              <w:tabs>
                <w:tab w:val="left" w:pos="-1440"/>
                <w:tab w:val="left" w:pos="-720"/>
              </w:tabs>
              <w:jc w:val="both"/>
              <w:rPr>
                <w:sz w:val="20"/>
                <w:szCs w:val="20"/>
                <w:lang w:val="fr-CA"/>
              </w:rPr>
            </w:pP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Ordonnance reportant l’audition de l’appel et concernant le</w:t>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 xml:space="preserve"> dépôt des documents concernant l'appel </w:t>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p>
        </w:tc>
      </w:tr>
      <w:tr w:rsidR="00377472" w:rsidRPr="0005425A" w:rsidTr="008E3015">
        <w:tc>
          <w:tcPr>
            <w:tcW w:w="4338" w:type="dxa"/>
          </w:tcPr>
          <w:p w:rsidR="00377472" w:rsidRPr="0005425A" w:rsidRDefault="00377472" w:rsidP="008E3015">
            <w:pPr>
              <w:tabs>
                <w:tab w:val="left" w:pos="-1440"/>
                <w:tab w:val="left" w:pos="-720"/>
              </w:tabs>
              <w:jc w:val="both"/>
              <w:rPr>
                <w:sz w:val="20"/>
                <w:szCs w:val="20"/>
              </w:rPr>
            </w:pPr>
            <w:r w:rsidRPr="0005425A">
              <w:rPr>
                <w:sz w:val="20"/>
                <w:szCs w:val="20"/>
              </w:rPr>
              <w:t xml:space="preserve">Attorney General of Canada et al. </w:t>
            </w: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lang w:val="fr-CA"/>
              </w:rPr>
            </w:pPr>
            <w:r w:rsidRPr="0005425A">
              <w:rPr>
                <w:sz w:val="20"/>
                <w:szCs w:val="20"/>
              </w:rPr>
              <w:tab/>
            </w:r>
            <w:r w:rsidRPr="0005425A">
              <w:rPr>
                <w:sz w:val="20"/>
                <w:szCs w:val="20"/>
                <w:lang w:val="fr-CA"/>
              </w:rPr>
              <w:t>v. (34788)</w:t>
            </w:r>
          </w:p>
          <w:p w:rsidR="00377472" w:rsidRPr="0005425A" w:rsidRDefault="00377472" w:rsidP="008E3015">
            <w:pPr>
              <w:tabs>
                <w:tab w:val="left" w:pos="-1440"/>
                <w:tab w:val="left" w:pos="-720"/>
              </w:tabs>
              <w:jc w:val="both"/>
              <w:rPr>
                <w:sz w:val="20"/>
                <w:szCs w:val="20"/>
                <w:lang w:val="fr-CA"/>
              </w:rPr>
            </w:pPr>
          </w:p>
          <w:p w:rsidR="00377472" w:rsidRPr="0005425A" w:rsidRDefault="00377472" w:rsidP="008E3015">
            <w:pPr>
              <w:tabs>
                <w:tab w:val="left" w:pos="-1440"/>
                <w:tab w:val="left" w:pos="-720"/>
              </w:tabs>
              <w:jc w:val="both"/>
              <w:rPr>
                <w:sz w:val="20"/>
                <w:szCs w:val="20"/>
              </w:rPr>
            </w:pPr>
            <w:r w:rsidRPr="0005425A">
              <w:rPr>
                <w:sz w:val="20"/>
                <w:szCs w:val="20"/>
                <w:lang w:val="fr-CA"/>
              </w:rPr>
              <w:t xml:space="preserve">Terri Jean Bedford et al. </w:t>
            </w:r>
            <w:r w:rsidRPr="0005425A">
              <w:rPr>
                <w:sz w:val="20"/>
                <w:szCs w:val="20"/>
              </w:rPr>
              <w:t>(Crim.) (Ont.)</w:t>
            </w:r>
          </w:p>
        </w:tc>
        <w:tc>
          <w:tcPr>
            <w:tcW w:w="1170" w:type="dxa"/>
          </w:tcPr>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377472" w:rsidP="008E3015">
            <w:pPr>
              <w:tabs>
                <w:tab w:val="left" w:pos="-1440"/>
                <w:tab w:val="left" w:pos="-720"/>
              </w:tabs>
              <w:jc w:val="both"/>
              <w:rPr>
                <w:sz w:val="20"/>
                <w:szCs w:val="20"/>
              </w:rPr>
            </w:pPr>
          </w:p>
        </w:tc>
      </w:tr>
    </w:tbl>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jc w:val="both"/>
        <w:rPr>
          <w:sz w:val="20"/>
          <w:szCs w:val="20"/>
        </w:rPr>
      </w:pPr>
      <w:r w:rsidRPr="0005425A">
        <w:rPr>
          <w:b/>
          <w:sz w:val="20"/>
          <w:szCs w:val="20"/>
        </w:rPr>
        <w:t>GRANTED / ACCORDÉE</w:t>
      </w:r>
    </w:p>
    <w:p w:rsidR="00377472" w:rsidRPr="0005425A" w:rsidRDefault="00377472" w:rsidP="00377472">
      <w:pPr>
        <w:tabs>
          <w:tab w:val="left" w:pos="-1440"/>
          <w:tab w:val="left" w:pos="-720"/>
        </w:tabs>
        <w:jc w:val="both"/>
        <w:rPr>
          <w:sz w:val="20"/>
          <w:szCs w:val="20"/>
        </w:rPr>
      </w:pPr>
    </w:p>
    <w:p w:rsidR="00377472" w:rsidRPr="0005425A" w:rsidRDefault="00377472" w:rsidP="00377472">
      <w:pPr>
        <w:jc w:val="both"/>
        <w:rPr>
          <w:sz w:val="20"/>
          <w:szCs w:val="20"/>
        </w:rPr>
      </w:pPr>
      <w:r w:rsidRPr="0005425A">
        <w:rPr>
          <w:b/>
          <w:sz w:val="20"/>
          <w:szCs w:val="20"/>
        </w:rPr>
        <w:t>IT IS HEREBY ORDERED THAT</w:t>
      </w:r>
      <w:r w:rsidRPr="0005425A">
        <w:rPr>
          <w:sz w:val="20"/>
          <w:szCs w:val="20"/>
        </w:rPr>
        <w:t>:</w:t>
      </w:r>
    </w:p>
    <w:p w:rsidR="00377472" w:rsidRPr="0005425A" w:rsidRDefault="00377472" w:rsidP="00377472">
      <w:pPr>
        <w:jc w:val="both"/>
        <w:rPr>
          <w:sz w:val="20"/>
          <w:szCs w:val="20"/>
        </w:rPr>
      </w:pPr>
    </w:p>
    <w:p w:rsidR="00377472" w:rsidRPr="0005425A" w:rsidRDefault="00377472" w:rsidP="00377472">
      <w:pPr>
        <w:pStyle w:val="ListParagraph"/>
        <w:jc w:val="both"/>
        <w:rPr>
          <w:rFonts w:cs="Times New Roman"/>
          <w:sz w:val="20"/>
          <w:szCs w:val="20"/>
        </w:rPr>
      </w:pPr>
      <w:r w:rsidRPr="0005425A">
        <w:rPr>
          <w:rFonts w:cs="Times New Roman"/>
          <w:sz w:val="20"/>
          <w:szCs w:val="20"/>
        </w:rPr>
        <w:t>Any attorneys general intervening on constitutional questions shall serve and file their factum and book of authorities no later than May 30, 2013.</w:t>
      </w:r>
    </w:p>
    <w:p w:rsidR="00377472" w:rsidRPr="0005425A" w:rsidRDefault="00377472" w:rsidP="00377472">
      <w:pPr>
        <w:jc w:val="both"/>
        <w:rPr>
          <w:sz w:val="20"/>
          <w:szCs w:val="20"/>
        </w:rPr>
      </w:pPr>
    </w:p>
    <w:p w:rsidR="00377472" w:rsidRPr="0005425A" w:rsidRDefault="00377472" w:rsidP="00377472">
      <w:pPr>
        <w:jc w:val="both"/>
        <w:rPr>
          <w:sz w:val="20"/>
          <w:szCs w:val="20"/>
        </w:rPr>
      </w:pPr>
      <w:r w:rsidRPr="0005425A">
        <w:rPr>
          <w:b/>
          <w:sz w:val="20"/>
          <w:szCs w:val="20"/>
        </w:rPr>
        <w:t>IT IS HEREBY FURTHER ORDERED THAT</w:t>
      </w:r>
      <w:r w:rsidRPr="0005425A">
        <w:rPr>
          <w:sz w:val="20"/>
          <w:szCs w:val="20"/>
        </w:rPr>
        <w:t xml:space="preserve">: </w:t>
      </w:r>
    </w:p>
    <w:p w:rsidR="00377472" w:rsidRPr="0005425A" w:rsidRDefault="00377472" w:rsidP="00377472">
      <w:pPr>
        <w:jc w:val="both"/>
        <w:rPr>
          <w:sz w:val="20"/>
          <w:szCs w:val="20"/>
        </w:rPr>
      </w:pPr>
    </w:p>
    <w:p w:rsidR="00377472" w:rsidRPr="0005425A" w:rsidRDefault="00377472" w:rsidP="00377472">
      <w:pPr>
        <w:jc w:val="both"/>
        <w:rPr>
          <w:sz w:val="20"/>
          <w:szCs w:val="20"/>
        </w:rPr>
      </w:pPr>
      <w:r w:rsidRPr="0005425A">
        <w:rPr>
          <w:sz w:val="20"/>
          <w:szCs w:val="20"/>
        </w:rPr>
        <w:tab/>
        <w:t xml:space="preserve">The date of the hearing for this appeal has been re-scheduled to June 13, 2013. </w:t>
      </w:r>
    </w:p>
    <w:p w:rsidR="00377472" w:rsidRPr="0005425A" w:rsidRDefault="00377472" w:rsidP="00377472">
      <w:pPr>
        <w:jc w:val="both"/>
        <w:rPr>
          <w:sz w:val="20"/>
          <w:szCs w:val="20"/>
        </w:rPr>
      </w:pPr>
    </w:p>
    <w:p w:rsidR="00377472" w:rsidRPr="0005425A" w:rsidRDefault="00377472" w:rsidP="00377472">
      <w:pPr>
        <w:jc w:val="both"/>
        <w:rPr>
          <w:sz w:val="20"/>
          <w:szCs w:val="20"/>
        </w:rPr>
      </w:pPr>
    </w:p>
    <w:p w:rsidR="00377472" w:rsidRPr="0005425A" w:rsidRDefault="00377472" w:rsidP="00377472">
      <w:pPr>
        <w:jc w:val="both"/>
        <w:rPr>
          <w:sz w:val="20"/>
          <w:szCs w:val="20"/>
        </w:rPr>
      </w:pPr>
    </w:p>
    <w:p w:rsidR="00377472" w:rsidRPr="0005425A" w:rsidRDefault="00377472" w:rsidP="00377472">
      <w:pPr>
        <w:jc w:val="both"/>
        <w:rPr>
          <w:b/>
          <w:sz w:val="20"/>
          <w:szCs w:val="20"/>
          <w:lang w:val="fr-CA"/>
        </w:rPr>
      </w:pPr>
      <w:r w:rsidRPr="0005425A">
        <w:rPr>
          <w:b/>
          <w:sz w:val="20"/>
          <w:szCs w:val="20"/>
          <w:lang w:val="fr-CA"/>
        </w:rPr>
        <w:t>IL EST ORDONNÉ QUE :</w:t>
      </w:r>
    </w:p>
    <w:p w:rsidR="00377472" w:rsidRPr="0005425A" w:rsidRDefault="00377472" w:rsidP="00377472">
      <w:pPr>
        <w:jc w:val="both"/>
        <w:rPr>
          <w:sz w:val="20"/>
          <w:szCs w:val="20"/>
          <w:lang w:val="fr-CA"/>
        </w:rPr>
      </w:pPr>
    </w:p>
    <w:p w:rsidR="00377472" w:rsidRPr="0005425A" w:rsidRDefault="00377472" w:rsidP="00377472">
      <w:pPr>
        <w:ind w:left="720"/>
        <w:jc w:val="both"/>
        <w:rPr>
          <w:sz w:val="20"/>
          <w:szCs w:val="20"/>
          <w:lang w:val="fr-CA"/>
        </w:rPr>
      </w:pPr>
      <w:r w:rsidRPr="0005425A">
        <w:rPr>
          <w:sz w:val="20"/>
          <w:szCs w:val="20"/>
          <w:lang w:val="fr-CA"/>
        </w:rPr>
        <w:t>Tous les procureurs généraux qui interviennent quant aux questions constitutionnelles signifieront et déposeront leur mémoire et leur recueil de sources au plus tard le 30 mai 2013.</w:t>
      </w:r>
    </w:p>
    <w:p w:rsidR="00377472" w:rsidRPr="0005425A" w:rsidRDefault="00377472" w:rsidP="00377472">
      <w:pPr>
        <w:jc w:val="both"/>
        <w:rPr>
          <w:sz w:val="20"/>
          <w:szCs w:val="20"/>
          <w:lang w:val="fr-CA"/>
        </w:rPr>
      </w:pPr>
    </w:p>
    <w:p w:rsidR="00377472" w:rsidRPr="0005425A" w:rsidRDefault="00377472" w:rsidP="00377472">
      <w:pPr>
        <w:jc w:val="both"/>
        <w:rPr>
          <w:b/>
          <w:sz w:val="20"/>
          <w:szCs w:val="20"/>
          <w:lang w:val="fr-CA"/>
        </w:rPr>
      </w:pPr>
      <w:r w:rsidRPr="0005425A">
        <w:rPr>
          <w:b/>
          <w:sz w:val="20"/>
          <w:szCs w:val="20"/>
          <w:lang w:val="fr-CA"/>
        </w:rPr>
        <w:t>IL EST EN OUTRE ORDONNÉ QUE :</w:t>
      </w:r>
    </w:p>
    <w:p w:rsidR="00377472" w:rsidRPr="0005425A" w:rsidRDefault="00377472" w:rsidP="00377472">
      <w:pPr>
        <w:jc w:val="both"/>
        <w:rPr>
          <w:b/>
          <w:sz w:val="20"/>
          <w:szCs w:val="20"/>
          <w:lang w:val="fr-CA"/>
        </w:rPr>
      </w:pPr>
    </w:p>
    <w:p w:rsidR="00377472" w:rsidRPr="0005425A" w:rsidRDefault="00377472" w:rsidP="00377472">
      <w:pPr>
        <w:jc w:val="both"/>
        <w:rPr>
          <w:sz w:val="20"/>
          <w:szCs w:val="20"/>
          <w:lang w:val="fr-CA"/>
        </w:rPr>
      </w:pPr>
      <w:r w:rsidRPr="0005425A">
        <w:rPr>
          <w:b/>
          <w:sz w:val="20"/>
          <w:szCs w:val="20"/>
          <w:lang w:val="fr-CA"/>
        </w:rPr>
        <w:tab/>
      </w:r>
      <w:r w:rsidRPr="0005425A">
        <w:rPr>
          <w:sz w:val="20"/>
          <w:szCs w:val="20"/>
          <w:lang w:val="fr-CA"/>
        </w:rPr>
        <w:t>L’audition du présent appel est reportée au 13 juin 2013.</w:t>
      </w:r>
    </w:p>
    <w:p w:rsidR="00377472" w:rsidRPr="0005425A" w:rsidRDefault="00377472" w:rsidP="00377472">
      <w:pPr>
        <w:tabs>
          <w:tab w:val="left" w:pos="-1440"/>
          <w:tab w:val="left" w:pos="-720"/>
        </w:tabs>
        <w:jc w:val="both"/>
        <w:rPr>
          <w:sz w:val="20"/>
          <w:szCs w:val="20"/>
          <w:lang w:val="fr-CA"/>
        </w:rPr>
      </w:pPr>
    </w:p>
    <w:p w:rsidR="00377472" w:rsidRPr="0005425A" w:rsidRDefault="0017005E" w:rsidP="00377472">
      <w:pPr>
        <w:tabs>
          <w:tab w:val="left" w:pos="-1440"/>
          <w:tab w:val="left" w:pos="-720"/>
        </w:tabs>
        <w:jc w:val="both"/>
        <w:rPr>
          <w:sz w:val="20"/>
          <w:szCs w:val="20"/>
        </w:rPr>
      </w:pPr>
      <w:r w:rsidRPr="0017005E">
        <w:rPr>
          <w:sz w:val="20"/>
          <w:szCs w:val="20"/>
          <w:lang w:val="fr-CA"/>
        </w:rPr>
        <w:pict>
          <v:rect id="_x0000_i1056" style="width:2in;height:1pt" o:hrpct="0" o:hralign="center" o:hrstd="t" o:hrnoshade="t" o:hr="t" fillcolor="black [3213]" stroked="f"/>
        </w:pict>
      </w:r>
    </w:p>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jc w:val="both"/>
        <w:rPr>
          <w:sz w:val="20"/>
          <w:szCs w:val="20"/>
          <w:lang w:val="fr-CA"/>
        </w:rPr>
      </w:pPr>
      <w:r w:rsidRPr="0005425A">
        <w:rPr>
          <w:sz w:val="20"/>
          <w:szCs w:val="20"/>
          <w:lang w:val="fr-CA"/>
        </w:rPr>
        <w:t>25.04.2013</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lang w:val="fr-CA"/>
        </w:rPr>
      </w:pPr>
      <w:proofErr w:type="spellStart"/>
      <w:r w:rsidRPr="0005425A">
        <w:rPr>
          <w:sz w:val="20"/>
          <w:szCs w:val="20"/>
          <w:lang w:val="fr-CA"/>
        </w:rPr>
        <w:t>Before</w:t>
      </w:r>
      <w:proofErr w:type="spellEnd"/>
      <w:r w:rsidRPr="0005425A">
        <w:rPr>
          <w:sz w:val="20"/>
          <w:szCs w:val="20"/>
          <w:lang w:val="fr-CA"/>
        </w:rPr>
        <w:t xml:space="preserve"> / Devant :   ROTHSTEIN J. / LE JUGE ROTHSTEIN</w:t>
      </w:r>
    </w:p>
    <w:p w:rsidR="00377472" w:rsidRPr="0005425A" w:rsidRDefault="00377472" w:rsidP="003774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77472" w:rsidRPr="005C0D71" w:rsidTr="008E3015">
        <w:tc>
          <w:tcPr>
            <w:tcW w:w="4338" w:type="dxa"/>
          </w:tcPr>
          <w:p w:rsidR="00377472" w:rsidRPr="0005425A" w:rsidRDefault="00377472" w:rsidP="008E3015">
            <w:pPr>
              <w:tabs>
                <w:tab w:val="left" w:pos="-1440"/>
                <w:tab w:val="left" w:pos="-720"/>
              </w:tabs>
              <w:jc w:val="both"/>
              <w:rPr>
                <w:b/>
                <w:sz w:val="20"/>
                <w:szCs w:val="20"/>
              </w:rPr>
            </w:pPr>
            <w:r w:rsidRPr="0005425A">
              <w:rPr>
                <w:b/>
                <w:bCs/>
                <w:sz w:val="20"/>
                <w:szCs w:val="20"/>
              </w:rPr>
              <w:t xml:space="preserve">Order re-scheduling the hearing of the appeal and regarding the filing of appeal documents </w:t>
            </w:r>
          </w:p>
        </w:tc>
        <w:tc>
          <w:tcPr>
            <w:tcW w:w="1170" w:type="dxa"/>
          </w:tcPr>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377472" w:rsidP="008E3015">
            <w:pPr>
              <w:tabs>
                <w:tab w:val="left" w:pos="-1440"/>
                <w:tab w:val="left" w:pos="-720"/>
              </w:tabs>
              <w:jc w:val="both"/>
              <w:rPr>
                <w:sz w:val="20"/>
                <w:szCs w:val="20"/>
                <w:lang w:val="fr-CA"/>
              </w:rPr>
            </w:pPr>
            <w:r w:rsidRPr="0005425A">
              <w:rPr>
                <w:b/>
                <w:bCs/>
                <w:sz w:val="20"/>
                <w:szCs w:val="20"/>
                <w:lang w:val="fr-CA"/>
              </w:rPr>
              <w:t>Ordonnance reportant l’audition de l’appel et concernant le</w:t>
            </w:r>
            <w:r w:rsidR="0017005E" w:rsidRPr="0005425A">
              <w:rPr>
                <w:sz w:val="20"/>
                <w:szCs w:val="20"/>
              </w:rPr>
              <w:fldChar w:fldCharType="begin"/>
            </w:r>
            <w:r w:rsidRPr="0005425A">
              <w:rPr>
                <w:sz w:val="20"/>
                <w:szCs w:val="20"/>
                <w:lang w:val="fr-CA"/>
              </w:rPr>
              <w:instrText xml:space="preserve"> SEQ CHAPTER \h \r 1</w:instrText>
            </w:r>
            <w:r w:rsidR="0017005E" w:rsidRPr="0005425A">
              <w:rPr>
                <w:sz w:val="20"/>
                <w:szCs w:val="20"/>
              </w:rPr>
              <w:fldChar w:fldCharType="end"/>
            </w:r>
            <w:r w:rsidRPr="0005425A">
              <w:rPr>
                <w:b/>
                <w:bCs/>
                <w:sz w:val="20"/>
                <w:szCs w:val="20"/>
                <w:lang w:val="fr-CA"/>
              </w:rPr>
              <w:t xml:space="preserve"> dépôt des documents concernant l'appel </w:t>
            </w:r>
            <w:r w:rsidR="0017005E" w:rsidRPr="0005425A">
              <w:rPr>
                <w:sz w:val="20"/>
                <w:szCs w:val="20"/>
              </w:rPr>
              <w:fldChar w:fldCharType="begin"/>
            </w:r>
            <w:r w:rsidRPr="0005425A">
              <w:rPr>
                <w:sz w:val="20"/>
                <w:szCs w:val="20"/>
                <w:lang w:val="fr-CA"/>
              </w:rPr>
              <w:instrText xml:space="preserve"> SEQ CHAPTER \h \r 1</w:instrText>
            </w:r>
            <w:r w:rsidR="0017005E" w:rsidRPr="0005425A">
              <w:rPr>
                <w:sz w:val="20"/>
                <w:szCs w:val="20"/>
              </w:rPr>
              <w:fldChar w:fldCharType="end"/>
            </w:r>
            <w:r w:rsidR="0017005E" w:rsidRPr="0005425A">
              <w:rPr>
                <w:sz w:val="20"/>
                <w:szCs w:val="20"/>
              </w:rPr>
              <w:fldChar w:fldCharType="begin"/>
            </w:r>
            <w:r w:rsidRPr="0005425A">
              <w:rPr>
                <w:sz w:val="20"/>
                <w:szCs w:val="20"/>
                <w:lang w:val="fr-CA"/>
              </w:rPr>
              <w:instrText xml:space="preserve"> SEQ CHAPTER \h \r 1</w:instrText>
            </w:r>
            <w:r w:rsidR="0017005E" w:rsidRPr="0005425A">
              <w:rPr>
                <w:sz w:val="20"/>
                <w:szCs w:val="20"/>
              </w:rPr>
              <w:fldChar w:fldCharType="end"/>
            </w:r>
            <w:r w:rsidR="0017005E" w:rsidRPr="0005425A">
              <w:rPr>
                <w:sz w:val="20"/>
                <w:szCs w:val="20"/>
              </w:rPr>
              <w:fldChar w:fldCharType="begin"/>
            </w:r>
            <w:r w:rsidRPr="0005425A">
              <w:rPr>
                <w:sz w:val="20"/>
                <w:szCs w:val="20"/>
                <w:lang w:val="fr-CA"/>
              </w:rPr>
              <w:instrText xml:space="preserve"> SEQ CHAPTER \h \r 1</w:instrText>
            </w:r>
            <w:r w:rsidR="0017005E" w:rsidRPr="0005425A">
              <w:rPr>
                <w:sz w:val="20"/>
                <w:szCs w:val="20"/>
              </w:rPr>
              <w:fldChar w:fldCharType="end"/>
            </w:r>
            <w:r w:rsidR="0017005E" w:rsidRPr="0005425A">
              <w:rPr>
                <w:sz w:val="20"/>
                <w:szCs w:val="20"/>
              </w:rPr>
              <w:fldChar w:fldCharType="begin"/>
            </w:r>
            <w:r w:rsidRPr="0005425A">
              <w:rPr>
                <w:sz w:val="20"/>
                <w:szCs w:val="20"/>
                <w:lang w:val="fr-CA"/>
              </w:rPr>
              <w:instrText xml:space="preserve"> SEQ CHAPTER \h \r 1</w:instrText>
            </w:r>
            <w:r w:rsidR="0017005E" w:rsidRPr="0005425A">
              <w:rPr>
                <w:sz w:val="20"/>
                <w:szCs w:val="20"/>
              </w:rPr>
              <w:fldChar w:fldCharType="end"/>
            </w:r>
          </w:p>
        </w:tc>
      </w:tr>
      <w:tr w:rsidR="00377472" w:rsidRPr="0005425A" w:rsidTr="008E3015">
        <w:tc>
          <w:tcPr>
            <w:tcW w:w="4338" w:type="dxa"/>
          </w:tcPr>
          <w:p w:rsidR="00377472" w:rsidRPr="0005425A" w:rsidRDefault="00377472" w:rsidP="008E3015">
            <w:pPr>
              <w:tabs>
                <w:tab w:val="left" w:pos="-1440"/>
                <w:tab w:val="left" w:pos="-720"/>
              </w:tabs>
              <w:jc w:val="both"/>
              <w:rPr>
                <w:sz w:val="20"/>
                <w:szCs w:val="20"/>
              </w:rPr>
            </w:pPr>
            <w:r w:rsidRPr="0005425A">
              <w:rPr>
                <w:sz w:val="20"/>
                <w:szCs w:val="20"/>
              </w:rPr>
              <w:t>Elizabeth Bernard</w:t>
            </w: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r w:rsidRPr="0005425A">
              <w:rPr>
                <w:sz w:val="20"/>
                <w:szCs w:val="20"/>
              </w:rPr>
              <w:tab/>
              <w:t>v. (34819)</w:t>
            </w: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r w:rsidRPr="0005425A">
              <w:rPr>
                <w:sz w:val="20"/>
                <w:szCs w:val="20"/>
              </w:rPr>
              <w:t>Attorney General of Canada et al. (F.C.)</w:t>
            </w:r>
          </w:p>
        </w:tc>
        <w:tc>
          <w:tcPr>
            <w:tcW w:w="1170" w:type="dxa"/>
          </w:tcPr>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377472" w:rsidP="008E3015">
            <w:pPr>
              <w:tabs>
                <w:tab w:val="left" w:pos="-1440"/>
                <w:tab w:val="left" w:pos="-720"/>
              </w:tabs>
              <w:jc w:val="both"/>
              <w:rPr>
                <w:sz w:val="20"/>
                <w:szCs w:val="20"/>
              </w:rPr>
            </w:pPr>
          </w:p>
        </w:tc>
      </w:tr>
    </w:tbl>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jc w:val="both"/>
        <w:rPr>
          <w:sz w:val="20"/>
          <w:szCs w:val="20"/>
        </w:rPr>
      </w:pPr>
      <w:r w:rsidRPr="0005425A">
        <w:rPr>
          <w:b/>
          <w:sz w:val="20"/>
          <w:szCs w:val="20"/>
        </w:rPr>
        <w:t>GRANTED / ACCORDÉE</w:t>
      </w:r>
    </w:p>
    <w:p w:rsidR="00377472" w:rsidRPr="0005425A" w:rsidRDefault="00377472" w:rsidP="00377472">
      <w:pPr>
        <w:tabs>
          <w:tab w:val="left" w:pos="-1440"/>
          <w:tab w:val="left" w:pos="-720"/>
        </w:tabs>
        <w:jc w:val="both"/>
        <w:rPr>
          <w:sz w:val="20"/>
          <w:szCs w:val="20"/>
        </w:rPr>
      </w:pPr>
    </w:p>
    <w:p w:rsidR="00377472" w:rsidRPr="0005425A" w:rsidRDefault="00377472" w:rsidP="00377472">
      <w:pPr>
        <w:rPr>
          <w:b/>
          <w:sz w:val="20"/>
          <w:szCs w:val="20"/>
        </w:rPr>
      </w:pPr>
      <w:r w:rsidRPr="0005425A">
        <w:rPr>
          <w:b/>
          <w:sz w:val="20"/>
          <w:szCs w:val="20"/>
        </w:rPr>
        <w:br w:type="page"/>
      </w:r>
    </w:p>
    <w:p w:rsidR="00377472" w:rsidRPr="0005425A" w:rsidRDefault="00377472" w:rsidP="00377472">
      <w:pPr>
        <w:jc w:val="both"/>
        <w:rPr>
          <w:sz w:val="20"/>
          <w:szCs w:val="20"/>
        </w:rPr>
      </w:pPr>
      <w:r w:rsidRPr="0005425A">
        <w:rPr>
          <w:b/>
          <w:sz w:val="20"/>
          <w:szCs w:val="20"/>
        </w:rPr>
        <w:lastRenderedPageBreak/>
        <w:t>IT IS HEREBY ORDERED THAT</w:t>
      </w:r>
      <w:r w:rsidRPr="0005425A">
        <w:rPr>
          <w:sz w:val="20"/>
          <w:szCs w:val="20"/>
        </w:rPr>
        <w:t>:</w:t>
      </w:r>
    </w:p>
    <w:p w:rsidR="00377472" w:rsidRPr="0005425A" w:rsidRDefault="00377472" w:rsidP="00377472">
      <w:pPr>
        <w:jc w:val="both"/>
        <w:rPr>
          <w:sz w:val="20"/>
          <w:szCs w:val="20"/>
        </w:rPr>
      </w:pPr>
    </w:p>
    <w:p w:rsidR="00377472" w:rsidRPr="0005425A" w:rsidRDefault="00377472" w:rsidP="00377472">
      <w:pPr>
        <w:pStyle w:val="ListParagraph"/>
        <w:jc w:val="both"/>
        <w:rPr>
          <w:rFonts w:cs="Times New Roman"/>
          <w:sz w:val="20"/>
          <w:szCs w:val="20"/>
        </w:rPr>
      </w:pPr>
      <w:r w:rsidRPr="0005425A">
        <w:rPr>
          <w:rFonts w:cs="Times New Roman"/>
          <w:sz w:val="20"/>
          <w:szCs w:val="20"/>
        </w:rPr>
        <w:t>Any attorneys general intervening on constitutional questions shall serve and file their factum and book of authorities no later than May 21, 2013.</w:t>
      </w:r>
    </w:p>
    <w:p w:rsidR="00377472" w:rsidRPr="0005425A" w:rsidRDefault="00377472" w:rsidP="00377472">
      <w:pPr>
        <w:jc w:val="both"/>
        <w:rPr>
          <w:sz w:val="20"/>
          <w:szCs w:val="20"/>
        </w:rPr>
      </w:pPr>
    </w:p>
    <w:p w:rsidR="00377472" w:rsidRPr="0005425A" w:rsidRDefault="00377472" w:rsidP="00377472">
      <w:pPr>
        <w:jc w:val="both"/>
        <w:rPr>
          <w:sz w:val="20"/>
          <w:szCs w:val="20"/>
        </w:rPr>
      </w:pPr>
      <w:r w:rsidRPr="0005425A">
        <w:rPr>
          <w:b/>
          <w:sz w:val="20"/>
          <w:szCs w:val="20"/>
        </w:rPr>
        <w:t>IT IS HEREBY FURTHER ORDERED THAT</w:t>
      </w:r>
      <w:r w:rsidRPr="0005425A">
        <w:rPr>
          <w:sz w:val="20"/>
          <w:szCs w:val="20"/>
        </w:rPr>
        <w:t xml:space="preserve">: </w:t>
      </w:r>
    </w:p>
    <w:p w:rsidR="00377472" w:rsidRPr="0005425A" w:rsidRDefault="00377472" w:rsidP="00377472">
      <w:pPr>
        <w:jc w:val="both"/>
        <w:rPr>
          <w:sz w:val="20"/>
          <w:szCs w:val="20"/>
        </w:rPr>
      </w:pPr>
    </w:p>
    <w:p w:rsidR="00377472" w:rsidRPr="0005425A" w:rsidRDefault="00377472" w:rsidP="00377472">
      <w:pPr>
        <w:jc w:val="both"/>
        <w:rPr>
          <w:sz w:val="20"/>
          <w:szCs w:val="20"/>
        </w:rPr>
      </w:pPr>
      <w:r w:rsidRPr="0005425A">
        <w:rPr>
          <w:sz w:val="20"/>
          <w:szCs w:val="20"/>
        </w:rPr>
        <w:tab/>
        <w:t xml:space="preserve">The date of the hearing for this appeal has been re-scheduled to June 12, 2013. </w:t>
      </w:r>
    </w:p>
    <w:p w:rsidR="00377472" w:rsidRPr="0005425A" w:rsidRDefault="00377472" w:rsidP="00377472">
      <w:pPr>
        <w:jc w:val="both"/>
        <w:rPr>
          <w:sz w:val="20"/>
          <w:szCs w:val="20"/>
        </w:rPr>
      </w:pPr>
    </w:p>
    <w:p w:rsidR="00377472" w:rsidRPr="0005425A" w:rsidRDefault="00377472" w:rsidP="00377472">
      <w:pPr>
        <w:jc w:val="both"/>
        <w:rPr>
          <w:sz w:val="20"/>
          <w:szCs w:val="20"/>
        </w:rPr>
      </w:pPr>
    </w:p>
    <w:p w:rsidR="00377472" w:rsidRPr="0005425A" w:rsidRDefault="00377472" w:rsidP="00377472">
      <w:pPr>
        <w:jc w:val="both"/>
        <w:rPr>
          <w:sz w:val="20"/>
          <w:szCs w:val="20"/>
        </w:rPr>
      </w:pPr>
    </w:p>
    <w:p w:rsidR="00377472" w:rsidRPr="0005425A" w:rsidRDefault="00377472" w:rsidP="00377472">
      <w:pPr>
        <w:jc w:val="both"/>
        <w:rPr>
          <w:b/>
          <w:sz w:val="20"/>
          <w:szCs w:val="20"/>
          <w:lang w:val="fr-CA"/>
        </w:rPr>
      </w:pPr>
      <w:r w:rsidRPr="0005425A">
        <w:rPr>
          <w:b/>
          <w:sz w:val="20"/>
          <w:szCs w:val="20"/>
          <w:lang w:val="fr-CA"/>
        </w:rPr>
        <w:t>IL EST ORDONNÉ QUE :</w:t>
      </w:r>
    </w:p>
    <w:p w:rsidR="00377472" w:rsidRPr="0005425A" w:rsidRDefault="00377472" w:rsidP="00377472">
      <w:pPr>
        <w:jc w:val="both"/>
        <w:rPr>
          <w:sz w:val="20"/>
          <w:szCs w:val="20"/>
          <w:lang w:val="fr-CA"/>
        </w:rPr>
      </w:pPr>
    </w:p>
    <w:p w:rsidR="00377472" w:rsidRPr="0005425A" w:rsidRDefault="00377472" w:rsidP="00377472">
      <w:pPr>
        <w:ind w:left="720"/>
        <w:jc w:val="both"/>
        <w:rPr>
          <w:sz w:val="20"/>
          <w:szCs w:val="20"/>
          <w:lang w:val="fr-CA"/>
        </w:rPr>
      </w:pPr>
      <w:r w:rsidRPr="0005425A">
        <w:rPr>
          <w:sz w:val="20"/>
          <w:szCs w:val="20"/>
          <w:lang w:val="fr-CA"/>
        </w:rPr>
        <w:t>Tous les procureurs généraux qui interviennent quant aux questions constitutionnelles signifieront et déposeront leur mémoire et leur recueil de sources au plus tard le 21 mai 2013.</w:t>
      </w:r>
    </w:p>
    <w:p w:rsidR="00377472" w:rsidRPr="0005425A" w:rsidRDefault="00377472" w:rsidP="00377472">
      <w:pPr>
        <w:jc w:val="both"/>
        <w:rPr>
          <w:sz w:val="20"/>
          <w:szCs w:val="20"/>
          <w:lang w:val="fr-CA"/>
        </w:rPr>
      </w:pPr>
    </w:p>
    <w:p w:rsidR="00377472" w:rsidRPr="0005425A" w:rsidRDefault="00377472" w:rsidP="00377472">
      <w:pPr>
        <w:jc w:val="both"/>
        <w:rPr>
          <w:b/>
          <w:sz w:val="20"/>
          <w:szCs w:val="20"/>
          <w:lang w:val="fr-CA"/>
        </w:rPr>
      </w:pPr>
      <w:r w:rsidRPr="0005425A">
        <w:rPr>
          <w:b/>
          <w:sz w:val="20"/>
          <w:szCs w:val="20"/>
          <w:lang w:val="fr-CA"/>
        </w:rPr>
        <w:t>IL EST EN OUTRE ORDONNÉ QUE :</w:t>
      </w:r>
    </w:p>
    <w:p w:rsidR="00377472" w:rsidRPr="0005425A" w:rsidRDefault="00377472" w:rsidP="00377472">
      <w:pPr>
        <w:jc w:val="both"/>
        <w:rPr>
          <w:b/>
          <w:sz w:val="20"/>
          <w:szCs w:val="20"/>
          <w:lang w:val="fr-CA"/>
        </w:rPr>
      </w:pPr>
    </w:p>
    <w:p w:rsidR="00377472" w:rsidRPr="0005425A" w:rsidRDefault="00377472" w:rsidP="00377472">
      <w:pPr>
        <w:jc w:val="both"/>
        <w:rPr>
          <w:sz w:val="20"/>
          <w:szCs w:val="20"/>
          <w:lang w:val="fr-CA"/>
        </w:rPr>
      </w:pPr>
      <w:r w:rsidRPr="0005425A">
        <w:rPr>
          <w:b/>
          <w:sz w:val="20"/>
          <w:szCs w:val="20"/>
          <w:lang w:val="fr-CA"/>
        </w:rPr>
        <w:tab/>
      </w:r>
      <w:r w:rsidRPr="0005425A">
        <w:rPr>
          <w:sz w:val="20"/>
          <w:szCs w:val="20"/>
          <w:lang w:val="fr-CA"/>
        </w:rPr>
        <w:t>L’audition du présent appel est reportée au 12 juin 2013.</w:t>
      </w:r>
    </w:p>
    <w:p w:rsidR="00377472" w:rsidRPr="0005425A" w:rsidRDefault="00377472" w:rsidP="00377472">
      <w:pPr>
        <w:jc w:val="both"/>
        <w:rPr>
          <w:sz w:val="20"/>
          <w:szCs w:val="20"/>
          <w:lang w:val="fr-CA"/>
        </w:rPr>
      </w:pPr>
    </w:p>
    <w:p w:rsidR="00377472" w:rsidRPr="0005425A" w:rsidRDefault="0017005E" w:rsidP="00377472">
      <w:pPr>
        <w:tabs>
          <w:tab w:val="left" w:pos="-1440"/>
          <w:tab w:val="left" w:pos="-720"/>
        </w:tabs>
        <w:jc w:val="both"/>
        <w:rPr>
          <w:sz w:val="20"/>
          <w:szCs w:val="20"/>
        </w:rPr>
      </w:pPr>
      <w:r w:rsidRPr="0017005E">
        <w:rPr>
          <w:sz w:val="20"/>
          <w:szCs w:val="20"/>
          <w:lang w:val="fr-CA"/>
        </w:rPr>
        <w:pict>
          <v:rect id="_x0000_i1057" style="width:2in;height:1pt" o:hrpct="0" o:hralign="center" o:hrstd="t" o:hrnoshade="t" o:hr="t" fillcolor="black [3213]" stroked="f"/>
        </w:pict>
      </w:r>
    </w:p>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jc w:val="both"/>
        <w:rPr>
          <w:sz w:val="20"/>
          <w:szCs w:val="20"/>
          <w:lang w:val="fr-CA"/>
        </w:rPr>
      </w:pPr>
      <w:r w:rsidRPr="0005425A">
        <w:rPr>
          <w:sz w:val="20"/>
          <w:szCs w:val="20"/>
          <w:lang w:val="fr-CA"/>
        </w:rPr>
        <w:t>25.04.2013</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lang w:val="fr-CA"/>
        </w:rPr>
      </w:pPr>
      <w:proofErr w:type="spellStart"/>
      <w:r w:rsidRPr="0005425A">
        <w:rPr>
          <w:sz w:val="20"/>
          <w:szCs w:val="20"/>
          <w:lang w:val="fr-CA"/>
        </w:rPr>
        <w:t>Before</w:t>
      </w:r>
      <w:proofErr w:type="spellEnd"/>
      <w:r w:rsidRPr="0005425A">
        <w:rPr>
          <w:sz w:val="20"/>
          <w:szCs w:val="20"/>
          <w:lang w:val="fr-CA"/>
        </w:rPr>
        <w:t xml:space="preserve"> / Devant :   ROTHSTEIN J. / LE JUGE ROTHSTEIN</w:t>
      </w:r>
    </w:p>
    <w:p w:rsidR="00377472" w:rsidRPr="0005425A" w:rsidRDefault="00377472" w:rsidP="003774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77472" w:rsidRPr="0005425A" w:rsidTr="008E3015">
        <w:tc>
          <w:tcPr>
            <w:tcW w:w="4338" w:type="dxa"/>
            <w:gridSpan w:val="2"/>
          </w:tcPr>
          <w:p w:rsidR="00377472" w:rsidRPr="0005425A" w:rsidRDefault="00377472" w:rsidP="008E3015">
            <w:pPr>
              <w:rPr>
                <w:b/>
                <w:sz w:val="20"/>
                <w:szCs w:val="20"/>
              </w:rPr>
            </w:pPr>
            <w:r w:rsidRPr="0005425A">
              <w:rPr>
                <w:b/>
                <w:sz w:val="20"/>
                <w:szCs w:val="20"/>
              </w:rPr>
              <w:t>Motion for leave to intervene</w:t>
            </w:r>
            <w:r w:rsidRPr="0005425A">
              <w:rPr>
                <w:sz w:val="20"/>
                <w:szCs w:val="20"/>
              </w:rPr>
              <w:t xml:space="preserve"> </w:t>
            </w:r>
            <w:r w:rsidR="0017005E" w:rsidRPr="0005425A">
              <w:rPr>
                <w:sz w:val="20"/>
                <w:szCs w:val="20"/>
              </w:rPr>
              <w:fldChar w:fldCharType="begin"/>
            </w:r>
            <w:r w:rsidRPr="0005425A">
              <w:rPr>
                <w:sz w:val="20"/>
                <w:szCs w:val="20"/>
              </w:rPr>
              <w:instrText xml:space="preserve"> SEQ CHAPTER \h \r 1</w:instrText>
            </w:r>
            <w:r w:rsidR="0017005E" w:rsidRPr="0005425A">
              <w:rPr>
                <w:sz w:val="20"/>
                <w:szCs w:val="20"/>
              </w:rPr>
              <w:fldChar w:fldCharType="end"/>
            </w:r>
          </w:p>
        </w:tc>
        <w:tc>
          <w:tcPr>
            <w:tcW w:w="1170" w:type="dxa"/>
          </w:tcPr>
          <w:p w:rsidR="00377472" w:rsidRPr="0005425A" w:rsidRDefault="00377472" w:rsidP="008E3015">
            <w:pPr>
              <w:rPr>
                <w:sz w:val="20"/>
                <w:szCs w:val="20"/>
              </w:rPr>
            </w:pPr>
          </w:p>
          <w:p w:rsidR="00377472" w:rsidRPr="0005425A" w:rsidRDefault="00377472" w:rsidP="008E3015">
            <w:pPr>
              <w:rPr>
                <w:sz w:val="20"/>
                <w:szCs w:val="20"/>
              </w:rPr>
            </w:pPr>
          </w:p>
        </w:tc>
        <w:tc>
          <w:tcPr>
            <w:tcW w:w="4327" w:type="dxa"/>
          </w:tcPr>
          <w:p w:rsidR="00377472" w:rsidRPr="0005425A" w:rsidRDefault="00377472" w:rsidP="008E3015">
            <w:pPr>
              <w:rPr>
                <w:b/>
                <w:sz w:val="20"/>
                <w:szCs w:val="20"/>
              </w:rPr>
            </w:pPr>
            <w:r w:rsidRPr="0005425A">
              <w:rPr>
                <w:b/>
                <w:bCs/>
                <w:sz w:val="20"/>
                <w:szCs w:val="20"/>
                <w:lang w:val="fr-CA"/>
              </w:rPr>
              <w:t>Requête en autorisation d’intervenir</w:t>
            </w:r>
            <w:r w:rsidRPr="0005425A">
              <w:rPr>
                <w:sz w:val="20"/>
                <w:szCs w:val="20"/>
              </w:rPr>
              <w:t xml:space="preserve"> </w:t>
            </w:r>
            <w:r w:rsidR="0017005E" w:rsidRPr="0005425A">
              <w:rPr>
                <w:sz w:val="20"/>
                <w:szCs w:val="20"/>
              </w:rPr>
              <w:fldChar w:fldCharType="begin"/>
            </w:r>
            <w:r w:rsidRPr="0005425A">
              <w:rPr>
                <w:sz w:val="20"/>
                <w:szCs w:val="20"/>
              </w:rPr>
              <w:instrText xml:space="preserve"> SEQ CHAPTER \h \r 1</w:instrText>
            </w:r>
            <w:r w:rsidR="0017005E" w:rsidRPr="0005425A">
              <w:rPr>
                <w:sz w:val="20"/>
                <w:szCs w:val="20"/>
              </w:rPr>
              <w:fldChar w:fldCharType="end"/>
            </w:r>
          </w:p>
        </w:tc>
      </w:tr>
      <w:tr w:rsidR="00377472" w:rsidRPr="0005425A" w:rsidTr="008E3015">
        <w:tc>
          <w:tcPr>
            <w:tcW w:w="1368" w:type="dxa"/>
          </w:tcPr>
          <w:p w:rsidR="00377472" w:rsidRPr="0005425A" w:rsidRDefault="00377472" w:rsidP="008E3015">
            <w:pPr>
              <w:rPr>
                <w:sz w:val="20"/>
                <w:szCs w:val="20"/>
              </w:rPr>
            </w:pPr>
            <w:r w:rsidRPr="0005425A">
              <w:rPr>
                <w:sz w:val="20"/>
                <w:szCs w:val="20"/>
              </w:rPr>
              <w:t>BY / PAR</w:t>
            </w:r>
          </w:p>
        </w:tc>
        <w:tc>
          <w:tcPr>
            <w:tcW w:w="2970" w:type="dxa"/>
          </w:tcPr>
          <w:p w:rsidR="00377472" w:rsidRPr="0005425A" w:rsidRDefault="00377472" w:rsidP="008E3015">
            <w:pPr>
              <w:rPr>
                <w:sz w:val="20"/>
                <w:szCs w:val="20"/>
              </w:rPr>
            </w:pPr>
            <w:r w:rsidRPr="0005425A">
              <w:rPr>
                <w:sz w:val="20"/>
                <w:szCs w:val="20"/>
              </w:rPr>
              <w:t>Director of Public Prosecutions</w:t>
            </w:r>
          </w:p>
        </w:tc>
        <w:tc>
          <w:tcPr>
            <w:tcW w:w="1170" w:type="dxa"/>
          </w:tcPr>
          <w:p w:rsidR="00377472" w:rsidRPr="0005425A" w:rsidRDefault="00377472" w:rsidP="008E3015">
            <w:pPr>
              <w:rPr>
                <w:sz w:val="20"/>
                <w:szCs w:val="20"/>
              </w:rPr>
            </w:pPr>
          </w:p>
        </w:tc>
        <w:tc>
          <w:tcPr>
            <w:tcW w:w="4327" w:type="dxa"/>
          </w:tcPr>
          <w:p w:rsidR="00377472" w:rsidRPr="0005425A" w:rsidRDefault="00377472" w:rsidP="008E3015">
            <w:pPr>
              <w:rPr>
                <w:sz w:val="20"/>
                <w:szCs w:val="20"/>
              </w:rPr>
            </w:pPr>
          </w:p>
        </w:tc>
      </w:tr>
      <w:tr w:rsidR="00377472" w:rsidRPr="0005425A" w:rsidTr="008E3015">
        <w:tc>
          <w:tcPr>
            <w:tcW w:w="1368" w:type="dxa"/>
          </w:tcPr>
          <w:p w:rsidR="00377472" w:rsidRPr="0005425A" w:rsidRDefault="00377472" w:rsidP="008E3015">
            <w:pPr>
              <w:rPr>
                <w:sz w:val="20"/>
                <w:szCs w:val="20"/>
              </w:rPr>
            </w:pPr>
          </w:p>
        </w:tc>
        <w:tc>
          <w:tcPr>
            <w:tcW w:w="2970" w:type="dxa"/>
          </w:tcPr>
          <w:p w:rsidR="00377472" w:rsidRPr="0005425A" w:rsidRDefault="00377472" w:rsidP="008E3015">
            <w:pPr>
              <w:rPr>
                <w:sz w:val="20"/>
                <w:szCs w:val="20"/>
              </w:rPr>
            </w:pPr>
          </w:p>
        </w:tc>
        <w:tc>
          <w:tcPr>
            <w:tcW w:w="1170" w:type="dxa"/>
          </w:tcPr>
          <w:p w:rsidR="00377472" w:rsidRPr="0005425A" w:rsidRDefault="00377472" w:rsidP="008E3015">
            <w:pPr>
              <w:rPr>
                <w:sz w:val="20"/>
                <w:szCs w:val="20"/>
              </w:rPr>
            </w:pPr>
          </w:p>
        </w:tc>
        <w:tc>
          <w:tcPr>
            <w:tcW w:w="4327" w:type="dxa"/>
          </w:tcPr>
          <w:p w:rsidR="00377472" w:rsidRPr="0005425A" w:rsidRDefault="00377472" w:rsidP="008E3015">
            <w:pPr>
              <w:rPr>
                <w:sz w:val="20"/>
                <w:szCs w:val="20"/>
              </w:rPr>
            </w:pPr>
          </w:p>
        </w:tc>
      </w:tr>
      <w:tr w:rsidR="00377472" w:rsidRPr="0005425A" w:rsidTr="008E3015">
        <w:tc>
          <w:tcPr>
            <w:tcW w:w="1368" w:type="dxa"/>
          </w:tcPr>
          <w:p w:rsidR="00377472" w:rsidRPr="0005425A" w:rsidRDefault="00377472" w:rsidP="008E3015">
            <w:pPr>
              <w:rPr>
                <w:sz w:val="20"/>
                <w:szCs w:val="20"/>
              </w:rPr>
            </w:pPr>
            <w:r w:rsidRPr="0005425A">
              <w:rPr>
                <w:sz w:val="20"/>
                <w:szCs w:val="20"/>
              </w:rPr>
              <w:t>IN / DANS :</w:t>
            </w:r>
          </w:p>
        </w:tc>
        <w:tc>
          <w:tcPr>
            <w:tcW w:w="2970" w:type="dxa"/>
          </w:tcPr>
          <w:p w:rsidR="00377472" w:rsidRPr="0005425A" w:rsidRDefault="00377472" w:rsidP="008E3015">
            <w:pPr>
              <w:rPr>
                <w:sz w:val="20"/>
                <w:szCs w:val="20"/>
              </w:rPr>
            </w:pPr>
            <w:r w:rsidRPr="0005425A">
              <w:rPr>
                <w:sz w:val="20"/>
                <w:szCs w:val="20"/>
              </w:rPr>
              <w:t>Erin Lee MacDonald et al.</w:t>
            </w:r>
          </w:p>
          <w:p w:rsidR="00377472" w:rsidRPr="0005425A" w:rsidRDefault="00377472" w:rsidP="008E3015">
            <w:pPr>
              <w:rPr>
                <w:sz w:val="20"/>
                <w:szCs w:val="20"/>
              </w:rPr>
            </w:pPr>
          </w:p>
          <w:p w:rsidR="00377472" w:rsidRPr="0005425A" w:rsidRDefault="00377472" w:rsidP="008E3015">
            <w:pPr>
              <w:rPr>
                <w:sz w:val="20"/>
                <w:szCs w:val="20"/>
              </w:rPr>
            </w:pPr>
            <w:r w:rsidRPr="0005425A">
              <w:rPr>
                <w:sz w:val="20"/>
                <w:szCs w:val="20"/>
              </w:rPr>
              <w:tab/>
              <w:t>v. (34914)</w:t>
            </w:r>
          </w:p>
          <w:p w:rsidR="00377472" w:rsidRPr="0005425A" w:rsidRDefault="00377472" w:rsidP="008E3015">
            <w:pPr>
              <w:rPr>
                <w:sz w:val="20"/>
                <w:szCs w:val="20"/>
              </w:rPr>
            </w:pPr>
          </w:p>
          <w:p w:rsidR="00377472" w:rsidRPr="0005425A" w:rsidRDefault="00377472" w:rsidP="008E3015">
            <w:pPr>
              <w:rPr>
                <w:sz w:val="20"/>
                <w:szCs w:val="20"/>
              </w:rPr>
            </w:pPr>
            <w:r w:rsidRPr="0005425A">
              <w:rPr>
                <w:sz w:val="20"/>
                <w:szCs w:val="20"/>
              </w:rPr>
              <w:t>Her Majesty the Queen et al. (Crim.) (N.S.)</w:t>
            </w:r>
          </w:p>
        </w:tc>
        <w:tc>
          <w:tcPr>
            <w:tcW w:w="1170" w:type="dxa"/>
          </w:tcPr>
          <w:p w:rsidR="00377472" w:rsidRPr="0005425A" w:rsidRDefault="00377472" w:rsidP="008E3015">
            <w:pPr>
              <w:rPr>
                <w:sz w:val="20"/>
                <w:szCs w:val="20"/>
              </w:rPr>
            </w:pPr>
          </w:p>
        </w:tc>
        <w:tc>
          <w:tcPr>
            <w:tcW w:w="4327" w:type="dxa"/>
          </w:tcPr>
          <w:p w:rsidR="00377472" w:rsidRPr="0005425A" w:rsidRDefault="00377472" w:rsidP="008E3015">
            <w:pPr>
              <w:rPr>
                <w:sz w:val="20"/>
                <w:szCs w:val="20"/>
              </w:rPr>
            </w:pPr>
          </w:p>
        </w:tc>
      </w:tr>
    </w:tbl>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jc w:val="both"/>
        <w:rPr>
          <w:sz w:val="20"/>
          <w:szCs w:val="20"/>
        </w:rPr>
      </w:pPr>
      <w:r w:rsidRPr="0005425A">
        <w:rPr>
          <w:b/>
          <w:sz w:val="20"/>
          <w:szCs w:val="20"/>
        </w:rPr>
        <w:t>GRANTED / ACCORDÉE</w:t>
      </w:r>
    </w:p>
    <w:p w:rsidR="00377472" w:rsidRPr="0005425A" w:rsidRDefault="00377472" w:rsidP="00377472">
      <w:pPr>
        <w:tabs>
          <w:tab w:val="left" w:pos="-1440"/>
          <w:tab w:val="left" w:pos="-720"/>
        </w:tabs>
        <w:jc w:val="both"/>
        <w:rPr>
          <w:sz w:val="20"/>
          <w:szCs w:val="20"/>
        </w:rPr>
      </w:pPr>
    </w:p>
    <w:p w:rsidR="00377472" w:rsidRPr="0005425A" w:rsidRDefault="00377472" w:rsidP="00377472">
      <w:pPr>
        <w:spacing w:line="233" w:lineRule="auto"/>
        <w:jc w:val="both"/>
        <w:rPr>
          <w:sz w:val="20"/>
          <w:szCs w:val="20"/>
        </w:rPr>
      </w:pPr>
      <w:r w:rsidRPr="0005425A">
        <w:rPr>
          <w:b/>
          <w:bCs/>
          <w:sz w:val="20"/>
          <w:szCs w:val="20"/>
        </w:rPr>
        <w:t xml:space="preserve">UPON APPLICATION </w:t>
      </w:r>
      <w:r w:rsidRPr="0005425A">
        <w:rPr>
          <w:sz w:val="20"/>
          <w:szCs w:val="20"/>
        </w:rPr>
        <w:t>by the Director of Public Prosecutions for leave to intervene in the above appeal;</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r w:rsidRPr="0005425A">
        <w:rPr>
          <w:b/>
          <w:bCs/>
          <w:sz w:val="20"/>
          <w:szCs w:val="20"/>
        </w:rPr>
        <w:t>AND THE MATERIAL FILED</w:t>
      </w:r>
      <w:r w:rsidRPr="0005425A">
        <w:rPr>
          <w:sz w:val="20"/>
          <w:szCs w:val="20"/>
        </w:rPr>
        <w:t xml:space="preserve"> having been read;</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r w:rsidRPr="0005425A">
        <w:rPr>
          <w:b/>
          <w:bCs/>
          <w:sz w:val="20"/>
          <w:szCs w:val="20"/>
        </w:rPr>
        <w:t>IT IS HEREBY ORDERED THAT:</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r w:rsidRPr="0005425A">
        <w:rPr>
          <w:sz w:val="20"/>
          <w:szCs w:val="20"/>
        </w:rPr>
        <w:t>The motion for leave to intervene of the Director of Public Prosecutions is granted and the said intervener shall be entitled to serve and file a factum not to exceed 10 pages in length on or before May 9, 2013.</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r w:rsidRPr="0005425A">
        <w:rPr>
          <w:sz w:val="20"/>
          <w:szCs w:val="20"/>
        </w:rPr>
        <w:t>The request to present oral argument is deferred to a date following receipt and consideration of the written arguments of the parties and the intervener.</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r w:rsidRPr="0005425A">
        <w:rPr>
          <w:sz w:val="20"/>
          <w:szCs w:val="20"/>
        </w:rPr>
        <w:t>The intervener is not entitled to raise new issues or to adduce further evidence or otherwise to supplement the record of the parties.</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r w:rsidRPr="0005425A">
        <w:rPr>
          <w:sz w:val="20"/>
          <w:szCs w:val="20"/>
        </w:rPr>
        <w:t>Pursuant to Rule 59(1</w:t>
      </w:r>
      <w:proofErr w:type="gramStart"/>
      <w:r w:rsidRPr="0005425A">
        <w:rPr>
          <w:sz w:val="20"/>
          <w:szCs w:val="20"/>
        </w:rPr>
        <w:t>)(</w:t>
      </w:r>
      <w:proofErr w:type="gramEnd"/>
      <w:r w:rsidRPr="0005425A">
        <w:rPr>
          <w:i/>
          <w:iCs/>
          <w:sz w:val="20"/>
          <w:szCs w:val="20"/>
        </w:rPr>
        <w:t>a</w:t>
      </w:r>
      <w:r w:rsidRPr="0005425A">
        <w:rPr>
          <w:sz w:val="20"/>
          <w:szCs w:val="20"/>
        </w:rPr>
        <w:t xml:space="preserve">) of the </w:t>
      </w:r>
      <w:r w:rsidRPr="0005425A">
        <w:rPr>
          <w:i/>
          <w:iCs/>
          <w:sz w:val="20"/>
          <w:szCs w:val="20"/>
        </w:rPr>
        <w:t>Rules of the Supreme Court of Canada</w:t>
      </w:r>
      <w:r w:rsidRPr="0005425A">
        <w:rPr>
          <w:sz w:val="20"/>
          <w:szCs w:val="20"/>
        </w:rPr>
        <w:t xml:space="preserve">, the intervener shall pay to the appellants and respondents any additional disbursements occasioned to the appellants and respondents by its intervention. </w:t>
      </w: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rPr>
      </w:pPr>
    </w:p>
    <w:p w:rsidR="00377472" w:rsidRPr="0005425A" w:rsidRDefault="00377472" w:rsidP="00377472">
      <w:pPr>
        <w:spacing w:line="233" w:lineRule="auto"/>
        <w:jc w:val="both"/>
        <w:rPr>
          <w:sz w:val="20"/>
          <w:szCs w:val="20"/>
          <w:lang w:val="fr-CA"/>
        </w:rPr>
      </w:pPr>
      <w:r w:rsidRPr="0005425A">
        <w:rPr>
          <w:b/>
          <w:sz w:val="20"/>
          <w:szCs w:val="20"/>
          <w:lang w:val="fr-CA"/>
        </w:rPr>
        <w:t>À LA SUITE DE LA REQUÊTE</w:t>
      </w:r>
      <w:r w:rsidRPr="0005425A">
        <w:rPr>
          <w:sz w:val="20"/>
          <w:szCs w:val="20"/>
          <w:lang w:val="fr-CA"/>
        </w:rPr>
        <w:t xml:space="preserve"> présentée par le Directeur des poursuites pénales pour obtenir l’autorisation d’intervenir dans le présent appel;</w:t>
      </w:r>
    </w:p>
    <w:p w:rsidR="00377472" w:rsidRPr="0005425A" w:rsidRDefault="00377472" w:rsidP="00377472">
      <w:pPr>
        <w:spacing w:line="233" w:lineRule="auto"/>
        <w:jc w:val="both"/>
        <w:rPr>
          <w:sz w:val="20"/>
          <w:szCs w:val="20"/>
          <w:lang w:val="fr-CA"/>
        </w:rPr>
      </w:pPr>
    </w:p>
    <w:p w:rsidR="00377472" w:rsidRPr="0005425A" w:rsidRDefault="00377472" w:rsidP="00377472">
      <w:pPr>
        <w:spacing w:line="233" w:lineRule="auto"/>
        <w:jc w:val="both"/>
        <w:rPr>
          <w:sz w:val="20"/>
          <w:szCs w:val="20"/>
          <w:lang w:val="fr-CA"/>
        </w:rPr>
      </w:pPr>
      <w:r w:rsidRPr="0005425A">
        <w:rPr>
          <w:b/>
          <w:sz w:val="20"/>
          <w:szCs w:val="20"/>
          <w:lang w:val="fr-CA"/>
        </w:rPr>
        <w:t>ET APRÈS EXAMEN</w:t>
      </w:r>
      <w:r w:rsidRPr="0005425A">
        <w:rPr>
          <w:sz w:val="20"/>
          <w:szCs w:val="20"/>
          <w:lang w:val="fr-CA"/>
        </w:rPr>
        <w:t xml:space="preserve"> des documents déposés;</w:t>
      </w:r>
    </w:p>
    <w:p w:rsidR="00377472" w:rsidRPr="0005425A" w:rsidRDefault="00377472" w:rsidP="00377472">
      <w:pPr>
        <w:spacing w:line="233" w:lineRule="auto"/>
        <w:jc w:val="both"/>
        <w:rPr>
          <w:sz w:val="20"/>
          <w:szCs w:val="20"/>
          <w:lang w:val="fr-CA"/>
        </w:rPr>
      </w:pPr>
    </w:p>
    <w:p w:rsidR="00377472" w:rsidRPr="0005425A" w:rsidRDefault="00377472" w:rsidP="00377472">
      <w:pPr>
        <w:spacing w:line="233" w:lineRule="auto"/>
        <w:jc w:val="both"/>
        <w:rPr>
          <w:b/>
          <w:sz w:val="20"/>
          <w:szCs w:val="20"/>
          <w:lang w:val="fr-CA"/>
        </w:rPr>
      </w:pPr>
      <w:r w:rsidRPr="0005425A">
        <w:rPr>
          <w:b/>
          <w:sz w:val="20"/>
          <w:szCs w:val="20"/>
          <w:lang w:val="fr-CA"/>
        </w:rPr>
        <w:t>IL EST ORDONNÉ CE QUI SUIT :</w:t>
      </w:r>
    </w:p>
    <w:p w:rsidR="00377472" w:rsidRPr="0005425A" w:rsidRDefault="00377472" w:rsidP="00377472">
      <w:pPr>
        <w:spacing w:line="233" w:lineRule="auto"/>
        <w:jc w:val="both"/>
        <w:rPr>
          <w:b/>
          <w:sz w:val="20"/>
          <w:szCs w:val="20"/>
          <w:lang w:val="fr-CA"/>
        </w:rPr>
      </w:pPr>
    </w:p>
    <w:p w:rsidR="00377472" w:rsidRPr="0005425A" w:rsidRDefault="00377472" w:rsidP="00377472">
      <w:pPr>
        <w:spacing w:line="233" w:lineRule="auto"/>
        <w:jc w:val="both"/>
        <w:rPr>
          <w:sz w:val="20"/>
          <w:szCs w:val="20"/>
          <w:lang w:val="fr-CA"/>
        </w:rPr>
      </w:pPr>
      <w:r w:rsidRPr="0005425A">
        <w:rPr>
          <w:sz w:val="20"/>
          <w:szCs w:val="20"/>
          <w:lang w:val="fr-CA"/>
        </w:rPr>
        <w:t xml:space="preserve">La requête en autorisation d’intervenir du Directeur des poursuites pénales est </w:t>
      </w:r>
      <w:proofErr w:type="spellStart"/>
      <w:r w:rsidRPr="0005425A">
        <w:rPr>
          <w:sz w:val="20"/>
          <w:szCs w:val="20"/>
          <w:lang w:val="fr-CA"/>
        </w:rPr>
        <w:t>acceuillie</w:t>
      </w:r>
      <w:proofErr w:type="spellEnd"/>
      <w:r w:rsidRPr="0005425A">
        <w:rPr>
          <w:sz w:val="20"/>
          <w:szCs w:val="20"/>
          <w:lang w:val="fr-CA"/>
        </w:rPr>
        <w:t xml:space="preserve"> et cet intervenant est autorisé à signifier et déposer un mémoire d’au plus 10 pages au plus tard le 9 mai 2013.</w:t>
      </w:r>
    </w:p>
    <w:p w:rsidR="00377472" w:rsidRPr="0005425A" w:rsidRDefault="00377472" w:rsidP="00377472">
      <w:pPr>
        <w:spacing w:line="233" w:lineRule="auto"/>
        <w:jc w:val="both"/>
        <w:rPr>
          <w:sz w:val="20"/>
          <w:szCs w:val="20"/>
          <w:lang w:val="fr-CA"/>
        </w:rPr>
      </w:pPr>
    </w:p>
    <w:p w:rsidR="00377472" w:rsidRPr="0005425A" w:rsidRDefault="00377472" w:rsidP="00377472">
      <w:pPr>
        <w:spacing w:line="233" w:lineRule="auto"/>
        <w:jc w:val="both"/>
        <w:rPr>
          <w:sz w:val="20"/>
          <w:szCs w:val="20"/>
          <w:lang w:val="fr-CA"/>
        </w:rPr>
      </w:pPr>
      <w:r w:rsidRPr="0005425A">
        <w:rPr>
          <w:sz w:val="20"/>
          <w:szCs w:val="20"/>
          <w:lang w:val="fr-CA"/>
        </w:rPr>
        <w:t>La décision sur la demande en vue de présenter une plaidoirie orale sera rendue après réception et examen des arguments écrits des parties et de l’intervenant.</w:t>
      </w:r>
    </w:p>
    <w:p w:rsidR="00377472" w:rsidRPr="0005425A" w:rsidRDefault="00377472" w:rsidP="00377472">
      <w:pPr>
        <w:spacing w:line="233" w:lineRule="auto"/>
        <w:jc w:val="both"/>
        <w:rPr>
          <w:sz w:val="20"/>
          <w:szCs w:val="20"/>
          <w:lang w:val="fr-CA"/>
        </w:rPr>
      </w:pPr>
    </w:p>
    <w:p w:rsidR="00377472" w:rsidRPr="0005425A" w:rsidRDefault="00377472" w:rsidP="00377472">
      <w:pPr>
        <w:spacing w:line="233" w:lineRule="auto"/>
        <w:jc w:val="both"/>
        <w:rPr>
          <w:sz w:val="20"/>
          <w:szCs w:val="20"/>
          <w:lang w:val="fr-CA"/>
        </w:rPr>
      </w:pPr>
      <w:r w:rsidRPr="0005425A">
        <w:rPr>
          <w:sz w:val="20"/>
          <w:szCs w:val="20"/>
          <w:lang w:val="fr-CA"/>
        </w:rPr>
        <w:t>L’intervenant n'a pas le droit de soulever de nouvelles questions, de produire d'autres éléments de preuve ni de compléter de quelque autre façon le dossier des parties.</w:t>
      </w:r>
    </w:p>
    <w:p w:rsidR="00377472" w:rsidRPr="0005425A" w:rsidRDefault="00377472" w:rsidP="00377472">
      <w:pPr>
        <w:spacing w:line="233" w:lineRule="auto"/>
        <w:jc w:val="both"/>
        <w:rPr>
          <w:sz w:val="20"/>
          <w:szCs w:val="20"/>
          <w:lang w:val="fr-CA"/>
        </w:rPr>
      </w:pPr>
    </w:p>
    <w:p w:rsidR="00377472" w:rsidRPr="0005425A" w:rsidRDefault="00377472" w:rsidP="00377472">
      <w:pPr>
        <w:spacing w:line="233" w:lineRule="auto"/>
        <w:jc w:val="both"/>
        <w:rPr>
          <w:sz w:val="20"/>
          <w:szCs w:val="20"/>
          <w:lang w:val="fr-CA"/>
        </w:rPr>
      </w:pPr>
      <w:r w:rsidRPr="0005425A">
        <w:rPr>
          <w:sz w:val="20"/>
          <w:szCs w:val="20"/>
          <w:lang w:val="fr-CA"/>
        </w:rPr>
        <w:t>Conformément à l’al. 59(1)</w:t>
      </w:r>
      <w:r w:rsidRPr="0005425A">
        <w:rPr>
          <w:i/>
          <w:sz w:val="20"/>
          <w:szCs w:val="20"/>
          <w:lang w:val="fr-CA"/>
        </w:rPr>
        <w:t>a</w:t>
      </w:r>
      <w:r w:rsidRPr="0005425A">
        <w:rPr>
          <w:sz w:val="20"/>
          <w:szCs w:val="20"/>
          <w:lang w:val="fr-CA"/>
        </w:rPr>
        <w:t xml:space="preserve">) des </w:t>
      </w:r>
      <w:r w:rsidRPr="0005425A">
        <w:rPr>
          <w:i/>
          <w:sz w:val="20"/>
          <w:szCs w:val="20"/>
          <w:lang w:val="fr-CA"/>
        </w:rPr>
        <w:t>Règles de la Cour suprême du Canada</w:t>
      </w:r>
      <w:r w:rsidRPr="0005425A">
        <w:rPr>
          <w:sz w:val="20"/>
          <w:szCs w:val="20"/>
          <w:lang w:val="fr-CA"/>
        </w:rPr>
        <w:t>, l’intervenant paiera aux appelantes et aux l’intimées tous les débours supplémentaires résultant de son intervention.</w:t>
      </w:r>
    </w:p>
    <w:p w:rsidR="00377472" w:rsidRPr="0005425A" w:rsidRDefault="00377472" w:rsidP="00377472">
      <w:pPr>
        <w:tabs>
          <w:tab w:val="left" w:pos="-1440"/>
          <w:tab w:val="left" w:pos="-720"/>
        </w:tabs>
        <w:jc w:val="both"/>
        <w:rPr>
          <w:sz w:val="20"/>
          <w:szCs w:val="20"/>
          <w:lang w:val="fr-CA"/>
        </w:rPr>
      </w:pPr>
    </w:p>
    <w:p w:rsidR="00377472" w:rsidRPr="0005425A" w:rsidRDefault="0017005E" w:rsidP="00377472">
      <w:pPr>
        <w:tabs>
          <w:tab w:val="left" w:pos="-1440"/>
          <w:tab w:val="left" w:pos="-720"/>
        </w:tabs>
        <w:jc w:val="both"/>
        <w:rPr>
          <w:sz w:val="20"/>
          <w:szCs w:val="20"/>
          <w:lang w:val="fr-CA"/>
        </w:rPr>
      </w:pPr>
      <w:r w:rsidRPr="0017005E">
        <w:rPr>
          <w:sz w:val="20"/>
          <w:szCs w:val="20"/>
          <w:lang w:val="fr-CA"/>
        </w:rPr>
        <w:pict>
          <v:rect id="_x0000_i1058" style="width:2in;height:1pt" o:hrpct="0" o:hralign="center" o:hrstd="t" o:hrnoshade="t" o:hr="t" fillcolor="black [3213]" stroked="f"/>
        </w:pic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lang w:val="fr-CA"/>
        </w:rPr>
      </w:pPr>
      <w:r w:rsidRPr="0005425A">
        <w:rPr>
          <w:sz w:val="20"/>
          <w:szCs w:val="20"/>
          <w:lang w:val="fr-CA"/>
        </w:rPr>
        <w:t>25.04.2013</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lang w:val="fr-CA"/>
        </w:rPr>
      </w:pPr>
      <w:proofErr w:type="spellStart"/>
      <w:r w:rsidRPr="0005425A">
        <w:rPr>
          <w:sz w:val="20"/>
          <w:szCs w:val="20"/>
          <w:lang w:val="fr-CA"/>
        </w:rPr>
        <w:t>Before</w:t>
      </w:r>
      <w:proofErr w:type="spellEnd"/>
      <w:r w:rsidRPr="0005425A">
        <w:rPr>
          <w:sz w:val="20"/>
          <w:szCs w:val="20"/>
          <w:lang w:val="fr-CA"/>
        </w:rPr>
        <w:t xml:space="preserve"> / Devant :   ROTHSTEIN J. / LE JUGE ROTHSTEIN</w:t>
      </w:r>
    </w:p>
    <w:p w:rsidR="00377472" w:rsidRPr="0005425A" w:rsidRDefault="00377472" w:rsidP="003774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77472" w:rsidRPr="005C0D71" w:rsidTr="008E3015">
        <w:tc>
          <w:tcPr>
            <w:tcW w:w="4338" w:type="dxa"/>
          </w:tcPr>
          <w:p w:rsidR="00377472" w:rsidRPr="0005425A" w:rsidRDefault="0017005E" w:rsidP="008E3015">
            <w:pPr>
              <w:tabs>
                <w:tab w:val="left" w:pos="-1440"/>
                <w:tab w:val="left" w:pos="-720"/>
              </w:tabs>
              <w:jc w:val="both"/>
              <w:rPr>
                <w:b/>
                <w:sz w:val="20"/>
                <w:szCs w:val="20"/>
              </w:rPr>
            </w:pPr>
            <w:r w:rsidRPr="0005425A">
              <w:rPr>
                <w:b/>
                <w:sz w:val="20"/>
                <w:szCs w:val="20"/>
              </w:rPr>
              <w:fldChar w:fldCharType="begin"/>
            </w:r>
            <w:r w:rsidR="00377472" w:rsidRPr="0005425A">
              <w:rPr>
                <w:b/>
                <w:sz w:val="20"/>
                <w:szCs w:val="20"/>
              </w:rPr>
              <w:instrText xml:space="preserve"> SEQ CHAPTER \h \r 1</w:instrText>
            </w:r>
            <w:r w:rsidRPr="0005425A">
              <w:rPr>
                <w:b/>
                <w:sz w:val="20"/>
                <w:szCs w:val="20"/>
              </w:rPr>
              <w:fldChar w:fldCharType="end"/>
            </w:r>
            <w:r w:rsidR="00377472" w:rsidRPr="0005425A">
              <w:rPr>
                <w:b/>
                <w:sz w:val="20"/>
                <w:szCs w:val="20"/>
              </w:rPr>
              <w:t xml:space="preserve">Order </w:t>
            </w:r>
            <w:r w:rsidRPr="0005425A">
              <w:rPr>
                <w:b/>
                <w:sz w:val="20"/>
                <w:szCs w:val="20"/>
              </w:rPr>
              <w:fldChar w:fldCharType="begin"/>
            </w:r>
            <w:r w:rsidR="00377472" w:rsidRPr="0005425A">
              <w:rPr>
                <w:b/>
                <w:sz w:val="20"/>
                <w:szCs w:val="20"/>
              </w:rPr>
              <w:instrText xml:space="preserve"> SEQ CHAPTER \h \r 1</w:instrText>
            </w:r>
            <w:r w:rsidRPr="0005425A">
              <w:rPr>
                <w:b/>
                <w:sz w:val="20"/>
                <w:szCs w:val="20"/>
              </w:rPr>
              <w:fldChar w:fldCharType="end"/>
            </w:r>
            <w:r w:rsidR="00377472" w:rsidRPr="0005425A">
              <w:rPr>
                <w:b/>
                <w:bCs/>
                <w:sz w:val="20"/>
                <w:szCs w:val="20"/>
              </w:rPr>
              <w:t>regarding the filing of appeal documents</w:t>
            </w:r>
            <w:r w:rsidRPr="0005425A">
              <w:rPr>
                <w:b/>
                <w:sz w:val="20"/>
                <w:szCs w:val="20"/>
              </w:rPr>
              <w:fldChar w:fldCharType="begin"/>
            </w:r>
            <w:r w:rsidR="00377472" w:rsidRPr="0005425A">
              <w:rPr>
                <w:b/>
                <w:sz w:val="20"/>
                <w:szCs w:val="20"/>
              </w:rPr>
              <w:instrText xml:space="preserve"> SEQ CHAPTER \h \r 1</w:instrText>
            </w:r>
            <w:r w:rsidRPr="0005425A">
              <w:rPr>
                <w:b/>
                <w:sz w:val="20"/>
                <w:szCs w:val="20"/>
              </w:rPr>
              <w:fldChar w:fldCharType="end"/>
            </w:r>
          </w:p>
        </w:tc>
        <w:tc>
          <w:tcPr>
            <w:tcW w:w="1170" w:type="dxa"/>
          </w:tcPr>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17005E" w:rsidP="008E3015">
            <w:pPr>
              <w:jc w:val="both"/>
              <w:rPr>
                <w:b/>
                <w:bCs/>
                <w:sz w:val="20"/>
                <w:szCs w:val="20"/>
                <w:lang w:val="fr-CA"/>
              </w:rPr>
            </w:pP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 xml:space="preserve">Ordonnance </w:t>
            </w: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relative au dépôt des documents concernant l'appel</w:t>
            </w:r>
          </w:p>
          <w:p w:rsidR="00377472" w:rsidRPr="0005425A" w:rsidRDefault="0017005E" w:rsidP="008E3015">
            <w:pPr>
              <w:tabs>
                <w:tab w:val="left" w:pos="-1440"/>
                <w:tab w:val="left" w:pos="-720"/>
              </w:tabs>
              <w:jc w:val="both"/>
              <w:rPr>
                <w:sz w:val="20"/>
                <w:szCs w:val="20"/>
                <w:lang w:val="fr-CA"/>
              </w:rPr>
            </w:pP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p>
        </w:tc>
      </w:tr>
      <w:tr w:rsidR="00377472" w:rsidRPr="0005425A" w:rsidTr="008E3015">
        <w:tc>
          <w:tcPr>
            <w:tcW w:w="4338" w:type="dxa"/>
          </w:tcPr>
          <w:p w:rsidR="00377472" w:rsidRPr="0005425A" w:rsidRDefault="00377472" w:rsidP="008E3015">
            <w:pPr>
              <w:tabs>
                <w:tab w:val="left" w:pos="-1440"/>
                <w:tab w:val="left" w:pos="-720"/>
              </w:tabs>
              <w:jc w:val="both"/>
              <w:rPr>
                <w:sz w:val="20"/>
                <w:szCs w:val="20"/>
              </w:rPr>
            </w:pPr>
            <w:r w:rsidRPr="0005425A">
              <w:rPr>
                <w:sz w:val="20"/>
                <w:szCs w:val="20"/>
              </w:rPr>
              <w:t>Information and Privacy Commissioner et al.</w:t>
            </w: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r w:rsidRPr="0005425A">
              <w:rPr>
                <w:sz w:val="20"/>
                <w:szCs w:val="20"/>
              </w:rPr>
              <w:tab/>
              <w:t>v. (34890)</w:t>
            </w: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r w:rsidRPr="0005425A">
              <w:rPr>
                <w:sz w:val="20"/>
                <w:szCs w:val="20"/>
              </w:rPr>
              <w:t>United Food and Commercial Workers, Local 401 et al. (Alta.)</w:t>
            </w:r>
          </w:p>
        </w:tc>
        <w:tc>
          <w:tcPr>
            <w:tcW w:w="1170" w:type="dxa"/>
          </w:tcPr>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377472" w:rsidP="008E3015">
            <w:pPr>
              <w:tabs>
                <w:tab w:val="left" w:pos="-1440"/>
                <w:tab w:val="left" w:pos="-720"/>
              </w:tabs>
              <w:jc w:val="both"/>
              <w:rPr>
                <w:sz w:val="20"/>
                <w:szCs w:val="20"/>
              </w:rPr>
            </w:pPr>
          </w:p>
        </w:tc>
      </w:tr>
    </w:tbl>
    <w:p w:rsidR="00377472" w:rsidRPr="0005425A" w:rsidRDefault="00377472" w:rsidP="00377472">
      <w:pPr>
        <w:tabs>
          <w:tab w:val="left" w:pos="-1440"/>
          <w:tab w:val="left" w:pos="-720"/>
        </w:tabs>
        <w:jc w:val="both"/>
        <w:rPr>
          <w:sz w:val="20"/>
          <w:szCs w:val="20"/>
        </w:rPr>
      </w:pPr>
    </w:p>
    <w:p w:rsidR="00377472" w:rsidRPr="00377472" w:rsidRDefault="00377472" w:rsidP="00377472">
      <w:pPr>
        <w:tabs>
          <w:tab w:val="left" w:pos="-1440"/>
          <w:tab w:val="left" w:pos="-720"/>
        </w:tabs>
        <w:jc w:val="both"/>
        <w:rPr>
          <w:b/>
          <w:sz w:val="20"/>
          <w:szCs w:val="20"/>
        </w:rPr>
      </w:pPr>
      <w:r w:rsidRPr="00377472">
        <w:rPr>
          <w:b/>
          <w:sz w:val="20"/>
          <w:szCs w:val="20"/>
        </w:rPr>
        <w:t>GRANTED / ACCORDÉE</w:t>
      </w:r>
    </w:p>
    <w:p w:rsidR="00377472" w:rsidRPr="0005425A" w:rsidRDefault="00377472" w:rsidP="00377472">
      <w:pPr>
        <w:rPr>
          <w:b/>
          <w:sz w:val="20"/>
          <w:szCs w:val="20"/>
        </w:rPr>
      </w:pPr>
    </w:p>
    <w:p w:rsidR="00377472" w:rsidRPr="0005425A" w:rsidRDefault="00377472" w:rsidP="00377472">
      <w:pPr>
        <w:rPr>
          <w:sz w:val="20"/>
          <w:szCs w:val="20"/>
        </w:rPr>
      </w:pPr>
      <w:r w:rsidRPr="0005425A">
        <w:rPr>
          <w:b/>
          <w:sz w:val="20"/>
          <w:szCs w:val="20"/>
        </w:rPr>
        <w:t>UPON THE MATERIAL FILED</w:t>
      </w:r>
      <w:r w:rsidRPr="0005425A">
        <w:rPr>
          <w:sz w:val="20"/>
          <w:szCs w:val="20"/>
        </w:rPr>
        <w:t xml:space="preserve"> having been read;</w:t>
      </w:r>
    </w:p>
    <w:p w:rsidR="00377472" w:rsidRPr="0005425A" w:rsidRDefault="00377472" w:rsidP="00377472">
      <w:pPr>
        <w:rPr>
          <w:b/>
          <w:sz w:val="20"/>
          <w:szCs w:val="20"/>
        </w:rPr>
      </w:pPr>
    </w:p>
    <w:p w:rsidR="00377472" w:rsidRPr="0005425A" w:rsidRDefault="00377472" w:rsidP="00377472">
      <w:pPr>
        <w:rPr>
          <w:sz w:val="20"/>
          <w:szCs w:val="20"/>
        </w:rPr>
      </w:pPr>
      <w:r w:rsidRPr="0005425A">
        <w:rPr>
          <w:b/>
          <w:sz w:val="20"/>
          <w:szCs w:val="20"/>
        </w:rPr>
        <w:t xml:space="preserve">AND HAVING HEARD </w:t>
      </w:r>
      <w:r w:rsidRPr="0005425A">
        <w:rPr>
          <w:sz w:val="20"/>
          <w:szCs w:val="20"/>
        </w:rPr>
        <w:t>the parties by telephone conference on April 23, 2013;</w:t>
      </w:r>
    </w:p>
    <w:p w:rsidR="00377472" w:rsidRPr="0005425A" w:rsidRDefault="00377472" w:rsidP="00377472">
      <w:pPr>
        <w:rPr>
          <w:sz w:val="20"/>
          <w:szCs w:val="20"/>
        </w:rPr>
      </w:pPr>
    </w:p>
    <w:p w:rsidR="00377472" w:rsidRPr="0005425A" w:rsidRDefault="00377472" w:rsidP="00377472">
      <w:pPr>
        <w:rPr>
          <w:sz w:val="20"/>
          <w:szCs w:val="20"/>
        </w:rPr>
      </w:pPr>
      <w:r w:rsidRPr="0005425A">
        <w:rPr>
          <w:b/>
          <w:sz w:val="20"/>
          <w:szCs w:val="20"/>
        </w:rPr>
        <w:t>IT IS HEREBY ORDERED THAT</w:t>
      </w:r>
      <w:r w:rsidRPr="0005425A">
        <w:rPr>
          <w:sz w:val="20"/>
          <w:szCs w:val="20"/>
        </w:rPr>
        <w:t xml:space="preserve"> the deadlines for serving and filing the following materials be set as follows: </w:t>
      </w:r>
    </w:p>
    <w:p w:rsidR="00377472" w:rsidRPr="0005425A" w:rsidRDefault="00377472" w:rsidP="00377472">
      <w:pPr>
        <w:rPr>
          <w:sz w:val="20"/>
          <w:szCs w:val="20"/>
        </w:rPr>
      </w:pPr>
    </w:p>
    <w:p w:rsidR="00377472" w:rsidRPr="0005425A" w:rsidRDefault="00377472" w:rsidP="00377472">
      <w:pPr>
        <w:pStyle w:val="ListParagraph"/>
        <w:numPr>
          <w:ilvl w:val="0"/>
          <w:numId w:val="2"/>
        </w:numPr>
        <w:autoSpaceDE w:val="0"/>
        <w:autoSpaceDN w:val="0"/>
        <w:adjustRightInd w:val="0"/>
        <w:jc w:val="both"/>
        <w:rPr>
          <w:rFonts w:cs="Times New Roman"/>
          <w:sz w:val="20"/>
          <w:szCs w:val="20"/>
        </w:rPr>
      </w:pPr>
      <w:r w:rsidRPr="0005425A">
        <w:rPr>
          <w:rFonts w:cs="Times New Roman"/>
          <w:sz w:val="20"/>
          <w:szCs w:val="20"/>
        </w:rPr>
        <w:t>Any replies to motions for leave to intervene that were already brought under Rule 55 shall be served and filed no later than April 29, 2013;</w:t>
      </w:r>
    </w:p>
    <w:p w:rsidR="00377472" w:rsidRPr="0005425A" w:rsidRDefault="00377472" w:rsidP="00377472">
      <w:pPr>
        <w:pStyle w:val="ListParagraph"/>
        <w:rPr>
          <w:rFonts w:cs="Times New Roman"/>
          <w:sz w:val="20"/>
          <w:szCs w:val="20"/>
        </w:rPr>
      </w:pPr>
    </w:p>
    <w:p w:rsidR="00377472" w:rsidRPr="0005425A" w:rsidRDefault="00377472" w:rsidP="00377472">
      <w:pPr>
        <w:pStyle w:val="ListParagraph"/>
        <w:numPr>
          <w:ilvl w:val="0"/>
          <w:numId w:val="2"/>
        </w:numPr>
        <w:autoSpaceDE w:val="0"/>
        <w:autoSpaceDN w:val="0"/>
        <w:adjustRightInd w:val="0"/>
        <w:jc w:val="both"/>
        <w:rPr>
          <w:rFonts w:cs="Times New Roman"/>
          <w:sz w:val="20"/>
          <w:szCs w:val="20"/>
        </w:rPr>
      </w:pPr>
      <w:r w:rsidRPr="0005425A">
        <w:rPr>
          <w:rFonts w:cs="Times New Roman"/>
          <w:sz w:val="20"/>
          <w:szCs w:val="20"/>
        </w:rPr>
        <w:t>Any persons interested in applying for leave to intervene who have not yet served and filed their motion under Rule 55, shall serve and file their motion no later than April 30, 2013;</w:t>
      </w:r>
    </w:p>
    <w:p w:rsidR="00377472" w:rsidRPr="0005425A" w:rsidRDefault="00377472" w:rsidP="00377472">
      <w:pPr>
        <w:pStyle w:val="ListParagraph"/>
        <w:rPr>
          <w:rFonts w:cs="Times New Roman"/>
          <w:sz w:val="20"/>
          <w:szCs w:val="20"/>
        </w:rPr>
      </w:pPr>
    </w:p>
    <w:p w:rsidR="00377472" w:rsidRPr="0005425A" w:rsidRDefault="00377472" w:rsidP="00377472">
      <w:pPr>
        <w:pStyle w:val="ListParagraph"/>
        <w:numPr>
          <w:ilvl w:val="0"/>
          <w:numId w:val="2"/>
        </w:numPr>
        <w:tabs>
          <w:tab w:val="left" w:pos="90"/>
        </w:tabs>
        <w:autoSpaceDE w:val="0"/>
        <w:autoSpaceDN w:val="0"/>
        <w:adjustRightInd w:val="0"/>
        <w:jc w:val="both"/>
        <w:rPr>
          <w:rFonts w:cs="Times New Roman"/>
          <w:sz w:val="20"/>
          <w:szCs w:val="20"/>
        </w:rPr>
      </w:pPr>
      <w:r w:rsidRPr="0005425A">
        <w:rPr>
          <w:rFonts w:cs="Times New Roman"/>
          <w:sz w:val="20"/>
          <w:szCs w:val="20"/>
        </w:rPr>
        <w:t>The response to any motion for leave to intervene that is referred to in paragraph 2 shall be served and filed no later than May 7, 2013;</w:t>
      </w:r>
    </w:p>
    <w:p w:rsidR="00377472" w:rsidRPr="0005425A" w:rsidRDefault="00377472" w:rsidP="00377472">
      <w:pPr>
        <w:tabs>
          <w:tab w:val="left" w:pos="90"/>
        </w:tabs>
        <w:rPr>
          <w:sz w:val="20"/>
          <w:szCs w:val="20"/>
        </w:rPr>
      </w:pPr>
    </w:p>
    <w:p w:rsidR="00377472" w:rsidRPr="0005425A" w:rsidRDefault="00377472" w:rsidP="00377472">
      <w:pPr>
        <w:pStyle w:val="ListParagraph"/>
        <w:numPr>
          <w:ilvl w:val="0"/>
          <w:numId w:val="2"/>
        </w:numPr>
        <w:tabs>
          <w:tab w:val="left" w:pos="90"/>
        </w:tabs>
        <w:autoSpaceDE w:val="0"/>
        <w:autoSpaceDN w:val="0"/>
        <w:adjustRightInd w:val="0"/>
        <w:jc w:val="both"/>
        <w:rPr>
          <w:rFonts w:cs="Times New Roman"/>
          <w:sz w:val="20"/>
          <w:szCs w:val="20"/>
        </w:rPr>
      </w:pPr>
      <w:r w:rsidRPr="0005425A">
        <w:rPr>
          <w:rFonts w:cs="Times New Roman"/>
          <w:sz w:val="20"/>
          <w:szCs w:val="20"/>
        </w:rPr>
        <w:t>Any replies to the responses referred to in paragraph 3 shall be served and filed no later than May 9, 2013;</w:t>
      </w:r>
    </w:p>
    <w:p w:rsidR="00377472" w:rsidRPr="0005425A" w:rsidRDefault="00377472" w:rsidP="00377472">
      <w:pPr>
        <w:pStyle w:val="ListParagraph"/>
        <w:tabs>
          <w:tab w:val="left" w:pos="90"/>
        </w:tabs>
        <w:ind w:left="0"/>
        <w:rPr>
          <w:rFonts w:cs="Times New Roman"/>
          <w:sz w:val="20"/>
          <w:szCs w:val="20"/>
        </w:rPr>
      </w:pPr>
    </w:p>
    <w:p w:rsidR="00377472" w:rsidRPr="0005425A" w:rsidRDefault="00377472" w:rsidP="00377472">
      <w:pPr>
        <w:pStyle w:val="ListParagraph"/>
        <w:numPr>
          <w:ilvl w:val="0"/>
          <w:numId w:val="2"/>
        </w:numPr>
        <w:tabs>
          <w:tab w:val="left" w:pos="90"/>
        </w:tabs>
        <w:autoSpaceDE w:val="0"/>
        <w:autoSpaceDN w:val="0"/>
        <w:adjustRightInd w:val="0"/>
        <w:jc w:val="both"/>
        <w:rPr>
          <w:rFonts w:cs="Times New Roman"/>
          <w:sz w:val="20"/>
          <w:szCs w:val="20"/>
        </w:rPr>
      </w:pPr>
      <w:r w:rsidRPr="0005425A">
        <w:rPr>
          <w:rFonts w:cs="Times New Roman"/>
          <w:sz w:val="20"/>
          <w:szCs w:val="20"/>
        </w:rPr>
        <w:lastRenderedPageBreak/>
        <w:t>Attorneys general intervening on constitutional questions shall serve and file their factum and book of authorities no later than May 21, 2013;</w:t>
      </w:r>
    </w:p>
    <w:p w:rsidR="00377472" w:rsidRPr="0005425A" w:rsidRDefault="00377472" w:rsidP="00377472">
      <w:pPr>
        <w:pStyle w:val="ListParagraph"/>
        <w:tabs>
          <w:tab w:val="left" w:pos="90"/>
        </w:tabs>
        <w:ind w:left="0"/>
        <w:rPr>
          <w:rFonts w:cs="Times New Roman"/>
          <w:sz w:val="20"/>
          <w:szCs w:val="20"/>
        </w:rPr>
      </w:pPr>
    </w:p>
    <w:p w:rsidR="00377472" w:rsidRPr="0005425A" w:rsidRDefault="00377472" w:rsidP="00377472">
      <w:pPr>
        <w:pStyle w:val="ListParagraph"/>
        <w:numPr>
          <w:ilvl w:val="0"/>
          <w:numId w:val="2"/>
        </w:numPr>
        <w:tabs>
          <w:tab w:val="left" w:pos="90"/>
        </w:tabs>
        <w:autoSpaceDE w:val="0"/>
        <w:autoSpaceDN w:val="0"/>
        <w:adjustRightInd w:val="0"/>
        <w:jc w:val="both"/>
        <w:rPr>
          <w:rFonts w:cs="Times New Roman"/>
          <w:sz w:val="20"/>
          <w:szCs w:val="20"/>
        </w:rPr>
      </w:pPr>
      <w:r w:rsidRPr="0005425A">
        <w:rPr>
          <w:rFonts w:cs="Times New Roman"/>
          <w:sz w:val="20"/>
          <w:szCs w:val="20"/>
        </w:rPr>
        <w:t>All other interveners shall serve and file their factum and book of authorities no later than May 21, 2013;</w:t>
      </w:r>
    </w:p>
    <w:p w:rsidR="00377472" w:rsidRPr="0005425A" w:rsidRDefault="00377472" w:rsidP="00377472">
      <w:pPr>
        <w:pStyle w:val="ListParagraph"/>
        <w:tabs>
          <w:tab w:val="left" w:pos="90"/>
        </w:tabs>
        <w:ind w:left="0"/>
        <w:rPr>
          <w:rFonts w:cs="Times New Roman"/>
          <w:sz w:val="20"/>
          <w:szCs w:val="20"/>
        </w:rPr>
      </w:pPr>
    </w:p>
    <w:p w:rsidR="00377472" w:rsidRPr="0005425A" w:rsidRDefault="00377472" w:rsidP="00377472">
      <w:pPr>
        <w:pStyle w:val="ListParagraph"/>
        <w:numPr>
          <w:ilvl w:val="0"/>
          <w:numId w:val="2"/>
        </w:numPr>
        <w:tabs>
          <w:tab w:val="left" w:pos="90"/>
        </w:tabs>
        <w:autoSpaceDE w:val="0"/>
        <w:autoSpaceDN w:val="0"/>
        <w:adjustRightInd w:val="0"/>
        <w:jc w:val="both"/>
        <w:rPr>
          <w:rFonts w:cs="Times New Roman"/>
          <w:sz w:val="20"/>
          <w:szCs w:val="20"/>
        </w:rPr>
      </w:pPr>
      <w:r w:rsidRPr="0005425A">
        <w:rPr>
          <w:rFonts w:cs="Times New Roman"/>
          <w:sz w:val="20"/>
          <w:szCs w:val="20"/>
        </w:rPr>
        <w:t xml:space="preserve">The respondent shall serve and file its records, factums and books of authorities no later than May 28, 2013. </w:t>
      </w:r>
    </w:p>
    <w:p w:rsidR="00377472" w:rsidRPr="0005425A" w:rsidRDefault="00377472" w:rsidP="00377472">
      <w:pPr>
        <w:pStyle w:val="ListParagraph"/>
        <w:ind w:left="0"/>
        <w:rPr>
          <w:rFonts w:cs="Times New Roman"/>
          <w:sz w:val="20"/>
          <w:szCs w:val="20"/>
        </w:rPr>
      </w:pPr>
    </w:p>
    <w:p w:rsidR="00377472" w:rsidRPr="0005425A" w:rsidRDefault="00377472" w:rsidP="00377472">
      <w:pPr>
        <w:pStyle w:val="ListParagraph"/>
        <w:ind w:left="0"/>
        <w:rPr>
          <w:rFonts w:cs="Times New Roman"/>
          <w:sz w:val="20"/>
          <w:szCs w:val="20"/>
        </w:rPr>
      </w:pPr>
    </w:p>
    <w:p w:rsidR="00377472" w:rsidRPr="0005425A" w:rsidRDefault="00377472" w:rsidP="00377472">
      <w:pPr>
        <w:pStyle w:val="ListParagraph"/>
        <w:ind w:left="0"/>
        <w:rPr>
          <w:rFonts w:cs="Times New Roman"/>
          <w:sz w:val="20"/>
          <w:szCs w:val="20"/>
        </w:rPr>
      </w:pPr>
    </w:p>
    <w:p w:rsidR="00377472" w:rsidRPr="0005425A" w:rsidRDefault="00377472" w:rsidP="00377472">
      <w:pPr>
        <w:rPr>
          <w:sz w:val="20"/>
          <w:szCs w:val="20"/>
          <w:lang w:val="fr-CA"/>
        </w:rPr>
      </w:pPr>
      <w:r w:rsidRPr="0005425A">
        <w:rPr>
          <w:b/>
          <w:sz w:val="20"/>
          <w:szCs w:val="20"/>
          <w:lang w:val="fr-CA"/>
        </w:rPr>
        <w:t>APRÈS EXAMEN</w:t>
      </w:r>
      <w:r w:rsidRPr="0005425A">
        <w:rPr>
          <w:sz w:val="20"/>
          <w:szCs w:val="20"/>
          <w:lang w:val="fr-CA"/>
        </w:rPr>
        <w:t xml:space="preserve"> des documents déposés;</w:t>
      </w:r>
    </w:p>
    <w:p w:rsidR="00377472" w:rsidRPr="0005425A" w:rsidRDefault="00377472" w:rsidP="00377472">
      <w:pPr>
        <w:rPr>
          <w:sz w:val="20"/>
          <w:szCs w:val="20"/>
          <w:lang w:val="fr-CA"/>
        </w:rPr>
      </w:pPr>
    </w:p>
    <w:p w:rsidR="00377472" w:rsidRPr="0005425A" w:rsidRDefault="00377472" w:rsidP="00377472">
      <w:pPr>
        <w:rPr>
          <w:sz w:val="20"/>
          <w:szCs w:val="20"/>
          <w:lang w:val="fr-CA"/>
        </w:rPr>
      </w:pPr>
      <w:r w:rsidRPr="0005425A">
        <w:rPr>
          <w:b/>
          <w:sz w:val="20"/>
          <w:szCs w:val="20"/>
          <w:lang w:val="fr-CA"/>
        </w:rPr>
        <w:t>ET APRÈS AVOIR ENTENDU</w:t>
      </w:r>
      <w:r w:rsidRPr="0005425A">
        <w:rPr>
          <w:sz w:val="20"/>
          <w:szCs w:val="20"/>
          <w:lang w:val="fr-CA"/>
        </w:rPr>
        <w:t xml:space="preserve"> les parties en conférence téléphonique le 23 avril 2013;</w:t>
      </w:r>
    </w:p>
    <w:p w:rsidR="00377472" w:rsidRPr="0005425A" w:rsidRDefault="00377472" w:rsidP="00377472">
      <w:pPr>
        <w:rPr>
          <w:sz w:val="20"/>
          <w:szCs w:val="20"/>
          <w:lang w:val="fr-CA"/>
        </w:rPr>
      </w:pPr>
    </w:p>
    <w:p w:rsidR="00377472" w:rsidRPr="0005425A" w:rsidRDefault="00377472" w:rsidP="00377472">
      <w:pPr>
        <w:rPr>
          <w:sz w:val="20"/>
          <w:szCs w:val="20"/>
          <w:lang w:val="fr-CA"/>
        </w:rPr>
      </w:pPr>
      <w:r w:rsidRPr="0005425A">
        <w:rPr>
          <w:b/>
          <w:sz w:val="20"/>
          <w:szCs w:val="20"/>
          <w:lang w:val="fr-CA"/>
        </w:rPr>
        <w:t xml:space="preserve">IL EST ORDONNÉ QUE </w:t>
      </w:r>
      <w:r w:rsidRPr="0005425A">
        <w:rPr>
          <w:sz w:val="20"/>
          <w:szCs w:val="20"/>
          <w:lang w:val="fr-CA"/>
        </w:rPr>
        <w:t>les échéances pour signifier et déposer les documents suivants sont fixées aux dates précisées ci-après :</w:t>
      </w:r>
    </w:p>
    <w:p w:rsidR="00377472" w:rsidRPr="0005425A" w:rsidRDefault="00377472" w:rsidP="00377472">
      <w:pPr>
        <w:rPr>
          <w:sz w:val="20"/>
          <w:szCs w:val="20"/>
          <w:lang w:val="fr-CA"/>
        </w:rPr>
      </w:pPr>
    </w:p>
    <w:p w:rsidR="00377472" w:rsidRPr="0005425A" w:rsidRDefault="00377472" w:rsidP="003774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05425A">
        <w:rPr>
          <w:rFonts w:cs="Times New Roman"/>
          <w:sz w:val="20"/>
          <w:szCs w:val="20"/>
          <w:lang w:val="fr-CA"/>
        </w:rPr>
        <w:t>Les réponses aux requêtes en intervention déjà présentées en vertu de la règle 55 seront signifiées et déposées au plus tard le 29 avril 2013;</w:t>
      </w:r>
    </w:p>
    <w:p w:rsidR="00377472" w:rsidRPr="0005425A" w:rsidRDefault="00377472" w:rsidP="00377472">
      <w:pPr>
        <w:pStyle w:val="ListParagraph"/>
        <w:rPr>
          <w:rFonts w:cs="Times New Roman"/>
          <w:sz w:val="20"/>
          <w:szCs w:val="20"/>
          <w:lang w:val="fr-CA"/>
        </w:rPr>
      </w:pPr>
    </w:p>
    <w:p w:rsidR="00377472" w:rsidRPr="0005425A" w:rsidRDefault="00377472" w:rsidP="003774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05425A">
        <w:rPr>
          <w:rFonts w:cs="Times New Roman"/>
          <w:sz w:val="20"/>
          <w:szCs w:val="20"/>
          <w:lang w:val="fr-CA"/>
        </w:rPr>
        <w:t>Les personnes intéressées à intervenir et qui n’ont pas encore signifié et déposé de requête en vertu de la règle 55 devront le faire au plus tard le 30 avril 2013;</w: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05425A">
        <w:rPr>
          <w:rFonts w:cs="Times New Roman"/>
          <w:sz w:val="20"/>
          <w:szCs w:val="20"/>
          <w:lang w:val="fr-CA"/>
        </w:rPr>
        <w:t>Toute réponse à une requête visée par le par. 2 sera signifiée et déposée au plus tard le 7 mai 2013;</w:t>
      </w:r>
    </w:p>
    <w:p w:rsidR="00377472" w:rsidRPr="0005425A" w:rsidRDefault="00377472" w:rsidP="00377472">
      <w:pPr>
        <w:pStyle w:val="ListParagraph"/>
        <w:rPr>
          <w:rFonts w:cs="Times New Roman"/>
          <w:sz w:val="20"/>
          <w:szCs w:val="20"/>
          <w:lang w:val="fr-CA"/>
        </w:rPr>
      </w:pPr>
    </w:p>
    <w:p w:rsidR="00377472" w:rsidRPr="0005425A" w:rsidRDefault="00377472" w:rsidP="003774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05425A">
        <w:rPr>
          <w:rFonts w:cs="Times New Roman"/>
          <w:sz w:val="20"/>
          <w:szCs w:val="20"/>
          <w:lang w:val="fr-CA"/>
        </w:rPr>
        <w:t>Toute réplique à une réponse visée par le par. 3 sera signifiée et déposée au plus tard le 9 mai 2013;</w:t>
      </w:r>
    </w:p>
    <w:p w:rsidR="00377472" w:rsidRPr="0005425A" w:rsidRDefault="00377472" w:rsidP="00377472">
      <w:pPr>
        <w:pStyle w:val="ListParagraph"/>
        <w:rPr>
          <w:rFonts w:cs="Times New Roman"/>
          <w:sz w:val="20"/>
          <w:szCs w:val="20"/>
          <w:lang w:val="fr-CA"/>
        </w:rPr>
      </w:pPr>
    </w:p>
    <w:p w:rsidR="00377472" w:rsidRPr="0005425A" w:rsidRDefault="00377472" w:rsidP="003774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05425A">
        <w:rPr>
          <w:rFonts w:cs="Times New Roman"/>
          <w:sz w:val="20"/>
          <w:szCs w:val="20"/>
          <w:lang w:val="fr-CA"/>
        </w:rPr>
        <w:t>Les procureurs généraux qui interviennent quant aux questions constitutionnelles signifieront et déposeront leur mémoire et leur recueil de sources au plus tard le 21 mai 2013;</w:t>
      </w:r>
    </w:p>
    <w:p w:rsidR="00377472" w:rsidRPr="0005425A" w:rsidRDefault="00377472" w:rsidP="00377472">
      <w:pPr>
        <w:pStyle w:val="ListParagraph"/>
        <w:rPr>
          <w:rFonts w:cs="Times New Roman"/>
          <w:sz w:val="20"/>
          <w:szCs w:val="20"/>
          <w:lang w:val="fr-CA"/>
        </w:rPr>
      </w:pPr>
    </w:p>
    <w:p w:rsidR="00377472" w:rsidRPr="0005425A" w:rsidRDefault="00377472" w:rsidP="003774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05425A">
        <w:rPr>
          <w:rFonts w:cs="Times New Roman"/>
          <w:sz w:val="20"/>
          <w:szCs w:val="20"/>
          <w:lang w:val="fr-CA"/>
        </w:rPr>
        <w:t>Tout autre intervenant signifiera et déposera son mémoire et son recueil de sources au plus tard le 21 mai 2013;</w:t>
      </w:r>
    </w:p>
    <w:p w:rsidR="00377472" w:rsidRPr="0005425A" w:rsidRDefault="00377472" w:rsidP="00377472">
      <w:pPr>
        <w:pStyle w:val="ListParagraph"/>
        <w:rPr>
          <w:rFonts w:cs="Times New Roman"/>
          <w:sz w:val="20"/>
          <w:szCs w:val="20"/>
          <w:lang w:val="fr-CA"/>
        </w:rPr>
      </w:pPr>
    </w:p>
    <w:p w:rsidR="00377472" w:rsidRPr="0005425A" w:rsidRDefault="00377472" w:rsidP="003774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05425A">
        <w:rPr>
          <w:rFonts w:cs="Times New Roman"/>
          <w:sz w:val="20"/>
          <w:szCs w:val="20"/>
          <w:lang w:val="fr-CA"/>
        </w:rPr>
        <w:t>L’intimé signifiera et déposera ses dossiers, mémoires et recueils de sources au plus tard le 28 mai 2013.</w:t>
      </w:r>
    </w:p>
    <w:p w:rsidR="00377472" w:rsidRPr="0005425A" w:rsidRDefault="00377472" w:rsidP="00377472">
      <w:pPr>
        <w:tabs>
          <w:tab w:val="left" w:pos="-1440"/>
          <w:tab w:val="left" w:pos="-720"/>
        </w:tabs>
        <w:jc w:val="both"/>
        <w:rPr>
          <w:sz w:val="20"/>
          <w:szCs w:val="20"/>
          <w:lang w:val="fr-CA"/>
        </w:rPr>
      </w:pPr>
    </w:p>
    <w:p w:rsidR="00377472" w:rsidRPr="0005425A" w:rsidRDefault="0017005E" w:rsidP="00377472">
      <w:pPr>
        <w:tabs>
          <w:tab w:val="left" w:pos="-1440"/>
          <w:tab w:val="left" w:pos="-720"/>
        </w:tabs>
        <w:jc w:val="both"/>
        <w:rPr>
          <w:sz w:val="20"/>
          <w:szCs w:val="20"/>
          <w:lang w:val="fr-CA"/>
        </w:rPr>
      </w:pPr>
      <w:r w:rsidRPr="0017005E">
        <w:rPr>
          <w:sz w:val="20"/>
          <w:szCs w:val="20"/>
          <w:lang w:val="fr-CA"/>
        </w:rPr>
        <w:pict>
          <v:rect id="_x0000_i1059" style="width:2in;height:1pt" o:hrpct="0" o:hralign="center" o:hrstd="t" o:hrnoshade="t" o:hr="t" fillcolor="black [3213]" stroked="f"/>
        </w:pict>
      </w:r>
    </w:p>
    <w:p w:rsidR="00377472" w:rsidRPr="0005425A" w:rsidRDefault="00377472" w:rsidP="00377472">
      <w:pPr>
        <w:tabs>
          <w:tab w:val="left" w:pos="-1440"/>
          <w:tab w:val="left" w:pos="-720"/>
        </w:tabs>
        <w:jc w:val="both"/>
        <w:rPr>
          <w:sz w:val="20"/>
          <w:szCs w:val="20"/>
          <w:lang w:val="fr-CA"/>
        </w:rPr>
      </w:pPr>
    </w:p>
    <w:p w:rsidR="00377472" w:rsidRPr="0005425A" w:rsidRDefault="00377472" w:rsidP="00377472">
      <w:pPr>
        <w:tabs>
          <w:tab w:val="left" w:pos="-1440"/>
          <w:tab w:val="left" w:pos="-720"/>
        </w:tabs>
        <w:jc w:val="both"/>
        <w:rPr>
          <w:sz w:val="20"/>
          <w:szCs w:val="20"/>
        </w:rPr>
      </w:pPr>
      <w:r w:rsidRPr="0005425A">
        <w:rPr>
          <w:sz w:val="20"/>
          <w:szCs w:val="20"/>
        </w:rPr>
        <w:t>25.04.2013</w:t>
      </w:r>
    </w:p>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jc w:val="both"/>
        <w:rPr>
          <w:sz w:val="20"/>
          <w:szCs w:val="20"/>
        </w:rPr>
      </w:pPr>
      <w:r w:rsidRPr="0005425A">
        <w:rPr>
          <w:sz w:val="20"/>
          <w:szCs w:val="20"/>
        </w:rPr>
        <w:t xml:space="preserve">Before / </w:t>
      </w:r>
      <w:proofErr w:type="spellStart"/>
      <w:proofErr w:type="gramStart"/>
      <w:r w:rsidRPr="0005425A">
        <w:rPr>
          <w:sz w:val="20"/>
          <w:szCs w:val="20"/>
        </w:rPr>
        <w:t>Devant</w:t>
      </w:r>
      <w:proofErr w:type="spellEnd"/>
      <w:r w:rsidRPr="0005425A">
        <w:rPr>
          <w:sz w:val="20"/>
          <w:szCs w:val="20"/>
        </w:rPr>
        <w:t xml:space="preserve"> :</w:t>
      </w:r>
      <w:proofErr w:type="gramEnd"/>
      <w:r w:rsidRPr="0005425A">
        <w:rPr>
          <w:sz w:val="20"/>
          <w:szCs w:val="20"/>
        </w:rPr>
        <w:t xml:space="preserve">   </w:t>
      </w:r>
      <w:r w:rsidRPr="0005425A">
        <w:rPr>
          <w:sz w:val="20"/>
          <w:szCs w:val="20"/>
          <w:lang w:val="fr-CA"/>
        </w:rPr>
        <w:t>THE DEPUTY REGISTRAR / LA REGISTRAIRE ADJOINTE</w:t>
      </w:r>
    </w:p>
    <w:p w:rsidR="00377472" w:rsidRPr="0005425A" w:rsidRDefault="00377472" w:rsidP="0037747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77472" w:rsidRPr="005C0D71" w:rsidTr="008E3015">
        <w:tc>
          <w:tcPr>
            <w:tcW w:w="4338" w:type="dxa"/>
          </w:tcPr>
          <w:p w:rsidR="00377472" w:rsidRPr="0005425A" w:rsidRDefault="0017005E" w:rsidP="008E3015">
            <w:pPr>
              <w:tabs>
                <w:tab w:val="left" w:pos="-1440"/>
                <w:tab w:val="left" w:pos="-720"/>
              </w:tabs>
              <w:jc w:val="both"/>
              <w:rPr>
                <w:b/>
                <w:sz w:val="20"/>
                <w:szCs w:val="20"/>
              </w:rPr>
            </w:pPr>
            <w:r w:rsidRPr="0005425A">
              <w:rPr>
                <w:sz w:val="20"/>
                <w:szCs w:val="20"/>
              </w:rPr>
              <w:fldChar w:fldCharType="begin"/>
            </w:r>
            <w:r w:rsidR="00377472" w:rsidRPr="0005425A">
              <w:rPr>
                <w:sz w:val="20"/>
                <w:szCs w:val="20"/>
              </w:rPr>
              <w:instrText xml:space="preserve"> SEQ CHAPTER \h \r 1</w:instrText>
            </w:r>
            <w:r w:rsidRPr="0005425A">
              <w:rPr>
                <w:sz w:val="20"/>
                <w:szCs w:val="20"/>
              </w:rPr>
              <w:fldChar w:fldCharType="end"/>
            </w:r>
            <w:r w:rsidR="00377472" w:rsidRPr="0005425A">
              <w:rPr>
                <w:b/>
                <w:bCs/>
                <w:sz w:val="20"/>
                <w:szCs w:val="20"/>
              </w:rPr>
              <w:t>Motion to file additional documents</w:t>
            </w:r>
            <w:r w:rsidR="00377472" w:rsidRPr="0005425A">
              <w:rPr>
                <w:sz w:val="20"/>
                <w:szCs w:val="20"/>
              </w:rPr>
              <w:t xml:space="preserve"> </w:t>
            </w:r>
            <w:r w:rsidR="00377472" w:rsidRPr="0005425A">
              <w:rPr>
                <w:b/>
                <w:bCs/>
                <w:sz w:val="20"/>
                <w:szCs w:val="20"/>
              </w:rPr>
              <w:t xml:space="preserve">pursuant to Rule 32(2) of the </w:t>
            </w:r>
            <w:r w:rsidR="00377472" w:rsidRPr="0005425A">
              <w:rPr>
                <w:b/>
                <w:bCs/>
                <w:i/>
                <w:iCs/>
                <w:sz w:val="20"/>
                <w:szCs w:val="20"/>
              </w:rPr>
              <w:t>Rules of the Supreme Court of Canada</w:t>
            </w:r>
            <w:r w:rsidRPr="0005425A">
              <w:rPr>
                <w:b/>
                <w:sz w:val="20"/>
                <w:szCs w:val="20"/>
              </w:rPr>
              <w:fldChar w:fldCharType="begin"/>
            </w:r>
            <w:r w:rsidR="00377472" w:rsidRPr="0005425A">
              <w:rPr>
                <w:b/>
                <w:sz w:val="20"/>
                <w:szCs w:val="20"/>
              </w:rPr>
              <w:instrText xml:space="preserve"> SEQ CHAPTER \h \r 1</w:instrText>
            </w:r>
            <w:r w:rsidRPr="0005425A">
              <w:rPr>
                <w:b/>
                <w:sz w:val="20"/>
                <w:szCs w:val="20"/>
              </w:rPr>
              <w:fldChar w:fldCharType="end"/>
            </w:r>
          </w:p>
        </w:tc>
        <w:tc>
          <w:tcPr>
            <w:tcW w:w="1170" w:type="dxa"/>
          </w:tcPr>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p w:rsidR="00377472" w:rsidRPr="0005425A" w:rsidRDefault="00377472" w:rsidP="008E3015">
            <w:pPr>
              <w:tabs>
                <w:tab w:val="left" w:pos="-1440"/>
                <w:tab w:val="left" w:pos="-720"/>
              </w:tabs>
              <w:jc w:val="both"/>
              <w:rPr>
                <w:sz w:val="20"/>
                <w:szCs w:val="20"/>
              </w:rPr>
            </w:pPr>
          </w:p>
        </w:tc>
        <w:tc>
          <w:tcPr>
            <w:tcW w:w="4327" w:type="dxa"/>
          </w:tcPr>
          <w:p w:rsidR="00377472" w:rsidRPr="0005425A" w:rsidRDefault="0017005E" w:rsidP="008E3015">
            <w:pPr>
              <w:tabs>
                <w:tab w:val="left" w:pos="-1440"/>
                <w:tab w:val="left" w:pos="-720"/>
              </w:tabs>
              <w:jc w:val="both"/>
              <w:rPr>
                <w:b/>
                <w:sz w:val="20"/>
                <w:szCs w:val="20"/>
                <w:lang w:val="fr-CA"/>
              </w:rPr>
            </w:pPr>
            <w:r w:rsidRPr="0005425A">
              <w:rPr>
                <w:sz w:val="20"/>
                <w:szCs w:val="20"/>
              </w:rPr>
              <w:fldChar w:fldCharType="begin"/>
            </w:r>
            <w:r w:rsidR="00377472" w:rsidRPr="0005425A">
              <w:rPr>
                <w:sz w:val="20"/>
                <w:szCs w:val="20"/>
                <w:lang w:val="fr-CA"/>
              </w:rPr>
              <w:instrText xml:space="preserve"> SEQ CHAPTER \h \r 1</w:instrText>
            </w:r>
            <w:r w:rsidRPr="0005425A">
              <w:rPr>
                <w:sz w:val="20"/>
                <w:szCs w:val="20"/>
              </w:rPr>
              <w:fldChar w:fldCharType="end"/>
            </w:r>
            <w:r w:rsidR="00377472" w:rsidRPr="0005425A">
              <w:rPr>
                <w:b/>
                <w:bCs/>
                <w:sz w:val="20"/>
                <w:szCs w:val="20"/>
                <w:lang w:val="fr-CA"/>
              </w:rPr>
              <w:t>Requête en vue de déposer des documents supplémentaires</w:t>
            </w:r>
            <w:r w:rsidR="00377472" w:rsidRPr="0005425A">
              <w:rPr>
                <w:sz w:val="20"/>
                <w:szCs w:val="20"/>
                <w:lang w:val="fr-CA"/>
              </w:rPr>
              <w:t xml:space="preserve"> </w:t>
            </w:r>
            <w:r w:rsidR="00377472" w:rsidRPr="0005425A">
              <w:rPr>
                <w:b/>
                <w:bCs/>
                <w:sz w:val="20"/>
                <w:szCs w:val="20"/>
                <w:lang w:val="fr-CA"/>
              </w:rPr>
              <w:t xml:space="preserve">en vertu du paragraphe 32(2) des </w:t>
            </w:r>
            <w:r w:rsidR="00377472" w:rsidRPr="0005425A">
              <w:rPr>
                <w:b/>
                <w:bCs/>
                <w:i/>
                <w:iCs/>
                <w:sz w:val="20"/>
                <w:szCs w:val="20"/>
                <w:lang w:val="fr-CA"/>
              </w:rPr>
              <w:t>Règles de la Cour suprême du Canada</w:t>
            </w:r>
            <w:r w:rsidRPr="0005425A">
              <w:rPr>
                <w:b/>
                <w:sz w:val="20"/>
                <w:szCs w:val="20"/>
              </w:rPr>
              <w:fldChar w:fldCharType="begin"/>
            </w:r>
            <w:r w:rsidR="00377472" w:rsidRPr="0005425A">
              <w:rPr>
                <w:b/>
                <w:sz w:val="20"/>
                <w:szCs w:val="20"/>
                <w:lang w:val="fr-CA"/>
              </w:rPr>
              <w:instrText xml:space="preserve"> SEQ CHAPTER \h \r 1</w:instrText>
            </w:r>
            <w:r w:rsidRPr="0005425A">
              <w:rPr>
                <w:b/>
                <w:sz w:val="20"/>
                <w:szCs w:val="20"/>
              </w:rPr>
              <w:fldChar w:fldCharType="end"/>
            </w:r>
          </w:p>
        </w:tc>
      </w:tr>
      <w:tr w:rsidR="00377472" w:rsidRPr="005C0D71" w:rsidTr="008E3015">
        <w:tc>
          <w:tcPr>
            <w:tcW w:w="4338" w:type="dxa"/>
          </w:tcPr>
          <w:p w:rsidR="00377472" w:rsidRPr="0005425A" w:rsidRDefault="00377472" w:rsidP="008E3015">
            <w:pPr>
              <w:tabs>
                <w:tab w:val="left" w:pos="-1440"/>
                <w:tab w:val="left" w:pos="-720"/>
              </w:tabs>
              <w:jc w:val="both"/>
              <w:rPr>
                <w:sz w:val="20"/>
                <w:szCs w:val="20"/>
                <w:lang w:val="fr-CA"/>
              </w:rPr>
            </w:pPr>
            <w:r w:rsidRPr="0005425A">
              <w:rPr>
                <w:sz w:val="20"/>
                <w:szCs w:val="20"/>
                <w:lang w:val="fr-CA"/>
              </w:rPr>
              <w:t>G.G.</w:t>
            </w:r>
          </w:p>
          <w:p w:rsidR="00377472" w:rsidRPr="0005425A" w:rsidRDefault="00377472" w:rsidP="008E3015">
            <w:pPr>
              <w:tabs>
                <w:tab w:val="left" w:pos="-1440"/>
                <w:tab w:val="left" w:pos="-720"/>
              </w:tabs>
              <w:jc w:val="both"/>
              <w:rPr>
                <w:sz w:val="20"/>
                <w:szCs w:val="20"/>
                <w:lang w:val="fr-CA"/>
              </w:rPr>
            </w:pPr>
          </w:p>
          <w:p w:rsidR="00377472" w:rsidRPr="0005425A" w:rsidRDefault="00377472" w:rsidP="008E3015">
            <w:pPr>
              <w:tabs>
                <w:tab w:val="left" w:pos="-1440"/>
                <w:tab w:val="left" w:pos="-720"/>
              </w:tabs>
              <w:jc w:val="both"/>
              <w:rPr>
                <w:sz w:val="20"/>
                <w:szCs w:val="20"/>
                <w:lang w:val="fr-CA"/>
              </w:rPr>
            </w:pPr>
            <w:r w:rsidRPr="0005425A">
              <w:rPr>
                <w:sz w:val="20"/>
                <w:szCs w:val="20"/>
                <w:lang w:val="fr-CA"/>
              </w:rPr>
              <w:tab/>
              <w:t>c. (35205)</w:t>
            </w:r>
          </w:p>
          <w:p w:rsidR="00377472" w:rsidRPr="0005425A" w:rsidRDefault="00377472" w:rsidP="008E3015">
            <w:pPr>
              <w:tabs>
                <w:tab w:val="left" w:pos="-1440"/>
                <w:tab w:val="left" w:pos="-720"/>
              </w:tabs>
              <w:jc w:val="both"/>
              <w:rPr>
                <w:sz w:val="20"/>
                <w:szCs w:val="20"/>
                <w:lang w:val="fr-CA"/>
              </w:rPr>
            </w:pPr>
          </w:p>
          <w:p w:rsidR="00377472" w:rsidRPr="0005425A" w:rsidRDefault="00377472" w:rsidP="008E3015">
            <w:pPr>
              <w:tabs>
                <w:tab w:val="left" w:pos="-1440"/>
                <w:tab w:val="left" w:pos="-720"/>
              </w:tabs>
              <w:jc w:val="both"/>
              <w:rPr>
                <w:sz w:val="20"/>
                <w:szCs w:val="20"/>
                <w:lang w:val="fr-CA"/>
              </w:rPr>
            </w:pPr>
            <w:r w:rsidRPr="0005425A">
              <w:rPr>
                <w:sz w:val="20"/>
                <w:szCs w:val="20"/>
                <w:lang w:val="fr-CA"/>
              </w:rPr>
              <w:t>Tribunal administratif du Québec (Qc.)</w:t>
            </w:r>
          </w:p>
        </w:tc>
        <w:tc>
          <w:tcPr>
            <w:tcW w:w="1170" w:type="dxa"/>
          </w:tcPr>
          <w:p w:rsidR="00377472" w:rsidRPr="0005425A" w:rsidRDefault="00377472" w:rsidP="008E3015">
            <w:pPr>
              <w:tabs>
                <w:tab w:val="left" w:pos="-1440"/>
                <w:tab w:val="left" w:pos="-720"/>
              </w:tabs>
              <w:jc w:val="both"/>
              <w:rPr>
                <w:sz w:val="20"/>
                <w:szCs w:val="20"/>
                <w:lang w:val="fr-CA"/>
              </w:rPr>
            </w:pPr>
          </w:p>
        </w:tc>
        <w:tc>
          <w:tcPr>
            <w:tcW w:w="4327" w:type="dxa"/>
          </w:tcPr>
          <w:p w:rsidR="00377472" w:rsidRPr="0005425A" w:rsidRDefault="00377472" w:rsidP="008E3015">
            <w:pPr>
              <w:tabs>
                <w:tab w:val="left" w:pos="-1440"/>
                <w:tab w:val="left" w:pos="-720"/>
              </w:tabs>
              <w:jc w:val="both"/>
              <w:rPr>
                <w:sz w:val="20"/>
                <w:szCs w:val="20"/>
                <w:lang w:val="fr-CA"/>
              </w:rPr>
            </w:pPr>
          </w:p>
        </w:tc>
      </w:tr>
    </w:tbl>
    <w:p w:rsidR="00377472" w:rsidRPr="0005425A" w:rsidRDefault="00377472" w:rsidP="00377472">
      <w:pPr>
        <w:tabs>
          <w:tab w:val="left" w:pos="-1440"/>
          <w:tab w:val="left" w:pos="-720"/>
        </w:tabs>
        <w:jc w:val="both"/>
        <w:rPr>
          <w:b/>
          <w:sz w:val="20"/>
          <w:szCs w:val="20"/>
          <w:lang w:val="fr-CA"/>
        </w:rPr>
      </w:pPr>
    </w:p>
    <w:p w:rsidR="00377472" w:rsidRPr="0005425A" w:rsidRDefault="00377472" w:rsidP="00377472">
      <w:pPr>
        <w:tabs>
          <w:tab w:val="left" w:pos="-1440"/>
          <w:tab w:val="left" w:pos="-720"/>
        </w:tabs>
        <w:jc w:val="both"/>
        <w:rPr>
          <w:sz w:val="20"/>
          <w:szCs w:val="20"/>
        </w:rPr>
      </w:pPr>
      <w:r w:rsidRPr="0005425A">
        <w:rPr>
          <w:b/>
          <w:sz w:val="20"/>
          <w:szCs w:val="20"/>
          <w:lang w:val="fr-CA"/>
        </w:rPr>
        <w:t>DISMISS</w:t>
      </w:r>
      <w:r w:rsidRPr="0005425A">
        <w:rPr>
          <w:b/>
          <w:sz w:val="20"/>
          <w:szCs w:val="20"/>
        </w:rPr>
        <w:t>ED / REJETÉE</w:t>
      </w:r>
    </w:p>
    <w:p w:rsidR="00377472" w:rsidRPr="0005425A" w:rsidRDefault="00377472" w:rsidP="00377472">
      <w:pPr>
        <w:tabs>
          <w:tab w:val="left" w:pos="-1440"/>
          <w:tab w:val="left" w:pos="-720"/>
        </w:tabs>
        <w:jc w:val="both"/>
        <w:rPr>
          <w:sz w:val="20"/>
          <w:szCs w:val="20"/>
        </w:rPr>
      </w:pPr>
    </w:p>
    <w:p w:rsidR="00377472" w:rsidRPr="0005425A" w:rsidRDefault="00377472" w:rsidP="00377472">
      <w:pPr>
        <w:tabs>
          <w:tab w:val="left" w:pos="-1440"/>
          <w:tab w:val="left" w:pos="-720"/>
        </w:tabs>
        <w:spacing w:line="-19" w:lineRule="auto"/>
        <w:jc w:val="both"/>
        <w:rPr>
          <w:sz w:val="20"/>
          <w:szCs w:val="20"/>
          <w:lang w:val="fr-CA"/>
        </w:rPr>
      </w:pPr>
    </w:p>
    <w:p w:rsidR="00377472" w:rsidRPr="0005425A" w:rsidRDefault="0017005E" w:rsidP="00377472">
      <w:pPr>
        <w:tabs>
          <w:tab w:val="left" w:pos="-1440"/>
          <w:tab w:val="left" w:pos="-720"/>
        </w:tabs>
        <w:jc w:val="both"/>
        <w:rPr>
          <w:sz w:val="20"/>
          <w:szCs w:val="20"/>
        </w:rPr>
      </w:pPr>
      <w:r w:rsidRPr="0017005E">
        <w:rPr>
          <w:sz w:val="20"/>
          <w:szCs w:val="20"/>
          <w:lang w:val="fr-CA"/>
        </w:rPr>
        <w:pict>
          <v:rect id="_x0000_i1060"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5C0D71"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AE0B7C" w:rsidP="003B3977">
            <w:pPr>
              <w:rPr>
                <w:sz w:val="20"/>
                <w:szCs w:val="20"/>
              </w:rPr>
            </w:pPr>
            <w:r>
              <w:rPr>
                <w:sz w:val="20"/>
                <w:szCs w:val="20"/>
              </w:rPr>
              <w:t>19</w:t>
            </w:r>
            <w:r w:rsidR="0010587F" w:rsidRPr="003B3977">
              <w:rPr>
                <w:sz w:val="20"/>
                <w:szCs w:val="20"/>
              </w:rPr>
              <w:t>.0</w:t>
            </w:r>
            <w:r>
              <w:rPr>
                <w:sz w:val="20"/>
                <w:szCs w:val="20"/>
              </w:rPr>
              <w:t>4</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AE0B7C" w:rsidP="003B3977">
            <w:pPr>
              <w:rPr>
                <w:b/>
                <w:sz w:val="20"/>
                <w:szCs w:val="20"/>
              </w:rPr>
            </w:pPr>
            <w:r>
              <w:rPr>
                <w:b/>
                <w:sz w:val="20"/>
                <w:szCs w:val="20"/>
              </w:rPr>
              <w:t>Percy W</w:t>
            </w:r>
            <w:r w:rsidR="0010587F" w:rsidRPr="003B3977">
              <w:rPr>
                <w:b/>
                <w:sz w:val="20"/>
                <w:szCs w:val="20"/>
              </w:rPr>
              <w:t>a</w:t>
            </w:r>
            <w:r>
              <w:rPr>
                <w:b/>
                <w:sz w:val="20"/>
                <w:szCs w:val="20"/>
              </w:rPr>
              <w:t>lt</w:t>
            </w:r>
            <w:r w:rsidR="0010587F" w:rsidRPr="003B3977">
              <w:rPr>
                <w:b/>
                <w:sz w:val="20"/>
                <w:szCs w:val="20"/>
              </w:rPr>
              <w:t>e</w:t>
            </w:r>
            <w:r>
              <w:rPr>
                <w:b/>
                <w:sz w:val="20"/>
                <w:szCs w:val="20"/>
              </w:rPr>
              <w:t>r Davis</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AE0B7C">
              <w:rPr>
                <w:b/>
                <w:sz w:val="20"/>
                <w:szCs w:val="20"/>
              </w:rPr>
              <w:t>5</w:t>
            </w:r>
            <w:r w:rsidRPr="003B3977">
              <w:rPr>
                <w:b/>
                <w:sz w:val="20"/>
                <w:szCs w:val="20"/>
              </w:rPr>
              <w:t>3</w:t>
            </w:r>
            <w:r w:rsidR="00AE0B7C">
              <w:rPr>
                <w:b/>
                <w:sz w:val="20"/>
                <w:szCs w:val="20"/>
              </w:rPr>
              <w:t>27</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(Alta.)</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17005E" w:rsidP="003B3977">
            <w:pPr>
              <w:rPr>
                <w:sz w:val="20"/>
                <w:szCs w:val="20"/>
                <w:lang w:val="fr-CA"/>
              </w:rPr>
            </w:pPr>
            <w:r w:rsidRPr="0017005E">
              <w:rPr>
                <w:sz w:val="20"/>
                <w:szCs w:val="20"/>
                <w:lang w:val="fr-CA"/>
              </w:rPr>
              <w:pict>
                <v:rect id="_x0000_i106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5C0D7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732DB7" w:rsidP="00732DB7">
      <w:pPr>
        <w:widowControl w:val="0"/>
        <w:rPr>
          <w:sz w:val="20"/>
          <w:szCs w:val="20"/>
        </w:rPr>
      </w:pPr>
      <w:r w:rsidRPr="00C50A5C">
        <w:rPr>
          <w:sz w:val="20"/>
          <w:szCs w:val="20"/>
        </w:rPr>
        <w:t>2</w:t>
      </w:r>
      <w:r w:rsidR="00B41132">
        <w:rPr>
          <w:sz w:val="20"/>
          <w:szCs w:val="20"/>
        </w:rPr>
        <w:t>5</w:t>
      </w:r>
      <w:r w:rsidRPr="00C50A5C">
        <w:rPr>
          <w:sz w:val="20"/>
          <w:szCs w:val="20"/>
        </w:rPr>
        <w:t>.0</w:t>
      </w:r>
      <w:r w:rsidR="00B41132">
        <w:rPr>
          <w:sz w:val="20"/>
          <w:szCs w:val="20"/>
        </w:rPr>
        <w:t>4</w:t>
      </w:r>
      <w:r w:rsidRPr="00C50A5C">
        <w:rPr>
          <w:sz w:val="20"/>
          <w:szCs w:val="20"/>
        </w:rPr>
        <w:t>.201</w:t>
      </w:r>
      <w:r w:rsidR="00B41132">
        <w:rPr>
          <w:sz w:val="20"/>
          <w:szCs w:val="20"/>
        </w:rPr>
        <w:t>3</w:t>
      </w:r>
    </w:p>
    <w:p w:rsidR="00732DB7" w:rsidRPr="00C50A5C"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Fish, </w:t>
      </w:r>
      <w:proofErr w:type="spellStart"/>
      <w:r w:rsidRPr="00C50A5C">
        <w:rPr>
          <w:sz w:val="20"/>
          <w:szCs w:val="20"/>
          <w:u w:val="single"/>
        </w:rPr>
        <w:t>Abella</w:t>
      </w:r>
      <w:proofErr w:type="spellEnd"/>
      <w:r w:rsidRPr="00C50A5C">
        <w:rPr>
          <w:sz w:val="20"/>
          <w:szCs w:val="20"/>
          <w:u w:val="single"/>
        </w:rPr>
        <w:t xml:space="preserve">, </w:t>
      </w:r>
      <w:proofErr w:type="spellStart"/>
      <w:r w:rsidR="009472E8">
        <w:rPr>
          <w:sz w:val="20"/>
          <w:szCs w:val="20"/>
          <w:u w:val="single"/>
        </w:rPr>
        <w:t>M</w:t>
      </w:r>
      <w:r w:rsidRPr="00C50A5C">
        <w:rPr>
          <w:sz w:val="20"/>
          <w:szCs w:val="20"/>
          <w:u w:val="single"/>
        </w:rPr>
        <w:t>o</w:t>
      </w:r>
      <w:r w:rsidR="009472E8">
        <w:rPr>
          <w:sz w:val="20"/>
          <w:szCs w:val="20"/>
          <w:u w:val="single"/>
        </w:rPr>
        <w:t>ldaver</w:t>
      </w:r>
      <w:proofErr w:type="spellEnd"/>
      <w:r w:rsidRPr="00C50A5C">
        <w:rPr>
          <w:sz w:val="20"/>
          <w:szCs w:val="20"/>
          <w:u w:val="single"/>
        </w:rPr>
        <w:t xml:space="preserve"> and </w:t>
      </w:r>
      <w:proofErr w:type="spellStart"/>
      <w:r w:rsidR="009472E8">
        <w:rPr>
          <w:sz w:val="20"/>
          <w:szCs w:val="20"/>
          <w:u w:val="single"/>
        </w:rPr>
        <w:t>Karakatsanis</w:t>
      </w:r>
      <w:proofErr w:type="spellEnd"/>
      <w:r w:rsidRPr="00C50A5C">
        <w:rPr>
          <w:sz w:val="20"/>
          <w:szCs w:val="20"/>
          <w:u w:val="single"/>
        </w:rPr>
        <w:t xml:space="preserve"> JJ.</w:t>
      </w:r>
      <w:r w:rsidRPr="00C50A5C">
        <w:rPr>
          <w:sz w:val="20"/>
          <w:szCs w:val="20"/>
        </w:rPr>
        <w:t xml:space="preserve"> </w:t>
      </w:r>
    </w:p>
    <w:p w:rsidR="00732DB7"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9472E8" w:rsidRPr="00C50A5C" w:rsidTr="00F55AA9">
        <w:tc>
          <w:tcPr>
            <w:tcW w:w="4380" w:type="dxa"/>
            <w:tcMar>
              <w:left w:w="0" w:type="dxa"/>
              <w:right w:w="0" w:type="dxa"/>
            </w:tcMar>
          </w:tcPr>
          <w:p w:rsidR="009472E8" w:rsidRDefault="009472E8" w:rsidP="00F55AA9">
            <w:pPr>
              <w:widowControl w:val="0"/>
              <w:jc w:val="both"/>
              <w:rPr>
                <w:b/>
                <w:sz w:val="20"/>
                <w:szCs w:val="20"/>
              </w:rPr>
            </w:pPr>
            <w:r>
              <w:rPr>
                <w:b/>
                <w:sz w:val="20"/>
                <w:szCs w:val="20"/>
              </w:rPr>
              <w:t>Her Majesty the Queen</w:t>
            </w:r>
          </w:p>
          <w:p w:rsidR="009472E8" w:rsidRPr="00C50A5C" w:rsidRDefault="009472E8" w:rsidP="00F55AA9">
            <w:pPr>
              <w:widowControl w:val="0"/>
              <w:jc w:val="both"/>
              <w:rPr>
                <w:b/>
                <w:sz w:val="20"/>
                <w:szCs w:val="20"/>
              </w:rPr>
            </w:pPr>
          </w:p>
          <w:p w:rsidR="009472E8" w:rsidRPr="00C50A5C" w:rsidRDefault="009472E8" w:rsidP="00F55AA9">
            <w:pPr>
              <w:widowControl w:val="0"/>
              <w:tabs>
                <w:tab w:val="left" w:pos="736"/>
              </w:tabs>
              <w:jc w:val="both"/>
              <w:rPr>
                <w:b/>
                <w:sz w:val="20"/>
                <w:szCs w:val="20"/>
              </w:rPr>
            </w:pPr>
            <w:r w:rsidRPr="00C50A5C">
              <w:rPr>
                <w:b/>
                <w:sz w:val="20"/>
                <w:szCs w:val="20"/>
              </w:rPr>
              <w:tab/>
              <w:t>v. (3</w:t>
            </w:r>
            <w:r>
              <w:rPr>
                <w:b/>
                <w:sz w:val="20"/>
                <w:szCs w:val="20"/>
              </w:rPr>
              <w:t>4952</w:t>
            </w:r>
            <w:r w:rsidRPr="00C50A5C">
              <w:rPr>
                <w:b/>
                <w:sz w:val="20"/>
                <w:szCs w:val="20"/>
              </w:rPr>
              <w:t>)</w:t>
            </w:r>
          </w:p>
          <w:p w:rsidR="009472E8" w:rsidRPr="00C50A5C" w:rsidRDefault="009472E8" w:rsidP="00F55AA9">
            <w:pPr>
              <w:widowControl w:val="0"/>
              <w:jc w:val="both"/>
              <w:rPr>
                <w:b/>
                <w:sz w:val="20"/>
                <w:szCs w:val="20"/>
              </w:rPr>
            </w:pPr>
          </w:p>
          <w:p w:rsidR="009472E8" w:rsidRPr="0093057E" w:rsidRDefault="009472E8" w:rsidP="009472E8">
            <w:pPr>
              <w:widowControl w:val="0"/>
              <w:jc w:val="both"/>
              <w:rPr>
                <w:sz w:val="20"/>
                <w:szCs w:val="20"/>
              </w:rPr>
            </w:pPr>
            <w:r>
              <w:rPr>
                <w:b/>
                <w:sz w:val="20"/>
                <w:szCs w:val="20"/>
              </w:rPr>
              <w:t>G.M.</w:t>
            </w:r>
            <w:r w:rsidRPr="00C50A5C">
              <w:rPr>
                <w:b/>
                <w:sz w:val="20"/>
                <w:szCs w:val="20"/>
              </w:rPr>
              <w:t xml:space="preserve"> (</w:t>
            </w:r>
            <w:r>
              <w:rPr>
                <w:b/>
                <w:sz w:val="20"/>
                <w:szCs w:val="20"/>
              </w:rPr>
              <w:t>N.L.</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As of Right</w:t>
            </w:r>
            <w:r w:rsidRPr="00C50A5C">
              <w:rPr>
                <w:b/>
                <w:sz w:val="20"/>
                <w:szCs w:val="20"/>
              </w:rPr>
              <w:t>)</w:t>
            </w:r>
          </w:p>
        </w:tc>
        <w:tc>
          <w:tcPr>
            <w:tcW w:w="720" w:type="dxa"/>
            <w:tcMar>
              <w:left w:w="0" w:type="dxa"/>
              <w:right w:w="0" w:type="dxa"/>
            </w:tcMar>
          </w:tcPr>
          <w:p w:rsidR="009472E8" w:rsidRPr="0093057E" w:rsidRDefault="009472E8" w:rsidP="00F55AA9">
            <w:pPr>
              <w:widowControl w:val="0"/>
              <w:jc w:val="center"/>
              <w:rPr>
                <w:sz w:val="20"/>
                <w:szCs w:val="20"/>
              </w:rPr>
            </w:pPr>
          </w:p>
        </w:tc>
        <w:tc>
          <w:tcPr>
            <w:tcW w:w="4380" w:type="dxa"/>
            <w:tcMar>
              <w:left w:w="0" w:type="dxa"/>
              <w:right w:w="0" w:type="dxa"/>
            </w:tcMar>
          </w:tcPr>
          <w:p w:rsidR="00D2734F" w:rsidRPr="00B005B5" w:rsidRDefault="00D2734F" w:rsidP="00D2734F">
            <w:pPr>
              <w:jc w:val="both"/>
              <w:rPr>
                <w:sz w:val="20"/>
                <w:szCs w:val="20"/>
                <w:lang w:val="en-US"/>
              </w:rPr>
            </w:pPr>
            <w:r w:rsidRPr="00B005B5">
              <w:rPr>
                <w:sz w:val="20"/>
                <w:szCs w:val="20"/>
                <w:lang w:val="en-US"/>
              </w:rPr>
              <w:t xml:space="preserve">Frances J. </w:t>
            </w:r>
            <w:proofErr w:type="spellStart"/>
            <w:r w:rsidRPr="00B005B5">
              <w:rPr>
                <w:sz w:val="20"/>
                <w:szCs w:val="20"/>
                <w:lang w:val="en-US"/>
              </w:rPr>
              <w:t>Knickle</w:t>
            </w:r>
            <w:proofErr w:type="spellEnd"/>
            <w:r>
              <w:rPr>
                <w:sz w:val="20"/>
                <w:szCs w:val="20"/>
                <w:lang w:val="en-US"/>
              </w:rPr>
              <w:t xml:space="preserve"> f</w:t>
            </w:r>
            <w:r w:rsidRPr="00B005B5">
              <w:rPr>
                <w:sz w:val="20"/>
                <w:szCs w:val="20"/>
                <w:lang w:val="en-US"/>
              </w:rPr>
              <w:t xml:space="preserve">or the </w:t>
            </w:r>
            <w:r>
              <w:rPr>
                <w:sz w:val="20"/>
                <w:szCs w:val="20"/>
                <w:lang w:val="en-US"/>
              </w:rPr>
              <w:t>a</w:t>
            </w:r>
            <w:r w:rsidRPr="00B005B5">
              <w:rPr>
                <w:sz w:val="20"/>
                <w:szCs w:val="20"/>
                <w:lang w:val="en-US"/>
              </w:rPr>
              <w:t>ppellant.</w:t>
            </w:r>
          </w:p>
          <w:p w:rsidR="00D2734F" w:rsidRPr="00B005B5" w:rsidRDefault="00D2734F" w:rsidP="00D2734F">
            <w:pPr>
              <w:jc w:val="both"/>
              <w:rPr>
                <w:sz w:val="20"/>
                <w:szCs w:val="20"/>
                <w:lang w:val="en-US"/>
              </w:rPr>
            </w:pPr>
          </w:p>
          <w:p w:rsidR="009472E8" w:rsidRPr="00D2734F" w:rsidRDefault="00D2734F" w:rsidP="00D2734F">
            <w:pPr>
              <w:jc w:val="both"/>
              <w:rPr>
                <w:sz w:val="20"/>
                <w:szCs w:val="20"/>
                <w:lang w:val="en-US"/>
              </w:rPr>
            </w:pPr>
            <w:r w:rsidRPr="00B005B5">
              <w:rPr>
                <w:sz w:val="20"/>
                <w:szCs w:val="20"/>
                <w:lang w:val="en-US"/>
              </w:rPr>
              <w:t>Peter E. Ralph, Q.C.</w:t>
            </w:r>
            <w:r>
              <w:rPr>
                <w:sz w:val="20"/>
                <w:szCs w:val="20"/>
                <w:lang w:val="en-US"/>
              </w:rPr>
              <w:t xml:space="preserve"> and </w:t>
            </w:r>
            <w:r w:rsidRPr="00B005B5">
              <w:rPr>
                <w:sz w:val="20"/>
                <w:szCs w:val="20"/>
                <w:lang w:val="en-US"/>
              </w:rPr>
              <w:t>Michael A. Crystal</w:t>
            </w:r>
            <w:r>
              <w:rPr>
                <w:sz w:val="20"/>
                <w:szCs w:val="20"/>
                <w:lang w:val="en-US"/>
              </w:rPr>
              <w:t xml:space="preserve"> f</w:t>
            </w:r>
            <w:r w:rsidRPr="00B005B5">
              <w:rPr>
                <w:sz w:val="20"/>
                <w:szCs w:val="20"/>
                <w:lang w:val="en-US"/>
              </w:rPr>
              <w:t xml:space="preserve">or the </w:t>
            </w:r>
            <w:r>
              <w:rPr>
                <w:sz w:val="20"/>
                <w:szCs w:val="20"/>
                <w:lang w:val="en-US"/>
              </w:rPr>
              <w:t>r</w:t>
            </w:r>
            <w:r w:rsidRPr="00B005B5">
              <w:rPr>
                <w:sz w:val="20"/>
                <w:szCs w:val="20"/>
                <w:lang w:val="en-US"/>
              </w:rPr>
              <w:t>espondent</w:t>
            </w:r>
            <w:r>
              <w:rPr>
                <w:sz w:val="20"/>
                <w:szCs w:val="20"/>
                <w:lang w:val="en-US"/>
              </w:rPr>
              <w:t>.</w:t>
            </w:r>
          </w:p>
        </w:tc>
      </w:tr>
    </w:tbl>
    <w:p w:rsidR="009472E8" w:rsidRDefault="009472E8" w:rsidP="00732DB7">
      <w:pPr>
        <w:widowControl w:val="0"/>
        <w:rPr>
          <w:b/>
          <w:sz w:val="20"/>
          <w:szCs w:val="20"/>
        </w:rPr>
      </w:pPr>
    </w:p>
    <w:p w:rsidR="009472E8" w:rsidRDefault="009472E8" w:rsidP="00732DB7">
      <w:pPr>
        <w:widowControl w:val="0"/>
        <w:rPr>
          <w:b/>
          <w:sz w:val="20"/>
          <w:szCs w:val="20"/>
        </w:rPr>
      </w:pPr>
      <w:r>
        <w:rPr>
          <w:b/>
          <w:sz w:val="20"/>
          <w:szCs w:val="20"/>
        </w:rPr>
        <w:t>2013 SCC 24 / 2013 CSC 24</w:t>
      </w:r>
    </w:p>
    <w:p w:rsidR="009472E8" w:rsidRDefault="009472E8" w:rsidP="00732DB7">
      <w:pPr>
        <w:widowControl w:val="0"/>
        <w:rPr>
          <w:b/>
          <w:sz w:val="20"/>
          <w:szCs w:val="20"/>
        </w:rPr>
      </w:pPr>
    </w:p>
    <w:p w:rsidR="00C1697B" w:rsidRPr="0085476B" w:rsidRDefault="009472E8" w:rsidP="00C1697B">
      <w:pPr>
        <w:widowControl w:val="0"/>
        <w:rPr>
          <w:sz w:val="20"/>
          <w:szCs w:val="20"/>
        </w:rPr>
      </w:pPr>
      <w:r>
        <w:rPr>
          <w:b/>
          <w:sz w:val="20"/>
          <w:szCs w:val="20"/>
        </w:rPr>
        <w:t>ALLOW</w:t>
      </w:r>
      <w:r w:rsidR="00C1697B" w:rsidRPr="0085476B">
        <w:rPr>
          <w:b/>
          <w:sz w:val="20"/>
          <w:szCs w:val="20"/>
        </w:rPr>
        <w:t xml:space="preserve">ED / </w:t>
      </w:r>
      <w:r>
        <w:rPr>
          <w:b/>
          <w:sz w:val="20"/>
          <w:szCs w:val="20"/>
        </w:rPr>
        <w:t>ACCU</w:t>
      </w:r>
      <w:r w:rsidR="00C1697B" w:rsidRPr="0085476B">
        <w:rPr>
          <w:b/>
          <w:sz w:val="20"/>
          <w:szCs w:val="20"/>
          <w:lang w:val="fr-CA"/>
        </w:rPr>
        <w:t>EI</w:t>
      </w:r>
      <w:r>
        <w:rPr>
          <w:b/>
          <w:sz w:val="20"/>
          <w:szCs w:val="20"/>
          <w:lang w:val="fr-CA"/>
        </w:rPr>
        <w:t>LLI</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5C0D71"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4F7821" w:rsidRPr="00186135" w:rsidRDefault="004F7821" w:rsidP="004F7821">
            <w:pPr>
              <w:widowControl w:val="0"/>
              <w:jc w:val="both"/>
              <w:rPr>
                <w:smallCaps/>
                <w:sz w:val="20"/>
                <w:szCs w:val="20"/>
              </w:rPr>
            </w:pPr>
            <w:r w:rsidRPr="00186135">
              <w:rPr>
                <w:smallCaps/>
                <w:sz w:val="20"/>
                <w:szCs w:val="20"/>
              </w:rPr>
              <w:t xml:space="preserve">(Publication </w:t>
            </w:r>
            <w:r>
              <w:rPr>
                <w:smallCaps/>
                <w:sz w:val="20"/>
              </w:rPr>
              <w:t>B</w:t>
            </w:r>
            <w:r w:rsidRPr="00186135">
              <w:rPr>
                <w:smallCaps/>
                <w:sz w:val="20"/>
                <w:szCs w:val="20"/>
              </w:rPr>
              <w:t xml:space="preserve">an in </w:t>
            </w:r>
            <w:r>
              <w:rPr>
                <w:smallCaps/>
                <w:sz w:val="20"/>
              </w:rPr>
              <w:t>C</w:t>
            </w:r>
            <w:r w:rsidRPr="00186135">
              <w:rPr>
                <w:smallCaps/>
                <w:sz w:val="20"/>
                <w:szCs w:val="20"/>
              </w:rPr>
              <w:t xml:space="preserve">ase) (Publication </w:t>
            </w:r>
            <w:r>
              <w:rPr>
                <w:smallCaps/>
                <w:sz w:val="20"/>
              </w:rPr>
              <w:t>B</w:t>
            </w:r>
            <w:r w:rsidRPr="00186135">
              <w:rPr>
                <w:smallCaps/>
                <w:sz w:val="20"/>
                <w:szCs w:val="20"/>
              </w:rPr>
              <w:t xml:space="preserve">an on </w:t>
            </w:r>
            <w:r>
              <w:rPr>
                <w:smallCaps/>
                <w:sz w:val="20"/>
              </w:rPr>
              <w:t>P</w:t>
            </w:r>
            <w:r w:rsidRPr="00186135">
              <w:rPr>
                <w:smallCaps/>
                <w:sz w:val="20"/>
                <w:szCs w:val="20"/>
              </w:rPr>
              <w:t>arty)</w:t>
            </w:r>
          </w:p>
          <w:p w:rsidR="004F7821" w:rsidRDefault="004F7821" w:rsidP="004F7821">
            <w:pPr>
              <w:widowControl w:val="0"/>
              <w:jc w:val="both"/>
              <w:rPr>
                <w:sz w:val="20"/>
                <w:szCs w:val="20"/>
              </w:rPr>
            </w:pPr>
          </w:p>
          <w:p w:rsidR="004F7821" w:rsidRPr="00186135" w:rsidRDefault="004F7821" w:rsidP="004F7821">
            <w:pPr>
              <w:widowControl w:val="0"/>
              <w:jc w:val="both"/>
              <w:rPr>
                <w:sz w:val="20"/>
                <w:szCs w:val="20"/>
              </w:rPr>
            </w:pPr>
          </w:p>
          <w:p w:rsidR="00C1697B" w:rsidRPr="00C1697B" w:rsidRDefault="004F7821" w:rsidP="004F7821">
            <w:pPr>
              <w:widowControl w:val="0"/>
              <w:jc w:val="both"/>
              <w:rPr>
                <w:b/>
                <w:sz w:val="20"/>
                <w:szCs w:val="20"/>
              </w:rPr>
            </w:pPr>
            <w:r w:rsidRPr="00186135">
              <w:rPr>
                <w:sz w:val="20"/>
                <w:szCs w:val="20"/>
              </w:rPr>
              <w:t xml:space="preserve">Criminal law </w:t>
            </w:r>
            <w:r w:rsidRPr="00186135">
              <w:rPr>
                <w:sz w:val="20"/>
                <w:szCs w:val="20"/>
              </w:rPr>
              <w:noBreakHyphen/>
              <w:t xml:space="preserve"> Trial </w:t>
            </w:r>
            <w:r w:rsidRPr="00186135">
              <w:rPr>
                <w:sz w:val="20"/>
                <w:szCs w:val="20"/>
              </w:rPr>
              <w:noBreakHyphen/>
              <w:t xml:space="preserve"> Ineffective representation by counsel </w:t>
            </w:r>
            <w:r w:rsidRPr="00186135">
              <w:rPr>
                <w:sz w:val="20"/>
                <w:szCs w:val="20"/>
              </w:rPr>
              <w:noBreakHyphen/>
              <w:t xml:space="preserve"> Fresh evidence </w:t>
            </w:r>
            <w:r w:rsidRPr="00186135">
              <w:rPr>
                <w:sz w:val="20"/>
                <w:szCs w:val="20"/>
              </w:rPr>
              <w:noBreakHyphen/>
              <w:t xml:space="preserve"> Whether the Court of Appeal erred in its interpretation and application of </w:t>
            </w:r>
            <w:r w:rsidRPr="00186135">
              <w:rPr>
                <w:i/>
                <w:sz w:val="20"/>
                <w:szCs w:val="20"/>
              </w:rPr>
              <w:t>R. v. G.D.B.</w:t>
            </w:r>
            <w:r w:rsidRPr="00186135">
              <w:rPr>
                <w:sz w:val="20"/>
                <w:szCs w:val="20"/>
              </w:rPr>
              <w:t>, [2000] 1 S.C.R. 520, by allowing the fresh evidence application in the circumstances of this case.</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4F7821" w:rsidRPr="00A145F0" w:rsidRDefault="004F7821" w:rsidP="004F7821">
            <w:pPr>
              <w:widowControl w:val="0"/>
              <w:jc w:val="both"/>
              <w:rPr>
                <w:smallCaps/>
                <w:sz w:val="20"/>
                <w:szCs w:val="20"/>
                <w:lang w:val="fr-CA"/>
              </w:rPr>
            </w:pPr>
            <w:r w:rsidRPr="00A145F0">
              <w:rPr>
                <w:smallCaps/>
                <w:sz w:val="20"/>
                <w:szCs w:val="20"/>
                <w:lang w:val="fr-CA"/>
              </w:rPr>
              <w:t xml:space="preserve">(Ordonnance de </w:t>
            </w:r>
            <w:proofErr w:type="spellStart"/>
            <w:r w:rsidRPr="00A145F0">
              <w:rPr>
                <w:smallCaps/>
                <w:sz w:val="20"/>
                <w:szCs w:val="20"/>
                <w:lang w:val="fr-CA"/>
              </w:rPr>
              <w:t>non</w:t>
            </w:r>
            <w:r w:rsidRPr="00A145F0">
              <w:rPr>
                <w:smallCaps/>
                <w:sz w:val="20"/>
                <w:szCs w:val="20"/>
                <w:lang w:val="fr-CA"/>
              </w:rPr>
              <w:noBreakHyphen/>
              <w:t>publication</w:t>
            </w:r>
            <w:proofErr w:type="spellEnd"/>
            <w:r w:rsidRPr="00A145F0">
              <w:rPr>
                <w:smallCaps/>
                <w:sz w:val="20"/>
                <w:szCs w:val="20"/>
                <w:lang w:val="fr-CA"/>
              </w:rPr>
              <w:t xml:space="preserve"> dans le dossier) (Ordonnance de </w:t>
            </w:r>
            <w:proofErr w:type="spellStart"/>
            <w:r w:rsidRPr="00A145F0">
              <w:rPr>
                <w:smallCaps/>
                <w:sz w:val="20"/>
                <w:szCs w:val="20"/>
                <w:lang w:val="fr-CA"/>
              </w:rPr>
              <w:t>non</w:t>
            </w:r>
            <w:r w:rsidRPr="00A145F0">
              <w:rPr>
                <w:smallCaps/>
                <w:sz w:val="20"/>
                <w:szCs w:val="20"/>
                <w:lang w:val="fr-CA"/>
              </w:rPr>
              <w:noBreakHyphen/>
              <w:t>publication</w:t>
            </w:r>
            <w:proofErr w:type="spellEnd"/>
            <w:r w:rsidRPr="00A145F0">
              <w:rPr>
                <w:smallCaps/>
                <w:sz w:val="20"/>
                <w:szCs w:val="20"/>
                <w:lang w:val="fr-CA"/>
              </w:rPr>
              <w:t xml:space="preserve"> visant une partie)</w:t>
            </w:r>
          </w:p>
          <w:p w:rsidR="004F7821" w:rsidRPr="00A145F0" w:rsidRDefault="004F7821" w:rsidP="004F7821">
            <w:pPr>
              <w:widowControl w:val="0"/>
              <w:jc w:val="both"/>
              <w:rPr>
                <w:sz w:val="20"/>
                <w:szCs w:val="20"/>
                <w:lang w:val="fr-CA"/>
              </w:rPr>
            </w:pPr>
          </w:p>
          <w:p w:rsidR="00C1697B" w:rsidRPr="00C1697B" w:rsidRDefault="004F7821" w:rsidP="004F7821">
            <w:pPr>
              <w:widowControl w:val="0"/>
              <w:jc w:val="both"/>
              <w:rPr>
                <w:sz w:val="20"/>
                <w:szCs w:val="20"/>
                <w:lang w:val="fr-CA"/>
              </w:rPr>
            </w:pPr>
            <w:r w:rsidRPr="00A145F0">
              <w:rPr>
                <w:sz w:val="20"/>
                <w:szCs w:val="20"/>
                <w:lang w:val="fr-CA"/>
              </w:rPr>
              <w:t xml:space="preserve">Droit criminel </w:t>
            </w:r>
            <w:r w:rsidRPr="00A145F0">
              <w:rPr>
                <w:sz w:val="20"/>
                <w:szCs w:val="20"/>
                <w:lang w:val="fr-CA"/>
              </w:rPr>
              <w:noBreakHyphen/>
              <w:t xml:space="preserve"> Procès </w:t>
            </w:r>
            <w:r w:rsidRPr="00A145F0">
              <w:rPr>
                <w:sz w:val="20"/>
                <w:szCs w:val="20"/>
                <w:lang w:val="fr-CA"/>
              </w:rPr>
              <w:noBreakHyphen/>
              <w:t xml:space="preserve"> Représentation inefficace par un avocat </w:t>
            </w:r>
            <w:r w:rsidRPr="00A145F0">
              <w:rPr>
                <w:sz w:val="20"/>
                <w:szCs w:val="20"/>
                <w:lang w:val="fr-CA"/>
              </w:rPr>
              <w:noBreakHyphen/>
              <w:t xml:space="preserve"> Nouvel élément de preuve </w:t>
            </w:r>
            <w:r w:rsidRPr="00A145F0">
              <w:rPr>
                <w:sz w:val="20"/>
                <w:szCs w:val="20"/>
                <w:lang w:val="fr-CA"/>
              </w:rPr>
              <w:noBreakHyphen/>
              <w:t xml:space="preserve"> La Cour d’appel s’</w:t>
            </w:r>
            <w:proofErr w:type="spellStart"/>
            <w:r w:rsidRPr="00A145F0">
              <w:rPr>
                <w:sz w:val="20"/>
                <w:szCs w:val="20"/>
                <w:lang w:val="fr-CA"/>
              </w:rPr>
              <w:t>est</w:t>
            </w:r>
            <w:r w:rsidRPr="00A145F0">
              <w:rPr>
                <w:sz w:val="20"/>
                <w:szCs w:val="20"/>
                <w:lang w:val="fr-CA"/>
              </w:rPr>
              <w:noBreakHyphen/>
              <w:t>elle</w:t>
            </w:r>
            <w:proofErr w:type="spellEnd"/>
            <w:r w:rsidRPr="00A145F0">
              <w:rPr>
                <w:sz w:val="20"/>
                <w:szCs w:val="20"/>
                <w:lang w:val="fr-CA"/>
              </w:rPr>
              <w:t xml:space="preserve"> trompée dans son interprétation et son application de l’arrêt </w:t>
            </w:r>
            <w:r w:rsidRPr="00A145F0">
              <w:rPr>
                <w:i/>
                <w:sz w:val="20"/>
                <w:szCs w:val="20"/>
                <w:lang w:val="fr-CA"/>
              </w:rPr>
              <w:t>R. c. G.D.B.</w:t>
            </w:r>
            <w:r w:rsidRPr="00A145F0">
              <w:rPr>
                <w:sz w:val="20"/>
                <w:szCs w:val="20"/>
                <w:lang w:val="fr-CA"/>
              </w:rPr>
              <w:t>, [2000] 1 R.C.S. 520 en accueillant la demande en vue de produire de nouveaux éléments de preuve en l’espèce?</w:t>
            </w:r>
          </w:p>
        </w:tc>
      </w:tr>
    </w:tbl>
    <w:p w:rsidR="00732DB7" w:rsidRDefault="00732DB7" w:rsidP="00732DB7">
      <w:pPr>
        <w:widowControl w:val="0"/>
        <w:rPr>
          <w:sz w:val="20"/>
          <w:szCs w:val="20"/>
          <w:lang w:val="fr-CA"/>
        </w:rPr>
      </w:pPr>
    </w:p>
    <w:p w:rsidR="002A27D1" w:rsidRDefault="0017005E" w:rsidP="002A27D1">
      <w:pPr>
        <w:widowControl w:val="0"/>
        <w:rPr>
          <w:sz w:val="20"/>
          <w:szCs w:val="20"/>
        </w:rPr>
      </w:pPr>
      <w:r w:rsidRPr="0017005E">
        <w:rPr>
          <w:sz w:val="20"/>
          <w:szCs w:val="20"/>
          <w:lang w:val="fr-CA"/>
        </w:rPr>
        <w:pict>
          <v:rect id="_x0000_i1066" style="width:2in;height:1pt" o:hrpct="0" o:hralign="center" o:hrstd="t" o:hrnoshade="t" o:hr="t" fillcolor="black [3213]" stroked="f"/>
        </w:pict>
      </w:r>
    </w:p>
    <w:p w:rsidR="002A27D1" w:rsidRDefault="002A27D1" w:rsidP="002A27D1">
      <w:pPr>
        <w:widowControl w:val="0"/>
        <w:rPr>
          <w:sz w:val="20"/>
          <w:szCs w:val="20"/>
        </w:rPr>
      </w:pPr>
    </w:p>
    <w:p w:rsidR="002A27D1" w:rsidRDefault="00A33544" w:rsidP="002A27D1">
      <w:pPr>
        <w:widowControl w:val="0"/>
        <w:rPr>
          <w:sz w:val="20"/>
          <w:szCs w:val="20"/>
        </w:rPr>
      </w:pPr>
      <w:r>
        <w:rPr>
          <w:sz w:val="20"/>
          <w:szCs w:val="20"/>
        </w:rPr>
        <w:t>26</w:t>
      </w:r>
      <w:r w:rsidR="002A27D1">
        <w:rPr>
          <w:sz w:val="20"/>
          <w:szCs w:val="20"/>
        </w:rPr>
        <w:t>.</w:t>
      </w:r>
      <w:r>
        <w:rPr>
          <w:sz w:val="20"/>
          <w:szCs w:val="20"/>
        </w:rPr>
        <w:t>04</w:t>
      </w:r>
      <w:r w:rsidR="002A27D1">
        <w:rPr>
          <w:sz w:val="20"/>
          <w:szCs w:val="20"/>
        </w:rPr>
        <w:t>.201</w:t>
      </w:r>
      <w:r>
        <w:rPr>
          <w:sz w:val="20"/>
          <w:szCs w:val="20"/>
        </w:rPr>
        <w:t>3</w:t>
      </w:r>
    </w:p>
    <w:p w:rsidR="002A27D1" w:rsidRDefault="002A27D1" w:rsidP="002A27D1">
      <w:pPr>
        <w:widowControl w:val="0"/>
        <w:rPr>
          <w:sz w:val="20"/>
          <w:szCs w:val="20"/>
        </w:rPr>
      </w:pPr>
    </w:p>
    <w:p w:rsidR="005A7919" w:rsidRPr="00F4476E" w:rsidRDefault="005A7919" w:rsidP="005A7919">
      <w:pPr>
        <w:widowControl w:val="0"/>
        <w:tabs>
          <w:tab w:val="left" w:pos="720"/>
          <w:tab w:val="left" w:pos="1110"/>
          <w:tab w:val="left" w:pos="2851"/>
          <w:tab w:val="left" w:pos="4320"/>
          <w:tab w:val="left" w:pos="10224"/>
          <w:tab w:val="left" w:pos="11376"/>
        </w:tabs>
        <w:ind w:left="1110" w:hanging="1110"/>
        <w:rPr>
          <w:rFonts w:eastAsia="Calibri" w:cs="Times New Roman"/>
          <w:sz w:val="20"/>
          <w:szCs w:val="20"/>
          <w:u w:val="single"/>
        </w:rPr>
      </w:pPr>
      <w:r w:rsidRPr="00F4476E">
        <w:rPr>
          <w:rFonts w:eastAsia="Calibri" w:cs="Times New Roman"/>
          <w:sz w:val="20"/>
          <w:szCs w:val="20"/>
        </w:rPr>
        <w:t xml:space="preserve">Coram: </w:t>
      </w:r>
      <w:r w:rsidRPr="00F4476E">
        <w:rPr>
          <w:rFonts w:eastAsia="Calibri" w:cs="Times New Roman"/>
          <w:sz w:val="20"/>
          <w:szCs w:val="20"/>
        </w:rPr>
        <w:tab/>
      </w:r>
      <w:proofErr w:type="spellStart"/>
      <w:r w:rsidRPr="00F4476E">
        <w:rPr>
          <w:rFonts w:eastAsia="Calibri" w:cs="Times New Roman"/>
          <w:sz w:val="20"/>
          <w:szCs w:val="20"/>
          <w:u w:val="single"/>
        </w:rPr>
        <w:t>McLachlin</w:t>
      </w:r>
      <w:proofErr w:type="spellEnd"/>
      <w:r w:rsidRPr="00F4476E">
        <w:rPr>
          <w:rFonts w:eastAsia="Calibri" w:cs="Times New Roman"/>
          <w:sz w:val="20"/>
          <w:szCs w:val="20"/>
          <w:u w:val="single"/>
        </w:rPr>
        <w:t xml:space="preserve"> C.J. and Fish, </w:t>
      </w:r>
      <w:proofErr w:type="spellStart"/>
      <w:r w:rsidRPr="00F4476E">
        <w:rPr>
          <w:rFonts w:eastAsia="Calibri" w:cs="Times New Roman"/>
          <w:sz w:val="20"/>
          <w:szCs w:val="20"/>
          <w:u w:val="single"/>
        </w:rPr>
        <w:t>Abella</w:t>
      </w:r>
      <w:proofErr w:type="spellEnd"/>
      <w:r w:rsidRPr="00F4476E">
        <w:rPr>
          <w:rFonts w:eastAsia="Calibri" w:cs="Times New Roman"/>
          <w:sz w:val="20"/>
          <w:szCs w:val="20"/>
          <w:u w:val="single"/>
        </w:rPr>
        <w:t xml:space="preserve">, Rothstein, Cromwell, </w:t>
      </w:r>
      <w:proofErr w:type="spellStart"/>
      <w:r w:rsidRPr="00F4476E">
        <w:rPr>
          <w:rFonts w:eastAsia="Calibri" w:cs="Times New Roman"/>
          <w:sz w:val="20"/>
          <w:szCs w:val="20"/>
          <w:u w:val="single"/>
        </w:rPr>
        <w:t>Moldaver</w:t>
      </w:r>
      <w:proofErr w:type="spellEnd"/>
      <w:r w:rsidRPr="00F4476E">
        <w:rPr>
          <w:rFonts w:eastAsia="Calibri" w:cs="Times New Roman"/>
          <w:sz w:val="20"/>
          <w:szCs w:val="20"/>
          <w:u w:val="single"/>
        </w:rPr>
        <w:t xml:space="preserve"> and Wagner JJ.</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C50A5C" w:rsidTr="002A4AFA">
        <w:tc>
          <w:tcPr>
            <w:tcW w:w="4380" w:type="dxa"/>
            <w:tcMar>
              <w:left w:w="0" w:type="dxa"/>
              <w:right w:w="0" w:type="dxa"/>
            </w:tcMar>
          </w:tcPr>
          <w:p w:rsidR="005A7919" w:rsidRDefault="005A7919" w:rsidP="002A4AFA">
            <w:pPr>
              <w:widowControl w:val="0"/>
              <w:jc w:val="both"/>
              <w:rPr>
                <w:b/>
                <w:sz w:val="20"/>
                <w:szCs w:val="20"/>
              </w:rPr>
            </w:pPr>
            <w:r w:rsidRPr="00F4476E">
              <w:rPr>
                <w:rFonts w:eastAsia="Calibri" w:cs="Times New Roman"/>
                <w:b/>
                <w:sz w:val="20"/>
                <w:szCs w:val="20"/>
              </w:rPr>
              <w:t xml:space="preserve">Bill James Pappas </w:t>
            </w:r>
          </w:p>
          <w:p w:rsidR="005A7919" w:rsidRDefault="005A7919" w:rsidP="002A4AFA">
            <w:pPr>
              <w:widowControl w:val="0"/>
              <w:jc w:val="both"/>
              <w:rPr>
                <w:b/>
                <w:sz w:val="20"/>
                <w:szCs w:val="20"/>
              </w:rPr>
            </w:pPr>
          </w:p>
          <w:p w:rsidR="005A7919" w:rsidRDefault="005A7919" w:rsidP="002A4AFA">
            <w:pPr>
              <w:widowControl w:val="0"/>
              <w:jc w:val="both"/>
              <w:rPr>
                <w:b/>
                <w:sz w:val="20"/>
                <w:szCs w:val="20"/>
              </w:rPr>
            </w:pPr>
            <w:r>
              <w:rPr>
                <w:b/>
                <w:sz w:val="20"/>
                <w:szCs w:val="20"/>
              </w:rPr>
              <w:tab/>
            </w:r>
            <w:r w:rsidRPr="00F4476E">
              <w:rPr>
                <w:rFonts w:eastAsia="Calibri" w:cs="Times New Roman"/>
                <w:b/>
                <w:sz w:val="20"/>
                <w:szCs w:val="20"/>
              </w:rPr>
              <w:t>v. (34951)</w:t>
            </w:r>
          </w:p>
          <w:p w:rsidR="005A7919" w:rsidRDefault="005A7919" w:rsidP="002A4AFA">
            <w:pPr>
              <w:widowControl w:val="0"/>
              <w:jc w:val="both"/>
              <w:rPr>
                <w:b/>
                <w:sz w:val="20"/>
                <w:szCs w:val="20"/>
              </w:rPr>
            </w:pPr>
          </w:p>
          <w:p w:rsidR="005A7919" w:rsidRDefault="005A7919" w:rsidP="005A7919">
            <w:pPr>
              <w:widowControl w:val="0"/>
              <w:jc w:val="both"/>
              <w:rPr>
                <w:b/>
                <w:sz w:val="20"/>
                <w:szCs w:val="20"/>
              </w:rPr>
            </w:pPr>
            <w:r w:rsidRPr="00F4476E">
              <w:rPr>
                <w:rFonts w:eastAsia="Calibri" w:cs="Times New Roman"/>
                <w:b/>
                <w:sz w:val="20"/>
                <w:szCs w:val="20"/>
              </w:rPr>
              <w:t>Her Majesty the Queen (Alta.) (Criminal)</w:t>
            </w:r>
            <w:r>
              <w:rPr>
                <w:b/>
                <w:sz w:val="20"/>
                <w:szCs w:val="20"/>
              </w:rPr>
              <w:t xml:space="preserve"> </w:t>
            </w:r>
          </w:p>
          <w:p w:rsidR="002A27D1" w:rsidRPr="0093057E" w:rsidRDefault="005A7919" w:rsidP="005A7919">
            <w:pPr>
              <w:widowControl w:val="0"/>
              <w:jc w:val="both"/>
              <w:rPr>
                <w:sz w:val="20"/>
                <w:szCs w:val="20"/>
              </w:rPr>
            </w:pPr>
            <w:r w:rsidRPr="00F4476E">
              <w:rPr>
                <w:rFonts w:eastAsia="Calibri" w:cs="Times New Roman"/>
                <w:b/>
                <w:sz w:val="20"/>
                <w:szCs w:val="20"/>
              </w:rPr>
              <w:t xml:space="preserve">(As of Right) </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5A776C" w:rsidRPr="00325E08" w:rsidRDefault="005A776C" w:rsidP="005A776C">
            <w:pPr>
              <w:jc w:val="both"/>
              <w:rPr>
                <w:sz w:val="20"/>
                <w:szCs w:val="20"/>
              </w:rPr>
            </w:pPr>
            <w:r w:rsidRPr="00325E08">
              <w:rPr>
                <w:sz w:val="20"/>
                <w:szCs w:val="20"/>
              </w:rPr>
              <w:t>Michael Bates</w:t>
            </w:r>
            <w:r>
              <w:rPr>
                <w:sz w:val="20"/>
                <w:szCs w:val="20"/>
              </w:rPr>
              <w:t xml:space="preserve">, </w:t>
            </w:r>
            <w:r w:rsidRPr="00325E08">
              <w:rPr>
                <w:sz w:val="20"/>
                <w:szCs w:val="20"/>
              </w:rPr>
              <w:t xml:space="preserve">Jennifer </w:t>
            </w:r>
            <w:proofErr w:type="spellStart"/>
            <w:r w:rsidRPr="00325E08">
              <w:rPr>
                <w:sz w:val="20"/>
                <w:szCs w:val="20"/>
              </w:rPr>
              <w:t>Ruttan</w:t>
            </w:r>
            <w:proofErr w:type="spellEnd"/>
            <w:r>
              <w:rPr>
                <w:sz w:val="20"/>
                <w:szCs w:val="20"/>
              </w:rPr>
              <w:t xml:space="preserve"> and </w:t>
            </w:r>
            <w:r w:rsidRPr="00325E08">
              <w:rPr>
                <w:sz w:val="20"/>
                <w:szCs w:val="20"/>
              </w:rPr>
              <w:t xml:space="preserve">Geoff </w:t>
            </w:r>
            <w:proofErr w:type="spellStart"/>
            <w:r w:rsidRPr="00325E08">
              <w:rPr>
                <w:sz w:val="20"/>
                <w:szCs w:val="20"/>
              </w:rPr>
              <w:t>Ellwand</w:t>
            </w:r>
            <w:proofErr w:type="spellEnd"/>
            <w:r>
              <w:rPr>
                <w:sz w:val="20"/>
                <w:szCs w:val="20"/>
              </w:rPr>
              <w:t xml:space="preserve"> f</w:t>
            </w:r>
            <w:r w:rsidRPr="00325E08">
              <w:rPr>
                <w:sz w:val="20"/>
                <w:szCs w:val="20"/>
              </w:rPr>
              <w:t xml:space="preserve">or the </w:t>
            </w:r>
            <w:r>
              <w:rPr>
                <w:sz w:val="20"/>
                <w:szCs w:val="20"/>
              </w:rPr>
              <w:t>a</w:t>
            </w:r>
            <w:r w:rsidRPr="00325E08">
              <w:rPr>
                <w:sz w:val="20"/>
                <w:szCs w:val="20"/>
              </w:rPr>
              <w:t>ppellant.</w:t>
            </w:r>
          </w:p>
          <w:p w:rsidR="005A776C" w:rsidRPr="00325E08" w:rsidRDefault="005A776C" w:rsidP="005A776C">
            <w:pPr>
              <w:jc w:val="both"/>
              <w:rPr>
                <w:sz w:val="20"/>
                <w:szCs w:val="20"/>
              </w:rPr>
            </w:pPr>
          </w:p>
          <w:p w:rsidR="002A27D1" w:rsidRPr="00C50A5C" w:rsidRDefault="005A776C" w:rsidP="005A776C">
            <w:pPr>
              <w:widowControl w:val="0"/>
              <w:jc w:val="both"/>
              <w:rPr>
                <w:sz w:val="20"/>
                <w:szCs w:val="20"/>
              </w:rPr>
            </w:pPr>
            <w:proofErr w:type="spellStart"/>
            <w:r w:rsidRPr="00325E08">
              <w:rPr>
                <w:sz w:val="20"/>
                <w:szCs w:val="20"/>
              </w:rPr>
              <w:t>Jolaine</w:t>
            </w:r>
            <w:proofErr w:type="spellEnd"/>
            <w:r w:rsidRPr="00325E08">
              <w:rPr>
                <w:sz w:val="20"/>
                <w:szCs w:val="20"/>
              </w:rPr>
              <w:t xml:space="preserve"> Antonio</w:t>
            </w:r>
            <w:r>
              <w:rPr>
                <w:sz w:val="20"/>
                <w:szCs w:val="20"/>
              </w:rPr>
              <w:t xml:space="preserve"> f</w:t>
            </w:r>
            <w:r w:rsidRPr="00325E08">
              <w:rPr>
                <w:sz w:val="20"/>
                <w:szCs w:val="20"/>
              </w:rPr>
              <w:t xml:space="preserve">or the </w:t>
            </w:r>
            <w:r>
              <w:rPr>
                <w:sz w:val="20"/>
                <w:szCs w:val="20"/>
              </w:rPr>
              <w:t>r</w:t>
            </w:r>
            <w:r w:rsidRPr="00325E08">
              <w:rPr>
                <w:sz w:val="20"/>
                <w:szCs w:val="20"/>
              </w:rPr>
              <w:t>espondent.</w:t>
            </w:r>
          </w:p>
        </w:tc>
      </w:tr>
    </w:tbl>
    <w:p w:rsidR="002A27D1" w:rsidRDefault="002A27D1" w:rsidP="002A27D1">
      <w:pPr>
        <w:widowControl w:val="0"/>
        <w:rPr>
          <w:sz w:val="20"/>
          <w:szCs w:val="20"/>
        </w:rPr>
      </w:pPr>
    </w:p>
    <w:p w:rsidR="002A27D1" w:rsidRPr="0085476B" w:rsidRDefault="00A33544" w:rsidP="002A27D1">
      <w:pPr>
        <w:widowControl w:val="0"/>
        <w:rPr>
          <w:sz w:val="20"/>
          <w:szCs w:val="20"/>
        </w:rPr>
      </w:pPr>
      <w:r>
        <w:rPr>
          <w:b/>
          <w:sz w:val="20"/>
          <w:szCs w:val="20"/>
        </w:rPr>
        <w:t xml:space="preserve">RESERVED </w:t>
      </w:r>
      <w:r w:rsidR="002A27D1" w:rsidRPr="0085476B">
        <w:rPr>
          <w:b/>
          <w:sz w:val="20"/>
          <w:szCs w:val="20"/>
        </w:rPr>
        <w:t xml:space="preserve">/ </w:t>
      </w:r>
      <w:r>
        <w:rPr>
          <w:b/>
          <w:sz w:val="20"/>
          <w:szCs w:val="20"/>
        </w:rPr>
        <w:t>EN DÉLIBÉRÉ</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5C0D71"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A33544" w:rsidRPr="00A17662" w:rsidRDefault="00A33544" w:rsidP="00A33544">
            <w:pPr>
              <w:widowControl w:val="0"/>
              <w:jc w:val="both"/>
              <w:rPr>
                <w:smallCaps/>
                <w:sz w:val="20"/>
                <w:szCs w:val="20"/>
              </w:rPr>
            </w:pPr>
            <w:r w:rsidRPr="00A17662">
              <w:rPr>
                <w:smallCaps/>
                <w:sz w:val="20"/>
                <w:szCs w:val="20"/>
              </w:rPr>
              <w:t>(Publication Ban in Case)</w:t>
            </w:r>
          </w:p>
          <w:p w:rsidR="00A33544" w:rsidRDefault="00A33544" w:rsidP="00A33544">
            <w:pPr>
              <w:widowControl w:val="0"/>
              <w:jc w:val="both"/>
              <w:rPr>
                <w:sz w:val="20"/>
                <w:szCs w:val="20"/>
              </w:rPr>
            </w:pPr>
          </w:p>
          <w:p w:rsidR="00A33544" w:rsidRPr="00A17662" w:rsidRDefault="00A33544" w:rsidP="00A33544">
            <w:pPr>
              <w:widowControl w:val="0"/>
              <w:jc w:val="both"/>
              <w:rPr>
                <w:sz w:val="20"/>
                <w:szCs w:val="20"/>
              </w:rPr>
            </w:pPr>
          </w:p>
          <w:p w:rsidR="002A27D1" w:rsidRPr="00C1697B" w:rsidRDefault="00A33544" w:rsidP="00A33544">
            <w:pPr>
              <w:widowControl w:val="0"/>
              <w:jc w:val="both"/>
              <w:rPr>
                <w:b/>
                <w:sz w:val="20"/>
                <w:szCs w:val="20"/>
              </w:rPr>
            </w:pPr>
            <w:r w:rsidRPr="00A17662">
              <w:rPr>
                <w:sz w:val="20"/>
                <w:szCs w:val="20"/>
              </w:rPr>
              <w:t xml:space="preserve">Criminal law </w:t>
            </w:r>
            <w:r w:rsidRPr="00A17662">
              <w:rPr>
                <w:sz w:val="20"/>
                <w:szCs w:val="20"/>
              </w:rPr>
              <w:noBreakHyphen/>
              <w:t xml:space="preserve"> Charge to jury </w:t>
            </w:r>
            <w:r w:rsidRPr="00A17662">
              <w:rPr>
                <w:sz w:val="20"/>
                <w:szCs w:val="20"/>
              </w:rPr>
              <w:noBreakHyphen/>
              <w:t xml:space="preserve"> Defence of provocation </w:t>
            </w:r>
            <w:r w:rsidRPr="00A17662">
              <w:rPr>
                <w:sz w:val="20"/>
                <w:szCs w:val="20"/>
              </w:rPr>
              <w:noBreakHyphen/>
              <w:t xml:space="preserve"> Post</w:t>
            </w:r>
            <w:r w:rsidRPr="00A17662">
              <w:rPr>
                <w:sz w:val="20"/>
                <w:szCs w:val="20"/>
              </w:rPr>
              <w:noBreakHyphen/>
            </w:r>
            <w:proofErr w:type="spellStart"/>
            <w:r w:rsidRPr="00A17662">
              <w:rPr>
                <w:sz w:val="20"/>
                <w:szCs w:val="20"/>
              </w:rPr>
              <w:t>offence</w:t>
            </w:r>
            <w:proofErr w:type="spellEnd"/>
            <w:r w:rsidRPr="00A17662">
              <w:rPr>
                <w:sz w:val="20"/>
                <w:szCs w:val="20"/>
              </w:rPr>
              <w:t xml:space="preserve"> conduct </w:t>
            </w:r>
            <w:r w:rsidRPr="00A17662">
              <w:rPr>
                <w:sz w:val="20"/>
                <w:szCs w:val="20"/>
              </w:rPr>
              <w:noBreakHyphen/>
              <w:t xml:space="preserve"> Whether the trial judge failed to adequately instruct the jury that the appellant’s post</w:t>
            </w:r>
            <w:r w:rsidRPr="00A17662">
              <w:rPr>
                <w:sz w:val="20"/>
                <w:szCs w:val="20"/>
              </w:rPr>
              <w:noBreakHyphen/>
            </w:r>
            <w:proofErr w:type="spellStart"/>
            <w:r w:rsidRPr="00A17662">
              <w:rPr>
                <w:sz w:val="20"/>
                <w:szCs w:val="20"/>
              </w:rPr>
              <w:t>offence</w:t>
            </w:r>
            <w:proofErr w:type="spellEnd"/>
            <w:r w:rsidRPr="00A17662">
              <w:rPr>
                <w:sz w:val="20"/>
                <w:szCs w:val="20"/>
              </w:rPr>
              <w:t xml:space="preserve"> conduct had no bearing on its deliberations on the defence of provocation </w:t>
            </w:r>
            <w:r w:rsidRPr="00A17662">
              <w:rPr>
                <w:sz w:val="20"/>
                <w:szCs w:val="20"/>
              </w:rPr>
              <w:noBreakHyphen/>
              <w:t xml:space="preserve"> Whether </w:t>
            </w:r>
            <w:r w:rsidRPr="00A17662">
              <w:rPr>
                <w:sz w:val="20"/>
                <w:szCs w:val="20"/>
              </w:rPr>
              <w:lastRenderedPageBreak/>
              <w:t xml:space="preserve">the charge to the jury undermined the defence of provocation by misstating the appellant’s position on motive </w:t>
            </w:r>
            <w:r w:rsidRPr="00A17662">
              <w:rPr>
                <w:sz w:val="20"/>
                <w:szCs w:val="20"/>
              </w:rPr>
              <w:noBreakHyphen/>
              <w:t xml:space="preserve"> Whether the charge to the jury improperly instructed that both the acts of extortion and the igniting remarks by the victim had to be sudden.</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Pr="00C1697B" w:rsidRDefault="002A27D1" w:rsidP="002A4AFA">
            <w:pPr>
              <w:widowControl w:val="0"/>
              <w:jc w:val="both"/>
              <w:rPr>
                <w:sz w:val="20"/>
                <w:szCs w:val="20"/>
                <w:lang w:val="fr-CA"/>
              </w:rPr>
            </w:pPr>
          </w:p>
          <w:p w:rsidR="00A33544" w:rsidRPr="00440C1B" w:rsidRDefault="00A33544" w:rsidP="00A33544">
            <w:pPr>
              <w:widowControl w:val="0"/>
              <w:jc w:val="both"/>
              <w:rPr>
                <w:smallCaps/>
                <w:sz w:val="20"/>
                <w:szCs w:val="20"/>
                <w:lang w:val="fr-CA"/>
              </w:rPr>
            </w:pPr>
            <w:r w:rsidRPr="00440C1B">
              <w:rPr>
                <w:smallCaps/>
                <w:sz w:val="20"/>
                <w:szCs w:val="20"/>
                <w:lang w:val="fr-CA"/>
              </w:rPr>
              <w:t xml:space="preserve">(Ordonnance de </w:t>
            </w:r>
            <w:proofErr w:type="spellStart"/>
            <w:r w:rsidRPr="00440C1B">
              <w:rPr>
                <w:smallCaps/>
                <w:sz w:val="20"/>
                <w:szCs w:val="20"/>
                <w:lang w:val="fr-CA"/>
              </w:rPr>
              <w:t>non</w:t>
            </w:r>
            <w:r w:rsidRPr="00440C1B">
              <w:rPr>
                <w:smallCaps/>
                <w:sz w:val="20"/>
                <w:szCs w:val="20"/>
                <w:lang w:val="fr-CA"/>
              </w:rPr>
              <w:noBreakHyphen/>
              <w:t>publication</w:t>
            </w:r>
            <w:proofErr w:type="spellEnd"/>
            <w:r w:rsidRPr="00440C1B">
              <w:rPr>
                <w:smallCaps/>
                <w:sz w:val="20"/>
                <w:szCs w:val="20"/>
                <w:lang w:val="fr-CA"/>
              </w:rPr>
              <w:t xml:space="preserve"> dans le dossier)</w:t>
            </w:r>
          </w:p>
          <w:p w:rsidR="00A33544" w:rsidRPr="00440C1B" w:rsidRDefault="00A33544" w:rsidP="00A33544">
            <w:pPr>
              <w:widowControl w:val="0"/>
              <w:jc w:val="both"/>
              <w:rPr>
                <w:sz w:val="20"/>
                <w:szCs w:val="20"/>
                <w:lang w:val="fr-CA"/>
              </w:rPr>
            </w:pPr>
          </w:p>
          <w:p w:rsidR="002A27D1" w:rsidRPr="00C1697B" w:rsidRDefault="00A33544" w:rsidP="00A33544">
            <w:pPr>
              <w:widowControl w:val="0"/>
              <w:jc w:val="both"/>
              <w:rPr>
                <w:sz w:val="20"/>
                <w:szCs w:val="20"/>
                <w:lang w:val="fr-CA"/>
              </w:rPr>
            </w:pPr>
            <w:r w:rsidRPr="00440C1B">
              <w:rPr>
                <w:sz w:val="20"/>
                <w:szCs w:val="20"/>
                <w:lang w:val="fr-CA"/>
              </w:rPr>
              <w:t xml:space="preserve">Droit criminel </w:t>
            </w:r>
            <w:r w:rsidRPr="00440C1B">
              <w:rPr>
                <w:sz w:val="20"/>
                <w:szCs w:val="20"/>
                <w:lang w:val="fr-CA"/>
              </w:rPr>
              <w:noBreakHyphen/>
              <w:t xml:space="preserve"> Exposé au jury </w:t>
            </w:r>
            <w:r w:rsidRPr="00440C1B">
              <w:rPr>
                <w:sz w:val="20"/>
                <w:szCs w:val="20"/>
                <w:lang w:val="fr-CA"/>
              </w:rPr>
              <w:noBreakHyphen/>
              <w:t xml:space="preserve"> Défense de provocation </w:t>
            </w:r>
            <w:r w:rsidRPr="00440C1B">
              <w:rPr>
                <w:sz w:val="20"/>
                <w:szCs w:val="20"/>
                <w:lang w:val="fr-CA"/>
              </w:rPr>
              <w:noBreakHyphen/>
              <w:t xml:space="preserve"> Comportement postérieur à l’infraction </w:t>
            </w:r>
            <w:r w:rsidRPr="00440C1B">
              <w:rPr>
                <w:sz w:val="20"/>
                <w:szCs w:val="20"/>
                <w:lang w:val="fr-CA"/>
              </w:rPr>
              <w:noBreakHyphen/>
              <w:t xml:space="preserve"> Le juge du procès </w:t>
            </w:r>
            <w:proofErr w:type="spellStart"/>
            <w:r w:rsidRPr="00440C1B">
              <w:rPr>
                <w:sz w:val="20"/>
                <w:szCs w:val="20"/>
                <w:lang w:val="fr-CA"/>
              </w:rPr>
              <w:t>a</w:t>
            </w:r>
            <w:r w:rsidRPr="00440C1B">
              <w:rPr>
                <w:sz w:val="20"/>
                <w:szCs w:val="20"/>
                <w:lang w:val="fr-CA"/>
              </w:rPr>
              <w:noBreakHyphen/>
              <w:t>t</w:t>
            </w:r>
            <w:r w:rsidRPr="00440C1B">
              <w:rPr>
                <w:sz w:val="20"/>
                <w:szCs w:val="20"/>
                <w:lang w:val="fr-CA"/>
              </w:rPr>
              <w:noBreakHyphen/>
              <w:t>il</w:t>
            </w:r>
            <w:proofErr w:type="spellEnd"/>
            <w:r w:rsidRPr="00440C1B">
              <w:rPr>
                <w:sz w:val="20"/>
                <w:szCs w:val="20"/>
                <w:lang w:val="fr-CA"/>
              </w:rPr>
              <w:t xml:space="preserve"> omis de donner des directives adéquates au jury comme quoi le comportement postérieur à l’infraction de l’appelant n’avait aucune </w:t>
            </w:r>
            <w:r w:rsidRPr="00440C1B">
              <w:rPr>
                <w:sz w:val="20"/>
                <w:szCs w:val="20"/>
                <w:lang w:val="fr-CA"/>
              </w:rPr>
              <w:lastRenderedPageBreak/>
              <w:t xml:space="preserve">incidence sur ses délibérations sur la défense de provocation? </w:t>
            </w:r>
            <w:r w:rsidRPr="00440C1B">
              <w:rPr>
                <w:sz w:val="20"/>
                <w:szCs w:val="20"/>
                <w:lang w:val="fr-CA"/>
              </w:rPr>
              <w:noBreakHyphen/>
              <w:t xml:space="preserve"> L’exposé au jury </w:t>
            </w:r>
            <w:proofErr w:type="spellStart"/>
            <w:r w:rsidRPr="00440C1B">
              <w:rPr>
                <w:sz w:val="20"/>
                <w:szCs w:val="20"/>
                <w:lang w:val="fr-CA"/>
              </w:rPr>
              <w:t>a</w:t>
            </w:r>
            <w:r w:rsidRPr="00440C1B">
              <w:rPr>
                <w:sz w:val="20"/>
                <w:szCs w:val="20"/>
                <w:lang w:val="fr-CA"/>
              </w:rPr>
              <w:noBreakHyphen/>
              <w:t>t</w:t>
            </w:r>
            <w:r w:rsidRPr="00440C1B">
              <w:rPr>
                <w:sz w:val="20"/>
                <w:szCs w:val="20"/>
                <w:lang w:val="fr-CA"/>
              </w:rPr>
              <w:noBreakHyphen/>
              <w:t>il</w:t>
            </w:r>
            <w:proofErr w:type="spellEnd"/>
            <w:r w:rsidRPr="00440C1B">
              <w:rPr>
                <w:sz w:val="20"/>
                <w:szCs w:val="20"/>
                <w:lang w:val="fr-CA"/>
              </w:rPr>
              <w:t xml:space="preserve"> affaibli la défense de provocation en dénaturant la position de l’appelant quant au mobile? </w:t>
            </w:r>
            <w:r w:rsidRPr="00440C1B">
              <w:rPr>
                <w:sz w:val="20"/>
                <w:szCs w:val="20"/>
                <w:lang w:val="fr-CA"/>
              </w:rPr>
              <w:noBreakHyphen/>
              <w:t xml:space="preserve"> L’exposé au jury </w:t>
            </w:r>
            <w:proofErr w:type="spellStart"/>
            <w:r w:rsidRPr="00440C1B">
              <w:rPr>
                <w:sz w:val="20"/>
                <w:szCs w:val="20"/>
                <w:lang w:val="fr-CA"/>
              </w:rPr>
              <w:t>renfermait</w:t>
            </w:r>
            <w:r w:rsidRPr="00440C1B">
              <w:rPr>
                <w:sz w:val="20"/>
                <w:szCs w:val="20"/>
                <w:lang w:val="fr-CA"/>
              </w:rPr>
              <w:noBreakHyphen/>
              <w:t>il</w:t>
            </w:r>
            <w:proofErr w:type="spellEnd"/>
            <w:r w:rsidRPr="00440C1B">
              <w:rPr>
                <w:sz w:val="20"/>
                <w:szCs w:val="20"/>
                <w:lang w:val="fr-CA"/>
              </w:rPr>
              <w:t xml:space="preserve"> une directive erronée portant que les actes d’extorsion et les remarques provocantes de la victime devaient être soudains?</w:t>
            </w:r>
          </w:p>
        </w:tc>
      </w:tr>
    </w:tbl>
    <w:p w:rsidR="002A27D1" w:rsidRDefault="002A27D1" w:rsidP="002A27D1">
      <w:pPr>
        <w:widowControl w:val="0"/>
        <w:rPr>
          <w:sz w:val="20"/>
          <w:szCs w:val="20"/>
          <w:lang w:val="fr-CA"/>
        </w:rPr>
      </w:pPr>
    </w:p>
    <w:p w:rsidR="00E940EB" w:rsidRDefault="0017005E" w:rsidP="00732DB7">
      <w:pPr>
        <w:widowControl w:val="0"/>
        <w:rPr>
          <w:sz w:val="20"/>
          <w:szCs w:val="20"/>
          <w:lang w:val="fr-CA"/>
        </w:rPr>
      </w:pPr>
      <w:r w:rsidRPr="0017005E">
        <w:rPr>
          <w:sz w:val="20"/>
          <w:szCs w:val="20"/>
          <w:lang w:val="fr-CA"/>
        </w:rPr>
        <w:pict>
          <v:rect id="_x0000_i1067" style="width:2in;height:1pt" o:hrpct="0" o:hralign="center" o:hrstd="t" o:hrnoshade="t" o:hr="t" fillcolor="black [3213]" stroked="f"/>
        </w:pict>
      </w:r>
    </w:p>
    <w:p w:rsidR="00A33544" w:rsidRDefault="00A33544" w:rsidP="00732DB7">
      <w:pPr>
        <w:widowControl w:val="0"/>
        <w:rPr>
          <w:sz w:val="20"/>
          <w:szCs w:val="20"/>
          <w:lang w:val="fr-CA"/>
        </w:rPr>
      </w:pPr>
    </w:p>
    <w:p w:rsidR="00A33544" w:rsidRDefault="00A33544" w:rsidP="00A33544">
      <w:pPr>
        <w:widowControl w:val="0"/>
        <w:rPr>
          <w:sz w:val="20"/>
          <w:szCs w:val="20"/>
        </w:rPr>
      </w:pPr>
      <w:r>
        <w:rPr>
          <w:sz w:val="20"/>
          <w:szCs w:val="20"/>
        </w:rPr>
        <w:t>26.04.2013</w:t>
      </w:r>
    </w:p>
    <w:p w:rsidR="005A7919" w:rsidRDefault="005A7919" w:rsidP="005A7919">
      <w:pPr>
        <w:widowControl w:val="0"/>
        <w:ind w:left="1110" w:hanging="1110"/>
        <w:rPr>
          <w:sz w:val="20"/>
          <w:szCs w:val="20"/>
        </w:rPr>
      </w:pPr>
    </w:p>
    <w:p w:rsidR="005A7919" w:rsidRPr="00F4476E" w:rsidRDefault="005A7919" w:rsidP="00353BD0">
      <w:pPr>
        <w:widowControl w:val="0"/>
        <w:ind w:left="720" w:hanging="720"/>
        <w:rPr>
          <w:rFonts w:eastAsia="Calibri" w:cs="Times New Roman"/>
          <w:sz w:val="20"/>
          <w:szCs w:val="20"/>
          <w:u w:val="single"/>
        </w:rPr>
      </w:pPr>
      <w:r w:rsidRPr="00F4476E">
        <w:rPr>
          <w:rFonts w:eastAsia="Calibri" w:cs="Times New Roman"/>
          <w:sz w:val="20"/>
          <w:szCs w:val="20"/>
        </w:rPr>
        <w:t xml:space="preserve">Coram: </w:t>
      </w:r>
      <w:r w:rsidRPr="00F4476E">
        <w:rPr>
          <w:rFonts w:eastAsia="Calibri" w:cs="Times New Roman"/>
          <w:sz w:val="20"/>
          <w:szCs w:val="20"/>
        </w:rPr>
        <w:tab/>
      </w:r>
      <w:proofErr w:type="spellStart"/>
      <w:r w:rsidRPr="00F4476E">
        <w:rPr>
          <w:rFonts w:eastAsia="Calibri" w:cs="Times New Roman"/>
          <w:sz w:val="20"/>
          <w:szCs w:val="20"/>
          <w:u w:val="single"/>
        </w:rPr>
        <w:t>McLachlin</w:t>
      </w:r>
      <w:proofErr w:type="spellEnd"/>
      <w:r w:rsidRPr="00F4476E">
        <w:rPr>
          <w:rFonts w:eastAsia="Calibri" w:cs="Times New Roman"/>
          <w:sz w:val="20"/>
          <w:szCs w:val="20"/>
          <w:u w:val="single"/>
        </w:rPr>
        <w:t xml:space="preserve"> C.J. and Fish, </w:t>
      </w:r>
      <w:proofErr w:type="spellStart"/>
      <w:r w:rsidRPr="00F4476E">
        <w:rPr>
          <w:rFonts w:eastAsia="Calibri" w:cs="Times New Roman"/>
          <w:sz w:val="20"/>
          <w:szCs w:val="20"/>
          <w:u w:val="single"/>
        </w:rPr>
        <w:t>Abella</w:t>
      </w:r>
      <w:proofErr w:type="spellEnd"/>
      <w:r w:rsidRPr="00F4476E">
        <w:rPr>
          <w:rFonts w:eastAsia="Calibri" w:cs="Times New Roman"/>
          <w:sz w:val="20"/>
          <w:szCs w:val="20"/>
          <w:u w:val="single"/>
        </w:rPr>
        <w:t xml:space="preserve">, Rothstein, Cromwell, </w:t>
      </w:r>
      <w:proofErr w:type="spellStart"/>
      <w:r w:rsidRPr="00F4476E">
        <w:rPr>
          <w:rFonts w:eastAsia="Calibri" w:cs="Times New Roman"/>
          <w:sz w:val="20"/>
          <w:szCs w:val="20"/>
          <w:u w:val="single"/>
        </w:rPr>
        <w:t>Moldaver</w:t>
      </w:r>
      <w:proofErr w:type="spellEnd"/>
      <w:r w:rsidRPr="00F4476E">
        <w:rPr>
          <w:rFonts w:eastAsia="Calibri" w:cs="Times New Roman"/>
          <w:sz w:val="20"/>
          <w:szCs w:val="20"/>
          <w:u w:val="single"/>
        </w:rPr>
        <w:t xml:space="preserve"> and Wagner JJ.</w:t>
      </w:r>
    </w:p>
    <w:p w:rsidR="00A33544" w:rsidRDefault="00A33544" w:rsidP="00A33544">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33544" w:rsidRPr="00C50A5C" w:rsidTr="00F55AA9">
        <w:tc>
          <w:tcPr>
            <w:tcW w:w="4380" w:type="dxa"/>
            <w:tcMar>
              <w:left w:w="0" w:type="dxa"/>
              <w:right w:w="0" w:type="dxa"/>
            </w:tcMar>
          </w:tcPr>
          <w:p w:rsidR="005A7919" w:rsidRDefault="005A7919" w:rsidP="00F55AA9">
            <w:pPr>
              <w:widowControl w:val="0"/>
              <w:jc w:val="both"/>
              <w:rPr>
                <w:rFonts w:eastAsia="Calibri" w:cs="Times New Roman"/>
                <w:b/>
                <w:sz w:val="20"/>
                <w:szCs w:val="20"/>
              </w:rPr>
            </w:pPr>
            <w:r w:rsidRPr="00F4476E">
              <w:rPr>
                <w:rFonts w:eastAsia="Calibri" w:cs="Times New Roman"/>
                <w:b/>
                <w:sz w:val="20"/>
                <w:szCs w:val="20"/>
              </w:rPr>
              <w:t xml:space="preserve">Michael John </w:t>
            </w:r>
            <w:proofErr w:type="spellStart"/>
            <w:r w:rsidRPr="00F4476E">
              <w:rPr>
                <w:rFonts w:eastAsia="Calibri" w:cs="Times New Roman"/>
                <w:b/>
                <w:sz w:val="20"/>
                <w:szCs w:val="20"/>
              </w:rPr>
              <w:t>Cairney</w:t>
            </w:r>
            <w:proofErr w:type="spellEnd"/>
            <w:r w:rsidRPr="00F4476E">
              <w:rPr>
                <w:rFonts w:eastAsia="Calibri" w:cs="Times New Roman"/>
                <w:b/>
                <w:sz w:val="20"/>
                <w:szCs w:val="20"/>
              </w:rPr>
              <w:t xml:space="preserve"> </w:t>
            </w:r>
          </w:p>
          <w:p w:rsidR="005A7919" w:rsidRDefault="005A7919" w:rsidP="00F55AA9">
            <w:pPr>
              <w:widowControl w:val="0"/>
              <w:jc w:val="both"/>
              <w:rPr>
                <w:rFonts w:eastAsia="Calibri" w:cs="Times New Roman"/>
                <w:b/>
                <w:sz w:val="20"/>
                <w:szCs w:val="20"/>
              </w:rPr>
            </w:pPr>
          </w:p>
          <w:p w:rsidR="005A7919" w:rsidRDefault="005A7919" w:rsidP="00F55AA9">
            <w:pPr>
              <w:widowControl w:val="0"/>
              <w:jc w:val="both"/>
              <w:rPr>
                <w:rFonts w:eastAsia="Calibri" w:cs="Times New Roman"/>
                <w:b/>
                <w:sz w:val="20"/>
                <w:szCs w:val="20"/>
              </w:rPr>
            </w:pPr>
            <w:r>
              <w:rPr>
                <w:b/>
                <w:sz w:val="20"/>
                <w:szCs w:val="20"/>
              </w:rPr>
              <w:tab/>
            </w:r>
            <w:r w:rsidRPr="00C50A5C">
              <w:rPr>
                <w:b/>
                <w:sz w:val="20"/>
                <w:szCs w:val="20"/>
              </w:rPr>
              <w:t>v. (3</w:t>
            </w:r>
            <w:r>
              <w:rPr>
                <w:b/>
                <w:sz w:val="20"/>
                <w:szCs w:val="20"/>
              </w:rPr>
              <w:t>4848</w:t>
            </w:r>
            <w:r w:rsidRPr="00C50A5C">
              <w:rPr>
                <w:b/>
                <w:sz w:val="20"/>
                <w:szCs w:val="20"/>
              </w:rPr>
              <w:t>)</w:t>
            </w:r>
          </w:p>
          <w:p w:rsidR="005A7919" w:rsidRDefault="005A7919" w:rsidP="00F55AA9">
            <w:pPr>
              <w:widowControl w:val="0"/>
              <w:jc w:val="both"/>
              <w:rPr>
                <w:rFonts w:eastAsia="Calibri" w:cs="Times New Roman"/>
                <w:b/>
                <w:sz w:val="20"/>
                <w:szCs w:val="20"/>
              </w:rPr>
            </w:pPr>
          </w:p>
          <w:p w:rsidR="005A7919" w:rsidRDefault="005A7919" w:rsidP="005A7919">
            <w:pPr>
              <w:widowControl w:val="0"/>
              <w:jc w:val="both"/>
              <w:rPr>
                <w:rFonts w:eastAsia="Calibri" w:cs="Times New Roman"/>
                <w:b/>
                <w:sz w:val="20"/>
                <w:szCs w:val="20"/>
              </w:rPr>
            </w:pPr>
            <w:r w:rsidRPr="00F4476E">
              <w:rPr>
                <w:rFonts w:eastAsia="Calibri" w:cs="Times New Roman"/>
                <w:b/>
                <w:sz w:val="20"/>
                <w:szCs w:val="20"/>
              </w:rPr>
              <w:t xml:space="preserve">Her Majesty the Queen (Alta.) (Criminal) </w:t>
            </w:r>
          </w:p>
          <w:p w:rsidR="00A33544" w:rsidRPr="0093057E" w:rsidRDefault="005A7919" w:rsidP="005A7919">
            <w:pPr>
              <w:widowControl w:val="0"/>
              <w:jc w:val="both"/>
              <w:rPr>
                <w:sz w:val="20"/>
                <w:szCs w:val="20"/>
              </w:rPr>
            </w:pPr>
            <w:r w:rsidRPr="00F4476E">
              <w:rPr>
                <w:rFonts w:eastAsia="Calibri" w:cs="Times New Roman"/>
                <w:b/>
                <w:sz w:val="20"/>
                <w:szCs w:val="20"/>
              </w:rPr>
              <w:t xml:space="preserve">By Leave) </w:t>
            </w:r>
          </w:p>
        </w:tc>
        <w:tc>
          <w:tcPr>
            <w:tcW w:w="720" w:type="dxa"/>
            <w:tcMar>
              <w:left w:w="0" w:type="dxa"/>
              <w:right w:w="0" w:type="dxa"/>
            </w:tcMar>
          </w:tcPr>
          <w:p w:rsidR="00A33544" w:rsidRPr="0093057E" w:rsidRDefault="00A33544" w:rsidP="00F55AA9">
            <w:pPr>
              <w:widowControl w:val="0"/>
              <w:jc w:val="center"/>
              <w:rPr>
                <w:sz w:val="20"/>
                <w:szCs w:val="20"/>
              </w:rPr>
            </w:pPr>
          </w:p>
        </w:tc>
        <w:tc>
          <w:tcPr>
            <w:tcW w:w="4380" w:type="dxa"/>
            <w:tcMar>
              <w:left w:w="0" w:type="dxa"/>
              <w:right w:w="0" w:type="dxa"/>
            </w:tcMar>
          </w:tcPr>
          <w:p w:rsidR="005A776C" w:rsidRPr="00BB7EC1" w:rsidRDefault="005A776C" w:rsidP="005A776C">
            <w:pPr>
              <w:jc w:val="both"/>
              <w:rPr>
                <w:sz w:val="20"/>
                <w:szCs w:val="20"/>
              </w:rPr>
            </w:pPr>
            <w:r w:rsidRPr="00BB7EC1">
              <w:rPr>
                <w:sz w:val="20"/>
                <w:szCs w:val="20"/>
              </w:rPr>
              <w:t xml:space="preserve">Dino </w:t>
            </w:r>
            <w:proofErr w:type="spellStart"/>
            <w:r w:rsidRPr="00BB7EC1">
              <w:rPr>
                <w:sz w:val="20"/>
                <w:szCs w:val="20"/>
              </w:rPr>
              <w:t>Bottos</w:t>
            </w:r>
            <w:proofErr w:type="spellEnd"/>
            <w:r>
              <w:rPr>
                <w:sz w:val="20"/>
                <w:szCs w:val="20"/>
              </w:rPr>
              <w:t xml:space="preserve"> and </w:t>
            </w:r>
            <w:r w:rsidRPr="00BB7EC1">
              <w:rPr>
                <w:sz w:val="20"/>
                <w:szCs w:val="20"/>
              </w:rPr>
              <w:t xml:space="preserve">Dane </w:t>
            </w:r>
            <w:proofErr w:type="spellStart"/>
            <w:r w:rsidRPr="00BB7EC1">
              <w:rPr>
                <w:sz w:val="20"/>
                <w:szCs w:val="20"/>
              </w:rPr>
              <w:t>Bullerwell</w:t>
            </w:r>
            <w:proofErr w:type="spellEnd"/>
            <w:r>
              <w:rPr>
                <w:sz w:val="20"/>
                <w:szCs w:val="20"/>
              </w:rPr>
              <w:t xml:space="preserve"> f</w:t>
            </w:r>
            <w:r w:rsidRPr="00BB7EC1">
              <w:rPr>
                <w:sz w:val="20"/>
                <w:szCs w:val="20"/>
              </w:rPr>
              <w:t xml:space="preserve">or the </w:t>
            </w:r>
            <w:r>
              <w:rPr>
                <w:sz w:val="20"/>
                <w:szCs w:val="20"/>
              </w:rPr>
              <w:t>a</w:t>
            </w:r>
            <w:r w:rsidRPr="00BB7EC1">
              <w:rPr>
                <w:sz w:val="20"/>
                <w:szCs w:val="20"/>
              </w:rPr>
              <w:t>ppellant.</w:t>
            </w:r>
          </w:p>
          <w:p w:rsidR="005A776C" w:rsidRPr="00BB7EC1" w:rsidRDefault="005A776C" w:rsidP="005A776C">
            <w:pPr>
              <w:jc w:val="both"/>
              <w:rPr>
                <w:sz w:val="20"/>
                <w:szCs w:val="20"/>
              </w:rPr>
            </w:pPr>
          </w:p>
          <w:p w:rsidR="00A33544" w:rsidRPr="00C50A5C" w:rsidRDefault="005A776C" w:rsidP="005A776C">
            <w:pPr>
              <w:widowControl w:val="0"/>
              <w:jc w:val="both"/>
              <w:rPr>
                <w:sz w:val="20"/>
                <w:szCs w:val="20"/>
              </w:rPr>
            </w:pPr>
            <w:r w:rsidRPr="00BB7EC1">
              <w:rPr>
                <w:sz w:val="20"/>
                <w:szCs w:val="20"/>
              </w:rPr>
              <w:t>Susan D. Hughson, Q.C.</w:t>
            </w:r>
            <w:r>
              <w:rPr>
                <w:sz w:val="20"/>
                <w:szCs w:val="20"/>
              </w:rPr>
              <w:t xml:space="preserve"> and </w:t>
            </w:r>
            <w:r w:rsidRPr="00BB7EC1">
              <w:rPr>
                <w:sz w:val="20"/>
                <w:szCs w:val="20"/>
              </w:rPr>
              <w:t>Keith Joyce</w:t>
            </w:r>
            <w:r>
              <w:rPr>
                <w:sz w:val="20"/>
                <w:szCs w:val="20"/>
              </w:rPr>
              <w:t xml:space="preserve"> f</w:t>
            </w:r>
            <w:r w:rsidRPr="00BB7EC1">
              <w:rPr>
                <w:sz w:val="20"/>
                <w:szCs w:val="20"/>
              </w:rPr>
              <w:t xml:space="preserve">or the </w:t>
            </w:r>
            <w:r>
              <w:rPr>
                <w:sz w:val="20"/>
                <w:szCs w:val="20"/>
              </w:rPr>
              <w:t>r</w:t>
            </w:r>
            <w:r w:rsidRPr="00BB7EC1">
              <w:rPr>
                <w:sz w:val="20"/>
                <w:szCs w:val="20"/>
              </w:rPr>
              <w:t>espondent.</w:t>
            </w:r>
          </w:p>
        </w:tc>
      </w:tr>
    </w:tbl>
    <w:p w:rsidR="00A33544" w:rsidRDefault="00A33544" w:rsidP="00A33544">
      <w:pPr>
        <w:widowControl w:val="0"/>
        <w:rPr>
          <w:sz w:val="20"/>
          <w:szCs w:val="20"/>
        </w:rPr>
      </w:pPr>
    </w:p>
    <w:p w:rsidR="00A33544" w:rsidRPr="0085476B" w:rsidRDefault="00A33544" w:rsidP="00A33544">
      <w:pPr>
        <w:widowControl w:val="0"/>
        <w:rPr>
          <w:sz w:val="20"/>
          <w:szCs w:val="20"/>
        </w:rPr>
      </w:pPr>
      <w:r>
        <w:rPr>
          <w:b/>
          <w:sz w:val="20"/>
          <w:szCs w:val="20"/>
        </w:rPr>
        <w:t xml:space="preserve">RESERVED </w:t>
      </w:r>
      <w:r w:rsidRPr="0085476B">
        <w:rPr>
          <w:b/>
          <w:sz w:val="20"/>
          <w:szCs w:val="20"/>
        </w:rPr>
        <w:t xml:space="preserve">/ </w:t>
      </w:r>
      <w:r>
        <w:rPr>
          <w:b/>
          <w:sz w:val="20"/>
          <w:szCs w:val="20"/>
        </w:rPr>
        <w:t>EN DÉLIBÉRÉ</w:t>
      </w:r>
    </w:p>
    <w:p w:rsidR="00A33544" w:rsidRDefault="00A33544" w:rsidP="00A33544"/>
    <w:tbl>
      <w:tblPr>
        <w:tblW w:w="0" w:type="auto"/>
        <w:tblLayout w:type="fixed"/>
        <w:tblCellMar>
          <w:left w:w="0" w:type="dxa"/>
          <w:right w:w="0" w:type="dxa"/>
        </w:tblCellMar>
        <w:tblLook w:val="0000"/>
      </w:tblPr>
      <w:tblGrid>
        <w:gridCol w:w="4380"/>
        <w:gridCol w:w="720"/>
        <w:gridCol w:w="4380"/>
      </w:tblGrid>
      <w:tr w:rsidR="00A33544" w:rsidRPr="005C0D71" w:rsidTr="00F55AA9">
        <w:tc>
          <w:tcPr>
            <w:tcW w:w="4380" w:type="dxa"/>
            <w:tcMar>
              <w:left w:w="0" w:type="dxa"/>
              <w:right w:w="0" w:type="dxa"/>
            </w:tcMar>
          </w:tcPr>
          <w:p w:rsidR="00A33544" w:rsidRPr="00CC4D84" w:rsidRDefault="00A33544" w:rsidP="00F55AA9">
            <w:pPr>
              <w:widowControl w:val="0"/>
              <w:jc w:val="both"/>
              <w:rPr>
                <w:b/>
                <w:sz w:val="20"/>
                <w:szCs w:val="20"/>
                <w:u w:val="single"/>
              </w:rPr>
            </w:pPr>
            <w:r w:rsidRPr="00CC4D84">
              <w:rPr>
                <w:b/>
                <w:sz w:val="20"/>
                <w:szCs w:val="20"/>
                <w:u w:val="single"/>
              </w:rPr>
              <w:t>Nature of the case:</w:t>
            </w:r>
          </w:p>
          <w:p w:rsidR="00A33544" w:rsidRPr="001A663B" w:rsidRDefault="00A33544" w:rsidP="00F55AA9">
            <w:pPr>
              <w:widowControl w:val="0"/>
              <w:jc w:val="both"/>
              <w:rPr>
                <w:b/>
                <w:sz w:val="20"/>
                <w:szCs w:val="20"/>
              </w:rPr>
            </w:pPr>
          </w:p>
          <w:p w:rsidR="00A33544" w:rsidRPr="00C1697B" w:rsidRDefault="00EB0D45" w:rsidP="00F55AA9">
            <w:pPr>
              <w:widowControl w:val="0"/>
              <w:jc w:val="both"/>
              <w:rPr>
                <w:b/>
                <w:sz w:val="20"/>
                <w:szCs w:val="20"/>
              </w:rPr>
            </w:pPr>
            <w:r w:rsidRPr="00D50449">
              <w:rPr>
                <w:rFonts w:cs="Times New Roman"/>
                <w:sz w:val="20"/>
                <w:szCs w:val="20"/>
              </w:rPr>
              <w:t>Criminal law - Defences - Provocation - Whether there was an air of reality to the defence of provocation.</w:t>
            </w:r>
          </w:p>
        </w:tc>
        <w:tc>
          <w:tcPr>
            <w:tcW w:w="720" w:type="dxa"/>
            <w:tcMar>
              <w:left w:w="0" w:type="dxa"/>
              <w:right w:w="0" w:type="dxa"/>
            </w:tcMar>
          </w:tcPr>
          <w:p w:rsidR="00A33544" w:rsidRPr="00C1697B" w:rsidRDefault="00A33544" w:rsidP="00F55AA9">
            <w:pPr>
              <w:widowControl w:val="0"/>
              <w:jc w:val="center"/>
              <w:rPr>
                <w:sz w:val="20"/>
                <w:szCs w:val="20"/>
              </w:rPr>
            </w:pPr>
          </w:p>
        </w:tc>
        <w:tc>
          <w:tcPr>
            <w:tcW w:w="4380" w:type="dxa"/>
            <w:tcMar>
              <w:left w:w="0" w:type="dxa"/>
              <w:right w:w="0" w:type="dxa"/>
            </w:tcMar>
          </w:tcPr>
          <w:p w:rsidR="00A33544" w:rsidRPr="00CC4D84" w:rsidRDefault="00A33544" w:rsidP="00F55AA9">
            <w:pPr>
              <w:widowControl w:val="0"/>
              <w:jc w:val="both"/>
              <w:rPr>
                <w:b/>
                <w:sz w:val="20"/>
                <w:szCs w:val="20"/>
                <w:u w:val="single"/>
                <w:lang w:val="fr-CA"/>
              </w:rPr>
            </w:pPr>
            <w:r w:rsidRPr="00CC4D84">
              <w:rPr>
                <w:b/>
                <w:sz w:val="20"/>
                <w:szCs w:val="20"/>
                <w:u w:val="single"/>
                <w:lang w:val="fr-CA"/>
              </w:rPr>
              <w:t>Nature de la cause :</w:t>
            </w:r>
          </w:p>
          <w:p w:rsidR="00A33544" w:rsidRPr="00C1697B" w:rsidRDefault="00A33544" w:rsidP="00F55AA9">
            <w:pPr>
              <w:widowControl w:val="0"/>
              <w:jc w:val="both"/>
              <w:rPr>
                <w:sz w:val="20"/>
                <w:szCs w:val="20"/>
                <w:lang w:val="fr-CA"/>
              </w:rPr>
            </w:pPr>
          </w:p>
          <w:p w:rsidR="00A33544" w:rsidRPr="00C1697B" w:rsidRDefault="0039552E" w:rsidP="00F55AA9">
            <w:pPr>
              <w:widowControl w:val="0"/>
              <w:jc w:val="both"/>
              <w:rPr>
                <w:sz w:val="20"/>
                <w:szCs w:val="20"/>
                <w:lang w:val="fr-CA"/>
              </w:rPr>
            </w:pPr>
            <w:r w:rsidRPr="00027B07">
              <w:rPr>
                <w:sz w:val="20"/>
                <w:szCs w:val="20"/>
                <w:lang w:val="fr-CA"/>
              </w:rPr>
              <w:t>Droit criminel - Moyens de défense - Provocation - La défense de provocation était-elle vraisemblable?</w:t>
            </w:r>
          </w:p>
        </w:tc>
      </w:tr>
    </w:tbl>
    <w:p w:rsidR="00A33544" w:rsidRDefault="00A33544" w:rsidP="00A33544">
      <w:pPr>
        <w:widowControl w:val="0"/>
        <w:rPr>
          <w:sz w:val="20"/>
          <w:szCs w:val="20"/>
          <w:lang w:val="fr-CA"/>
        </w:rPr>
      </w:pPr>
    </w:p>
    <w:p w:rsidR="00A33544" w:rsidRPr="00C1697B" w:rsidRDefault="0017005E" w:rsidP="00A33544">
      <w:pPr>
        <w:widowControl w:val="0"/>
        <w:rPr>
          <w:sz w:val="20"/>
          <w:szCs w:val="20"/>
          <w:lang w:val="fr-CA"/>
        </w:rPr>
      </w:pPr>
      <w:r w:rsidRPr="0017005E">
        <w:rPr>
          <w:sz w:val="20"/>
          <w:szCs w:val="20"/>
          <w:lang w:val="fr-CA"/>
        </w:rPr>
        <w:pict>
          <v:rect id="_x0000_i1068" style="width:2in;height:1pt" o:hrpct="0" o:hralign="center" o:hrstd="t" o:hrnoshade="t" o:hr="t" fillcolor="black [3213]" stroked="f"/>
        </w:pict>
      </w:r>
    </w:p>
    <w:p w:rsidR="00A33544" w:rsidRDefault="00A33544" w:rsidP="00732DB7">
      <w:pPr>
        <w:widowControl w:val="0"/>
        <w:rPr>
          <w:sz w:val="20"/>
          <w:szCs w:val="20"/>
          <w:lang w:val="fr-CA"/>
        </w:rPr>
      </w:pPr>
    </w:p>
    <w:p w:rsidR="00A33544" w:rsidRDefault="00A33544" w:rsidP="00732DB7">
      <w:pPr>
        <w:widowControl w:val="0"/>
        <w:rPr>
          <w:sz w:val="20"/>
          <w:szCs w:val="20"/>
          <w:lang w:val="fr-CA"/>
        </w:rPr>
      </w:pPr>
    </w:p>
    <w:p w:rsidR="00A33544" w:rsidRPr="00C1697B" w:rsidRDefault="00A33544"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5C0D7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D51C77" w:rsidP="00AF1715">
      <w:pPr>
        <w:rPr>
          <w:b/>
          <w:sz w:val="20"/>
          <w:szCs w:val="20"/>
        </w:rPr>
      </w:pPr>
      <w:r>
        <w:rPr>
          <w:b/>
          <w:sz w:val="20"/>
          <w:szCs w:val="20"/>
        </w:rPr>
        <w:t>MAY 3</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3 MAI</w:t>
      </w:r>
      <w:r w:rsidR="00AF1715" w:rsidRPr="003B3977">
        <w:rPr>
          <w:b/>
          <w:sz w:val="20"/>
          <w:szCs w:val="20"/>
        </w:rPr>
        <w:t xml:space="preserve"> 201</w:t>
      </w:r>
      <w:r>
        <w:rPr>
          <w:b/>
          <w:sz w:val="20"/>
          <w:szCs w:val="20"/>
        </w:rPr>
        <w:t>3</w:t>
      </w:r>
    </w:p>
    <w:p w:rsidR="00AF1715" w:rsidRDefault="00AF1715" w:rsidP="00AF1715">
      <w:pPr>
        <w:rPr>
          <w:sz w:val="20"/>
          <w:szCs w:val="20"/>
        </w:rPr>
      </w:pPr>
    </w:p>
    <w:p w:rsidR="00862101" w:rsidRPr="009C41E6" w:rsidRDefault="0017005E" w:rsidP="00862101">
      <w:pPr>
        <w:ind w:left="1440" w:hanging="1440"/>
        <w:jc w:val="both"/>
        <w:rPr>
          <w:sz w:val="20"/>
          <w:szCs w:val="20"/>
        </w:rPr>
      </w:pPr>
      <w:r w:rsidRPr="009C41E6">
        <w:rPr>
          <w:b/>
          <w:sz w:val="20"/>
          <w:szCs w:val="20"/>
        </w:rPr>
        <w:fldChar w:fldCharType="begin"/>
      </w:r>
      <w:r w:rsidR="00862101" w:rsidRPr="009C41E6">
        <w:rPr>
          <w:b/>
          <w:sz w:val="20"/>
          <w:szCs w:val="20"/>
        </w:rPr>
        <w:instrText xml:space="preserve"> SEQ CHAPTER \h \r 1</w:instrText>
      </w:r>
      <w:r w:rsidRPr="009C41E6">
        <w:rPr>
          <w:b/>
          <w:sz w:val="20"/>
          <w:szCs w:val="20"/>
        </w:rPr>
        <w:fldChar w:fldCharType="end"/>
      </w:r>
      <w:proofErr w:type="gramStart"/>
      <w:r w:rsidR="00862101" w:rsidRPr="009C41E6">
        <w:rPr>
          <w:b/>
          <w:sz w:val="20"/>
          <w:szCs w:val="20"/>
        </w:rPr>
        <w:t>34229</w:t>
      </w:r>
      <w:r w:rsidR="00862101" w:rsidRPr="009C41E6">
        <w:rPr>
          <w:sz w:val="20"/>
          <w:szCs w:val="20"/>
        </w:rPr>
        <w:tab/>
      </w:r>
      <w:proofErr w:type="spellStart"/>
      <w:r w:rsidR="00862101" w:rsidRPr="009C41E6">
        <w:rPr>
          <w:b/>
          <w:sz w:val="20"/>
          <w:szCs w:val="20"/>
          <w:u w:val="single"/>
        </w:rPr>
        <w:t>Ivana</w:t>
      </w:r>
      <w:proofErr w:type="spellEnd"/>
      <w:r w:rsidR="00862101" w:rsidRPr="009C41E6">
        <w:rPr>
          <w:b/>
          <w:sz w:val="20"/>
          <w:szCs w:val="20"/>
          <w:u w:val="single"/>
        </w:rPr>
        <w:t xml:space="preserve"> </w:t>
      </w:r>
      <w:proofErr w:type="spellStart"/>
      <w:r w:rsidR="00862101" w:rsidRPr="009C41E6">
        <w:rPr>
          <w:b/>
          <w:sz w:val="20"/>
          <w:szCs w:val="20"/>
          <w:u w:val="single"/>
        </w:rPr>
        <w:t>Levkovic</w:t>
      </w:r>
      <w:proofErr w:type="spellEnd"/>
      <w:r w:rsidR="00862101" w:rsidRPr="009C41E6">
        <w:rPr>
          <w:b/>
          <w:sz w:val="20"/>
          <w:szCs w:val="20"/>
          <w:u w:val="single"/>
        </w:rPr>
        <w:t xml:space="preserve"> v.</w:t>
      </w:r>
      <w:proofErr w:type="gramEnd"/>
      <w:r w:rsidR="00862101" w:rsidRPr="009C41E6">
        <w:rPr>
          <w:b/>
          <w:sz w:val="20"/>
          <w:szCs w:val="20"/>
          <w:u w:val="single"/>
        </w:rPr>
        <w:t xml:space="preserve"> Her Majesty </w:t>
      </w:r>
      <w:proofErr w:type="gramStart"/>
      <w:r w:rsidR="00862101" w:rsidRPr="009C41E6">
        <w:rPr>
          <w:b/>
          <w:sz w:val="20"/>
          <w:szCs w:val="20"/>
          <w:u w:val="single"/>
        </w:rPr>
        <w:t>The</w:t>
      </w:r>
      <w:proofErr w:type="gramEnd"/>
      <w:r w:rsidR="00862101" w:rsidRPr="009C41E6">
        <w:rPr>
          <w:b/>
          <w:sz w:val="20"/>
          <w:szCs w:val="20"/>
          <w:u w:val="single"/>
        </w:rPr>
        <w:t xml:space="preserve"> Queen – and – Attorney General of Canada and Criminal Lawyers’ Association of Ontario</w:t>
      </w:r>
      <w:r w:rsidR="00862101" w:rsidRPr="009C41E6">
        <w:rPr>
          <w:b/>
          <w:sz w:val="20"/>
          <w:szCs w:val="20"/>
        </w:rPr>
        <w:t xml:space="preserve"> </w:t>
      </w:r>
      <w:r w:rsidR="00862101" w:rsidRPr="009C41E6">
        <w:rPr>
          <w:iCs/>
          <w:sz w:val="20"/>
          <w:szCs w:val="20"/>
        </w:rPr>
        <w:t>(Ont.)</w:t>
      </w:r>
    </w:p>
    <w:p w:rsidR="00862101" w:rsidRPr="009C41E6" w:rsidRDefault="00862101" w:rsidP="00862101">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9C41E6">
        <w:rPr>
          <w:b/>
          <w:sz w:val="20"/>
          <w:szCs w:val="20"/>
        </w:rPr>
        <w:t>2013 SCC 25 / 2013 CSC 25</w:t>
      </w:r>
    </w:p>
    <w:p w:rsidR="00862101" w:rsidRPr="009C41E6" w:rsidRDefault="00862101" w:rsidP="0086210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862101" w:rsidRPr="009C41E6" w:rsidRDefault="00862101" w:rsidP="00862101">
      <w:pPr>
        <w:rPr>
          <w:sz w:val="20"/>
          <w:szCs w:val="20"/>
          <w:u w:val="single"/>
        </w:rPr>
      </w:pPr>
      <w:r w:rsidRPr="009C41E6">
        <w:rPr>
          <w:sz w:val="20"/>
          <w:szCs w:val="20"/>
        </w:rPr>
        <w:t>Coram:</w:t>
      </w:r>
      <w:r w:rsidRPr="009C41E6">
        <w:rPr>
          <w:sz w:val="20"/>
          <w:szCs w:val="20"/>
        </w:rPr>
        <w:tab/>
      </w:r>
      <w:r w:rsidRPr="009C41E6">
        <w:rPr>
          <w:sz w:val="20"/>
          <w:szCs w:val="20"/>
        </w:rPr>
        <w:tab/>
      </w:r>
      <w:proofErr w:type="spellStart"/>
      <w:r w:rsidRPr="009C41E6">
        <w:rPr>
          <w:sz w:val="20"/>
          <w:szCs w:val="20"/>
          <w:u w:val="single"/>
        </w:rPr>
        <w:t>McLachlin</w:t>
      </w:r>
      <w:proofErr w:type="spellEnd"/>
      <w:r w:rsidRPr="009C41E6">
        <w:rPr>
          <w:sz w:val="20"/>
          <w:szCs w:val="20"/>
          <w:u w:val="single"/>
        </w:rPr>
        <w:t xml:space="preserve"> C.J. and </w:t>
      </w:r>
      <w:proofErr w:type="spellStart"/>
      <w:r w:rsidRPr="009C41E6">
        <w:rPr>
          <w:sz w:val="20"/>
          <w:szCs w:val="20"/>
          <w:u w:val="single"/>
        </w:rPr>
        <w:t>LeBel</w:t>
      </w:r>
      <w:proofErr w:type="spellEnd"/>
      <w:r w:rsidRPr="009C41E6">
        <w:rPr>
          <w:sz w:val="20"/>
          <w:szCs w:val="20"/>
          <w:u w:val="single"/>
        </w:rPr>
        <w:t xml:space="preserve">, Fish, </w:t>
      </w:r>
      <w:proofErr w:type="spellStart"/>
      <w:r w:rsidRPr="009C41E6">
        <w:rPr>
          <w:sz w:val="20"/>
          <w:szCs w:val="20"/>
          <w:u w:val="single"/>
        </w:rPr>
        <w:t>Abella</w:t>
      </w:r>
      <w:proofErr w:type="spellEnd"/>
      <w:r w:rsidRPr="009C41E6">
        <w:rPr>
          <w:sz w:val="20"/>
          <w:szCs w:val="20"/>
          <w:u w:val="single"/>
        </w:rPr>
        <w:t xml:space="preserve">, Rothstein, Cromwell and </w:t>
      </w:r>
      <w:proofErr w:type="spellStart"/>
      <w:r w:rsidRPr="009C41E6">
        <w:rPr>
          <w:sz w:val="20"/>
          <w:szCs w:val="20"/>
          <w:u w:val="single"/>
        </w:rPr>
        <w:t>Moldaver</w:t>
      </w:r>
      <w:proofErr w:type="spellEnd"/>
      <w:r w:rsidRPr="009C41E6">
        <w:rPr>
          <w:sz w:val="20"/>
          <w:szCs w:val="20"/>
          <w:u w:val="single"/>
        </w:rPr>
        <w:t xml:space="preserve"> JJ.</w:t>
      </w:r>
    </w:p>
    <w:p w:rsidR="00862101" w:rsidRPr="009C41E6" w:rsidRDefault="00862101" w:rsidP="00862101">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862101" w:rsidRPr="009C41E6" w:rsidRDefault="00862101" w:rsidP="00862101">
      <w:pPr>
        <w:jc w:val="both"/>
        <w:rPr>
          <w:sz w:val="20"/>
          <w:szCs w:val="20"/>
          <w:lang w:val="fr-CA"/>
        </w:rPr>
      </w:pPr>
      <w:r w:rsidRPr="009C41E6">
        <w:rPr>
          <w:sz w:val="20"/>
          <w:szCs w:val="20"/>
        </w:rPr>
        <w:t xml:space="preserve">The appeal from the judgment of the Court of Appeal for Ontario, Number C49523, 2010 ONCA 830, dated December 7, 2010, heard on October 10, 2012, is dismissed.  </w:t>
      </w:r>
      <w:r w:rsidRPr="009C41E6">
        <w:rPr>
          <w:sz w:val="20"/>
          <w:szCs w:val="20"/>
          <w:lang w:val="fr-CA"/>
        </w:rPr>
        <w:t xml:space="preserve">The </w:t>
      </w:r>
      <w:proofErr w:type="spellStart"/>
      <w:r w:rsidRPr="009C41E6">
        <w:rPr>
          <w:sz w:val="20"/>
          <w:szCs w:val="20"/>
          <w:lang w:val="fr-CA"/>
        </w:rPr>
        <w:t>order</w:t>
      </w:r>
      <w:proofErr w:type="spellEnd"/>
      <w:r w:rsidRPr="009C41E6">
        <w:rPr>
          <w:sz w:val="20"/>
          <w:szCs w:val="20"/>
          <w:lang w:val="fr-CA"/>
        </w:rPr>
        <w:t xml:space="preserve"> for a new trial </w:t>
      </w:r>
      <w:proofErr w:type="spellStart"/>
      <w:r w:rsidRPr="009C41E6">
        <w:rPr>
          <w:sz w:val="20"/>
          <w:szCs w:val="20"/>
          <w:lang w:val="fr-CA"/>
        </w:rPr>
        <w:t>is</w:t>
      </w:r>
      <w:proofErr w:type="spellEnd"/>
      <w:r w:rsidRPr="009C41E6">
        <w:rPr>
          <w:sz w:val="20"/>
          <w:szCs w:val="20"/>
          <w:lang w:val="fr-CA"/>
        </w:rPr>
        <w:t xml:space="preserve"> </w:t>
      </w:r>
      <w:proofErr w:type="spellStart"/>
      <w:r w:rsidRPr="009C41E6">
        <w:rPr>
          <w:sz w:val="20"/>
          <w:szCs w:val="20"/>
          <w:lang w:val="fr-CA"/>
        </w:rPr>
        <w:t>affirmed</w:t>
      </w:r>
      <w:proofErr w:type="spellEnd"/>
      <w:r w:rsidRPr="009C41E6">
        <w:rPr>
          <w:sz w:val="20"/>
          <w:szCs w:val="20"/>
          <w:lang w:val="fr-CA"/>
        </w:rPr>
        <w:t>.</w:t>
      </w:r>
    </w:p>
    <w:p w:rsidR="00862101" w:rsidRPr="009C41E6" w:rsidRDefault="00862101" w:rsidP="00862101">
      <w:pPr>
        <w:jc w:val="both"/>
        <w:rPr>
          <w:sz w:val="20"/>
          <w:szCs w:val="20"/>
          <w:lang w:val="fr-CA"/>
        </w:rPr>
      </w:pPr>
    </w:p>
    <w:p w:rsidR="00862101" w:rsidRPr="009C41E6" w:rsidRDefault="00862101" w:rsidP="00862101">
      <w:pPr>
        <w:jc w:val="both"/>
        <w:rPr>
          <w:sz w:val="20"/>
          <w:szCs w:val="20"/>
        </w:rPr>
      </w:pPr>
      <w:r w:rsidRPr="009C41E6">
        <w:rPr>
          <w:sz w:val="20"/>
          <w:szCs w:val="20"/>
          <w:lang w:val="fr-CA"/>
        </w:rPr>
        <w:t>L’appel interjeté contre l’arrêt de la Cour d’appel de l’Ontario, numéro C49523, 2010 ONCA 830, en date du 7 décembre 2010, entendu le 10 octobre 2012, est rejeté.  L’ordonnance visant la tenue d’un nouveau procès est confirmée.</w:t>
      </w:r>
    </w:p>
    <w:p w:rsidR="00862101" w:rsidRDefault="00862101" w:rsidP="00AF1715">
      <w:pPr>
        <w:rPr>
          <w:sz w:val="20"/>
          <w:szCs w:val="20"/>
        </w:rPr>
      </w:pPr>
    </w:p>
    <w:p w:rsidR="00AF1715" w:rsidRPr="003B3977" w:rsidRDefault="0017005E" w:rsidP="00AF1715">
      <w:pPr>
        <w:spacing w:line="0" w:lineRule="atLeast"/>
        <w:rPr>
          <w:sz w:val="20"/>
          <w:szCs w:val="20"/>
        </w:rPr>
      </w:pPr>
      <w:r w:rsidRPr="0017005E">
        <w:rPr>
          <w:b/>
          <w:sz w:val="20"/>
          <w:szCs w:val="20"/>
        </w:rPr>
        <w:pict>
          <v:rect id="_x0000_i1071"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A4128" w:rsidRPr="00933B8A" w:rsidRDefault="00AA4128" w:rsidP="00AA4128">
      <w:pPr>
        <w:rPr>
          <w:sz w:val="20"/>
          <w:szCs w:val="20"/>
        </w:rPr>
      </w:pPr>
      <w:proofErr w:type="spellStart"/>
      <w:proofErr w:type="gramStart"/>
      <w:r w:rsidRPr="00933B8A">
        <w:rPr>
          <w:i/>
          <w:sz w:val="20"/>
          <w:szCs w:val="20"/>
        </w:rPr>
        <w:t>Ivana</w:t>
      </w:r>
      <w:proofErr w:type="spellEnd"/>
      <w:r w:rsidRPr="00933B8A">
        <w:rPr>
          <w:i/>
          <w:sz w:val="20"/>
          <w:szCs w:val="20"/>
        </w:rPr>
        <w:t xml:space="preserve"> </w:t>
      </w:r>
      <w:proofErr w:type="spellStart"/>
      <w:r w:rsidRPr="00933B8A">
        <w:rPr>
          <w:i/>
          <w:sz w:val="20"/>
          <w:szCs w:val="20"/>
        </w:rPr>
        <w:t>Levkovic</w:t>
      </w:r>
      <w:proofErr w:type="spellEnd"/>
      <w:r w:rsidRPr="00933B8A">
        <w:rPr>
          <w:i/>
          <w:sz w:val="20"/>
          <w:szCs w:val="20"/>
        </w:rPr>
        <w:t xml:space="preserve"> v.</w:t>
      </w:r>
      <w:proofErr w:type="gramEnd"/>
      <w:r w:rsidRPr="00933B8A">
        <w:rPr>
          <w:i/>
          <w:sz w:val="20"/>
          <w:szCs w:val="20"/>
        </w:rPr>
        <w:t xml:space="preserve"> Her Majesty the Queen </w:t>
      </w:r>
      <w:r w:rsidRPr="00933B8A">
        <w:rPr>
          <w:sz w:val="20"/>
          <w:szCs w:val="20"/>
        </w:rPr>
        <w:t>(Ont.) (34229)</w:t>
      </w:r>
    </w:p>
    <w:p w:rsidR="00E34F5F" w:rsidRPr="00E34F5F" w:rsidRDefault="00E34F5F" w:rsidP="00E34F5F">
      <w:pPr>
        <w:jc w:val="both"/>
        <w:rPr>
          <w:b/>
          <w:sz w:val="20"/>
          <w:szCs w:val="20"/>
        </w:rPr>
      </w:pPr>
      <w:r w:rsidRPr="00112C0C">
        <w:rPr>
          <w:b/>
          <w:sz w:val="20"/>
          <w:szCs w:val="20"/>
        </w:rPr>
        <w:t xml:space="preserve">Indexed as:  R. </w:t>
      </w:r>
      <w:r w:rsidRPr="00112C0C">
        <w:rPr>
          <w:b/>
          <w:i/>
          <w:sz w:val="20"/>
          <w:szCs w:val="20"/>
        </w:rPr>
        <w:t>v.</w:t>
      </w:r>
      <w:r w:rsidRPr="00112C0C">
        <w:rPr>
          <w:b/>
          <w:sz w:val="20"/>
          <w:szCs w:val="20"/>
        </w:rPr>
        <w:t xml:space="preserve"> </w:t>
      </w:r>
      <w:proofErr w:type="spellStart"/>
      <w:r w:rsidRPr="00E34F5F">
        <w:rPr>
          <w:rStyle w:val="SCCAppellantForIndexChar"/>
          <w:rFonts w:eastAsiaTheme="minorHAnsi"/>
          <w:sz w:val="20"/>
          <w:lang w:val="en-CA"/>
        </w:rPr>
        <w:t>Levkovic</w:t>
      </w:r>
      <w:proofErr w:type="spellEnd"/>
      <w:r w:rsidRPr="00E34F5F">
        <w:rPr>
          <w:rStyle w:val="SCCAppellantForIndexChar"/>
          <w:rFonts w:eastAsiaTheme="minorHAnsi"/>
          <w:sz w:val="20"/>
          <w:lang w:val="en-CA"/>
        </w:rPr>
        <w:t xml:space="preserve"> / </w:t>
      </w:r>
      <w:proofErr w:type="spellStart"/>
      <w:proofErr w:type="gramStart"/>
      <w:r w:rsidRPr="00E34F5F">
        <w:rPr>
          <w:b/>
          <w:sz w:val="20"/>
          <w:szCs w:val="20"/>
        </w:rPr>
        <w:t>Répertorié</w:t>
      </w:r>
      <w:proofErr w:type="spellEnd"/>
      <w:r w:rsidRPr="00E34F5F">
        <w:rPr>
          <w:b/>
          <w:sz w:val="20"/>
          <w:szCs w:val="20"/>
        </w:rPr>
        <w:t> :</w:t>
      </w:r>
      <w:proofErr w:type="gramEnd"/>
      <w:r w:rsidRPr="00E34F5F">
        <w:rPr>
          <w:b/>
          <w:sz w:val="20"/>
          <w:szCs w:val="20"/>
        </w:rPr>
        <w:t> </w:t>
      </w:r>
      <w:r w:rsidRPr="00E34F5F">
        <w:rPr>
          <w:rStyle w:val="SCCRespondentForIndexChar"/>
          <w:rFonts w:eastAsiaTheme="minorHAnsi"/>
          <w:sz w:val="20"/>
        </w:rPr>
        <w:t>R.</w:t>
      </w:r>
      <w:r w:rsidRPr="00E34F5F">
        <w:rPr>
          <w:b/>
          <w:i/>
          <w:sz w:val="20"/>
          <w:szCs w:val="20"/>
        </w:rPr>
        <w:t xml:space="preserve"> c.</w:t>
      </w:r>
      <w:r w:rsidRPr="00E34F5F">
        <w:rPr>
          <w:b/>
          <w:sz w:val="20"/>
          <w:szCs w:val="20"/>
        </w:rPr>
        <w:t xml:space="preserve"> </w:t>
      </w:r>
      <w:proofErr w:type="spellStart"/>
      <w:r w:rsidRPr="00E34F5F">
        <w:rPr>
          <w:rStyle w:val="SCCAppellantForIndexChar"/>
          <w:rFonts w:eastAsiaTheme="minorHAnsi"/>
          <w:sz w:val="20"/>
          <w:lang w:val="en-CA"/>
        </w:rPr>
        <w:t>Levkovic</w:t>
      </w:r>
      <w:proofErr w:type="spellEnd"/>
      <w:r w:rsidRPr="00E34F5F">
        <w:rPr>
          <w:b/>
          <w:sz w:val="20"/>
          <w:szCs w:val="20"/>
        </w:rPr>
        <w:t xml:space="preserve"> </w:t>
      </w:r>
    </w:p>
    <w:p w:rsidR="005C6840" w:rsidRPr="00E34F5F" w:rsidRDefault="005C6840" w:rsidP="005C6840">
      <w:pPr>
        <w:pStyle w:val="SCCSystemYear"/>
        <w:jc w:val="both"/>
        <w:rPr>
          <w:sz w:val="20"/>
          <w:lang w:val="en-CA"/>
        </w:rPr>
      </w:pPr>
      <w:r w:rsidRPr="00E34F5F">
        <w:rPr>
          <w:sz w:val="20"/>
          <w:lang w:val="en-CA"/>
        </w:rPr>
        <w:t>Neutral citation:  201</w:t>
      </w:r>
      <w:r w:rsidR="00F761A3" w:rsidRPr="00E34F5F">
        <w:rPr>
          <w:sz w:val="20"/>
          <w:lang w:val="en-CA"/>
        </w:rPr>
        <w:t>3</w:t>
      </w:r>
      <w:r w:rsidRPr="00E34F5F">
        <w:rPr>
          <w:sz w:val="20"/>
          <w:lang w:val="en-CA"/>
        </w:rPr>
        <w:t xml:space="preserve"> SCC </w:t>
      </w:r>
      <w:r w:rsidR="00AA4128" w:rsidRPr="00E34F5F">
        <w:rPr>
          <w:sz w:val="20"/>
          <w:lang w:val="en-CA"/>
        </w:rPr>
        <w:t>25</w:t>
      </w:r>
      <w:r w:rsidRPr="00E34F5F">
        <w:rPr>
          <w:sz w:val="20"/>
          <w:lang w:val="en-CA"/>
        </w:rPr>
        <w:t xml:space="preserve"> / Référence </w:t>
      </w:r>
      <w:proofErr w:type="spellStart"/>
      <w:proofErr w:type="gramStart"/>
      <w:r w:rsidRPr="00E34F5F">
        <w:rPr>
          <w:sz w:val="20"/>
          <w:lang w:val="en-CA"/>
        </w:rPr>
        <w:t>neutre</w:t>
      </w:r>
      <w:proofErr w:type="spellEnd"/>
      <w:r w:rsidRPr="00E34F5F">
        <w:rPr>
          <w:sz w:val="20"/>
          <w:lang w:val="en-CA"/>
        </w:rPr>
        <w:t xml:space="preserve"> :</w:t>
      </w:r>
      <w:proofErr w:type="gramEnd"/>
      <w:r w:rsidRPr="00E34F5F">
        <w:rPr>
          <w:sz w:val="20"/>
          <w:lang w:val="en-CA"/>
        </w:rPr>
        <w:t xml:space="preserve"> 201</w:t>
      </w:r>
      <w:r w:rsidR="00F761A3" w:rsidRPr="00E34F5F">
        <w:rPr>
          <w:sz w:val="20"/>
          <w:lang w:val="en-CA"/>
        </w:rPr>
        <w:t>3</w:t>
      </w:r>
      <w:r w:rsidRPr="00E34F5F">
        <w:rPr>
          <w:sz w:val="20"/>
          <w:lang w:val="en-CA"/>
        </w:rPr>
        <w:t xml:space="preserve"> CSC </w:t>
      </w:r>
      <w:r w:rsidR="00AA4128" w:rsidRPr="00E34F5F">
        <w:rPr>
          <w:sz w:val="20"/>
          <w:lang w:val="en-CA"/>
        </w:rPr>
        <w:t>25</w:t>
      </w:r>
    </w:p>
    <w:p w:rsidR="005C6840" w:rsidRPr="00E34F5F" w:rsidRDefault="005C6840" w:rsidP="005C6840">
      <w:pPr>
        <w:rPr>
          <w:rFonts w:cs="Times New Roman"/>
          <w:sz w:val="20"/>
          <w:szCs w:val="20"/>
        </w:rPr>
      </w:pPr>
      <w:r w:rsidRPr="00E34F5F">
        <w:rPr>
          <w:rFonts w:cs="Times New Roman"/>
          <w:sz w:val="20"/>
          <w:szCs w:val="20"/>
        </w:rPr>
        <w:t xml:space="preserve">Hearing:  October </w:t>
      </w:r>
      <w:r w:rsidR="00E34F5F" w:rsidRPr="00E34F5F">
        <w:rPr>
          <w:rFonts w:cs="Times New Roman"/>
          <w:sz w:val="20"/>
          <w:szCs w:val="20"/>
        </w:rPr>
        <w:t>10</w:t>
      </w:r>
      <w:r w:rsidRPr="00E34F5F">
        <w:rPr>
          <w:rFonts w:cs="Times New Roman"/>
          <w:sz w:val="20"/>
          <w:szCs w:val="20"/>
        </w:rPr>
        <w:t>, 201</w:t>
      </w:r>
      <w:r w:rsidR="00E34F5F" w:rsidRPr="00E34F5F">
        <w:rPr>
          <w:rFonts w:cs="Times New Roman"/>
          <w:sz w:val="20"/>
          <w:szCs w:val="20"/>
        </w:rPr>
        <w:t>2</w:t>
      </w:r>
      <w:r w:rsidRPr="00E34F5F">
        <w:rPr>
          <w:rFonts w:cs="Times New Roman"/>
          <w:sz w:val="20"/>
          <w:szCs w:val="20"/>
        </w:rPr>
        <w:t xml:space="preserve"> / Judgment:  </w:t>
      </w:r>
      <w:r w:rsidR="00AA4128" w:rsidRPr="00E34F5F">
        <w:rPr>
          <w:rFonts w:cs="Times New Roman"/>
          <w:sz w:val="20"/>
          <w:szCs w:val="20"/>
        </w:rPr>
        <w:t>May 3</w:t>
      </w:r>
      <w:r w:rsidRPr="00E34F5F">
        <w:rPr>
          <w:rFonts w:cs="Times New Roman"/>
          <w:sz w:val="20"/>
          <w:szCs w:val="20"/>
        </w:rPr>
        <w:t>, 201</w:t>
      </w:r>
      <w:r w:rsidR="00AA4128" w:rsidRPr="00E34F5F">
        <w:rPr>
          <w:rFonts w:cs="Times New Roman"/>
          <w:sz w:val="20"/>
          <w:szCs w:val="20"/>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E34F5F">
        <w:rPr>
          <w:rFonts w:cs="Times New Roman"/>
          <w:sz w:val="20"/>
          <w:szCs w:val="20"/>
          <w:lang w:val="fr-CA"/>
        </w:rPr>
        <w:t>10</w:t>
      </w:r>
      <w:r w:rsidRPr="003B3977">
        <w:rPr>
          <w:rFonts w:cs="Times New Roman"/>
          <w:sz w:val="20"/>
          <w:szCs w:val="20"/>
          <w:lang w:val="fr-CA"/>
        </w:rPr>
        <w:t xml:space="preserve"> octobre 201</w:t>
      </w:r>
      <w:r w:rsidR="00E34F5F">
        <w:rPr>
          <w:rFonts w:cs="Times New Roman"/>
          <w:sz w:val="20"/>
          <w:szCs w:val="20"/>
          <w:lang w:val="fr-CA"/>
        </w:rPr>
        <w:t>2</w:t>
      </w:r>
      <w:r w:rsidRPr="003B3977">
        <w:rPr>
          <w:rFonts w:cs="Times New Roman"/>
          <w:sz w:val="20"/>
          <w:szCs w:val="20"/>
          <w:lang w:val="fr-CA"/>
        </w:rPr>
        <w:t xml:space="preserve"> / Jugement : Le </w:t>
      </w:r>
      <w:r w:rsidR="00AA4128">
        <w:rPr>
          <w:rFonts w:cs="Times New Roman"/>
          <w:sz w:val="20"/>
          <w:szCs w:val="20"/>
          <w:lang w:val="fr-CA"/>
        </w:rPr>
        <w:t>3</w:t>
      </w:r>
      <w:r w:rsidRPr="003B3977">
        <w:rPr>
          <w:rFonts w:cs="Times New Roman"/>
          <w:sz w:val="20"/>
          <w:szCs w:val="20"/>
          <w:lang w:val="fr-CA"/>
        </w:rPr>
        <w:t xml:space="preserve"> </w:t>
      </w:r>
      <w:r w:rsidR="00AA4128">
        <w:rPr>
          <w:rFonts w:cs="Times New Roman"/>
          <w:sz w:val="20"/>
          <w:szCs w:val="20"/>
          <w:lang w:val="fr-CA"/>
        </w:rPr>
        <w:t>mai</w:t>
      </w:r>
      <w:r w:rsidRPr="003B3977">
        <w:rPr>
          <w:rFonts w:cs="Times New Roman"/>
          <w:sz w:val="20"/>
          <w:szCs w:val="20"/>
          <w:lang w:val="fr-CA"/>
        </w:rPr>
        <w:t xml:space="preserve"> 201</w:t>
      </w:r>
      <w:r w:rsidR="00AA4128">
        <w:rPr>
          <w:rFonts w:cs="Times New Roman"/>
          <w:sz w:val="20"/>
          <w:szCs w:val="20"/>
          <w:lang w:val="fr-CA"/>
        </w:rPr>
        <w:t>3</w:t>
      </w:r>
    </w:p>
    <w:p w:rsidR="005C6840" w:rsidRPr="003B3977" w:rsidRDefault="0017005E" w:rsidP="005C6840">
      <w:pPr>
        <w:rPr>
          <w:rFonts w:cs="Times New Roman"/>
          <w:sz w:val="20"/>
          <w:szCs w:val="20"/>
          <w:lang w:val="fr-CA"/>
        </w:rPr>
      </w:pPr>
      <w:r w:rsidRPr="0017005E">
        <w:rPr>
          <w:rFonts w:cs="Times New Roman"/>
          <w:i/>
          <w:sz w:val="20"/>
          <w:szCs w:val="20"/>
        </w:rPr>
        <w:pict>
          <v:rect id="_x0000_i107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34F5F" w:rsidRPr="00112C0C" w:rsidRDefault="00E34F5F" w:rsidP="00E34F5F">
      <w:pPr>
        <w:jc w:val="both"/>
        <w:rPr>
          <w:sz w:val="20"/>
          <w:szCs w:val="20"/>
        </w:rPr>
      </w:pPr>
      <w:r w:rsidRPr="00112C0C">
        <w:rPr>
          <w:sz w:val="20"/>
          <w:szCs w:val="20"/>
        </w:rPr>
        <w:t xml:space="preserve">Present:  </w:t>
      </w:r>
      <w:proofErr w:type="spellStart"/>
      <w:r w:rsidRPr="00112C0C">
        <w:rPr>
          <w:sz w:val="20"/>
          <w:szCs w:val="20"/>
        </w:rPr>
        <w:t>McLachlin</w:t>
      </w:r>
      <w:proofErr w:type="spellEnd"/>
      <w:r w:rsidRPr="00112C0C">
        <w:rPr>
          <w:sz w:val="20"/>
          <w:szCs w:val="20"/>
        </w:rPr>
        <w:t xml:space="preserve"> C.J. and </w:t>
      </w:r>
      <w:proofErr w:type="spellStart"/>
      <w:r w:rsidRPr="00112C0C">
        <w:rPr>
          <w:sz w:val="20"/>
          <w:szCs w:val="20"/>
        </w:rPr>
        <w:t>LeBel</w:t>
      </w:r>
      <w:proofErr w:type="spellEnd"/>
      <w:r w:rsidRPr="00112C0C">
        <w:rPr>
          <w:sz w:val="20"/>
          <w:szCs w:val="20"/>
        </w:rPr>
        <w:t xml:space="preserve">, Fish, </w:t>
      </w:r>
      <w:proofErr w:type="spellStart"/>
      <w:r w:rsidRPr="00112C0C">
        <w:rPr>
          <w:sz w:val="20"/>
          <w:szCs w:val="20"/>
        </w:rPr>
        <w:t>Abella</w:t>
      </w:r>
      <w:proofErr w:type="spellEnd"/>
      <w:r w:rsidRPr="00112C0C">
        <w:rPr>
          <w:sz w:val="20"/>
          <w:szCs w:val="20"/>
        </w:rPr>
        <w:t xml:space="preserve">, Rothstein, Cromwell and </w:t>
      </w:r>
      <w:proofErr w:type="spellStart"/>
      <w:r w:rsidRPr="00112C0C">
        <w:rPr>
          <w:sz w:val="20"/>
          <w:szCs w:val="20"/>
        </w:rPr>
        <w:t>Moldaver</w:t>
      </w:r>
      <w:proofErr w:type="spellEnd"/>
      <w:r w:rsidRPr="00112C0C">
        <w:rPr>
          <w:sz w:val="20"/>
          <w:szCs w:val="20"/>
        </w:rPr>
        <w:t> JJ.</w:t>
      </w:r>
    </w:p>
    <w:p w:rsidR="00E34F5F" w:rsidRDefault="00E34F5F" w:rsidP="00E34F5F">
      <w:pPr>
        <w:pStyle w:val="SCCLowerCourtNameLowercase"/>
        <w:spacing w:line="240" w:lineRule="auto"/>
        <w:rPr>
          <w:sz w:val="20"/>
        </w:rPr>
      </w:pPr>
    </w:p>
    <w:p w:rsidR="00E34F5F" w:rsidRDefault="00E34F5F" w:rsidP="00E34F5F">
      <w:pPr>
        <w:pStyle w:val="SCCNormalDoubleSpacing"/>
        <w:spacing w:line="240" w:lineRule="auto"/>
        <w:rPr>
          <w:rFonts w:eastAsiaTheme="majorEastAsia"/>
          <w:i/>
          <w:sz w:val="20"/>
        </w:rPr>
      </w:pPr>
      <w:r w:rsidRPr="00112C0C">
        <w:rPr>
          <w:rFonts w:eastAsiaTheme="majorEastAsia"/>
          <w:i/>
          <w:sz w:val="20"/>
        </w:rPr>
        <w:tab/>
        <w:t xml:space="preserve">Constitutional law — Charter of Rights — </w:t>
      </w:r>
      <w:bookmarkStart w:id="2" w:name="HIT_1"/>
      <w:bookmarkStart w:id="3" w:name="ORIGHIT_1"/>
      <w:bookmarkEnd w:id="2"/>
      <w:bookmarkEnd w:id="3"/>
      <w:r w:rsidRPr="00112C0C">
        <w:rPr>
          <w:rFonts w:eastAsiaTheme="majorEastAsia"/>
          <w:i/>
          <w:sz w:val="20"/>
        </w:rPr>
        <w:t xml:space="preserve">Right to liberty — Right to security of person — </w:t>
      </w:r>
      <w:r w:rsidRPr="00112C0C">
        <w:rPr>
          <w:i/>
          <w:sz w:val="20"/>
        </w:rPr>
        <w:t>Fundamental justice</w:t>
      </w:r>
      <w:r w:rsidRPr="00112C0C">
        <w:rPr>
          <w:rFonts w:eastAsiaTheme="majorEastAsia"/>
          <w:i/>
          <w:sz w:val="20"/>
        </w:rPr>
        <w:t xml:space="preserve"> — </w:t>
      </w:r>
      <w:r w:rsidRPr="00112C0C">
        <w:rPr>
          <w:i/>
          <w:sz w:val="20"/>
        </w:rPr>
        <w:t>Vagueness</w:t>
      </w:r>
      <w:r w:rsidRPr="00112C0C">
        <w:rPr>
          <w:rFonts w:eastAsiaTheme="majorEastAsia"/>
          <w:i/>
          <w:sz w:val="20"/>
        </w:rPr>
        <w:t xml:space="preserve"> — Criminal Code provision prohibiting </w:t>
      </w:r>
      <w:r w:rsidRPr="00112C0C">
        <w:rPr>
          <w:i/>
          <w:sz w:val="20"/>
        </w:rPr>
        <w:t>disposing of dead body of child with intent to conceal its delivery whether child died before, during or after birth</w:t>
      </w:r>
      <w:r w:rsidRPr="00112C0C">
        <w:rPr>
          <w:rFonts w:eastAsiaTheme="majorEastAsia"/>
          <w:i/>
          <w:sz w:val="20"/>
        </w:rPr>
        <w:t xml:space="preserve"> — Whether </w:t>
      </w:r>
      <w:r w:rsidRPr="00112C0C">
        <w:rPr>
          <w:i/>
          <w:sz w:val="20"/>
        </w:rPr>
        <w:t>provision is impermissibly vague in its application to child that died before birth</w:t>
      </w:r>
      <w:r w:rsidRPr="00112C0C">
        <w:rPr>
          <w:rFonts w:eastAsiaTheme="majorEastAsia"/>
          <w:i/>
          <w:sz w:val="20"/>
        </w:rPr>
        <w:t xml:space="preserve"> — Whether provision infringes rights to liberty and security of person — Canadian Charter of Rights and Freedoms, s. 7 — Criminal Code</w:t>
      </w:r>
      <w:r w:rsidRPr="00112C0C">
        <w:rPr>
          <w:i/>
          <w:sz w:val="20"/>
          <w:lang w:val="en-US"/>
        </w:rPr>
        <w:t>, R.S.C. 1985, c. C</w:t>
      </w:r>
      <w:r w:rsidRPr="00112C0C">
        <w:rPr>
          <w:i/>
          <w:sz w:val="20"/>
          <w:lang w:val="en-US"/>
        </w:rPr>
        <w:noBreakHyphen/>
        <w:t>46,</w:t>
      </w:r>
      <w:r w:rsidRPr="00112C0C">
        <w:rPr>
          <w:rFonts w:eastAsiaTheme="majorEastAsia"/>
          <w:i/>
          <w:sz w:val="20"/>
        </w:rPr>
        <w:t xml:space="preserve"> s. 243.</w:t>
      </w:r>
    </w:p>
    <w:p w:rsidR="00E34F5F" w:rsidRPr="00112C0C" w:rsidRDefault="00E34F5F" w:rsidP="00E34F5F">
      <w:pPr>
        <w:pStyle w:val="SCCNormalDoubleSpacing"/>
        <w:spacing w:line="240" w:lineRule="auto"/>
        <w:rPr>
          <w:rFonts w:eastAsiaTheme="majorEastAsia"/>
          <w:i/>
          <w:sz w:val="20"/>
        </w:rPr>
      </w:pPr>
    </w:p>
    <w:p w:rsidR="00E34F5F" w:rsidRPr="00112C0C" w:rsidRDefault="00E34F5F" w:rsidP="00E34F5F">
      <w:pPr>
        <w:pStyle w:val="SCCNormalDoubleSpacing"/>
        <w:spacing w:line="240" w:lineRule="auto"/>
        <w:rPr>
          <w:rFonts w:eastAsiaTheme="majorEastAsia"/>
          <w:i/>
          <w:sz w:val="20"/>
        </w:rPr>
      </w:pPr>
      <w:r w:rsidRPr="00112C0C">
        <w:rPr>
          <w:rFonts w:eastAsiaTheme="majorEastAsia"/>
          <w:i/>
          <w:sz w:val="20"/>
        </w:rPr>
        <w:tab/>
        <w:t xml:space="preserve">Criminal Law — </w:t>
      </w:r>
      <w:r w:rsidRPr="00112C0C">
        <w:rPr>
          <w:i/>
          <w:sz w:val="20"/>
        </w:rPr>
        <w:t xml:space="preserve">Offences </w:t>
      </w:r>
      <w:r w:rsidRPr="00112C0C">
        <w:rPr>
          <w:rFonts w:eastAsiaTheme="majorEastAsia"/>
          <w:i/>
          <w:sz w:val="20"/>
        </w:rPr>
        <w:t>— C</w:t>
      </w:r>
      <w:r w:rsidRPr="00112C0C">
        <w:rPr>
          <w:i/>
          <w:sz w:val="20"/>
        </w:rPr>
        <w:t xml:space="preserve">oncealing body of child </w:t>
      </w:r>
      <w:r w:rsidRPr="00112C0C">
        <w:rPr>
          <w:rFonts w:eastAsiaTheme="majorEastAsia"/>
          <w:i/>
          <w:sz w:val="20"/>
        </w:rPr>
        <w:t xml:space="preserve">— Whether phrase “child [that] </w:t>
      </w:r>
      <w:proofErr w:type="gramStart"/>
      <w:r w:rsidRPr="00112C0C">
        <w:rPr>
          <w:rFonts w:eastAsiaTheme="majorEastAsia"/>
          <w:i/>
          <w:sz w:val="20"/>
        </w:rPr>
        <w:t>died .</w:t>
      </w:r>
      <w:proofErr w:type="gramEnd"/>
      <w:r w:rsidRPr="00112C0C">
        <w:rPr>
          <w:rFonts w:eastAsiaTheme="majorEastAsia"/>
          <w:i/>
          <w:sz w:val="20"/>
        </w:rPr>
        <w:t> . . before birth” satisfies requirement of certainty —Criminal Code</w:t>
      </w:r>
      <w:r w:rsidRPr="00112C0C">
        <w:rPr>
          <w:i/>
          <w:sz w:val="20"/>
          <w:lang w:val="en-US"/>
        </w:rPr>
        <w:t>, R.S.C. 1985, c. C</w:t>
      </w:r>
      <w:r w:rsidRPr="00112C0C">
        <w:rPr>
          <w:i/>
          <w:sz w:val="20"/>
          <w:lang w:val="en-US"/>
        </w:rPr>
        <w:noBreakHyphen/>
        <w:t>46,</w:t>
      </w:r>
      <w:r w:rsidRPr="00112C0C">
        <w:rPr>
          <w:rFonts w:eastAsiaTheme="majorEastAsia"/>
          <w:i/>
          <w:sz w:val="20"/>
        </w:rPr>
        <w:t xml:space="preserve"> s. 243.</w:t>
      </w:r>
    </w:p>
    <w:p w:rsidR="00E34F5F" w:rsidRDefault="00E34F5F" w:rsidP="00E34F5F">
      <w:pPr>
        <w:pStyle w:val="SCCNormalDoubleSpacing"/>
        <w:spacing w:line="240" w:lineRule="auto"/>
        <w:rPr>
          <w:sz w:val="20"/>
        </w:rPr>
      </w:pPr>
    </w:p>
    <w:p w:rsidR="00E34F5F" w:rsidRPr="00112C0C" w:rsidRDefault="00E34F5F" w:rsidP="00E34F5F">
      <w:pPr>
        <w:pStyle w:val="SCCNormalDoubleSpacing"/>
        <w:spacing w:line="240" w:lineRule="auto"/>
        <w:rPr>
          <w:sz w:val="20"/>
        </w:rPr>
      </w:pPr>
      <w:r w:rsidRPr="00112C0C">
        <w:rPr>
          <w:sz w:val="20"/>
        </w:rPr>
        <w:tab/>
        <w:t xml:space="preserve">While cleaning a recently vacated apartment, a building superintendent discovered on the balcony a bag containing the remains of a human baby.  According to the Crown, the remains were of a female delivered “at or near full term”.  The cause of death could not be determined and it was unknown whether there had been a live birth.  The accused was charged under s. 243 of the </w:t>
      </w:r>
      <w:r w:rsidRPr="00112C0C">
        <w:rPr>
          <w:i/>
          <w:sz w:val="20"/>
        </w:rPr>
        <w:t xml:space="preserve">Criminal Code </w:t>
      </w:r>
      <w:r w:rsidRPr="00112C0C">
        <w:rPr>
          <w:sz w:val="20"/>
        </w:rPr>
        <w:t>with concealing the dead body of a child.  Before any evidence was called, she challenged the constitutionality of s. 243 on the grounds that the section infringes her right to liberty and security under s. 7 of the</w:t>
      </w:r>
      <w:r w:rsidRPr="00112C0C">
        <w:rPr>
          <w:i/>
          <w:sz w:val="20"/>
        </w:rPr>
        <w:t xml:space="preserve"> Charter</w:t>
      </w:r>
      <w:r w:rsidRPr="00112C0C">
        <w:rPr>
          <w:sz w:val="20"/>
        </w:rPr>
        <w:t xml:space="preserve">.  The trial judge concluded that the concept of a child that died before birth is unconstitutionally vague because he could not identify the moment on the gestational spectrum when a fetus becomes the body of a child for the purpose of s. 243.  He severed the word “before” from s. 243.  The Crown did not call evidence and the accused was acquitted.  The Court of Appeal allowed an appeal and ordered a new trial on the grounds that the trial judge applied an overly demanding standard of vagueness.  The Court of Appeal relied on the “chance of life” standard from </w:t>
      </w:r>
      <w:r w:rsidRPr="00112C0C">
        <w:rPr>
          <w:i/>
          <w:sz w:val="20"/>
        </w:rPr>
        <w:t xml:space="preserve">R. v. </w:t>
      </w:r>
      <w:proofErr w:type="spellStart"/>
      <w:r w:rsidRPr="00112C0C">
        <w:rPr>
          <w:i/>
          <w:sz w:val="20"/>
        </w:rPr>
        <w:t>Berriman</w:t>
      </w:r>
      <w:proofErr w:type="spellEnd"/>
      <w:r w:rsidRPr="00112C0C">
        <w:rPr>
          <w:sz w:val="20"/>
        </w:rPr>
        <w:t xml:space="preserve"> (1854), 6 Cox C.C. 388, to conclude that a fetus becomes a child for the purpose of s. 243 when the fetus has reached a stage when, but for some external event or circumstance, it would likely have been born alive.</w:t>
      </w:r>
    </w:p>
    <w:p w:rsidR="00E34F5F" w:rsidRDefault="00E34F5F" w:rsidP="00E34F5F">
      <w:pPr>
        <w:pStyle w:val="SCCNormalDoubleSpacing"/>
        <w:spacing w:line="240" w:lineRule="auto"/>
        <w:rPr>
          <w:i/>
          <w:sz w:val="20"/>
        </w:rPr>
      </w:pPr>
    </w:p>
    <w:p w:rsidR="00E34F5F" w:rsidRPr="00112C0C" w:rsidRDefault="00E34F5F" w:rsidP="00E34F5F">
      <w:pPr>
        <w:pStyle w:val="SCCNormalDoubleSpacing"/>
        <w:spacing w:line="240" w:lineRule="auto"/>
        <w:rPr>
          <w:sz w:val="20"/>
        </w:rPr>
      </w:pPr>
      <w:r w:rsidRPr="00112C0C">
        <w:rPr>
          <w:i/>
          <w:sz w:val="20"/>
        </w:rPr>
        <w:tab/>
        <w:t>Held</w:t>
      </w:r>
      <w:r w:rsidRPr="00112C0C">
        <w:rPr>
          <w:sz w:val="20"/>
        </w:rPr>
        <w:t>:  The appeal should be dismissed.</w:t>
      </w:r>
    </w:p>
    <w:p w:rsidR="00E34F5F" w:rsidRDefault="00E34F5F" w:rsidP="00E34F5F">
      <w:pPr>
        <w:pStyle w:val="SCCNormalDoubleSpacing"/>
        <w:spacing w:line="240" w:lineRule="auto"/>
        <w:rPr>
          <w:sz w:val="20"/>
        </w:rPr>
      </w:pPr>
    </w:p>
    <w:p w:rsidR="00E34F5F" w:rsidRPr="00112C0C" w:rsidRDefault="00E34F5F" w:rsidP="00E34F5F">
      <w:pPr>
        <w:pStyle w:val="SCCNormalDoubleSpacing"/>
        <w:spacing w:line="240" w:lineRule="auto"/>
        <w:rPr>
          <w:sz w:val="20"/>
        </w:rPr>
      </w:pPr>
      <w:r w:rsidRPr="00112C0C">
        <w:rPr>
          <w:sz w:val="20"/>
        </w:rPr>
        <w:tab/>
        <w:t xml:space="preserve">Impermissibly vague laws mock the rule of law and scorn an ancient and well-established principle of fundamental justice:  No one may be convicted or punished for an act or omission that is not clearly prohibited by a valid law.  The issue on this appeal is whether s. 243 of the </w:t>
      </w:r>
      <w:r w:rsidRPr="00112C0C">
        <w:rPr>
          <w:i/>
          <w:sz w:val="20"/>
        </w:rPr>
        <w:t>Criminal Code</w:t>
      </w:r>
      <w:r w:rsidRPr="00112C0C">
        <w:rPr>
          <w:sz w:val="20"/>
        </w:rPr>
        <w:t xml:space="preserve"> satisfies these constitutional requirements.</w:t>
      </w:r>
    </w:p>
    <w:p w:rsidR="00E34F5F" w:rsidRDefault="00E34F5F" w:rsidP="00E34F5F">
      <w:pPr>
        <w:pStyle w:val="SCCNormalDoubleSpacing"/>
        <w:spacing w:line="240" w:lineRule="auto"/>
        <w:rPr>
          <w:sz w:val="20"/>
        </w:rPr>
      </w:pPr>
    </w:p>
    <w:p w:rsidR="00E34F5F" w:rsidRPr="00112C0C" w:rsidRDefault="00E34F5F" w:rsidP="00E34F5F">
      <w:pPr>
        <w:pStyle w:val="SCCNormalDoubleSpacing"/>
        <w:spacing w:line="240" w:lineRule="auto"/>
        <w:rPr>
          <w:sz w:val="20"/>
        </w:rPr>
      </w:pPr>
      <w:r w:rsidRPr="00112C0C">
        <w:rPr>
          <w:sz w:val="20"/>
        </w:rPr>
        <w:tab/>
        <w:t xml:space="preserve">The risk of incarceration upon conviction clearly engaged the </w:t>
      </w:r>
      <w:proofErr w:type="spellStart"/>
      <w:r w:rsidRPr="00112C0C">
        <w:rPr>
          <w:sz w:val="20"/>
        </w:rPr>
        <w:t>accused’s</w:t>
      </w:r>
      <w:proofErr w:type="spellEnd"/>
      <w:r w:rsidRPr="00112C0C">
        <w:rPr>
          <w:sz w:val="20"/>
        </w:rPr>
        <w:t xml:space="preserve"> liberty interest under s. 7 of the </w:t>
      </w:r>
      <w:r w:rsidRPr="00112C0C">
        <w:rPr>
          <w:i/>
          <w:sz w:val="20"/>
        </w:rPr>
        <w:t>Charter</w:t>
      </w:r>
      <w:r w:rsidRPr="00112C0C">
        <w:rPr>
          <w:sz w:val="20"/>
        </w:rPr>
        <w:t xml:space="preserve">.  It is thus unnecessary to dispose of her submission that s. 243 infringes s. 7 because it interferes with a decision of fundamental personal importance:  whether and how to disclose the natural end of a failed pregnancy.  Furthermore, the </w:t>
      </w:r>
      <w:proofErr w:type="spellStart"/>
      <w:r w:rsidRPr="00112C0C">
        <w:rPr>
          <w:sz w:val="20"/>
        </w:rPr>
        <w:t>accused’s</w:t>
      </w:r>
      <w:proofErr w:type="spellEnd"/>
      <w:r w:rsidRPr="00112C0C">
        <w:rPr>
          <w:sz w:val="20"/>
        </w:rPr>
        <w:t xml:space="preserve"> argument that s. 7 of the </w:t>
      </w:r>
      <w:r w:rsidRPr="00112C0C">
        <w:rPr>
          <w:i/>
          <w:sz w:val="20"/>
        </w:rPr>
        <w:t xml:space="preserve">Charter </w:t>
      </w:r>
      <w:r w:rsidRPr="00112C0C">
        <w:rPr>
          <w:sz w:val="20"/>
        </w:rPr>
        <w:t xml:space="preserve">must hold s. 243 to a heightened standard of precision because it interferes with every woman’s right not to disclose a naturally failed pregnancy raises a challenge for vagueness in form but </w:t>
      </w:r>
      <w:proofErr w:type="spellStart"/>
      <w:r w:rsidRPr="00112C0C">
        <w:rPr>
          <w:sz w:val="20"/>
        </w:rPr>
        <w:t>overbreadth</w:t>
      </w:r>
      <w:proofErr w:type="spellEnd"/>
      <w:r w:rsidRPr="00112C0C">
        <w:rPr>
          <w:sz w:val="20"/>
        </w:rPr>
        <w:t xml:space="preserve"> in substance.  Given that the </w:t>
      </w:r>
      <w:proofErr w:type="spellStart"/>
      <w:r w:rsidRPr="00112C0C">
        <w:rPr>
          <w:sz w:val="20"/>
        </w:rPr>
        <w:t>accused’s</w:t>
      </w:r>
      <w:proofErr w:type="spellEnd"/>
      <w:r w:rsidRPr="00112C0C">
        <w:rPr>
          <w:sz w:val="20"/>
        </w:rPr>
        <w:t xml:space="preserve"> </w:t>
      </w:r>
      <w:proofErr w:type="spellStart"/>
      <w:r w:rsidRPr="00112C0C">
        <w:rPr>
          <w:sz w:val="20"/>
        </w:rPr>
        <w:t>overbreadth</w:t>
      </w:r>
      <w:proofErr w:type="spellEnd"/>
      <w:r w:rsidRPr="00112C0C">
        <w:rPr>
          <w:sz w:val="20"/>
        </w:rPr>
        <w:t xml:space="preserve"> arguments were rejected by both courts below and not </w:t>
      </w:r>
      <w:proofErr w:type="gramStart"/>
      <w:r w:rsidRPr="00112C0C">
        <w:rPr>
          <w:sz w:val="20"/>
        </w:rPr>
        <w:t>raised</w:t>
      </w:r>
      <w:proofErr w:type="gramEnd"/>
      <w:r w:rsidRPr="00112C0C">
        <w:rPr>
          <w:sz w:val="20"/>
        </w:rPr>
        <w:t xml:space="preserve"> on this appeal, there is no proper basis to revisit the issue here.</w:t>
      </w:r>
    </w:p>
    <w:p w:rsidR="00E34F5F" w:rsidRDefault="00E34F5F" w:rsidP="00E34F5F">
      <w:pPr>
        <w:pStyle w:val="SCCNormalDoubleSpacing"/>
        <w:spacing w:line="240" w:lineRule="auto"/>
        <w:rPr>
          <w:sz w:val="20"/>
        </w:rPr>
      </w:pPr>
    </w:p>
    <w:p w:rsidR="00E34F5F" w:rsidRPr="00112C0C" w:rsidRDefault="00E34F5F" w:rsidP="00E34F5F">
      <w:pPr>
        <w:pStyle w:val="SCCNormalDoubleSpacing"/>
        <w:spacing w:line="240" w:lineRule="auto"/>
        <w:rPr>
          <w:sz w:val="20"/>
        </w:rPr>
      </w:pPr>
      <w:r w:rsidRPr="00112C0C">
        <w:rPr>
          <w:sz w:val="20"/>
        </w:rPr>
        <w:tab/>
        <w:t xml:space="preserve">In accordance with s. 7 of the </w:t>
      </w:r>
      <w:r w:rsidRPr="00112C0C">
        <w:rPr>
          <w:i/>
          <w:sz w:val="20"/>
        </w:rPr>
        <w:t>Charter</w:t>
      </w:r>
      <w:r w:rsidRPr="00112C0C">
        <w:rPr>
          <w:sz w:val="20"/>
        </w:rPr>
        <w:t xml:space="preserve">, in a criminal context, a statutory provision must afford citizens fair notice of the consequences of their conduct and it must limit the discretion of those charged with its enforcement.  A provision that fails to satisfy these essential requirements is void for vagueness.  This is judicially determined by examination of both the provision’s text and context.  Section 243 meets the minimum standard of precision required by the </w:t>
      </w:r>
      <w:r w:rsidRPr="00112C0C">
        <w:rPr>
          <w:i/>
          <w:sz w:val="20"/>
        </w:rPr>
        <w:t>Charter</w:t>
      </w:r>
      <w:r w:rsidRPr="00112C0C">
        <w:rPr>
          <w:sz w:val="20"/>
        </w:rPr>
        <w:t xml:space="preserve">.  In its application to a child that died before birth, it only captures the disposal of the remains of children that were likely to be born alive.  A conviction will only lie where the Crown proves that the child, to the knowledge of the accused, was likely to have been born alive.  Section 243 gives fair notice of the risk of prosecution and conviction </w:t>
      </w:r>
      <w:r w:rsidRPr="00112C0C">
        <w:rPr>
          <w:sz w:val="20"/>
        </w:rPr>
        <w:lastRenderedPageBreak/>
        <w:t xml:space="preserve">and limits with sufficient clarity the discretion of those charged with its enforcement.  There is thus no need to conduct </w:t>
      </w:r>
      <w:proofErr w:type="gramStart"/>
      <w:r w:rsidRPr="00112C0C">
        <w:rPr>
          <w:sz w:val="20"/>
        </w:rPr>
        <w:t>a</w:t>
      </w:r>
      <w:proofErr w:type="gramEnd"/>
      <w:r w:rsidRPr="00112C0C">
        <w:rPr>
          <w:sz w:val="20"/>
        </w:rPr>
        <w:t xml:space="preserve"> s. 1 analysis.  </w:t>
      </w:r>
    </w:p>
    <w:p w:rsidR="00E34F5F" w:rsidRDefault="00E34F5F" w:rsidP="00E34F5F">
      <w:pPr>
        <w:pStyle w:val="SCCNormalDoubleSpacing"/>
        <w:spacing w:line="240" w:lineRule="auto"/>
        <w:rPr>
          <w:sz w:val="20"/>
        </w:rPr>
      </w:pPr>
    </w:p>
    <w:p w:rsidR="00E34F5F" w:rsidRPr="00112C0C" w:rsidRDefault="00E34F5F" w:rsidP="00E34F5F">
      <w:pPr>
        <w:pStyle w:val="SCCNormalDoubleSpacing"/>
        <w:spacing w:line="240" w:lineRule="auto"/>
        <w:rPr>
          <w:sz w:val="20"/>
        </w:rPr>
      </w:pPr>
      <w:r w:rsidRPr="00112C0C">
        <w:rPr>
          <w:sz w:val="20"/>
        </w:rPr>
        <w:tab/>
        <w:t xml:space="preserve">A court can conclude that a law is unconstitutionally vague only after exhausting its interpretive function.  This requires considering prior judicial interpretations of the provision, the legislative purpose of the provision, its subject matter and nature, societal values and related legislative provisions.  A plain reading of s. 243 makes clear that it is focused on the event of birth.  The interpretation of s. 243 is informed by </w:t>
      </w:r>
      <w:r w:rsidRPr="00112C0C">
        <w:rPr>
          <w:i/>
          <w:sz w:val="20"/>
        </w:rPr>
        <w:t xml:space="preserve">R. v. </w:t>
      </w:r>
      <w:proofErr w:type="spellStart"/>
      <w:r w:rsidRPr="00112C0C">
        <w:rPr>
          <w:i/>
          <w:sz w:val="20"/>
        </w:rPr>
        <w:t>Berriman</w:t>
      </w:r>
      <w:proofErr w:type="spellEnd"/>
      <w:r w:rsidRPr="00112C0C">
        <w:rPr>
          <w:sz w:val="20"/>
        </w:rPr>
        <w:t xml:space="preserve">, which sets out that an accused can only be convicted of child concealment if he or she, with intent to conceal its birth, disposed of the body of a child that had reached a point of development where, but for some accidental circumstances it might have been born alive.  However, where </w:t>
      </w:r>
      <w:proofErr w:type="spellStart"/>
      <w:r w:rsidRPr="00112C0C">
        <w:rPr>
          <w:i/>
          <w:sz w:val="20"/>
        </w:rPr>
        <w:t>Berriman</w:t>
      </w:r>
      <w:proofErr w:type="spellEnd"/>
      <w:r w:rsidRPr="00112C0C">
        <w:rPr>
          <w:sz w:val="20"/>
        </w:rPr>
        <w:t xml:space="preserve"> required that the fetus “</w:t>
      </w:r>
      <w:r w:rsidRPr="00112C0C">
        <w:rPr>
          <w:i/>
          <w:sz w:val="20"/>
        </w:rPr>
        <w:t xml:space="preserve">might </w:t>
      </w:r>
      <w:r w:rsidRPr="00112C0C">
        <w:rPr>
          <w:sz w:val="20"/>
        </w:rPr>
        <w:t>have been born alive”</w:t>
      </w:r>
      <w:proofErr w:type="gramStart"/>
      <w:r w:rsidRPr="00112C0C">
        <w:rPr>
          <w:sz w:val="20"/>
        </w:rPr>
        <w:t>,</w:t>
      </w:r>
      <w:proofErr w:type="gramEnd"/>
      <w:r w:rsidRPr="00112C0C">
        <w:rPr>
          <w:sz w:val="20"/>
        </w:rPr>
        <w:t xml:space="preserve"> a </w:t>
      </w:r>
      <w:r w:rsidRPr="00112C0C">
        <w:rPr>
          <w:i/>
          <w:sz w:val="20"/>
        </w:rPr>
        <w:t xml:space="preserve">likelihood </w:t>
      </w:r>
      <w:r w:rsidRPr="00112C0C">
        <w:rPr>
          <w:sz w:val="20"/>
        </w:rPr>
        <w:t xml:space="preserve">requirement is to be preferred.  A likelihood standard best comports with the late term focus of s. 243 and affords greater certainty in its application.  Moreover, a likelihood standard is consistent with the primary purpose of s. 243 in facilitating the investigation of other </w:t>
      </w:r>
      <w:r w:rsidRPr="00112C0C">
        <w:rPr>
          <w:i/>
          <w:sz w:val="20"/>
        </w:rPr>
        <w:t>Criminal Code</w:t>
      </w:r>
      <w:r w:rsidRPr="00112C0C">
        <w:rPr>
          <w:sz w:val="20"/>
        </w:rPr>
        <w:t xml:space="preserve"> provisions: the homicide provisions that apply only when the victim is a human being which, in the case of a child, requires that the child has completely proceeded, in a living state, from the body of its mother; ss. 238 and 242, both of which focus on the event of birth; and, s. 662(4) which, on a charge of murder or infanticide, permits a conviction under s. 243 where neither murder nor infanticide is made out.  Limiting the pre-birth application of s. 243 to fetuses that were likely to have been born alive is consistent with the clear late term focus of these offences.  </w:t>
      </w:r>
    </w:p>
    <w:p w:rsidR="00E34F5F" w:rsidRDefault="00E34F5F" w:rsidP="00E34F5F">
      <w:pPr>
        <w:pStyle w:val="SCCNormalDoubleSpacing"/>
        <w:spacing w:line="240" w:lineRule="auto"/>
        <w:rPr>
          <w:sz w:val="20"/>
        </w:rPr>
      </w:pPr>
    </w:p>
    <w:p w:rsidR="00E34F5F" w:rsidRDefault="00E34F5F" w:rsidP="00E34F5F">
      <w:pPr>
        <w:pStyle w:val="SCCNormalDoubleSpacing"/>
        <w:spacing w:line="240" w:lineRule="auto"/>
        <w:rPr>
          <w:sz w:val="20"/>
        </w:rPr>
      </w:pPr>
      <w:r w:rsidRPr="00112C0C">
        <w:rPr>
          <w:sz w:val="20"/>
        </w:rPr>
        <w:tab/>
        <w:t xml:space="preserve">Section 243 is not vague because an accused is dependent on expert medical evidence to know whether a fetus would likely have been born alive.   Medical evidence would be required even if s. 243 provided a detailed description of the precise moment on the gestational spectrum where a miscarriage becomes a still birth.  </w:t>
      </w:r>
    </w:p>
    <w:p w:rsidR="00E34F5F" w:rsidRDefault="00E34F5F" w:rsidP="00E34F5F">
      <w:pPr>
        <w:pStyle w:val="SCCNormalDoubleSpacing"/>
        <w:spacing w:line="240" w:lineRule="auto"/>
        <w:rPr>
          <w:sz w:val="20"/>
        </w:rPr>
      </w:pPr>
    </w:p>
    <w:p w:rsidR="00E34F5F" w:rsidRPr="00112C0C" w:rsidRDefault="00E34F5F" w:rsidP="00E34F5F">
      <w:pPr>
        <w:pStyle w:val="SCCNormalDoubleSpacing"/>
        <w:spacing w:line="240" w:lineRule="auto"/>
        <w:rPr>
          <w:sz w:val="20"/>
        </w:rPr>
      </w:pPr>
      <w:r w:rsidRPr="00112C0C">
        <w:rPr>
          <w:sz w:val="20"/>
        </w:rPr>
        <w:tab/>
        <w:t xml:space="preserve">APPEAL from a judgment of the Ontario Court of Appeal (Doherty, Armstrong and Watt JJ.A.), 2010 ONCA 830, 103 O.R. (3d) 1, 223 C.R.R. (2d) 261, 271 O.A.C. 177, 264 C.C.C. (3d) 423, 81 C.R. (6th) 376, [2010] O.J. No. 5252 (QL), 2010 </w:t>
      </w:r>
      <w:proofErr w:type="spellStart"/>
      <w:r w:rsidRPr="00112C0C">
        <w:rPr>
          <w:sz w:val="20"/>
        </w:rPr>
        <w:t>CarswellOnt</w:t>
      </w:r>
      <w:proofErr w:type="spellEnd"/>
      <w:r w:rsidRPr="00112C0C">
        <w:rPr>
          <w:sz w:val="20"/>
        </w:rPr>
        <w:t xml:space="preserve"> 9252, setting aside the acquittal entered by Hill J. (2008), 235 C.C.C. (3d) 417, 178 C.R.R. (2d) 285, </w:t>
      </w:r>
      <w:r w:rsidRPr="00112C0C">
        <w:rPr>
          <w:sz w:val="20"/>
          <w:lang w:val="en-US"/>
        </w:rPr>
        <w:t xml:space="preserve">2008 </w:t>
      </w:r>
      <w:proofErr w:type="spellStart"/>
      <w:r w:rsidRPr="00112C0C">
        <w:rPr>
          <w:sz w:val="20"/>
          <w:lang w:val="en-US"/>
        </w:rPr>
        <w:t>CanLII</w:t>
      </w:r>
      <w:proofErr w:type="spellEnd"/>
      <w:r w:rsidRPr="00112C0C">
        <w:rPr>
          <w:sz w:val="20"/>
          <w:lang w:val="en-US"/>
        </w:rPr>
        <w:t xml:space="preserve"> 48647, [2008] O.J. No. 3746 (QL), </w:t>
      </w:r>
      <w:r w:rsidRPr="00112C0C">
        <w:rPr>
          <w:sz w:val="20"/>
        </w:rPr>
        <w:t xml:space="preserve">2008 </w:t>
      </w:r>
      <w:proofErr w:type="spellStart"/>
      <w:r w:rsidRPr="00112C0C">
        <w:rPr>
          <w:sz w:val="20"/>
        </w:rPr>
        <w:t>CarswellOnt</w:t>
      </w:r>
      <w:proofErr w:type="spellEnd"/>
      <w:r w:rsidRPr="00112C0C">
        <w:rPr>
          <w:sz w:val="20"/>
        </w:rPr>
        <w:t xml:space="preserve"> 5744, and ordering a new trial.  Appeal dismissed. </w:t>
      </w:r>
    </w:p>
    <w:p w:rsidR="00E34F5F" w:rsidRDefault="00E34F5F" w:rsidP="00E34F5F">
      <w:pPr>
        <w:pStyle w:val="SCCNormalDoubleSpacing"/>
        <w:spacing w:line="240" w:lineRule="auto"/>
        <w:rPr>
          <w:rStyle w:val="SCCCounselNameChar"/>
          <w:sz w:val="20"/>
        </w:rPr>
      </w:pPr>
    </w:p>
    <w:p w:rsidR="00E34F5F" w:rsidRPr="00112C0C" w:rsidRDefault="00E34F5F" w:rsidP="00E34F5F">
      <w:pPr>
        <w:pStyle w:val="SCCNormalDoubleSpacing"/>
        <w:spacing w:line="240" w:lineRule="auto"/>
        <w:rPr>
          <w:sz w:val="20"/>
        </w:rPr>
      </w:pPr>
      <w:r w:rsidRPr="00112C0C">
        <w:rPr>
          <w:rStyle w:val="SCCCounselNameChar"/>
          <w:sz w:val="20"/>
        </w:rPr>
        <w:tab/>
      </w:r>
      <w:proofErr w:type="gramStart"/>
      <w:r w:rsidRPr="00112C0C">
        <w:rPr>
          <w:rStyle w:val="SCCCounselNameChar"/>
          <w:sz w:val="20"/>
        </w:rPr>
        <w:t>Jill Copeland,</w:t>
      </w:r>
      <w:r w:rsidRPr="00E34F5F">
        <w:rPr>
          <w:rStyle w:val="SCCCounselSeparatorChar"/>
          <w:sz w:val="20"/>
          <w:lang w:val="en-CA"/>
        </w:rPr>
        <w:t xml:space="preserve"> </w:t>
      </w:r>
      <w:r w:rsidRPr="00112C0C">
        <w:rPr>
          <w:rStyle w:val="SCCCounselNameChar"/>
          <w:sz w:val="20"/>
        </w:rPr>
        <w:t>Delmar Doucette</w:t>
      </w:r>
      <w:r w:rsidRPr="00E34F5F">
        <w:rPr>
          <w:rStyle w:val="SCCCounselSeparatorChar"/>
          <w:sz w:val="20"/>
          <w:lang w:val="en-CA"/>
        </w:rPr>
        <w:t xml:space="preserve">, </w:t>
      </w:r>
      <w:r w:rsidRPr="00112C0C">
        <w:rPr>
          <w:rStyle w:val="SCCCounselNameChar"/>
          <w:sz w:val="20"/>
        </w:rPr>
        <w:t xml:space="preserve">Jessica </w:t>
      </w:r>
      <w:proofErr w:type="spellStart"/>
      <w:r w:rsidRPr="00112C0C">
        <w:rPr>
          <w:rStyle w:val="SCCCounselNameChar"/>
          <w:sz w:val="20"/>
        </w:rPr>
        <w:t>Orkin</w:t>
      </w:r>
      <w:proofErr w:type="spellEnd"/>
      <w:r w:rsidRPr="00112C0C">
        <w:rPr>
          <w:rStyle w:val="SCCCounselNameChar"/>
          <w:sz w:val="20"/>
        </w:rPr>
        <w:t xml:space="preserve"> </w:t>
      </w:r>
      <w:r w:rsidRPr="00E34F5F">
        <w:rPr>
          <w:rStyle w:val="SCCCounselSeparatorChar"/>
          <w:sz w:val="20"/>
          <w:lang w:val="en-CA"/>
        </w:rPr>
        <w:t xml:space="preserve">and </w:t>
      </w:r>
      <w:r w:rsidRPr="00112C0C">
        <w:rPr>
          <w:rStyle w:val="SCCCounselNameChar"/>
          <w:sz w:val="20"/>
        </w:rPr>
        <w:t xml:space="preserve">Nicole </w:t>
      </w:r>
      <w:proofErr w:type="spellStart"/>
      <w:r w:rsidRPr="00112C0C">
        <w:rPr>
          <w:rStyle w:val="SCCCounselNameChar"/>
          <w:sz w:val="20"/>
        </w:rPr>
        <w:t>Rozier</w:t>
      </w:r>
      <w:proofErr w:type="spellEnd"/>
      <w:r w:rsidRPr="00112C0C">
        <w:rPr>
          <w:rStyle w:val="SCCCounselPartyRoleChar"/>
          <w:sz w:val="20"/>
        </w:rPr>
        <w:t>, for the appellant.</w:t>
      </w:r>
      <w:proofErr w:type="gramEnd"/>
    </w:p>
    <w:p w:rsidR="00E34F5F" w:rsidRDefault="00E34F5F" w:rsidP="00E34F5F">
      <w:pPr>
        <w:pStyle w:val="SCCNormalDoubleSpacing"/>
        <w:spacing w:line="240" w:lineRule="auto"/>
        <w:rPr>
          <w:rStyle w:val="SCCCounselNameChar"/>
          <w:sz w:val="20"/>
        </w:rPr>
      </w:pPr>
    </w:p>
    <w:p w:rsidR="00E34F5F" w:rsidRPr="00112C0C" w:rsidRDefault="00E34F5F" w:rsidP="00E34F5F">
      <w:pPr>
        <w:pStyle w:val="SCCNormalDoubleSpacing"/>
        <w:spacing w:line="240" w:lineRule="auto"/>
        <w:rPr>
          <w:sz w:val="20"/>
        </w:rPr>
      </w:pPr>
      <w:r w:rsidRPr="00112C0C">
        <w:rPr>
          <w:rStyle w:val="SCCCounselNameChar"/>
          <w:sz w:val="20"/>
        </w:rPr>
        <w:tab/>
      </w:r>
      <w:proofErr w:type="gramStart"/>
      <w:r w:rsidRPr="00112C0C">
        <w:rPr>
          <w:rStyle w:val="SCCCounselNameChar"/>
          <w:sz w:val="20"/>
        </w:rPr>
        <w:t xml:space="preserve">Jamie </w:t>
      </w:r>
      <w:proofErr w:type="spellStart"/>
      <w:r w:rsidRPr="00112C0C">
        <w:rPr>
          <w:rStyle w:val="SCCCounselNameChar"/>
          <w:sz w:val="20"/>
        </w:rPr>
        <w:t>Klukach</w:t>
      </w:r>
      <w:proofErr w:type="spellEnd"/>
      <w:r w:rsidRPr="00E34F5F">
        <w:rPr>
          <w:rStyle w:val="SCCCounselSeparatorChar"/>
          <w:sz w:val="20"/>
          <w:lang w:val="en-CA"/>
        </w:rPr>
        <w:t xml:space="preserve"> and </w:t>
      </w:r>
      <w:r w:rsidRPr="00112C0C">
        <w:rPr>
          <w:rStyle w:val="SCCCounselNameChar"/>
          <w:sz w:val="20"/>
        </w:rPr>
        <w:t>Gillian Roberts</w:t>
      </w:r>
      <w:r w:rsidRPr="00112C0C">
        <w:rPr>
          <w:rStyle w:val="SCCCounselPartyRoleChar"/>
          <w:sz w:val="20"/>
        </w:rPr>
        <w:t>, for the respondent.</w:t>
      </w:r>
      <w:proofErr w:type="gramEnd"/>
    </w:p>
    <w:p w:rsidR="00E34F5F" w:rsidRDefault="00E34F5F" w:rsidP="00E34F5F">
      <w:pPr>
        <w:pStyle w:val="SCCNormalDoubleSpacing"/>
        <w:spacing w:line="240" w:lineRule="auto"/>
        <w:rPr>
          <w:rStyle w:val="SCCCounselNameChar"/>
          <w:sz w:val="20"/>
        </w:rPr>
      </w:pPr>
    </w:p>
    <w:p w:rsidR="00E34F5F" w:rsidRPr="00112C0C" w:rsidRDefault="00E34F5F" w:rsidP="00E34F5F">
      <w:pPr>
        <w:pStyle w:val="SCCNormalDoubleSpacing"/>
        <w:spacing w:line="240" w:lineRule="auto"/>
        <w:rPr>
          <w:sz w:val="20"/>
        </w:rPr>
      </w:pPr>
      <w:r w:rsidRPr="00112C0C">
        <w:rPr>
          <w:rStyle w:val="SCCCounselNameChar"/>
          <w:sz w:val="20"/>
        </w:rPr>
        <w:tab/>
      </w:r>
      <w:proofErr w:type="gramStart"/>
      <w:r w:rsidRPr="00112C0C">
        <w:rPr>
          <w:rStyle w:val="SCCCounselNameChar"/>
          <w:sz w:val="20"/>
        </w:rPr>
        <w:t xml:space="preserve">Robert J. </w:t>
      </w:r>
      <w:proofErr w:type="spellStart"/>
      <w:r w:rsidRPr="00112C0C">
        <w:rPr>
          <w:rStyle w:val="SCCCounselNameChar"/>
          <w:sz w:val="20"/>
        </w:rPr>
        <w:t>Frater</w:t>
      </w:r>
      <w:proofErr w:type="spellEnd"/>
      <w:r w:rsidRPr="00E34F5F">
        <w:rPr>
          <w:rStyle w:val="SCCCounselSeparatorChar"/>
          <w:sz w:val="20"/>
          <w:lang w:val="en-CA"/>
        </w:rPr>
        <w:t xml:space="preserve"> and </w:t>
      </w:r>
      <w:r w:rsidRPr="00112C0C">
        <w:rPr>
          <w:rStyle w:val="SCCCounselNameChar"/>
          <w:sz w:val="20"/>
        </w:rPr>
        <w:t>Richard Kramer</w:t>
      </w:r>
      <w:r w:rsidRPr="00112C0C">
        <w:rPr>
          <w:rStyle w:val="SCCCounselPartyRoleChar"/>
          <w:sz w:val="20"/>
        </w:rPr>
        <w:t>, for the intervener the Attorney General of Canada.</w:t>
      </w:r>
      <w:proofErr w:type="gramEnd"/>
    </w:p>
    <w:p w:rsidR="00E34F5F" w:rsidRDefault="00E34F5F" w:rsidP="00E34F5F">
      <w:pPr>
        <w:pStyle w:val="SCCNormalDoubleSpacing"/>
        <w:spacing w:line="240" w:lineRule="auto"/>
        <w:rPr>
          <w:rStyle w:val="SCCCounselNameChar"/>
          <w:sz w:val="20"/>
        </w:rPr>
      </w:pPr>
    </w:p>
    <w:p w:rsidR="00E34F5F" w:rsidRPr="00112C0C" w:rsidRDefault="00E34F5F" w:rsidP="00E34F5F">
      <w:pPr>
        <w:pStyle w:val="SCCNormalDoubleSpacing"/>
        <w:spacing w:line="240" w:lineRule="auto"/>
        <w:rPr>
          <w:sz w:val="20"/>
        </w:rPr>
      </w:pPr>
      <w:r w:rsidRPr="00112C0C">
        <w:rPr>
          <w:rStyle w:val="SCCCounselNameChar"/>
          <w:sz w:val="20"/>
        </w:rPr>
        <w:tab/>
      </w:r>
      <w:proofErr w:type="gramStart"/>
      <w:r w:rsidRPr="00112C0C">
        <w:rPr>
          <w:rStyle w:val="SCCCounselNameChar"/>
          <w:sz w:val="20"/>
        </w:rPr>
        <w:t xml:space="preserve">Marie </w:t>
      </w:r>
      <w:proofErr w:type="spellStart"/>
      <w:r w:rsidRPr="00112C0C">
        <w:rPr>
          <w:rStyle w:val="SCCCounselNameChar"/>
          <w:sz w:val="20"/>
        </w:rPr>
        <w:t>Henein</w:t>
      </w:r>
      <w:proofErr w:type="spellEnd"/>
      <w:r w:rsidRPr="00E34F5F">
        <w:rPr>
          <w:rStyle w:val="SCCCounselSeparatorChar"/>
          <w:sz w:val="20"/>
          <w:lang w:val="en-CA"/>
        </w:rPr>
        <w:t xml:space="preserve"> and </w:t>
      </w:r>
      <w:r w:rsidRPr="00112C0C">
        <w:rPr>
          <w:rStyle w:val="SCCCounselNameChar"/>
          <w:sz w:val="20"/>
        </w:rPr>
        <w:t>Danielle Robitaille</w:t>
      </w:r>
      <w:r w:rsidRPr="00112C0C">
        <w:rPr>
          <w:rStyle w:val="SCCCounselPartyRoleChar"/>
          <w:sz w:val="20"/>
        </w:rPr>
        <w:t>, for the intervener the Criminal Lawyers’ Association of Ontario.</w:t>
      </w:r>
      <w:proofErr w:type="gramEnd"/>
    </w:p>
    <w:p w:rsidR="00E34F5F" w:rsidRDefault="00E34F5F" w:rsidP="00E34F5F">
      <w:pPr>
        <w:pStyle w:val="SCCLawFirm"/>
        <w:spacing w:line="240" w:lineRule="auto"/>
        <w:rPr>
          <w:sz w:val="20"/>
        </w:rPr>
      </w:pPr>
    </w:p>
    <w:p w:rsidR="00E34F5F" w:rsidRPr="00112C0C" w:rsidRDefault="00E34F5F" w:rsidP="00E34F5F">
      <w:pPr>
        <w:pStyle w:val="SCCLawFirm"/>
        <w:spacing w:line="240" w:lineRule="auto"/>
        <w:rPr>
          <w:sz w:val="20"/>
        </w:rPr>
      </w:pPr>
      <w:r w:rsidRPr="00112C0C">
        <w:rPr>
          <w:sz w:val="20"/>
        </w:rPr>
        <w:tab/>
        <w:t xml:space="preserve">Solicitors for the appellant:  Sack </w:t>
      </w:r>
      <w:proofErr w:type="spellStart"/>
      <w:r w:rsidRPr="00112C0C">
        <w:rPr>
          <w:sz w:val="20"/>
        </w:rPr>
        <w:t>Goldblatt</w:t>
      </w:r>
      <w:proofErr w:type="spellEnd"/>
      <w:r w:rsidRPr="00112C0C">
        <w:rPr>
          <w:sz w:val="20"/>
        </w:rPr>
        <w:t xml:space="preserve"> Mitchell, Toronto; Doucette </w:t>
      </w:r>
      <w:proofErr w:type="spellStart"/>
      <w:r w:rsidRPr="00112C0C">
        <w:rPr>
          <w:sz w:val="20"/>
        </w:rPr>
        <w:t>Boni</w:t>
      </w:r>
      <w:proofErr w:type="spellEnd"/>
      <w:r w:rsidRPr="00112C0C">
        <w:rPr>
          <w:sz w:val="20"/>
        </w:rPr>
        <w:t xml:space="preserve"> Santoro, Toronto.</w:t>
      </w:r>
    </w:p>
    <w:p w:rsidR="00E34F5F" w:rsidRDefault="00E34F5F" w:rsidP="00E34F5F">
      <w:pPr>
        <w:pStyle w:val="SCCLawFirm"/>
        <w:spacing w:line="240" w:lineRule="auto"/>
        <w:rPr>
          <w:sz w:val="20"/>
        </w:rPr>
      </w:pPr>
    </w:p>
    <w:p w:rsidR="00E34F5F" w:rsidRPr="00112C0C" w:rsidRDefault="00E34F5F" w:rsidP="00E34F5F">
      <w:pPr>
        <w:pStyle w:val="SCCLawFirm"/>
        <w:spacing w:line="240" w:lineRule="auto"/>
        <w:rPr>
          <w:sz w:val="20"/>
        </w:rPr>
      </w:pPr>
      <w:r w:rsidRPr="00112C0C">
        <w:rPr>
          <w:sz w:val="20"/>
        </w:rPr>
        <w:tab/>
        <w:t>Solicitor for the respondent:  Attorney General of Ontario, Toronto.</w:t>
      </w:r>
    </w:p>
    <w:p w:rsidR="00E34F5F" w:rsidRDefault="00E34F5F" w:rsidP="00E34F5F">
      <w:pPr>
        <w:pStyle w:val="SCCLawFirm"/>
        <w:spacing w:line="240" w:lineRule="auto"/>
        <w:rPr>
          <w:sz w:val="20"/>
        </w:rPr>
      </w:pPr>
    </w:p>
    <w:p w:rsidR="00E34F5F" w:rsidRPr="00112C0C" w:rsidRDefault="00E34F5F" w:rsidP="00E34F5F">
      <w:pPr>
        <w:pStyle w:val="SCCLawFirm"/>
        <w:spacing w:line="240" w:lineRule="auto"/>
        <w:rPr>
          <w:sz w:val="20"/>
        </w:rPr>
      </w:pPr>
      <w:r w:rsidRPr="00112C0C">
        <w:rPr>
          <w:sz w:val="20"/>
        </w:rPr>
        <w:tab/>
        <w:t>Solicitor for the intervener the Attorney General of Canada:  Attorney General of Canada, Ottawa.</w:t>
      </w:r>
    </w:p>
    <w:p w:rsidR="00E34F5F" w:rsidRDefault="00E34F5F" w:rsidP="00E34F5F">
      <w:pPr>
        <w:pStyle w:val="SCCLawFirm"/>
        <w:spacing w:line="240" w:lineRule="auto"/>
        <w:rPr>
          <w:sz w:val="20"/>
        </w:rPr>
      </w:pPr>
    </w:p>
    <w:p w:rsidR="00E34F5F" w:rsidRDefault="00E34F5F" w:rsidP="00E34F5F">
      <w:pPr>
        <w:pStyle w:val="SCCLawFirm"/>
        <w:spacing w:line="240" w:lineRule="auto"/>
        <w:rPr>
          <w:sz w:val="20"/>
        </w:rPr>
      </w:pPr>
      <w:r w:rsidRPr="00112C0C">
        <w:rPr>
          <w:sz w:val="20"/>
        </w:rPr>
        <w:tab/>
        <w:t>Solicitors for the intervener the Criminal Lawyers’ Association of Ontario:  </w:t>
      </w:r>
      <w:proofErr w:type="spellStart"/>
      <w:r w:rsidRPr="00112C0C">
        <w:rPr>
          <w:sz w:val="20"/>
        </w:rPr>
        <w:t>Henein</w:t>
      </w:r>
      <w:proofErr w:type="spellEnd"/>
      <w:r w:rsidRPr="00112C0C">
        <w:rPr>
          <w:sz w:val="20"/>
        </w:rPr>
        <w:t xml:space="preserve"> &amp; Associates,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E34F5F" w:rsidRPr="00ED16AE" w:rsidRDefault="00E34F5F" w:rsidP="00E34F5F">
      <w:pPr>
        <w:jc w:val="both"/>
        <w:rPr>
          <w:sz w:val="20"/>
          <w:szCs w:val="20"/>
          <w:lang w:val="fr-CA"/>
        </w:rPr>
      </w:pPr>
      <w:r w:rsidRPr="00ED16AE">
        <w:rPr>
          <w:sz w:val="20"/>
          <w:szCs w:val="20"/>
          <w:lang w:val="fr-CA"/>
        </w:rPr>
        <w:t xml:space="preserve">Présents : La juge en chef </w:t>
      </w:r>
      <w:proofErr w:type="spellStart"/>
      <w:r w:rsidRPr="00ED16AE">
        <w:rPr>
          <w:sz w:val="20"/>
          <w:szCs w:val="20"/>
          <w:lang w:val="fr-CA"/>
        </w:rPr>
        <w:t>McLachlin</w:t>
      </w:r>
      <w:proofErr w:type="spellEnd"/>
      <w:r w:rsidRPr="00ED16AE">
        <w:rPr>
          <w:sz w:val="20"/>
          <w:szCs w:val="20"/>
          <w:lang w:val="fr-CA"/>
        </w:rPr>
        <w:t xml:space="preserve"> et les juges </w:t>
      </w:r>
      <w:proofErr w:type="spellStart"/>
      <w:r w:rsidRPr="00ED16AE">
        <w:rPr>
          <w:sz w:val="20"/>
          <w:szCs w:val="20"/>
          <w:lang w:val="fr-CA"/>
        </w:rPr>
        <w:t>LeBel</w:t>
      </w:r>
      <w:proofErr w:type="spellEnd"/>
      <w:r w:rsidRPr="00ED16AE">
        <w:rPr>
          <w:sz w:val="20"/>
          <w:szCs w:val="20"/>
          <w:lang w:val="fr-CA"/>
        </w:rPr>
        <w:t xml:space="preserve">, Fish, Abella, </w:t>
      </w:r>
      <w:proofErr w:type="spellStart"/>
      <w:r w:rsidRPr="00ED16AE">
        <w:rPr>
          <w:sz w:val="20"/>
          <w:szCs w:val="20"/>
          <w:lang w:val="fr-CA"/>
        </w:rPr>
        <w:t>Rothstein</w:t>
      </w:r>
      <w:proofErr w:type="spellEnd"/>
      <w:r w:rsidRPr="00ED16AE">
        <w:rPr>
          <w:sz w:val="20"/>
          <w:szCs w:val="20"/>
          <w:lang w:val="fr-CA"/>
        </w:rPr>
        <w:t xml:space="preserve">, Cromwell et </w:t>
      </w:r>
      <w:proofErr w:type="spellStart"/>
      <w:r w:rsidRPr="00ED16AE">
        <w:rPr>
          <w:sz w:val="20"/>
          <w:szCs w:val="20"/>
          <w:lang w:val="fr-CA"/>
        </w:rPr>
        <w:t>Moldaver</w:t>
      </w:r>
      <w:proofErr w:type="spellEnd"/>
      <w:r w:rsidRPr="00ED16AE">
        <w:rPr>
          <w:sz w:val="20"/>
          <w:szCs w:val="20"/>
          <w:lang w:val="fr-CA"/>
        </w:rPr>
        <w:t>.</w:t>
      </w:r>
    </w:p>
    <w:p w:rsidR="00E34F5F" w:rsidRDefault="00E34F5F" w:rsidP="00E34F5F">
      <w:pPr>
        <w:jc w:val="both"/>
        <w:rPr>
          <w:smallCaps/>
          <w:sz w:val="20"/>
          <w:lang w:val="fr-CA"/>
        </w:rPr>
      </w:pPr>
    </w:p>
    <w:p w:rsidR="00E34F5F" w:rsidRPr="00ED16AE" w:rsidRDefault="00E34F5F" w:rsidP="00E34F5F">
      <w:pPr>
        <w:pStyle w:val="SCCNormalDoubleSpacing"/>
        <w:spacing w:line="240" w:lineRule="auto"/>
        <w:rPr>
          <w:rFonts w:eastAsiaTheme="majorEastAsia"/>
          <w:i/>
          <w:sz w:val="20"/>
          <w:lang w:val="fr-CA"/>
        </w:rPr>
      </w:pPr>
      <w:r w:rsidRPr="00ED16AE">
        <w:rPr>
          <w:sz w:val="20"/>
          <w:lang w:val="fr-CA"/>
        </w:rPr>
        <w:tab/>
      </w:r>
      <w:r w:rsidRPr="00ED16AE">
        <w:rPr>
          <w:rFonts w:eastAsiaTheme="majorEastAsia"/>
          <w:i/>
          <w:sz w:val="20"/>
          <w:lang w:val="fr-CA"/>
        </w:rPr>
        <w:t xml:space="preserve">Droit constitutionnel — Charte des droits — Droit à la liberté — Droit à la sécurité de la personne — Justice fondamentale — Imprécision — Disposition du Code criminel interdisant de faire disparaître le cadavre d’un enfant dans l’intention de cacher sa naissance que l’enfant soit mort avant, pendant ou après la naissance — La disposition </w:t>
      </w:r>
      <w:proofErr w:type="spellStart"/>
      <w:r w:rsidRPr="00ED16AE">
        <w:rPr>
          <w:rFonts w:eastAsiaTheme="majorEastAsia"/>
          <w:i/>
          <w:sz w:val="20"/>
          <w:lang w:val="fr-CA"/>
        </w:rPr>
        <w:t>est</w:t>
      </w:r>
      <w:r w:rsidRPr="00ED16AE">
        <w:rPr>
          <w:rFonts w:eastAsiaTheme="majorEastAsia"/>
          <w:i/>
          <w:sz w:val="20"/>
          <w:lang w:val="fr-CA"/>
        </w:rPr>
        <w:noBreakHyphen/>
        <w:t>elle</w:t>
      </w:r>
      <w:proofErr w:type="spellEnd"/>
      <w:r w:rsidRPr="00ED16AE">
        <w:rPr>
          <w:rFonts w:eastAsiaTheme="majorEastAsia"/>
          <w:i/>
          <w:sz w:val="20"/>
          <w:lang w:val="fr-CA"/>
        </w:rPr>
        <w:t xml:space="preserve"> d’une imprécision inacceptable </w:t>
      </w:r>
      <w:r w:rsidRPr="00ED16AE">
        <w:rPr>
          <w:i/>
          <w:sz w:val="20"/>
          <w:lang w:val="fr-CA"/>
        </w:rPr>
        <w:t xml:space="preserve">dans son application à un enfant qui est mort avant la naissance? </w:t>
      </w:r>
      <w:r w:rsidRPr="00ED16AE">
        <w:rPr>
          <w:rFonts w:eastAsiaTheme="majorEastAsia"/>
          <w:i/>
          <w:sz w:val="20"/>
          <w:lang w:val="fr-CA"/>
        </w:rPr>
        <w:t xml:space="preserve">— La disposition </w:t>
      </w:r>
      <w:proofErr w:type="spellStart"/>
      <w:r w:rsidRPr="00ED16AE">
        <w:rPr>
          <w:rFonts w:eastAsiaTheme="majorEastAsia"/>
          <w:i/>
          <w:sz w:val="20"/>
          <w:lang w:val="fr-CA"/>
        </w:rPr>
        <w:t>viole</w:t>
      </w:r>
      <w:r w:rsidRPr="00ED16AE">
        <w:rPr>
          <w:rFonts w:eastAsiaTheme="majorEastAsia"/>
          <w:i/>
          <w:sz w:val="20"/>
          <w:lang w:val="fr-CA"/>
        </w:rPr>
        <w:noBreakHyphen/>
        <w:t>t</w:t>
      </w:r>
      <w:r w:rsidRPr="00ED16AE">
        <w:rPr>
          <w:rFonts w:eastAsiaTheme="majorEastAsia"/>
          <w:i/>
          <w:sz w:val="20"/>
          <w:lang w:val="fr-CA"/>
        </w:rPr>
        <w:noBreakHyphen/>
        <w:t>elle</w:t>
      </w:r>
      <w:proofErr w:type="spellEnd"/>
      <w:r w:rsidRPr="00ED16AE">
        <w:rPr>
          <w:rFonts w:eastAsiaTheme="majorEastAsia"/>
          <w:i/>
          <w:sz w:val="20"/>
          <w:lang w:val="fr-CA"/>
        </w:rPr>
        <w:t xml:space="preserve"> les droits à la liberté et à la sécurité de la personne? — Charte canadienne des droits et libertés, art. 7 — Code criminel</w:t>
      </w:r>
      <w:r w:rsidRPr="00ED16AE">
        <w:rPr>
          <w:i/>
          <w:sz w:val="20"/>
          <w:lang w:val="fr-CA"/>
        </w:rPr>
        <w:t>, L.R.C. 1985, ch. C</w:t>
      </w:r>
      <w:r w:rsidRPr="00ED16AE">
        <w:rPr>
          <w:i/>
          <w:sz w:val="20"/>
          <w:lang w:val="fr-CA"/>
        </w:rPr>
        <w:noBreakHyphen/>
        <w:t>46,</w:t>
      </w:r>
      <w:r w:rsidRPr="00ED16AE">
        <w:rPr>
          <w:rFonts w:eastAsiaTheme="majorEastAsia"/>
          <w:i/>
          <w:sz w:val="20"/>
          <w:lang w:val="fr-CA"/>
        </w:rPr>
        <w:t xml:space="preserve"> art. 243.</w:t>
      </w:r>
    </w:p>
    <w:p w:rsidR="00E34F5F" w:rsidRDefault="00E34F5F" w:rsidP="00E34F5F">
      <w:pPr>
        <w:pStyle w:val="SCCNormalDoubleSpacing"/>
        <w:spacing w:line="240" w:lineRule="auto"/>
        <w:rPr>
          <w:rFonts w:eastAsiaTheme="majorEastAsia"/>
          <w:i/>
          <w:sz w:val="20"/>
          <w:lang w:val="fr-CA"/>
        </w:rPr>
      </w:pPr>
    </w:p>
    <w:p w:rsidR="00E34F5F" w:rsidRPr="00ED16AE" w:rsidRDefault="00E34F5F" w:rsidP="00E34F5F">
      <w:pPr>
        <w:pStyle w:val="SCCNormalDoubleSpacing"/>
        <w:spacing w:line="240" w:lineRule="auto"/>
        <w:rPr>
          <w:rFonts w:eastAsiaTheme="majorEastAsia"/>
          <w:i/>
          <w:sz w:val="20"/>
          <w:lang w:val="fr-CA"/>
        </w:rPr>
      </w:pPr>
      <w:r w:rsidRPr="00ED16AE">
        <w:rPr>
          <w:rFonts w:eastAsiaTheme="majorEastAsia"/>
          <w:i/>
          <w:sz w:val="20"/>
          <w:lang w:val="fr-CA"/>
        </w:rPr>
        <w:lastRenderedPageBreak/>
        <w:tab/>
        <w:t>Droit criminel — Infractions</w:t>
      </w:r>
      <w:r w:rsidRPr="00ED16AE">
        <w:rPr>
          <w:i/>
          <w:sz w:val="20"/>
          <w:lang w:val="fr-CA"/>
        </w:rPr>
        <w:t xml:space="preserve"> </w:t>
      </w:r>
      <w:r w:rsidRPr="00ED16AE">
        <w:rPr>
          <w:rFonts w:eastAsiaTheme="majorEastAsia"/>
          <w:i/>
          <w:sz w:val="20"/>
          <w:lang w:val="fr-CA"/>
        </w:rPr>
        <w:t>— Suppression de part</w:t>
      </w:r>
      <w:r w:rsidRPr="00ED16AE">
        <w:rPr>
          <w:i/>
          <w:sz w:val="20"/>
          <w:lang w:val="fr-CA"/>
        </w:rPr>
        <w:t xml:space="preserve"> </w:t>
      </w:r>
      <w:r w:rsidRPr="00ED16AE">
        <w:rPr>
          <w:rFonts w:eastAsiaTheme="majorEastAsia"/>
          <w:i/>
          <w:sz w:val="20"/>
          <w:lang w:val="fr-CA"/>
        </w:rPr>
        <w:t>— La proposition « enfant [qui est] mort [. . .] avant la naissance » satisfait-elle à l’exigence de certitude? — Code criminel</w:t>
      </w:r>
      <w:r w:rsidRPr="00ED16AE">
        <w:rPr>
          <w:i/>
          <w:sz w:val="20"/>
          <w:lang w:val="fr-CA"/>
        </w:rPr>
        <w:t>, L.R.C. 1985, ch. C</w:t>
      </w:r>
      <w:r w:rsidRPr="00ED16AE">
        <w:rPr>
          <w:i/>
          <w:sz w:val="20"/>
          <w:lang w:val="fr-CA"/>
        </w:rPr>
        <w:noBreakHyphen/>
        <w:t>46,</w:t>
      </w:r>
      <w:r w:rsidRPr="00ED16AE">
        <w:rPr>
          <w:rFonts w:eastAsiaTheme="majorEastAsia"/>
          <w:i/>
          <w:sz w:val="20"/>
          <w:lang w:val="fr-CA"/>
        </w:rPr>
        <w:t xml:space="preserve"> art. 243.</w:t>
      </w:r>
    </w:p>
    <w:p w:rsidR="00E34F5F" w:rsidRDefault="00E34F5F" w:rsidP="00E34F5F">
      <w:pPr>
        <w:pStyle w:val="SCCNormalDoubleSpacing"/>
        <w:spacing w:line="240" w:lineRule="auto"/>
        <w:rPr>
          <w:sz w:val="20"/>
          <w:lang w:val="fr-CA"/>
        </w:rPr>
      </w:pPr>
    </w:p>
    <w:p w:rsidR="00E34F5F" w:rsidRPr="00ED16AE" w:rsidRDefault="00E34F5F" w:rsidP="00E34F5F">
      <w:pPr>
        <w:pStyle w:val="SCCNormalDoubleSpacing"/>
        <w:spacing w:line="240" w:lineRule="auto"/>
        <w:rPr>
          <w:sz w:val="20"/>
          <w:lang w:val="fr-CA"/>
        </w:rPr>
      </w:pPr>
      <w:r w:rsidRPr="00ED16AE">
        <w:rPr>
          <w:sz w:val="20"/>
          <w:lang w:val="fr-CA"/>
        </w:rPr>
        <w:tab/>
        <w:t xml:space="preserve">Alors qu’il nettoyait un appartement récemment devenu vacant, un gérant d’immeubles a découvert sur le balcon un sac contenant les restes d’un bébé humain.  Selon le ministère public, il s’agissait des restes d’un bébé de sexe féminin né « à terme ou presque ».  La cause du décès n’a pas pu être déterminée et on ignore s’il y a eu naissance vivante.  L’accusée a été inculpée de l’infraction de suppression de part décrite à l’art. 243 du </w:t>
      </w:r>
      <w:r w:rsidRPr="00ED16AE">
        <w:rPr>
          <w:i/>
          <w:sz w:val="20"/>
          <w:lang w:val="fr-CA"/>
        </w:rPr>
        <w:t>Code criminel</w:t>
      </w:r>
      <w:r w:rsidRPr="00ED16AE">
        <w:rPr>
          <w:sz w:val="20"/>
          <w:lang w:val="fr-CA"/>
        </w:rPr>
        <w:t xml:space="preserve">.  Avant la présentation de la preuve, elle a contesté la constitutionnalité de l’art. 243 faisant valoir que cette disposition viole ses droits à la liberté et à la sécurité protégés par l’art. 7 de la </w:t>
      </w:r>
      <w:r w:rsidRPr="00ED16AE">
        <w:rPr>
          <w:i/>
          <w:sz w:val="20"/>
          <w:lang w:val="fr-CA"/>
        </w:rPr>
        <w:t>Charte</w:t>
      </w:r>
      <w:r w:rsidRPr="00ED16AE">
        <w:rPr>
          <w:sz w:val="20"/>
          <w:lang w:val="fr-CA"/>
        </w:rPr>
        <w:t xml:space="preserve">.  Le juge du procès a conclu que la notion d’un enfant qui est mort avant la naissance était inconstitutionnelle pour cause d’imprécision, parce qu’il ne pouvait pas identifier le moment, pendant la grossesse, où un fœtus devient le corps d’un enfant au sens où il faut l’entendre pour l’application de l’art. 243.  Il a retranché le mot « avant » de l’art. 243.  Le ministère public n’a pas présenté de preuve et l’accusée a été acquittée.  La Cour d’appel a accueilli l’appel et ordonné la tenue d’un nouveau procès au motif que le juge du procès avait appliqué une norme d’imprécision trop rigoureuse.  La Cour d’appel s’est appuyée sur la norme de la « chance de vivre » tirée de </w:t>
      </w:r>
      <w:r w:rsidRPr="00ED16AE">
        <w:rPr>
          <w:i/>
          <w:sz w:val="20"/>
          <w:lang w:val="fr-CA"/>
        </w:rPr>
        <w:t xml:space="preserve">R. c. </w:t>
      </w:r>
      <w:proofErr w:type="spellStart"/>
      <w:r w:rsidRPr="00ED16AE">
        <w:rPr>
          <w:i/>
          <w:sz w:val="20"/>
          <w:lang w:val="fr-CA"/>
        </w:rPr>
        <w:t>Berriman</w:t>
      </w:r>
      <w:proofErr w:type="spellEnd"/>
      <w:r w:rsidRPr="00ED16AE">
        <w:rPr>
          <w:sz w:val="20"/>
          <w:lang w:val="fr-CA"/>
        </w:rPr>
        <w:t xml:space="preserve"> (1854), 6 Cox C.C. 388, pour conclure que, pour l’application de l’art. 243, un fœtus devient un enfant lorsqu’il a atteint un stade de son développement où, n’eût été un événement ou une circonstance extérieure, l’enfant serait probablement né vivant.  </w:t>
      </w:r>
    </w:p>
    <w:p w:rsidR="00E34F5F" w:rsidRDefault="00E34F5F" w:rsidP="00E34F5F">
      <w:pPr>
        <w:pStyle w:val="SCCNormalDoubleSpacing"/>
        <w:spacing w:line="240" w:lineRule="auto"/>
        <w:rPr>
          <w:i/>
          <w:sz w:val="20"/>
          <w:lang w:val="fr-CA"/>
        </w:rPr>
      </w:pPr>
    </w:p>
    <w:p w:rsidR="00E34F5F" w:rsidRPr="00ED16AE" w:rsidRDefault="00E34F5F" w:rsidP="00E34F5F">
      <w:pPr>
        <w:pStyle w:val="SCCNormalDoubleSpacing"/>
        <w:spacing w:line="240" w:lineRule="auto"/>
        <w:rPr>
          <w:sz w:val="20"/>
          <w:lang w:val="fr-CA"/>
        </w:rPr>
      </w:pPr>
      <w:r w:rsidRPr="00ED16AE">
        <w:rPr>
          <w:i/>
          <w:sz w:val="20"/>
          <w:lang w:val="fr-CA"/>
        </w:rPr>
        <w:tab/>
        <w:t>Arrêt </w:t>
      </w:r>
      <w:r w:rsidRPr="00ED16AE">
        <w:rPr>
          <w:sz w:val="20"/>
          <w:lang w:val="fr-CA"/>
        </w:rPr>
        <w:t>: Le pourvoi est rejeté.</w:t>
      </w:r>
    </w:p>
    <w:p w:rsidR="00E34F5F" w:rsidRDefault="00E34F5F" w:rsidP="00E34F5F">
      <w:pPr>
        <w:pStyle w:val="SCCNormalDoubleSpacing"/>
        <w:spacing w:line="240" w:lineRule="auto"/>
        <w:rPr>
          <w:sz w:val="20"/>
          <w:lang w:val="fr-CA"/>
        </w:rPr>
      </w:pPr>
    </w:p>
    <w:p w:rsidR="00E34F5F" w:rsidRPr="00ED16AE" w:rsidRDefault="00E34F5F" w:rsidP="00E34F5F">
      <w:pPr>
        <w:pStyle w:val="SCCNormalDoubleSpacing"/>
        <w:spacing w:line="240" w:lineRule="auto"/>
        <w:rPr>
          <w:sz w:val="20"/>
          <w:lang w:val="fr-CA"/>
        </w:rPr>
      </w:pPr>
      <w:r w:rsidRPr="00ED16AE">
        <w:rPr>
          <w:sz w:val="20"/>
          <w:lang w:val="fr-CA"/>
        </w:rPr>
        <w:tab/>
        <w:t xml:space="preserve">Les lois d’une imprécision inacceptable bafouent la primauté du droit et violent un principe ancien et bien établi de justice fondamentale : nul ne peut être condamné ou puni pour un acte ou une omission qui n’est pas clairement interdit par une loi valide.  La question à trancher dans le présent appel est celle de savoir si l’art. 243 du </w:t>
      </w:r>
      <w:r w:rsidRPr="00ED16AE">
        <w:rPr>
          <w:i/>
          <w:sz w:val="20"/>
          <w:lang w:val="fr-CA"/>
        </w:rPr>
        <w:t>Code criminel</w:t>
      </w:r>
      <w:r w:rsidRPr="00ED16AE">
        <w:rPr>
          <w:sz w:val="20"/>
          <w:lang w:val="fr-CA"/>
        </w:rPr>
        <w:t xml:space="preserve"> satisfait à ces exigences constitutionnelles.</w:t>
      </w:r>
    </w:p>
    <w:p w:rsidR="00E34F5F" w:rsidRDefault="00E34F5F" w:rsidP="00E34F5F">
      <w:pPr>
        <w:pStyle w:val="SCCNormalDoubleSpacing"/>
        <w:spacing w:line="240" w:lineRule="auto"/>
        <w:rPr>
          <w:sz w:val="20"/>
          <w:lang w:val="fr-CA"/>
        </w:rPr>
      </w:pPr>
    </w:p>
    <w:p w:rsidR="00E34F5F" w:rsidRPr="00ED16AE" w:rsidRDefault="00E34F5F" w:rsidP="00E34F5F">
      <w:pPr>
        <w:pStyle w:val="SCCNormalDoubleSpacing"/>
        <w:spacing w:line="240" w:lineRule="auto"/>
        <w:rPr>
          <w:sz w:val="20"/>
          <w:lang w:val="fr-CA"/>
        </w:rPr>
      </w:pPr>
      <w:r w:rsidRPr="00ED16AE">
        <w:rPr>
          <w:sz w:val="20"/>
          <w:lang w:val="fr-CA"/>
        </w:rPr>
        <w:tab/>
        <w:t xml:space="preserve">Puisqu’elle risque l’incarcération advenant une déclaration de culpabilité, le droit à la liberté de l’accusée protégé par l’art. 7 de la </w:t>
      </w:r>
      <w:r w:rsidRPr="00ED16AE">
        <w:rPr>
          <w:i/>
          <w:sz w:val="20"/>
          <w:lang w:val="fr-CA"/>
        </w:rPr>
        <w:t>Charte</w:t>
      </w:r>
      <w:r w:rsidRPr="00ED16AE">
        <w:rPr>
          <w:sz w:val="20"/>
          <w:lang w:val="fr-CA"/>
        </w:rPr>
        <w:t xml:space="preserve"> est clairement en cause.  Il est donc inutile de statuer sur son argument selon lequel l’art. 243 </w:t>
      </w:r>
      <w:proofErr w:type="gramStart"/>
      <w:r w:rsidRPr="00ED16AE">
        <w:rPr>
          <w:sz w:val="20"/>
          <w:lang w:val="fr-CA"/>
        </w:rPr>
        <w:t>porte atteinte</w:t>
      </w:r>
      <w:proofErr w:type="gramEnd"/>
      <w:r w:rsidRPr="00ED16AE">
        <w:rPr>
          <w:sz w:val="20"/>
          <w:lang w:val="fr-CA"/>
        </w:rPr>
        <w:t xml:space="preserve"> à l’art. 7 parce qu’il entrave une décision qui revêt une importance personnelle fondamentale : l’opportunité et la façon de révéler la fin naturelle d’une grossesse qui a échoué.  En outre, l’argument de l’appelante selon lequel l’art. 7 de la </w:t>
      </w:r>
      <w:r w:rsidRPr="00ED16AE">
        <w:rPr>
          <w:i/>
          <w:sz w:val="20"/>
          <w:lang w:val="fr-CA"/>
        </w:rPr>
        <w:t xml:space="preserve">Charte </w:t>
      </w:r>
      <w:r w:rsidRPr="00ED16AE">
        <w:rPr>
          <w:sz w:val="20"/>
          <w:lang w:val="fr-CA"/>
        </w:rPr>
        <w:t>doit astreindre l’art. 243 à une norme de précision plus exigeante parce qu’il porte atteinte au droit de la femme de ne pas avoir à révéler une grossesse qui a échoué naturellement équivaut à une contestation fondée sur l’imprécision, sur le plan de la forme, mais fondée sur la portée excessive quant au fond.  Vu que les arguments de l’appelante fondés sur la portée excessive ont été rejetés par les deux juridictions inférieures et qu’ils n’ont pas été soulevés dans le présent pourvoi, il n’y a pas lieu de revenir ici sur cette question.</w:t>
      </w:r>
    </w:p>
    <w:p w:rsidR="00E34F5F" w:rsidRDefault="00E34F5F" w:rsidP="00E34F5F">
      <w:pPr>
        <w:pStyle w:val="SCCNormalDoubleSpacing"/>
        <w:spacing w:line="240" w:lineRule="auto"/>
        <w:rPr>
          <w:sz w:val="20"/>
          <w:lang w:val="fr-CA"/>
        </w:rPr>
      </w:pPr>
    </w:p>
    <w:p w:rsidR="00E34F5F" w:rsidRPr="00ED16AE" w:rsidRDefault="00E34F5F" w:rsidP="00E34F5F">
      <w:pPr>
        <w:pStyle w:val="SCCNormalDoubleSpacing"/>
        <w:spacing w:line="240" w:lineRule="auto"/>
        <w:rPr>
          <w:sz w:val="20"/>
          <w:lang w:val="fr-CA"/>
        </w:rPr>
      </w:pPr>
      <w:r w:rsidRPr="00ED16AE">
        <w:rPr>
          <w:sz w:val="20"/>
          <w:lang w:val="fr-CA"/>
        </w:rPr>
        <w:tab/>
        <w:t xml:space="preserve">Pour être conforme à l’art. 7 de la </w:t>
      </w:r>
      <w:r w:rsidRPr="00ED16AE">
        <w:rPr>
          <w:i/>
          <w:sz w:val="20"/>
          <w:lang w:val="fr-CA"/>
        </w:rPr>
        <w:t>Charte</w:t>
      </w:r>
      <w:r w:rsidRPr="00ED16AE">
        <w:rPr>
          <w:sz w:val="20"/>
          <w:lang w:val="fr-CA"/>
        </w:rPr>
        <w:t xml:space="preserve">, en matière criminelle, la disposition contestée doit prévenir raisonnablement les citoyens des conséquences de leur conduite et limiter le pouvoir discrétionnaire de ceux qui sont chargés de son application.  Une disposition qui ne satisfait pas à ces exigences essentielles est nulle pour imprécision.  C’est au tribunal qu’il revient de déterminer si elle y satisfait en examinant son libellé et son contexte.  L’art. 243 satisfait à la norme minimale de précision prescrite par la </w:t>
      </w:r>
      <w:r w:rsidRPr="00ED16AE">
        <w:rPr>
          <w:i/>
          <w:sz w:val="20"/>
          <w:lang w:val="fr-CA"/>
        </w:rPr>
        <w:t>Charte</w:t>
      </w:r>
      <w:r w:rsidRPr="00ED16AE">
        <w:rPr>
          <w:sz w:val="20"/>
          <w:lang w:val="fr-CA"/>
        </w:rPr>
        <w:t>.  Dans son application à un enfant qui est mort avant la naissance, il ne vise que le fait de faire disparaître les restes d’enfants qui seraient probablement nés vivants.  Une déclaration de culpabilité ne pourrait être prononcée que si le ministère public établissait que l’enfant, à la connaissance de l’accusé, serait probablement né vivant.  L’article 243 prévient raisonnablement que ceux qui posent les gestes qui y sont décrits risquent d’être poursuivis et déclarés coupables et il circonscrit avec suffisamment de clarté le pouvoir discrétionnaire de ceux qui sont chargés de son application.  Il n’est donc pas nécessaire de procéder à une analyse fondée sur l’article premier.</w:t>
      </w:r>
    </w:p>
    <w:p w:rsidR="00E34F5F" w:rsidRDefault="00E34F5F" w:rsidP="00E34F5F">
      <w:pPr>
        <w:pStyle w:val="SCCNormalDoubleSpacing"/>
        <w:spacing w:line="240" w:lineRule="auto"/>
        <w:rPr>
          <w:sz w:val="20"/>
          <w:lang w:val="fr-CA"/>
        </w:rPr>
      </w:pPr>
    </w:p>
    <w:p w:rsidR="00E34F5F" w:rsidRPr="00ED16AE" w:rsidRDefault="00E34F5F" w:rsidP="00E34F5F">
      <w:pPr>
        <w:pStyle w:val="SCCNormalDoubleSpacing"/>
        <w:spacing w:line="240" w:lineRule="auto"/>
        <w:rPr>
          <w:sz w:val="20"/>
          <w:lang w:val="fr-CA"/>
        </w:rPr>
      </w:pPr>
      <w:r w:rsidRPr="00ED16AE">
        <w:rPr>
          <w:sz w:val="20"/>
          <w:lang w:val="fr-CA"/>
        </w:rPr>
        <w:tab/>
        <w:t xml:space="preserve">Un tribunal ne peut conclure qu’une loi est d’une imprécision inconstitutionnelle qu’après avoir épuisé les possibilités rattachées à sa fonction d’interprétation.  Pour ce faire, il doit considérer les interprétations judiciaires antérieures, l’objectif législatif, le contenu et la nature de la disposition attaquée, les valeurs sociales en jeu et les dispositions législatives connexes.  Selon le sens ordinaire de ce texte, il est clair que l’art. 243 est axé sur l’événement de la naissance.  L’interprétation de l’art. 243 est fondé sur </w:t>
      </w:r>
      <w:r w:rsidRPr="00ED16AE">
        <w:rPr>
          <w:i/>
          <w:sz w:val="20"/>
          <w:lang w:val="fr-CA"/>
        </w:rPr>
        <w:t xml:space="preserve">R. c. </w:t>
      </w:r>
      <w:proofErr w:type="spellStart"/>
      <w:r w:rsidRPr="00ED16AE">
        <w:rPr>
          <w:i/>
          <w:sz w:val="20"/>
          <w:lang w:val="fr-CA"/>
        </w:rPr>
        <w:t>Berriman</w:t>
      </w:r>
      <w:proofErr w:type="spellEnd"/>
      <w:r w:rsidRPr="00ED16AE">
        <w:rPr>
          <w:sz w:val="20"/>
          <w:lang w:val="fr-CA"/>
        </w:rPr>
        <w:t xml:space="preserve"> qui énonce qu’un accusé ne pourrait être déclaré coupable de suppression de part, dans l’intention de cacher la naissance d’un enfant, que s’il a fait disparaître le cadavre d’un enfant qui avait atteint un stade de développement où, n’eût été de circonstances accidentelles, il aurait pu naître vivant.  Toutefois, là où </w:t>
      </w:r>
      <w:proofErr w:type="spellStart"/>
      <w:r w:rsidRPr="00ED16AE">
        <w:rPr>
          <w:i/>
          <w:sz w:val="20"/>
          <w:lang w:val="fr-CA"/>
        </w:rPr>
        <w:t>Berriman</w:t>
      </w:r>
      <w:proofErr w:type="spellEnd"/>
      <w:r w:rsidRPr="00ED16AE">
        <w:rPr>
          <w:sz w:val="20"/>
          <w:lang w:val="fr-CA"/>
        </w:rPr>
        <w:t xml:space="preserve"> exigeait que le fœtus « </w:t>
      </w:r>
      <w:r w:rsidRPr="00ED16AE">
        <w:rPr>
          <w:i/>
          <w:sz w:val="20"/>
          <w:lang w:val="fr-CA"/>
        </w:rPr>
        <w:t>ait pu</w:t>
      </w:r>
      <w:r w:rsidRPr="00ED16AE">
        <w:rPr>
          <w:sz w:val="20"/>
          <w:lang w:val="fr-CA"/>
        </w:rPr>
        <w:t xml:space="preserve"> naître vivant », il convient de préconiser plutôt </w:t>
      </w:r>
      <w:r w:rsidRPr="00ED16AE">
        <w:rPr>
          <w:sz w:val="20"/>
          <w:lang w:val="fr-CA"/>
        </w:rPr>
        <w:lastRenderedPageBreak/>
        <w:t xml:space="preserve">une exigence de </w:t>
      </w:r>
      <w:r w:rsidRPr="00ED16AE">
        <w:rPr>
          <w:i/>
          <w:sz w:val="20"/>
          <w:lang w:val="fr-CA"/>
        </w:rPr>
        <w:t>probabilité</w:t>
      </w:r>
      <w:r w:rsidRPr="00ED16AE">
        <w:rPr>
          <w:sz w:val="20"/>
          <w:lang w:val="fr-CA"/>
        </w:rPr>
        <w:t xml:space="preserve">.  Le critère de la probabilité convient le mieux, compte tenu de l’accent que met l’art. 243 sur la fin de la grossesse, et procure donc une plus grande certitude quant à son application.  En outre, le critère de la probabilité est compatible avec l’objectif principal de l’art. 243, soit de faciliter les enquêtes sur d’autres dispositions du </w:t>
      </w:r>
      <w:r w:rsidRPr="00ED16AE">
        <w:rPr>
          <w:i/>
          <w:sz w:val="20"/>
          <w:lang w:val="fr-CA"/>
        </w:rPr>
        <w:t>Code criminel</w:t>
      </w:r>
      <w:r w:rsidRPr="00ED16AE">
        <w:rPr>
          <w:sz w:val="20"/>
          <w:lang w:val="fr-CA"/>
        </w:rPr>
        <w:t> : celles relatives aux infractions d’homicide qui ne s’appliquent que lorsque la victime est un être humain, ce qui signifie, dans le cas d’un enfant, lorsqu’il est complètement sorti, vivant, du sein de sa mère; les art. 238 et 242, qui visent tous deux l’évènement de la naissance; et le par. 662(4) qui, lorsqu’une accusation de meurtre ou d’infanticide est portée, permet une déclaration de culpabilité en vertu de l’art. 243 lorsque la preuve ne permet d’établir ni le meurtre ni l’infanticide.  Limiter l’application de l’art. 243 en cas de mort avant la naissance aux fœtus qui seraient probablement nés vivants est compatible avec le fait que ces dispositions mettent clairement l’accent sur la fin de la grossesse.</w:t>
      </w:r>
    </w:p>
    <w:p w:rsidR="00E34F5F" w:rsidRDefault="00E34F5F" w:rsidP="00E34F5F">
      <w:pPr>
        <w:pStyle w:val="SCCNormalDoubleSpacing"/>
        <w:spacing w:line="240" w:lineRule="auto"/>
        <w:rPr>
          <w:sz w:val="20"/>
          <w:lang w:val="fr-CA"/>
        </w:rPr>
      </w:pPr>
    </w:p>
    <w:p w:rsidR="00E34F5F" w:rsidRDefault="00E34F5F" w:rsidP="00E34F5F">
      <w:pPr>
        <w:pStyle w:val="SCCNormalDoubleSpacing"/>
        <w:spacing w:line="240" w:lineRule="auto"/>
        <w:rPr>
          <w:sz w:val="20"/>
          <w:lang w:val="fr-CA"/>
        </w:rPr>
      </w:pPr>
      <w:r w:rsidRPr="00ED16AE">
        <w:rPr>
          <w:sz w:val="20"/>
          <w:lang w:val="fr-CA"/>
        </w:rPr>
        <w:tab/>
        <w:t xml:space="preserve">L’art. 243 n’est pas imprécis parce qu’un accusé doit faire appel à une expertise médicale pour savoir si le fœtus serait probablement né vivant.  Une preuve médicale serait nécessaire même si l’art. 243 prévoyait une description détaillée du moment précis, pendant la grossesse, où une fausse couche devient une </w:t>
      </w:r>
      <w:proofErr w:type="spellStart"/>
      <w:r w:rsidRPr="00ED16AE">
        <w:rPr>
          <w:sz w:val="20"/>
          <w:lang w:val="fr-CA"/>
        </w:rPr>
        <w:t>mortinaissance</w:t>
      </w:r>
      <w:proofErr w:type="spellEnd"/>
      <w:r w:rsidRPr="00ED16AE">
        <w:rPr>
          <w:sz w:val="20"/>
          <w:lang w:val="fr-CA"/>
        </w:rPr>
        <w:t>.</w:t>
      </w:r>
    </w:p>
    <w:p w:rsidR="00E34F5F" w:rsidRDefault="00E34F5F" w:rsidP="00E34F5F">
      <w:pPr>
        <w:pStyle w:val="SCCNormalDoubleSpacing"/>
        <w:spacing w:line="240" w:lineRule="auto"/>
        <w:rPr>
          <w:sz w:val="20"/>
          <w:lang w:val="fr-CA"/>
        </w:rPr>
      </w:pPr>
    </w:p>
    <w:p w:rsidR="00E34F5F" w:rsidRPr="00ED16AE" w:rsidRDefault="00E34F5F" w:rsidP="00E34F5F">
      <w:pPr>
        <w:pStyle w:val="SCCNormalDoubleSpacing"/>
        <w:spacing w:line="240" w:lineRule="auto"/>
        <w:rPr>
          <w:sz w:val="20"/>
          <w:lang w:val="fr-CA"/>
        </w:rPr>
      </w:pPr>
      <w:r w:rsidRPr="00ED16AE">
        <w:rPr>
          <w:sz w:val="20"/>
          <w:lang w:val="fr-CA"/>
        </w:rPr>
        <w:tab/>
        <w:t xml:space="preserve">POURVOI contre un arrêt de la Cour d’appel de l’Ontario (les juges Doherty, Armstrong et Watt), 2010 ONCA 830, 103 O.R. (3d) 1, 223 C.R.R. (2d) 261, 271 O.A.C. 177, 264 C.C.C. (3d) 423, 81 C.R. (6th) 376, [2010] O.J. No. 5252 (QL), 2010 </w:t>
      </w:r>
      <w:proofErr w:type="spellStart"/>
      <w:r w:rsidRPr="00ED16AE">
        <w:rPr>
          <w:sz w:val="20"/>
          <w:lang w:val="fr-CA"/>
        </w:rPr>
        <w:t>CarswellOnt</w:t>
      </w:r>
      <w:proofErr w:type="spellEnd"/>
      <w:r w:rsidRPr="00ED16AE">
        <w:rPr>
          <w:sz w:val="20"/>
          <w:lang w:val="fr-CA"/>
        </w:rPr>
        <w:t xml:space="preserve"> 9252, qui a annulé l’acquittement prononcé par le juge Hill (2008), 235 C.C.C. (3d) 417, 178 C.R.R. (2d) 285, 2008 </w:t>
      </w:r>
      <w:proofErr w:type="spellStart"/>
      <w:r w:rsidRPr="00ED16AE">
        <w:rPr>
          <w:sz w:val="20"/>
          <w:lang w:val="fr-CA"/>
        </w:rPr>
        <w:t>CanLII</w:t>
      </w:r>
      <w:proofErr w:type="spellEnd"/>
      <w:r w:rsidRPr="00ED16AE">
        <w:rPr>
          <w:sz w:val="20"/>
          <w:lang w:val="fr-CA"/>
        </w:rPr>
        <w:t xml:space="preserve"> 48647, [2008] O.J. No. 3746 (QL), 2008 </w:t>
      </w:r>
      <w:proofErr w:type="spellStart"/>
      <w:r w:rsidRPr="00ED16AE">
        <w:rPr>
          <w:sz w:val="20"/>
          <w:lang w:val="fr-CA"/>
        </w:rPr>
        <w:t>CarswellOnt</w:t>
      </w:r>
      <w:proofErr w:type="spellEnd"/>
      <w:r w:rsidRPr="00ED16AE">
        <w:rPr>
          <w:sz w:val="20"/>
          <w:lang w:val="fr-CA"/>
        </w:rPr>
        <w:t xml:space="preserve"> 5744, et qui a ordonné la tenue d’un nouveau procès.  Pourvoi rejeté.</w:t>
      </w:r>
    </w:p>
    <w:p w:rsidR="00E34F5F" w:rsidRDefault="00E34F5F" w:rsidP="00E34F5F">
      <w:pPr>
        <w:pStyle w:val="SCCNormalDoubleSpacing"/>
        <w:spacing w:line="240" w:lineRule="auto"/>
        <w:rPr>
          <w:rStyle w:val="SCCCounselNameChar"/>
          <w:sz w:val="20"/>
          <w:lang w:val="fr-CA"/>
        </w:rPr>
      </w:pPr>
    </w:p>
    <w:p w:rsidR="00E34F5F" w:rsidRPr="00ED16AE" w:rsidRDefault="00E34F5F" w:rsidP="00E34F5F">
      <w:pPr>
        <w:pStyle w:val="SCCNormalDoubleSpacing"/>
        <w:spacing w:line="240" w:lineRule="auto"/>
        <w:rPr>
          <w:sz w:val="20"/>
          <w:lang w:val="fr-CA"/>
        </w:rPr>
      </w:pPr>
      <w:r w:rsidRPr="00ED16AE">
        <w:rPr>
          <w:rStyle w:val="SCCCounselNameChar"/>
          <w:sz w:val="20"/>
          <w:lang w:val="fr-CA"/>
        </w:rPr>
        <w:tab/>
        <w:t xml:space="preserve">Jill </w:t>
      </w:r>
      <w:proofErr w:type="spellStart"/>
      <w:r w:rsidRPr="00ED16AE">
        <w:rPr>
          <w:rStyle w:val="SCCCounselNameChar"/>
          <w:sz w:val="20"/>
          <w:lang w:val="fr-CA"/>
        </w:rPr>
        <w:t>Copeland</w:t>
      </w:r>
      <w:proofErr w:type="spellEnd"/>
      <w:r w:rsidRPr="00ED16AE">
        <w:rPr>
          <w:rStyle w:val="SCCCounselNameChar"/>
          <w:sz w:val="20"/>
          <w:lang w:val="fr-CA"/>
        </w:rPr>
        <w:t>,</w:t>
      </w:r>
      <w:r w:rsidRPr="00ED16AE">
        <w:rPr>
          <w:rStyle w:val="SCCCounselSeparatorChar"/>
          <w:sz w:val="20"/>
        </w:rPr>
        <w:t xml:space="preserve"> </w:t>
      </w:r>
      <w:proofErr w:type="spellStart"/>
      <w:r w:rsidRPr="00ED16AE">
        <w:rPr>
          <w:rStyle w:val="SCCCounselNameChar"/>
          <w:sz w:val="20"/>
          <w:lang w:val="fr-CA"/>
        </w:rPr>
        <w:t>Delmar</w:t>
      </w:r>
      <w:proofErr w:type="spellEnd"/>
      <w:r w:rsidRPr="00ED16AE">
        <w:rPr>
          <w:rStyle w:val="SCCCounselNameChar"/>
          <w:sz w:val="20"/>
          <w:lang w:val="fr-CA"/>
        </w:rPr>
        <w:t xml:space="preserve"> Doucette</w:t>
      </w:r>
      <w:r w:rsidRPr="00ED16AE">
        <w:rPr>
          <w:rStyle w:val="SCCCounselSeparatorChar"/>
          <w:sz w:val="20"/>
        </w:rPr>
        <w:t xml:space="preserve">, </w:t>
      </w:r>
      <w:r w:rsidRPr="00ED16AE">
        <w:rPr>
          <w:rStyle w:val="SCCCounselNameChar"/>
          <w:sz w:val="20"/>
          <w:lang w:val="fr-CA"/>
        </w:rPr>
        <w:t xml:space="preserve">Jessica </w:t>
      </w:r>
      <w:proofErr w:type="spellStart"/>
      <w:r w:rsidRPr="00ED16AE">
        <w:rPr>
          <w:rStyle w:val="SCCCounselNameChar"/>
          <w:sz w:val="20"/>
          <w:lang w:val="fr-CA"/>
        </w:rPr>
        <w:t>Orkin</w:t>
      </w:r>
      <w:proofErr w:type="spellEnd"/>
      <w:r w:rsidRPr="00ED16AE">
        <w:rPr>
          <w:rStyle w:val="SCCCounselNameChar"/>
          <w:sz w:val="20"/>
          <w:lang w:val="fr-CA"/>
        </w:rPr>
        <w:t xml:space="preserve"> </w:t>
      </w:r>
      <w:r w:rsidRPr="00ED16AE">
        <w:rPr>
          <w:rStyle w:val="SCCCounselSeparatorChar"/>
          <w:sz w:val="20"/>
        </w:rPr>
        <w:t xml:space="preserve">et </w:t>
      </w:r>
      <w:r w:rsidRPr="00ED16AE">
        <w:rPr>
          <w:rStyle w:val="SCCCounselNameChar"/>
          <w:sz w:val="20"/>
          <w:lang w:val="fr-CA"/>
        </w:rPr>
        <w:t xml:space="preserve">Nicole </w:t>
      </w:r>
      <w:proofErr w:type="spellStart"/>
      <w:r w:rsidRPr="00ED16AE">
        <w:rPr>
          <w:rStyle w:val="SCCCounselNameChar"/>
          <w:sz w:val="20"/>
          <w:lang w:val="fr-CA"/>
        </w:rPr>
        <w:t>Rozier</w:t>
      </w:r>
      <w:proofErr w:type="spellEnd"/>
      <w:r w:rsidRPr="00ED16AE">
        <w:rPr>
          <w:rStyle w:val="SCCCounselPartyRoleChar"/>
          <w:sz w:val="20"/>
          <w:lang w:val="fr-CA"/>
        </w:rPr>
        <w:t>, pour l’appelante.</w:t>
      </w:r>
    </w:p>
    <w:p w:rsidR="00E34F5F" w:rsidRDefault="00E34F5F" w:rsidP="00E34F5F">
      <w:pPr>
        <w:pStyle w:val="SCCNormalDoubleSpacing"/>
        <w:spacing w:line="240" w:lineRule="auto"/>
        <w:rPr>
          <w:rStyle w:val="SCCCounselNameChar"/>
          <w:sz w:val="20"/>
          <w:lang w:val="fr-CA"/>
        </w:rPr>
      </w:pPr>
    </w:p>
    <w:p w:rsidR="00E34F5F" w:rsidRPr="00ED16AE" w:rsidRDefault="00E34F5F" w:rsidP="00E34F5F">
      <w:pPr>
        <w:pStyle w:val="SCCNormalDoubleSpacing"/>
        <w:spacing w:line="240" w:lineRule="auto"/>
        <w:rPr>
          <w:sz w:val="20"/>
          <w:lang w:val="fr-CA"/>
        </w:rPr>
      </w:pPr>
      <w:r w:rsidRPr="00ED16AE">
        <w:rPr>
          <w:rStyle w:val="SCCCounselNameChar"/>
          <w:sz w:val="20"/>
          <w:lang w:val="fr-CA"/>
        </w:rPr>
        <w:tab/>
        <w:t xml:space="preserve">Jamie </w:t>
      </w:r>
      <w:proofErr w:type="spellStart"/>
      <w:r w:rsidRPr="00ED16AE">
        <w:rPr>
          <w:rStyle w:val="SCCCounselNameChar"/>
          <w:sz w:val="20"/>
          <w:lang w:val="fr-CA"/>
        </w:rPr>
        <w:t>Klukach</w:t>
      </w:r>
      <w:proofErr w:type="spellEnd"/>
      <w:r w:rsidRPr="00ED16AE">
        <w:rPr>
          <w:rStyle w:val="SCCCounselSeparatorChar"/>
          <w:sz w:val="20"/>
        </w:rPr>
        <w:t xml:space="preserve"> et </w:t>
      </w:r>
      <w:r w:rsidRPr="00ED16AE">
        <w:rPr>
          <w:rStyle w:val="SCCCounselNameChar"/>
          <w:sz w:val="20"/>
          <w:lang w:val="fr-CA"/>
        </w:rPr>
        <w:t>Gillian Roberts</w:t>
      </w:r>
      <w:r w:rsidRPr="00ED16AE">
        <w:rPr>
          <w:rStyle w:val="SCCCounselPartyRoleChar"/>
          <w:sz w:val="20"/>
          <w:lang w:val="fr-CA"/>
        </w:rPr>
        <w:t>, pour l’intimée.</w:t>
      </w:r>
    </w:p>
    <w:p w:rsidR="00E34F5F" w:rsidRDefault="00E34F5F" w:rsidP="00E34F5F">
      <w:pPr>
        <w:pStyle w:val="SCCNormalDoubleSpacing"/>
        <w:spacing w:line="240" w:lineRule="auto"/>
        <w:rPr>
          <w:rStyle w:val="SCCCounselNameChar"/>
          <w:sz w:val="20"/>
          <w:lang w:val="fr-CA"/>
        </w:rPr>
      </w:pPr>
    </w:p>
    <w:p w:rsidR="00E34F5F" w:rsidRPr="00ED16AE" w:rsidRDefault="00E34F5F" w:rsidP="00E34F5F">
      <w:pPr>
        <w:pStyle w:val="SCCNormalDoubleSpacing"/>
        <w:spacing w:line="240" w:lineRule="auto"/>
        <w:rPr>
          <w:sz w:val="20"/>
          <w:lang w:val="fr-CA"/>
        </w:rPr>
      </w:pPr>
      <w:r w:rsidRPr="00ED16AE">
        <w:rPr>
          <w:rStyle w:val="SCCCounselNameChar"/>
          <w:sz w:val="20"/>
          <w:lang w:val="fr-CA"/>
        </w:rPr>
        <w:tab/>
        <w:t>Robert J. Frater</w:t>
      </w:r>
      <w:r w:rsidRPr="00ED16AE">
        <w:rPr>
          <w:rStyle w:val="SCCCounselSeparatorChar"/>
          <w:sz w:val="20"/>
        </w:rPr>
        <w:t xml:space="preserve"> et </w:t>
      </w:r>
      <w:r w:rsidRPr="00ED16AE">
        <w:rPr>
          <w:rStyle w:val="SCCCounselNameChar"/>
          <w:sz w:val="20"/>
          <w:lang w:val="fr-CA"/>
        </w:rPr>
        <w:t xml:space="preserve">Richard </w:t>
      </w:r>
      <w:proofErr w:type="spellStart"/>
      <w:r w:rsidRPr="00ED16AE">
        <w:rPr>
          <w:rStyle w:val="SCCCounselNameChar"/>
          <w:sz w:val="20"/>
          <w:lang w:val="fr-CA"/>
        </w:rPr>
        <w:t>Kramer</w:t>
      </w:r>
      <w:proofErr w:type="spellEnd"/>
      <w:r w:rsidRPr="00ED16AE">
        <w:rPr>
          <w:rStyle w:val="SCCCounselNameChar"/>
          <w:sz w:val="20"/>
          <w:lang w:val="fr-CA"/>
        </w:rPr>
        <w:t>,</w:t>
      </w:r>
      <w:r w:rsidRPr="00ED16AE">
        <w:rPr>
          <w:rStyle w:val="SCCCounselPartyRoleChar"/>
          <w:sz w:val="20"/>
          <w:lang w:val="fr-CA"/>
        </w:rPr>
        <w:t xml:space="preserve"> pour l’intervenant le procureur général du Canada.</w:t>
      </w:r>
    </w:p>
    <w:p w:rsidR="00E34F5F" w:rsidRDefault="00E34F5F" w:rsidP="00E34F5F">
      <w:pPr>
        <w:pStyle w:val="SCCNormalDoubleSpacing"/>
        <w:spacing w:line="240" w:lineRule="auto"/>
        <w:rPr>
          <w:rStyle w:val="SCCCounselNameChar"/>
          <w:sz w:val="20"/>
          <w:lang w:val="fr-CA"/>
        </w:rPr>
      </w:pPr>
    </w:p>
    <w:p w:rsidR="00E34F5F" w:rsidRPr="00ED16AE" w:rsidRDefault="00E34F5F" w:rsidP="00E34F5F">
      <w:pPr>
        <w:pStyle w:val="SCCNormalDoubleSpacing"/>
        <w:spacing w:line="240" w:lineRule="auto"/>
        <w:rPr>
          <w:sz w:val="20"/>
          <w:lang w:val="fr-CA"/>
        </w:rPr>
      </w:pPr>
      <w:r w:rsidRPr="00ED16AE">
        <w:rPr>
          <w:rStyle w:val="SCCCounselNameChar"/>
          <w:sz w:val="20"/>
          <w:lang w:val="fr-CA"/>
        </w:rPr>
        <w:tab/>
        <w:t xml:space="preserve">Marie </w:t>
      </w:r>
      <w:proofErr w:type="spellStart"/>
      <w:r w:rsidRPr="00ED16AE">
        <w:rPr>
          <w:rStyle w:val="SCCCounselNameChar"/>
          <w:sz w:val="20"/>
          <w:lang w:val="fr-CA"/>
        </w:rPr>
        <w:t>Henein</w:t>
      </w:r>
      <w:proofErr w:type="spellEnd"/>
      <w:r w:rsidRPr="00ED16AE">
        <w:rPr>
          <w:rStyle w:val="SCCCounselSeparatorChar"/>
          <w:sz w:val="20"/>
        </w:rPr>
        <w:t xml:space="preserve"> et </w:t>
      </w:r>
      <w:r w:rsidRPr="00ED16AE">
        <w:rPr>
          <w:rStyle w:val="SCCCounselNameChar"/>
          <w:sz w:val="20"/>
          <w:lang w:val="fr-CA"/>
        </w:rPr>
        <w:t>Danielle Robitaille</w:t>
      </w:r>
      <w:r w:rsidRPr="00ED16AE">
        <w:rPr>
          <w:rStyle w:val="SCCCounselPartyRoleChar"/>
          <w:sz w:val="20"/>
          <w:lang w:val="fr-CA"/>
        </w:rPr>
        <w:t xml:space="preserve">, pour l’intervenante </w:t>
      </w:r>
      <w:proofErr w:type="spellStart"/>
      <w:r w:rsidRPr="00ED16AE">
        <w:rPr>
          <w:rStyle w:val="SCCCounselPartyRoleChar"/>
          <w:sz w:val="20"/>
          <w:lang w:val="fr-CA"/>
        </w:rPr>
        <w:t>Criminal</w:t>
      </w:r>
      <w:proofErr w:type="spellEnd"/>
      <w:r w:rsidRPr="00ED16AE">
        <w:rPr>
          <w:rStyle w:val="SCCCounselPartyRoleChar"/>
          <w:sz w:val="20"/>
          <w:lang w:val="fr-CA"/>
        </w:rPr>
        <w:t xml:space="preserve"> </w:t>
      </w:r>
      <w:proofErr w:type="spellStart"/>
      <w:r w:rsidRPr="00ED16AE">
        <w:rPr>
          <w:rStyle w:val="SCCCounselPartyRoleChar"/>
          <w:sz w:val="20"/>
          <w:lang w:val="fr-CA"/>
        </w:rPr>
        <w:t>Lawyers</w:t>
      </w:r>
      <w:proofErr w:type="spellEnd"/>
      <w:r w:rsidRPr="00ED16AE">
        <w:rPr>
          <w:rStyle w:val="SCCCounselPartyRoleChar"/>
          <w:sz w:val="20"/>
          <w:lang w:val="fr-CA"/>
        </w:rPr>
        <w:t>’ Association of Ontario.</w:t>
      </w:r>
    </w:p>
    <w:p w:rsidR="00E34F5F" w:rsidRDefault="00E34F5F" w:rsidP="00E34F5F">
      <w:pPr>
        <w:pStyle w:val="SCCLawFirm"/>
        <w:spacing w:line="240" w:lineRule="auto"/>
        <w:rPr>
          <w:sz w:val="20"/>
          <w:lang w:val="fr-CA"/>
        </w:rPr>
      </w:pPr>
    </w:p>
    <w:p w:rsidR="00E34F5F" w:rsidRPr="00ED16AE" w:rsidRDefault="00E34F5F" w:rsidP="00E34F5F">
      <w:pPr>
        <w:pStyle w:val="SCCLawFirm"/>
        <w:spacing w:line="240" w:lineRule="auto"/>
        <w:rPr>
          <w:sz w:val="20"/>
          <w:lang w:val="fr-CA"/>
        </w:rPr>
      </w:pPr>
      <w:r w:rsidRPr="00ED16AE">
        <w:rPr>
          <w:sz w:val="20"/>
          <w:lang w:val="fr-CA"/>
        </w:rPr>
        <w:tab/>
        <w:t>Procureurs de l’appelante : </w:t>
      </w:r>
      <w:proofErr w:type="spellStart"/>
      <w:r w:rsidRPr="00ED16AE">
        <w:rPr>
          <w:sz w:val="20"/>
          <w:lang w:val="fr-CA"/>
        </w:rPr>
        <w:t>Sack</w:t>
      </w:r>
      <w:proofErr w:type="spellEnd"/>
      <w:r w:rsidRPr="00ED16AE">
        <w:rPr>
          <w:sz w:val="20"/>
          <w:lang w:val="fr-CA"/>
        </w:rPr>
        <w:t xml:space="preserve"> </w:t>
      </w:r>
      <w:proofErr w:type="spellStart"/>
      <w:r w:rsidRPr="00ED16AE">
        <w:rPr>
          <w:sz w:val="20"/>
          <w:lang w:val="fr-CA"/>
        </w:rPr>
        <w:t>Goldblatt</w:t>
      </w:r>
      <w:proofErr w:type="spellEnd"/>
      <w:r w:rsidRPr="00ED16AE">
        <w:rPr>
          <w:sz w:val="20"/>
          <w:lang w:val="fr-CA"/>
        </w:rPr>
        <w:t xml:space="preserve"> Mitchell, Toronto; Doucette Boni </w:t>
      </w:r>
      <w:proofErr w:type="spellStart"/>
      <w:r w:rsidRPr="00ED16AE">
        <w:rPr>
          <w:sz w:val="20"/>
          <w:lang w:val="fr-CA"/>
        </w:rPr>
        <w:t>Santoro</w:t>
      </w:r>
      <w:proofErr w:type="spellEnd"/>
      <w:r w:rsidRPr="00ED16AE">
        <w:rPr>
          <w:sz w:val="20"/>
          <w:lang w:val="fr-CA"/>
        </w:rPr>
        <w:t>, Toronto.</w:t>
      </w:r>
    </w:p>
    <w:p w:rsidR="00E34F5F" w:rsidRDefault="00E34F5F" w:rsidP="00E34F5F">
      <w:pPr>
        <w:pStyle w:val="SCCLawFirm"/>
        <w:spacing w:line="240" w:lineRule="auto"/>
        <w:rPr>
          <w:sz w:val="20"/>
          <w:lang w:val="fr-CA"/>
        </w:rPr>
      </w:pPr>
    </w:p>
    <w:p w:rsidR="00E34F5F" w:rsidRPr="00ED16AE" w:rsidRDefault="00E34F5F" w:rsidP="00E34F5F">
      <w:pPr>
        <w:pStyle w:val="SCCLawFirm"/>
        <w:spacing w:line="240" w:lineRule="auto"/>
        <w:rPr>
          <w:sz w:val="20"/>
          <w:lang w:val="fr-CA"/>
        </w:rPr>
      </w:pPr>
      <w:r w:rsidRPr="00ED16AE">
        <w:rPr>
          <w:sz w:val="20"/>
          <w:lang w:val="fr-CA"/>
        </w:rPr>
        <w:tab/>
        <w:t>Procureur de l’intimée : Procureur général de l’Ontario, Toronto.</w:t>
      </w:r>
    </w:p>
    <w:p w:rsidR="00E34F5F" w:rsidRDefault="00E34F5F" w:rsidP="00E34F5F">
      <w:pPr>
        <w:pStyle w:val="SCCLawFirm"/>
        <w:spacing w:line="240" w:lineRule="auto"/>
        <w:rPr>
          <w:sz w:val="20"/>
          <w:lang w:val="fr-CA"/>
        </w:rPr>
      </w:pPr>
    </w:p>
    <w:p w:rsidR="00E34F5F" w:rsidRPr="00ED16AE" w:rsidRDefault="00E34F5F" w:rsidP="00E34F5F">
      <w:pPr>
        <w:pStyle w:val="SCCLawFirm"/>
        <w:spacing w:line="240" w:lineRule="auto"/>
        <w:rPr>
          <w:sz w:val="20"/>
          <w:lang w:val="fr-CA"/>
        </w:rPr>
      </w:pPr>
      <w:r w:rsidRPr="00ED16AE">
        <w:rPr>
          <w:sz w:val="20"/>
          <w:lang w:val="fr-CA"/>
        </w:rPr>
        <w:tab/>
        <w:t>Procureur de l’intervenant le procureur général du Canada : Procureur général du Canada, Ottawa.</w:t>
      </w:r>
    </w:p>
    <w:p w:rsidR="00E34F5F" w:rsidRDefault="00E34F5F" w:rsidP="00E34F5F">
      <w:pPr>
        <w:pStyle w:val="SCCLawFirm"/>
        <w:spacing w:line="240" w:lineRule="auto"/>
        <w:rPr>
          <w:sz w:val="20"/>
          <w:lang w:val="fr-CA"/>
        </w:rPr>
      </w:pPr>
    </w:p>
    <w:p w:rsidR="00E34F5F" w:rsidRDefault="00E34F5F" w:rsidP="00E34F5F">
      <w:pPr>
        <w:pStyle w:val="SCCLawFirm"/>
        <w:spacing w:line="240" w:lineRule="auto"/>
        <w:rPr>
          <w:sz w:val="20"/>
          <w:lang w:val="fr-CA"/>
        </w:rPr>
      </w:pPr>
      <w:r w:rsidRPr="00ED16AE">
        <w:rPr>
          <w:sz w:val="20"/>
          <w:lang w:val="fr-CA"/>
        </w:rPr>
        <w:tab/>
        <w:t xml:space="preserve">Procureurs de l’intervenante </w:t>
      </w:r>
      <w:proofErr w:type="spellStart"/>
      <w:r w:rsidRPr="00ED16AE">
        <w:rPr>
          <w:sz w:val="20"/>
          <w:lang w:val="fr-CA"/>
        </w:rPr>
        <w:t>Criminal</w:t>
      </w:r>
      <w:proofErr w:type="spellEnd"/>
      <w:r w:rsidRPr="00ED16AE">
        <w:rPr>
          <w:sz w:val="20"/>
          <w:lang w:val="fr-CA"/>
        </w:rPr>
        <w:t xml:space="preserve"> </w:t>
      </w:r>
      <w:proofErr w:type="spellStart"/>
      <w:r w:rsidRPr="00ED16AE">
        <w:rPr>
          <w:sz w:val="20"/>
          <w:lang w:val="fr-CA"/>
        </w:rPr>
        <w:t>Lawyers</w:t>
      </w:r>
      <w:proofErr w:type="spellEnd"/>
      <w:r w:rsidRPr="00ED16AE">
        <w:rPr>
          <w:sz w:val="20"/>
          <w:lang w:val="fr-CA"/>
        </w:rPr>
        <w:t>’ Association of Ontario : </w:t>
      </w:r>
      <w:proofErr w:type="spellStart"/>
      <w:r w:rsidRPr="00ED16AE">
        <w:rPr>
          <w:sz w:val="20"/>
          <w:lang w:val="fr-CA"/>
        </w:rPr>
        <w:t>Henein</w:t>
      </w:r>
      <w:proofErr w:type="spellEnd"/>
      <w:r w:rsidRPr="00ED16AE">
        <w:rPr>
          <w:sz w:val="20"/>
          <w:lang w:val="fr-CA"/>
        </w:rPr>
        <w:t xml:space="preserve"> &amp; Associates, Toronto.</w:t>
      </w:r>
    </w:p>
    <w:p w:rsidR="00E34F5F" w:rsidRDefault="00E34F5F" w:rsidP="005C6840">
      <w:pPr>
        <w:jc w:val="both"/>
        <w:rPr>
          <w:rFonts w:cs="Times New Roman"/>
          <w:sz w:val="20"/>
          <w:szCs w:val="20"/>
          <w:lang w:val="fr-CA"/>
        </w:rPr>
      </w:pPr>
    </w:p>
    <w:p w:rsidR="003B3977" w:rsidRDefault="0017005E" w:rsidP="00F55AA9">
      <w:pPr>
        <w:rPr>
          <w:sz w:val="20"/>
          <w:szCs w:val="20"/>
        </w:rPr>
      </w:pPr>
      <w:r w:rsidRPr="0017005E">
        <w:rPr>
          <w:rFonts w:cs="Times New Roman"/>
          <w:sz w:val="20"/>
          <w:szCs w:val="20"/>
          <w:lang w:val="fr-CA"/>
        </w:rPr>
        <w:pict>
          <v:rect id="_x0000_i1075"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D2DF7">
            <w:pPr>
              <w:keepNext/>
              <w:keepLines/>
              <w:rPr>
                <w:b/>
                <w:szCs w:val="24"/>
              </w:rPr>
            </w:pPr>
            <w:r w:rsidRPr="00C50A5C">
              <w:rPr>
                <w:b/>
                <w:szCs w:val="24"/>
              </w:rPr>
              <w:lastRenderedPageBreak/>
              <w:t xml:space="preserve">AGENDA FOR </w:t>
            </w:r>
            <w:r w:rsidR="001D2DF7">
              <w:rPr>
                <w:b/>
                <w:szCs w:val="24"/>
              </w:rPr>
              <w:t>M</w:t>
            </w:r>
            <w:r w:rsidRPr="00C50A5C">
              <w:rPr>
                <w:b/>
                <w:szCs w:val="24"/>
              </w:rPr>
              <w:t>A</w:t>
            </w:r>
            <w:r w:rsidR="001D2DF7">
              <w:rPr>
                <w:b/>
                <w:szCs w:val="24"/>
              </w:rPr>
              <w:t>Y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1D2DF7">
            <w:pPr>
              <w:keepNext/>
              <w:keepLines/>
              <w:rPr>
                <w:b/>
                <w:szCs w:val="24"/>
                <w:lang w:val="fr-CA"/>
              </w:rPr>
            </w:pPr>
            <w:r w:rsidRPr="00C50A5C">
              <w:rPr>
                <w:b/>
                <w:szCs w:val="24"/>
                <w:lang w:val="fr-CA"/>
              </w:rPr>
              <w:t xml:space="preserve">CALENDRIER DE </w:t>
            </w:r>
            <w:r w:rsidR="001D2DF7">
              <w:rPr>
                <w:b/>
                <w:szCs w:val="24"/>
                <w:lang w:val="fr-CA"/>
              </w:rPr>
              <w:t>M</w:t>
            </w:r>
            <w:r w:rsidRPr="00C50A5C">
              <w:rPr>
                <w:b/>
                <w:szCs w:val="24"/>
                <w:lang w:val="fr-CA"/>
              </w:rPr>
              <w:t>A</w:t>
            </w:r>
            <w:r w:rsidR="001D2DF7">
              <w:rPr>
                <w:b/>
                <w:szCs w:val="24"/>
                <w:lang w:val="fr-CA"/>
              </w:rPr>
              <w:t>I 2013</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1D2DF7">
        <w:rPr>
          <w:b/>
          <w:sz w:val="20"/>
          <w:szCs w:val="20"/>
        </w:rPr>
        <w:t>May 13</w:t>
      </w:r>
      <w:r w:rsidRPr="00DD0B49">
        <w:rPr>
          <w:b/>
          <w:sz w:val="20"/>
          <w:szCs w:val="20"/>
        </w:rPr>
        <w:t xml:space="preserve"> and </w:t>
      </w:r>
      <w:r w:rsidR="001D2DF7">
        <w:rPr>
          <w:b/>
          <w:sz w:val="20"/>
          <w:szCs w:val="20"/>
        </w:rPr>
        <w:t>20</w:t>
      </w:r>
      <w:r w:rsidRPr="00DD0B49">
        <w:rPr>
          <w:b/>
          <w:sz w:val="20"/>
          <w:szCs w:val="20"/>
        </w:rPr>
        <w:t>, 201</w:t>
      </w:r>
      <w:r w:rsidR="001D2DF7">
        <w:rPr>
          <w:b/>
          <w:sz w:val="20"/>
          <w:szCs w:val="20"/>
        </w:rPr>
        <w:t>3</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 xml:space="preserve">CALENDRIER de la semaine du </w:t>
      </w:r>
      <w:r w:rsidR="001D2DF7">
        <w:rPr>
          <w:b/>
          <w:sz w:val="20"/>
          <w:szCs w:val="20"/>
          <w:lang w:val="fr-CA"/>
        </w:rPr>
        <w:t>13</w:t>
      </w:r>
      <w:r w:rsidRPr="00DD0B49">
        <w:rPr>
          <w:b/>
          <w:sz w:val="20"/>
          <w:szCs w:val="20"/>
          <w:lang w:val="fr-CA"/>
        </w:rPr>
        <w:t xml:space="preserve"> m</w:t>
      </w:r>
      <w:r w:rsidR="001D2DF7">
        <w:rPr>
          <w:b/>
          <w:sz w:val="20"/>
          <w:szCs w:val="20"/>
          <w:lang w:val="fr-CA"/>
        </w:rPr>
        <w:t>ai</w:t>
      </w:r>
      <w:r w:rsidRPr="00DD0B49">
        <w:rPr>
          <w:b/>
          <w:sz w:val="20"/>
          <w:szCs w:val="20"/>
          <w:lang w:val="fr-CA"/>
        </w:rPr>
        <w:t xml:space="preserve"> et celle du </w:t>
      </w:r>
      <w:r w:rsidR="001D2DF7">
        <w:rPr>
          <w:b/>
          <w:sz w:val="20"/>
          <w:szCs w:val="20"/>
          <w:lang w:val="fr-CA"/>
        </w:rPr>
        <w:t xml:space="preserve">20 </w:t>
      </w:r>
      <w:r w:rsidRPr="00DD0B49">
        <w:rPr>
          <w:b/>
          <w:sz w:val="20"/>
          <w:szCs w:val="20"/>
          <w:lang w:val="fr-CA"/>
        </w:rPr>
        <w:t>m</w:t>
      </w:r>
      <w:r w:rsidR="001D2DF7">
        <w:rPr>
          <w:b/>
          <w:sz w:val="20"/>
          <w:szCs w:val="20"/>
          <w:lang w:val="fr-CA"/>
        </w:rPr>
        <w:t>ai</w:t>
      </w:r>
      <w:r w:rsidRPr="00DD0B49">
        <w:rPr>
          <w:b/>
          <w:sz w:val="20"/>
          <w:szCs w:val="20"/>
          <w:lang w:val="fr-CA"/>
        </w:rPr>
        <w:t xml:space="preserve"> 201</w:t>
      </w:r>
      <w:r w:rsidR="001D2DF7">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1D2DF7">
        <w:rPr>
          <w:sz w:val="20"/>
          <w:szCs w:val="20"/>
        </w:rPr>
        <w:t>May 6</w:t>
      </w:r>
      <w:r w:rsidRPr="00DD0B49">
        <w:rPr>
          <w:sz w:val="20"/>
          <w:szCs w:val="20"/>
        </w:rPr>
        <w:t xml:space="preserve"> and 2</w:t>
      </w:r>
      <w:r w:rsidR="001D2DF7">
        <w:rPr>
          <w:sz w:val="20"/>
          <w:szCs w:val="20"/>
        </w:rPr>
        <w:t>7</w:t>
      </w:r>
      <w:r w:rsidRPr="00DD0B49">
        <w:rPr>
          <w:sz w:val="20"/>
          <w:szCs w:val="20"/>
        </w:rPr>
        <w:t>, 201</w:t>
      </w:r>
      <w:r w:rsidR="001D2DF7">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1D2DF7">
        <w:rPr>
          <w:sz w:val="20"/>
          <w:szCs w:val="20"/>
          <w:lang w:val="fr-CA"/>
        </w:rPr>
        <w:t>6</w:t>
      </w:r>
      <w:r w:rsidRPr="00DD0B49">
        <w:rPr>
          <w:sz w:val="20"/>
          <w:szCs w:val="20"/>
          <w:lang w:val="fr-CA"/>
        </w:rPr>
        <w:t xml:space="preserve"> et du 2</w:t>
      </w:r>
      <w:r w:rsidR="001D2DF7">
        <w:rPr>
          <w:sz w:val="20"/>
          <w:szCs w:val="20"/>
          <w:lang w:val="fr-CA"/>
        </w:rPr>
        <w:t>7</w:t>
      </w:r>
      <w:r w:rsidRPr="00DD0B49">
        <w:rPr>
          <w:sz w:val="20"/>
          <w:szCs w:val="20"/>
          <w:lang w:val="fr-CA"/>
        </w:rPr>
        <w:t xml:space="preserve"> m</w:t>
      </w:r>
      <w:r w:rsidR="001D2DF7">
        <w:rPr>
          <w:sz w:val="20"/>
          <w:szCs w:val="20"/>
          <w:lang w:val="fr-CA"/>
        </w:rPr>
        <w:t>ai</w:t>
      </w:r>
      <w:r w:rsidRPr="00DD0B49">
        <w:rPr>
          <w:sz w:val="20"/>
          <w:szCs w:val="20"/>
          <w:lang w:val="fr-CA"/>
        </w:rPr>
        <w:t xml:space="preserve"> 201</w:t>
      </w:r>
      <w:r w:rsidR="001D2DF7">
        <w:rPr>
          <w:sz w:val="20"/>
          <w:szCs w:val="20"/>
          <w:lang w:val="fr-CA"/>
        </w:rPr>
        <w:t>3</w:t>
      </w:r>
      <w:r w:rsidRPr="00DD0B49">
        <w:rPr>
          <w:sz w:val="20"/>
          <w:szCs w:val="20"/>
          <w:lang w:val="fr-CA"/>
        </w:rPr>
        <w:t>.</w:t>
      </w:r>
    </w:p>
    <w:p w:rsidR="004B66B4" w:rsidRPr="00DD0B49" w:rsidRDefault="0017005E" w:rsidP="004B66B4">
      <w:pPr>
        <w:rPr>
          <w:sz w:val="20"/>
          <w:szCs w:val="20"/>
        </w:rPr>
      </w:pPr>
      <w:r w:rsidRPr="0017005E">
        <w:rPr>
          <w:sz w:val="20"/>
          <w:szCs w:val="20"/>
        </w:rPr>
        <w:pict>
          <v:rect id="_x0000_i1078"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4E1E0A" w:rsidRPr="005C0D71" w:rsidTr="00150281">
        <w:trPr>
          <w:cantSplit/>
        </w:trPr>
        <w:tc>
          <w:tcPr>
            <w:tcW w:w="2398" w:type="dxa"/>
          </w:tcPr>
          <w:p w:rsidR="004E1E0A" w:rsidRPr="003A74F5" w:rsidRDefault="004E1E0A" w:rsidP="00150281">
            <w:pPr>
              <w:rPr>
                <w:rFonts w:eastAsia="Calibri" w:cs="Times New Roman"/>
                <w:sz w:val="20"/>
                <w:szCs w:val="20"/>
              </w:rPr>
            </w:pPr>
            <w:r w:rsidRPr="003A74F5">
              <w:rPr>
                <w:rFonts w:eastAsia="Calibri" w:cs="Times New Roman"/>
                <w:sz w:val="20"/>
                <w:szCs w:val="20"/>
              </w:rPr>
              <w:t>DATE OF HEARING /</w:t>
            </w:r>
          </w:p>
          <w:p w:rsidR="004E1E0A" w:rsidRPr="003A74F5" w:rsidRDefault="004E1E0A" w:rsidP="00150281">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150281">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150281">
            <w:pPr>
              <w:rPr>
                <w:sz w:val="20"/>
                <w:szCs w:val="20"/>
                <w:lang w:val="fr-CA"/>
              </w:rPr>
            </w:pPr>
            <w:r w:rsidRPr="003A74F5">
              <w:rPr>
                <w:rFonts w:eastAsia="Calibri" w:cs="Times New Roman"/>
                <w:sz w:val="20"/>
                <w:szCs w:val="20"/>
                <w:lang w:val="fr-CA"/>
              </w:rPr>
              <w:t>NOM DE LA CAUSE ET NUMÉRO</w:t>
            </w:r>
          </w:p>
          <w:p w:rsidR="004E1E0A" w:rsidRPr="003A74F5" w:rsidRDefault="004E1E0A" w:rsidP="00150281">
            <w:pPr>
              <w:rPr>
                <w:rFonts w:eastAsia="Calibri" w:cs="Times New Roman"/>
                <w:sz w:val="20"/>
                <w:szCs w:val="20"/>
                <w:lang w:val="fr-CA"/>
              </w:rPr>
            </w:pPr>
          </w:p>
        </w:tc>
      </w:tr>
      <w:tr w:rsidR="004E1E0A" w:rsidRPr="001D2DF7" w:rsidTr="00150281">
        <w:trPr>
          <w:cantSplit/>
          <w:trHeight w:val="288"/>
        </w:trPr>
        <w:tc>
          <w:tcPr>
            <w:tcW w:w="2398" w:type="dxa"/>
          </w:tcPr>
          <w:p w:rsidR="004E1E0A" w:rsidRPr="003A74F5" w:rsidRDefault="004E1E0A" w:rsidP="001D2DF7">
            <w:pPr>
              <w:rPr>
                <w:rFonts w:eastAsia="Calibri" w:cs="Times New Roman"/>
                <w:sz w:val="20"/>
                <w:szCs w:val="20"/>
              </w:rPr>
            </w:pPr>
            <w:r w:rsidRPr="003A74F5">
              <w:rPr>
                <w:rFonts w:eastAsia="Calibri" w:cs="Times New Roman"/>
                <w:sz w:val="20"/>
                <w:szCs w:val="20"/>
              </w:rPr>
              <w:t>201</w:t>
            </w:r>
            <w:r w:rsidR="001D2DF7">
              <w:rPr>
                <w:rFonts w:eastAsia="Calibri" w:cs="Times New Roman"/>
                <w:sz w:val="20"/>
                <w:szCs w:val="20"/>
              </w:rPr>
              <w:t>3</w:t>
            </w:r>
            <w:r w:rsidRPr="003A74F5">
              <w:rPr>
                <w:rFonts w:eastAsia="Calibri" w:cs="Times New Roman"/>
                <w:sz w:val="20"/>
                <w:szCs w:val="20"/>
              </w:rPr>
              <w:t>-</w:t>
            </w:r>
            <w:r w:rsidR="001D2DF7">
              <w:rPr>
                <w:rFonts w:eastAsia="Calibri" w:cs="Times New Roman"/>
                <w:sz w:val="20"/>
                <w:szCs w:val="20"/>
              </w:rPr>
              <w:t>05</w:t>
            </w:r>
            <w:r w:rsidRPr="003A74F5">
              <w:rPr>
                <w:rFonts w:eastAsia="Calibri" w:cs="Times New Roman"/>
                <w:sz w:val="20"/>
                <w:szCs w:val="20"/>
              </w:rPr>
              <w:t>-</w:t>
            </w:r>
            <w:r w:rsidR="001D2DF7">
              <w:rPr>
                <w:rFonts w:eastAsia="Calibri" w:cs="Times New Roman"/>
                <w:sz w:val="20"/>
                <w:szCs w:val="20"/>
              </w:rPr>
              <w:t>13</w:t>
            </w:r>
          </w:p>
        </w:tc>
        <w:tc>
          <w:tcPr>
            <w:tcW w:w="7178" w:type="dxa"/>
          </w:tcPr>
          <w:p w:rsidR="004E1E0A" w:rsidRDefault="001D2DF7" w:rsidP="00150281">
            <w:pPr>
              <w:jc w:val="both"/>
              <w:rPr>
                <w:rFonts w:eastAsia="Calibri" w:cs="Times New Roman"/>
                <w:sz w:val="20"/>
                <w:szCs w:val="20"/>
              </w:rPr>
            </w:pPr>
            <w:r>
              <w:rPr>
                <w:rFonts w:eastAsia="Calibri" w:cs="Times New Roman"/>
                <w:i/>
                <w:sz w:val="20"/>
                <w:szCs w:val="20"/>
              </w:rPr>
              <w:t>Eli Lilly Canada Inc. et al.</w:t>
            </w:r>
            <w:r w:rsidR="004E1E0A">
              <w:rPr>
                <w:rFonts w:eastAsia="Calibri" w:cs="Times New Roman"/>
                <w:i/>
                <w:sz w:val="20"/>
                <w:szCs w:val="20"/>
              </w:rPr>
              <w:t xml:space="preserve"> </w:t>
            </w:r>
            <w:r w:rsidR="004E1E0A" w:rsidRPr="003A74F5">
              <w:rPr>
                <w:rFonts w:eastAsia="Calibri" w:cs="Times New Roman"/>
                <w:i/>
                <w:sz w:val="20"/>
                <w:szCs w:val="20"/>
              </w:rPr>
              <w:t xml:space="preserve">v. </w:t>
            </w:r>
            <w:proofErr w:type="spellStart"/>
            <w:r>
              <w:rPr>
                <w:rFonts w:eastAsia="Calibri" w:cs="Times New Roman"/>
                <w:i/>
                <w:sz w:val="20"/>
                <w:szCs w:val="20"/>
              </w:rPr>
              <w:t>N</w:t>
            </w:r>
            <w:r w:rsidR="004E1E0A">
              <w:rPr>
                <w:rFonts w:eastAsia="Calibri" w:cs="Times New Roman"/>
                <w:i/>
                <w:sz w:val="20"/>
                <w:szCs w:val="20"/>
              </w:rPr>
              <w:t>o</w:t>
            </w:r>
            <w:r>
              <w:rPr>
                <w:rFonts w:eastAsia="Calibri" w:cs="Times New Roman"/>
                <w:i/>
                <w:sz w:val="20"/>
                <w:szCs w:val="20"/>
              </w:rPr>
              <w:t>vopharm</w:t>
            </w:r>
            <w:proofErr w:type="spellEnd"/>
            <w:r>
              <w:rPr>
                <w:rFonts w:eastAsia="Calibri" w:cs="Times New Roman"/>
                <w:i/>
                <w:sz w:val="20"/>
                <w:szCs w:val="20"/>
              </w:rPr>
              <w:t xml:space="preserve"> Limi</w:t>
            </w:r>
            <w:r w:rsidR="004E1E0A">
              <w:rPr>
                <w:rFonts w:eastAsia="Calibri" w:cs="Times New Roman"/>
                <w:i/>
                <w:sz w:val="20"/>
                <w:szCs w:val="20"/>
              </w:rPr>
              <w:t>t</w:t>
            </w:r>
            <w:r w:rsidR="004E1E0A" w:rsidRPr="003A74F5">
              <w:rPr>
                <w:rFonts w:eastAsia="Calibri" w:cs="Times New Roman"/>
                <w:i/>
                <w:sz w:val="20"/>
                <w:szCs w:val="20"/>
              </w:rPr>
              <w:t>e</w:t>
            </w:r>
            <w:r>
              <w:rPr>
                <w:rFonts w:eastAsia="Calibri" w:cs="Times New Roman"/>
                <w:i/>
                <w:sz w:val="20"/>
                <w:szCs w:val="20"/>
              </w:rPr>
              <w:t>d</w:t>
            </w:r>
            <w:r w:rsidR="004E1E0A">
              <w:rPr>
                <w:rFonts w:eastAsia="Calibri" w:cs="Times New Roman"/>
                <w:i/>
                <w:sz w:val="20"/>
                <w:szCs w:val="20"/>
              </w:rPr>
              <w:t xml:space="preserve"> </w:t>
            </w:r>
            <w:r w:rsidR="004E1E0A" w:rsidRPr="003A74F5">
              <w:rPr>
                <w:rFonts w:eastAsia="Calibri" w:cs="Times New Roman"/>
                <w:sz w:val="20"/>
                <w:szCs w:val="20"/>
              </w:rPr>
              <w:t>(</w:t>
            </w:r>
            <w:r w:rsidR="004E1E0A">
              <w:rPr>
                <w:rFonts w:eastAsia="Calibri" w:cs="Times New Roman"/>
                <w:sz w:val="20"/>
                <w:szCs w:val="20"/>
              </w:rPr>
              <w:t>F.C</w:t>
            </w:r>
            <w:r w:rsidR="004E1E0A" w:rsidRPr="003A74F5">
              <w:rPr>
                <w:rFonts w:eastAsia="Calibri" w:cs="Times New Roman"/>
                <w:sz w:val="20"/>
                <w:szCs w:val="20"/>
              </w:rPr>
              <w:t>.) (Ci</w:t>
            </w:r>
            <w:r w:rsidR="004E1E0A">
              <w:rPr>
                <w:rFonts w:eastAsia="Calibri" w:cs="Times New Roman"/>
                <w:sz w:val="20"/>
                <w:szCs w:val="20"/>
              </w:rPr>
              <w:t>v</w:t>
            </w:r>
            <w:r w:rsidR="004E1E0A" w:rsidRPr="003A74F5">
              <w:rPr>
                <w:rFonts w:eastAsia="Calibri" w:cs="Times New Roman"/>
                <w:sz w:val="20"/>
                <w:szCs w:val="20"/>
              </w:rPr>
              <w:t>il) (By Leave) (3</w:t>
            </w:r>
            <w:r>
              <w:rPr>
                <w:rFonts w:eastAsia="Calibri" w:cs="Times New Roman"/>
                <w:sz w:val="20"/>
                <w:szCs w:val="20"/>
              </w:rPr>
              <w:t>5067</w:t>
            </w:r>
            <w:r w:rsidR="004E1E0A" w:rsidRPr="003A74F5">
              <w:rPr>
                <w:rFonts w:eastAsia="Calibri" w:cs="Times New Roman"/>
                <w:sz w:val="20"/>
                <w:szCs w:val="20"/>
              </w:rPr>
              <w:t>)</w:t>
            </w:r>
          </w:p>
          <w:p w:rsidR="001D2DF7" w:rsidRPr="00377472" w:rsidRDefault="001D2DF7" w:rsidP="00150281">
            <w:pPr>
              <w:jc w:val="both"/>
              <w:rPr>
                <w:rFonts w:eastAsia="Calibri" w:cs="Times New Roman"/>
                <w:sz w:val="20"/>
                <w:szCs w:val="20"/>
                <w:lang w:val="fr-CA"/>
              </w:rPr>
            </w:pPr>
            <w:r w:rsidRPr="00377472">
              <w:rPr>
                <w:rFonts w:eastAsia="Calibri" w:cs="Times New Roman"/>
                <w:sz w:val="20"/>
                <w:szCs w:val="20"/>
                <w:lang w:val="fr-CA"/>
              </w:rPr>
              <w:t xml:space="preserve">(Oral </w:t>
            </w:r>
            <w:proofErr w:type="spellStart"/>
            <w:r w:rsidRPr="00377472">
              <w:rPr>
                <w:rFonts w:eastAsia="Calibri" w:cs="Times New Roman"/>
                <w:sz w:val="20"/>
                <w:szCs w:val="20"/>
                <w:lang w:val="fr-CA"/>
              </w:rPr>
              <w:t>hearing</w:t>
            </w:r>
            <w:proofErr w:type="spellEnd"/>
            <w:r w:rsidRPr="00377472">
              <w:rPr>
                <w:rFonts w:eastAsia="Calibri" w:cs="Times New Roman"/>
                <w:sz w:val="20"/>
                <w:szCs w:val="20"/>
                <w:lang w:val="fr-CA"/>
              </w:rPr>
              <w:t xml:space="preserve"> on </w:t>
            </w:r>
            <w:proofErr w:type="spellStart"/>
            <w:r w:rsidRPr="00377472">
              <w:rPr>
                <w:rFonts w:eastAsia="Calibri" w:cs="Times New Roman"/>
                <w:sz w:val="20"/>
                <w:szCs w:val="20"/>
                <w:lang w:val="fr-CA"/>
              </w:rPr>
              <w:t>leave</w:t>
            </w:r>
            <w:proofErr w:type="spellEnd"/>
            <w:r w:rsidRPr="00377472">
              <w:rPr>
                <w:rFonts w:eastAsia="Calibri" w:cs="Times New Roman"/>
                <w:sz w:val="20"/>
                <w:szCs w:val="20"/>
                <w:lang w:val="fr-CA"/>
              </w:rPr>
              <w:t xml:space="preserve"> application / Audition de la demande d’autorisation d’appel)</w:t>
            </w:r>
          </w:p>
          <w:p w:rsidR="004E1E0A" w:rsidRPr="001D2DF7" w:rsidRDefault="004E1E0A" w:rsidP="00150281">
            <w:pPr>
              <w:jc w:val="both"/>
              <w:rPr>
                <w:rFonts w:eastAsia="Calibri" w:cs="Times New Roman"/>
                <w:sz w:val="20"/>
                <w:szCs w:val="20"/>
              </w:rPr>
            </w:pPr>
            <w:r w:rsidRPr="001D2DF7">
              <w:rPr>
                <w:rFonts w:eastAsia="Calibri" w:cs="Times New Roman"/>
                <w:sz w:val="20"/>
                <w:szCs w:val="20"/>
              </w:rPr>
              <w:t>(</w:t>
            </w:r>
            <w:r w:rsidR="001D2DF7" w:rsidRPr="001D2DF7">
              <w:rPr>
                <w:rFonts w:eastAsia="Calibri" w:cs="Times New Roman"/>
                <w:sz w:val="20"/>
                <w:szCs w:val="20"/>
              </w:rPr>
              <w:t>S</w:t>
            </w:r>
            <w:r w:rsidRPr="001D2DF7">
              <w:rPr>
                <w:rFonts w:eastAsia="Calibri" w:cs="Times New Roman"/>
                <w:sz w:val="20"/>
                <w:szCs w:val="20"/>
              </w:rPr>
              <w:t xml:space="preserve">tart time: 9:00 a.m. / </w:t>
            </w:r>
            <w:r w:rsidR="001D2DF7" w:rsidRPr="001D2DF7">
              <w:rPr>
                <w:rFonts w:eastAsia="Calibri" w:cs="Times New Roman"/>
                <w:sz w:val="20"/>
                <w:szCs w:val="20"/>
              </w:rPr>
              <w:t>A</w:t>
            </w:r>
            <w:r w:rsidRPr="001D2DF7">
              <w:rPr>
                <w:rFonts w:eastAsia="Calibri" w:cs="Times New Roman"/>
                <w:sz w:val="20"/>
                <w:szCs w:val="20"/>
              </w:rPr>
              <w:t xml:space="preserve">udience </w:t>
            </w:r>
            <w:proofErr w:type="spellStart"/>
            <w:r w:rsidRPr="001D2DF7">
              <w:rPr>
                <w:rFonts w:eastAsia="Calibri" w:cs="Times New Roman"/>
                <w:sz w:val="20"/>
                <w:szCs w:val="20"/>
              </w:rPr>
              <w:t>débutant</w:t>
            </w:r>
            <w:proofErr w:type="spellEnd"/>
            <w:r w:rsidRPr="001D2DF7">
              <w:rPr>
                <w:rFonts w:eastAsia="Calibri" w:cs="Times New Roman"/>
                <w:sz w:val="20"/>
                <w:szCs w:val="20"/>
              </w:rPr>
              <w:t xml:space="preserve"> à 9 h)</w:t>
            </w:r>
          </w:p>
          <w:p w:rsidR="004E1E0A" w:rsidRPr="001D2DF7" w:rsidRDefault="004E1E0A" w:rsidP="00150281">
            <w:pPr>
              <w:jc w:val="both"/>
              <w:rPr>
                <w:rFonts w:eastAsia="Calibri" w:cs="Times New Roman"/>
                <w:sz w:val="20"/>
                <w:szCs w:val="20"/>
              </w:rPr>
            </w:pPr>
          </w:p>
        </w:tc>
      </w:tr>
      <w:tr w:rsidR="00AF5620" w:rsidRPr="001D2DF7" w:rsidTr="00150281">
        <w:trPr>
          <w:cantSplit/>
          <w:trHeight w:val="288"/>
        </w:trPr>
        <w:tc>
          <w:tcPr>
            <w:tcW w:w="2398" w:type="dxa"/>
          </w:tcPr>
          <w:p w:rsidR="00AF5620" w:rsidRPr="003A74F5" w:rsidRDefault="00AF5620" w:rsidP="001D2DF7">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13</w:t>
            </w:r>
          </w:p>
        </w:tc>
        <w:tc>
          <w:tcPr>
            <w:tcW w:w="7178" w:type="dxa"/>
          </w:tcPr>
          <w:p w:rsidR="00AF5620" w:rsidRDefault="00AF5620" w:rsidP="00AF5620">
            <w:pPr>
              <w:jc w:val="both"/>
              <w:rPr>
                <w:rFonts w:eastAsia="Calibri" w:cs="Times New Roman"/>
                <w:sz w:val="20"/>
                <w:szCs w:val="20"/>
              </w:rPr>
            </w:pPr>
            <w:r>
              <w:rPr>
                <w:rFonts w:eastAsia="Calibri" w:cs="Times New Roman"/>
                <w:i/>
                <w:sz w:val="20"/>
                <w:szCs w:val="20"/>
              </w:rPr>
              <w:t xml:space="preserve">Attorney General of Canada on behalf of the Czech Republic and Minister of Justice of Canada </w:t>
            </w:r>
            <w:r w:rsidRPr="003A74F5">
              <w:rPr>
                <w:rFonts w:eastAsia="Calibri" w:cs="Times New Roman"/>
                <w:i/>
                <w:sz w:val="20"/>
                <w:szCs w:val="20"/>
              </w:rPr>
              <w:t xml:space="preserve">v. </w:t>
            </w:r>
            <w:proofErr w:type="spellStart"/>
            <w:r>
              <w:rPr>
                <w:rFonts w:eastAsia="Calibri" w:cs="Times New Roman"/>
                <w:i/>
                <w:sz w:val="20"/>
                <w:szCs w:val="20"/>
              </w:rPr>
              <w:t>Bretislav</w:t>
            </w:r>
            <w:proofErr w:type="spellEnd"/>
            <w:r>
              <w:rPr>
                <w:rFonts w:eastAsia="Calibri" w:cs="Times New Roman"/>
                <w:i/>
                <w:sz w:val="20"/>
                <w:szCs w:val="20"/>
              </w:rPr>
              <w:t xml:space="preserve"> </w:t>
            </w:r>
            <w:proofErr w:type="spellStart"/>
            <w:r>
              <w:rPr>
                <w:rFonts w:eastAsia="Calibri" w:cs="Times New Roman"/>
                <w:i/>
                <w:sz w:val="20"/>
                <w:szCs w:val="20"/>
              </w:rPr>
              <w:t>Zajicek</w:t>
            </w:r>
            <w:proofErr w:type="spellEnd"/>
            <w:r>
              <w:rPr>
                <w:rFonts w:eastAsia="Calibri" w:cs="Times New Roman"/>
                <w:i/>
                <w:sz w:val="20"/>
                <w:szCs w:val="20"/>
              </w:rPr>
              <w:t xml:space="preserve"> </w:t>
            </w:r>
            <w:r w:rsidRPr="003A74F5">
              <w:rPr>
                <w:rFonts w:eastAsia="Calibri" w:cs="Times New Roman"/>
                <w:sz w:val="20"/>
                <w:szCs w:val="20"/>
              </w:rPr>
              <w:t>(</w:t>
            </w:r>
            <w:r>
              <w:rPr>
                <w:rFonts w:eastAsia="Calibri" w:cs="Times New Roman"/>
                <w:sz w:val="20"/>
                <w:szCs w:val="20"/>
              </w:rPr>
              <w:t>Ont</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(By Leave) (3</w:t>
            </w:r>
            <w:r>
              <w:rPr>
                <w:rFonts w:eastAsia="Calibri" w:cs="Times New Roman"/>
                <w:sz w:val="20"/>
                <w:szCs w:val="20"/>
              </w:rPr>
              <w:t>4767</w:t>
            </w:r>
            <w:r w:rsidRPr="003A74F5">
              <w:rPr>
                <w:rFonts w:eastAsia="Calibri" w:cs="Times New Roman"/>
                <w:sz w:val="20"/>
                <w:szCs w:val="20"/>
              </w:rPr>
              <w:t>)</w:t>
            </w:r>
          </w:p>
          <w:p w:rsidR="00AF5620" w:rsidRPr="00AF5620" w:rsidRDefault="00AF5620" w:rsidP="00AF5620">
            <w:pPr>
              <w:jc w:val="both"/>
              <w:rPr>
                <w:rFonts w:eastAsia="Calibri" w:cs="Times New Roman"/>
                <w:sz w:val="20"/>
                <w:szCs w:val="20"/>
              </w:rPr>
            </w:pPr>
            <w:r w:rsidRPr="00AF5620">
              <w:rPr>
                <w:rFonts w:eastAsia="Calibri" w:cs="Times New Roman"/>
                <w:sz w:val="20"/>
                <w:szCs w:val="20"/>
              </w:rPr>
              <w:t xml:space="preserve">(Oral hearing on motion to hear a moot appeal / </w:t>
            </w:r>
            <w:r w:rsidR="005C43A0">
              <w:rPr>
                <w:rFonts w:eastAsia="Calibri" w:cs="Times New Roman"/>
                <w:sz w:val="20"/>
                <w:szCs w:val="20"/>
              </w:rPr>
              <w:t xml:space="preserve">Audition de la </w:t>
            </w:r>
            <w:proofErr w:type="spellStart"/>
            <w:r w:rsidR="005C43A0">
              <w:rPr>
                <w:rFonts w:eastAsia="Calibri" w:cs="Times New Roman"/>
                <w:sz w:val="20"/>
                <w:szCs w:val="20"/>
              </w:rPr>
              <w:t>requête</w:t>
            </w:r>
            <w:proofErr w:type="spellEnd"/>
            <w:r w:rsidR="005C43A0">
              <w:rPr>
                <w:rFonts w:eastAsia="Calibri" w:cs="Times New Roman"/>
                <w:sz w:val="20"/>
                <w:szCs w:val="20"/>
              </w:rPr>
              <w:t xml:space="preserve"> </w:t>
            </w:r>
            <w:proofErr w:type="spellStart"/>
            <w:r w:rsidR="005C43A0">
              <w:rPr>
                <w:rFonts w:eastAsia="Calibri" w:cs="Times New Roman"/>
                <w:sz w:val="20"/>
                <w:szCs w:val="20"/>
              </w:rPr>
              <w:t>visant</w:t>
            </w:r>
            <w:proofErr w:type="spellEnd"/>
            <w:r w:rsidR="005C43A0">
              <w:rPr>
                <w:rFonts w:eastAsia="Calibri" w:cs="Times New Roman"/>
                <w:sz w:val="20"/>
                <w:szCs w:val="20"/>
              </w:rPr>
              <w:t xml:space="preserve"> </w:t>
            </w:r>
            <w:proofErr w:type="spellStart"/>
            <w:r w:rsidR="005C43A0">
              <w:rPr>
                <w:rFonts w:eastAsia="Calibri" w:cs="Times New Roman"/>
                <w:sz w:val="20"/>
                <w:szCs w:val="20"/>
              </w:rPr>
              <w:t>l’audition</w:t>
            </w:r>
            <w:proofErr w:type="spellEnd"/>
            <w:r w:rsidR="005C43A0">
              <w:rPr>
                <w:rFonts w:eastAsia="Calibri" w:cs="Times New Roman"/>
                <w:sz w:val="20"/>
                <w:szCs w:val="20"/>
              </w:rPr>
              <w:t xml:space="preserve"> d’un </w:t>
            </w:r>
            <w:proofErr w:type="spellStart"/>
            <w:r w:rsidR="005C43A0">
              <w:rPr>
                <w:rFonts w:eastAsia="Calibri" w:cs="Times New Roman"/>
                <w:sz w:val="20"/>
                <w:szCs w:val="20"/>
              </w:rPr>
              <w:t>appel</w:t>
            </w:r>
            <w:proofErr w:type="spellEnd"/>
            <w:r w:rsidR="005C43A0">
              <w:rPr>
                <w:rFonts w:eastAsia="Calibri" w:cs="Times New Roman"/>
                <w:sz w:val="20"/>
                <w:szCs w:val="20"/>
              </w:rPr>
              <w:t xml:space="preserve"> </w:t>
            </w:r>
            <w:proofErr w:type="spellStart"/>
            <w:r w:rsidR="005C43A0">
              <w:rPr>
                <w:rFonts w:eastAsia="Calibri" w:cs="Times New Roman"/>
                <w:sz w:val="20"/>
                <w:szCs w:val="20"/>
              </w:rPr>
              <w:t>devenu</w:t>
            </w:r>
            <w:proofErr w:type="spellEnd"/>
            <w:r w:rsidR="005C43A0">
              <w:rPr>
                <w:rFonts w:eastAsia="Calibri" w:cs="Times New Roman"/>
                <w:sz w:val="20"/>
                <w:szCs w:val="20"/>
              </w:rPr>
              <w:t xml:space="preserve"> </w:t>
            </w:r>
            <w:proofErr w:type="spellStart"/>
            <w:r w:rsidR="005C43A0">
              <w:rPr>
                <w:rFonts w:eastAsia="Calibri" w:cs="Times New Roman"/>
                <w:sz w:val="20"/>
                <w:szCs w:val="20"/>
              </w:rPr>
              <w:t>théorique</w:t>
            </w:r>
            <w:proofErr w:type="spellEnd"/>
            <w:r w:rsidRPr="00AF5620">
              <w:rPr>
                <w:rFonts w:eastAsia="Calibri" w:cs="Times New Roman"/>
                <w:sz w:val="20"/>
                <w:szCs w:val="20"/>
              </w:rPr>
              <w:t>)</w:t>
            </w:r>
          </w:p>
          <w:p w:rsidR="00AF5620" w:rsidRPr="001D2DF7" w:rsidRDefault="00AF5620" w:rsidP="00AF5620">
            <w:pPr>
              <w:jc w:val="both"/>
              <w:rPr>
                <w:rFonts w:eastAsia="Calibri" w:cs="Times New Roman"/>
                <w:sz w:val="20"/>
                <w:szCs w:val="20"/>
              </w:rPr>
            </w:pPr>
            <w:r w:rsidRPr="001D2DF7">
              <w:rPr>
                <w:rFonts w:eastAsia="Calibri" w:cs="Times New Roman"/>
                <w:sz w:val="20"/>
                <w:szCs w:val="20"/>
              </w:rPr>
              <w:t xml:space="preserve">(Start time: </w:t>
            </w:r>
            <w:r>
              <w:rPr>
                <w:rFonts w:eastAsia="Calibri" w:cs="Times New Roman"/>
                <w:sz w:val="20"/>
                <w:szCs w:val="20"/>
              </w:rPr>
              <w:t xml:space="preserve">Following oral hearing at </w:t>
            </w:r>
            <w:r w:rsidRPr="001D2DF7">
              <w:rPr>
                <w:rFonts w:eastAsia="Calibri" w:cs="Times New Roman"/>
                <w:sz w:val="20"/>
                <w:szCs w:val="20"/>
              </w:rPr>
              <w:t xml:space="preserve">9:00 a.m. / </w:t>
            </w:r>
            <w:r w:rsidR="005C43A0">
              <w:rPr>
                <w:rFonts w:eastAsia="Calibri" w:cs="Times New Roman"/>
                <w:sz w:val="20"/>
                <w:szCs w:val="20"/>
              </w:rPr>
              <w:t xml:space="preserve">à la suite de </w:t>
            </w:r>
            <w:proofErr w:type="spellStart"/>
            <w:r w:rsidR="005C43A0">
              <w:rPr>
                <w:rFonts w:eastAsia="Calibri" w:cs="Times New Roman"/>
                <w:sz w:val="20"/>
                <w:szCs w:val="20"/>
              </w:rPr>
              <w:t>l’a</w:t>
            </w:r>
            <w:r w:rsidRPr="001D2DF7">
              <w:rPr>
                <w:rFonts w:eastAsia="Calibri" w:cs="Times New Roman"/>
                <w:sz w:val="20"/>
                <w:szCs w:val="20"/>
              </w:rPr>
              <w:t>udience</w:t>
            </w:r>
            <w:proofErr w:type="spellEnd"/>
            <w:r w:rsidRPr="001D2DF7">
              <w:rPr>
                <w:rFonts w:eastAsia="Calibri" w:cs="Times New Roman"/>
                <w:sz w:val="20"/>
                <w:szCs w:val="20"/>
              </w:rPr>
              <w:t xml:space="preserve"> </w:t>
            </w:r>
            <w:r w:rsidR="005C43A0">
              <w:rPr>
                <w:rFonts w:eastAsia="Calibri" w:cs="Times New Roman"/>
                <w:sz w:val="20"/>
                <w:szCs w:val="20"/>
              </w:rPr>
              <w:t>debutant à 9 h</w:t>
            </w:r>
            <w:r w:rsidRPr="001D2DF7">
              <w:rPr>
                <w:rFonts w:eastAsia="Calibri" w:cs="Times New Roman"/>
                <w:sz w:val="20"/>
                <w:szCs w:val="20"/>
              </w:rPr>
              <w:t>)</w:t>
            </w:r>
          </w:p>
          <w:p w:rsidR="00AF5620" w:rsidRDefault="00AF5620" w:rsidP="00150281">
            <w:pPr>
              <w:jc w:val="both"/>
              <w:rPr>
                <w:rFonts w:eastAsia="Calibri" w:cs="Times New Roman"/>
                <w:i/>
                <w:sz w:val="20"/>
                <w:szCs w:val="20"/>
              </w:rPr>
            </w:pPr>
          </w:p>
        </w:tc>
      </w:tr>
      <w:tr w:rsidR="00AF5620" w:rsidRPr="001D2DF7" w:rsidTr="00150281">
        <w:trPr>
          <w:cantSplit/>
          <w:trHeight w:val="288"/>
        </w:trPr>
        <w:tc>
          <w:tcPr>
            <w:tcW w:w="2398" w:type="dxa"/>
          </w:tcPr>
          <w:p w:rsidR="00AF5620" w:rsidRPr="003A74F5" w:rsidRDefault="00AF5620" w:rsidP="001D2DF7">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13</w:t>
            </w:r>
          </w:p>
        </w:tc>
        <w:tc>
          <w:tcPr>
            <w:tcW w:w="7178" w:type="dxa"/>
          </w:tcPr>
          <w:p w:rsidR="00AF5620" w:rsidRDefault="00AF5620" w:rsidP="00AF5620">
            <w:pPr>
              <w:jc w:val="both"/>
              <w:rPr>
                <w:rFonts w:eastAsia="Calibri" w:cs="Times New Roman"/>
                <w:sz w:val="20"/>
                <w:szCs w:val="20"/>
              </w:rPr>
            </w:pPr>
            <w:r>
              <w:rPr>
                <w:rFonts w:eastAsia="Calibri" w:cs="Times New Roman"/>
                <w:i/>
                <w:sz w:val="20"/>
                <w:szCs w:val="20"/>
              </w:rPr>
              <w:t xml:space="preserve">Mohammad Hassan </w:t>
            </w:r>
            <w:proofErr w:type="spellStart"/>
            <w:r>
              <w:rPr>
                <w:rFonts w:eastAsia="Calibri" w:cs="Times New Roman"/>
                <w:i/>
                <w:sz w:val="20"/>
                <w:szCs w:val="20"/>
              </w:rPr>
              <w:t>Mian</w:t>
            </w:r>
            <w:proofErr w:type="spellEnd"/>
            <w:r>
              <w:rPr>
                <w:rFonts w:eastAsia="Calibri" w:cs="Times New Roman"/>
                <w:i/>
                <w:sz w:val="20"/>
                <w:szCs w:val="20"/>
              </w:rPr>
              <w:t xml:space="preserve"> </w:t>
            </w:r>
            <w:r w:rsidRPr="003A74F5">
              <w:rPr>
                <w:rFonts w:eastAsia="Calibri" w:cs="Times New Roman"/>
                <w:i/>
                <w:sz w:val="20"/>
                <w:szCs w:val="20"/>
              </w:rPr>
              <w:t xml:space="preserve">v. </w:t>
            </w:r>
            <w:r>
              <w:rPr>
                <w:rFonts w:eastAsia="Calibri" w:cs="Times New Roman"/>
                <w:i/>
                <w:sz w:val="20"/>
                <w:szCs w:val="20"/>
              </w:rPr>
              <w:t xml:space="preserve">Her Majesty the Queen </w:t>
            </w:r>
            <w:r w:rsidRPr="003A74F5">
              <w:rPr>
                <w:rFonts w:eastAsia="Calibri" w:cs="Times New Roman"/>
                <w:sz w:val="20"/>
                <w:szCs w:val="20"/>
              </w:rPr>
              <w:t>(</w:t>
            </w:r>
            <w:r>
              <w:rPr>
                <w:rFonts w:eastAsia="Calibri" w:cs="Times New Roman"/>
                <w:sz w:val="20"/>
                <w:szCs w:val="20"/>
              </w:rPr>
              <w:t>Alta</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(By Leave) (3</w:t>
            </w:r>
            <w:r>
              <w:rPr>
                <w:rFonts w:eastAsia="Calibri" w:cs="Times New Roman"/>
                <w:sz w:val="20"/>
                <w:szCs w:val="20"/>
              </w:rPr>
              <w:t>5132</w:t>
            </w:r>
            <w:r w:rsidRPr="003A74F5">
              <w:rPr>
                <w:rFonts w:eastAsia="Calibri" w:cs="Times New Roman"/>
                <w:sz w:val="20"/>
                <w:szCs w:val="20"/>
              </w:rPr>
              <w:t>)</w:t>
            </w:r>
          </w:p>
          <w:p w:rsidR="00AF5620" w:rsidRPr="00377472" w:rsidRDefault="00AF5620" w:rsidP="00AF5620">
            <w:pPr>
              <w:jc w:val="both"/>
              <w:rPr>
                <w:rFonts w:eastAsia="Calibri" w:cs="Times New Roman"/>
                <w:sz w:val="20"/>
                <w:szCs w:val="20"/>
              </w:rPr>
            </w:pPr>
            <w:r w:rsidRPr="00377472">
              <w:rPr>
                <w:rFonts w:eastAsia="Calibri" w:cs="Times New Roman"/>
                <w:sz w:val="20"/>
                <w:szCs w:val="20"/>
              </w:rPr>
              <w:t xml:space="preserve">(Oral hearing on leave application / Audition de la </w:t>
            </w:r>
            <w:proofErr w:type="spellStart"/>
            <w:r w:rsidRPr="00377472">
              <w:rPr>
                <w:rFonts w:eastAsia="Calibri" w:cs="Times New Roman"/>
                <w:sz w:val="20"/>
                <w:szCs w:val="20"/>
              </w:rPr>
              <w:t>demande</w:t>
            </w:r>
            <w:proofErr w:type="spellEnd"/>
            <w:r w:rsidRPr="00377472">
              <w:rPr>
                <w:rFonts w:eastAsia="Calibri" w:cs="Times New Roman"/>
                <w:sz w:val="20"/>
                <w:szCs w:val="20"/>
              </w:rPr>
              <w:t xml:space="preserve"> </w:t>
            </w:r>
            <w:proofErr w:type="spellStart"/>
            <w:r w:rsidRPr="00377472">
              <w:rPr>
                <w:rFonts w:eastAsia="Calibri" w:cs="Times New Roman"/>
                <w:sz w:val="20"/>
                <w:szCs w:val="20"/>
              </w:rPr>
              <w:t>d’autorisation</w:t>
            </w:r>
            <w:proofErr w:type="spellEnd"/>
            <w:r w:rsidRPr="00377472">
              <w:rPr>
                <w:rFonts w:eastAsia="Calibri" w:cs="Times New Roman"/>
                <w:sz w:val="20"/>
                <w:szCs w:val="20"/>
              </w:rPr>
              <w:t xml:space="preserve"> </w:t>
            </w:r>
            <w:proofErr w:type="spellStart"/>
            <w:r w:rsidRPr="00377472">
              <w:rPr>
                <w:rFonts w:eastAsia="Calibri" w:cs="Times New Roman"/>
                <w:sz w:val="20"/>
                <w:szCs w:val="20"/>
              </w:rPr>
              <w:t>d’appel</w:t>
            </w:r>
            <w:proofErr w:type="spellEnd"/>
            <w:r w:rsidRPr="00377472">
              <w:rPr>
                <w:rFonts w:eastAsia="Calibri" w:cs="Times New Roman"/>
                <w:sz w:val="20"/>
                <w:szCs w:val="20"/>
              </w:rPr>
              <w:t>)</w:t>
            </w:r>
          </w:p>
          <w:p w:rsidR="00AF5620" w:rsidRPr="001D2DF7" w:rsidRDefault="00AF5620" w:rsidP="00AF5620">
            <w:pPr>
              <w:jc w:val="both"/>
              <w:rPr>
                <w:rFonts w:eastAsia="Calibri" w:cs="Times New Roman"/>
                <w:sz w:val="20"/>
                <w:szCs w:val="20"/>
              </w:rPr>
            </w:pPr>
            <w:r w:rsidRPr="001D2DF7">
              <w:rPr>
                <w:rFonts w:eastAsia="Calibri" w:cs="Times New Roman"/>
                <w:sz w:val="20"/>
                <w:szCs w:val="20"/>
              </w:rPr>
              <w:t xml:space="preserve">(Start time: </w:t>
            </w:r>
            <w:r>
              <w:rPr>
                <w:rFonts w:eastAsia="Calibri" w:cs="Times New Roman"/>
                <w:sz w:val="20"/>
                <w:szCs w:val="20"/>
              </w:rPr>
              <w:t>11:3</w:t>
            </w:r>
            <w:r w:rsidRPr="001D2DF7">
              <w:rPr>
                <w:rFonts w:eastAsia="Calibri" w:cs="Times New Roman"/>
                <w:sz w:val="20"/>
                <w:szCs w:val="20"/>
              </w:rPr>
              <w:t xml:space="preserve">0 a.m. / Audience </w:t>
            </w:r>
            <w:proofErr w:type="spellStart"/>
            <w:r w:rsidRPr="001D2DF7">
              <w:rPr>
                <w:rFonts w:eastAsia="Calibri" w:cs="Times New Roman"/>
                <w:sz w:val="20"/>
                <w:szCs w:val="20"/>
              </w:rPr>
              <w:t>débutant</w:t>
            </w:r>
            <w:proofErr w:type="spellEnd"/>
            <w:r w:rsidRPr="001D2DF7">
              <w:rPr>
                <w:rFonts w:eastAsia="Calibri" w:cs="Times New Roman"/>
                <w:sz w:val="20"/>
                <w:szCs w:val="20"/>
              </w:rPr>
              <w:t xml:space="preserve"> à </w:t>
            </w:r>
            <w:r>
              <w:rPr>
                <w:rFonts w:eastAsia="Calibri" w:cs="Times New Roman"/>
                <w:sz w:val="20"/>
                <w:szCs w:val="20"/>
              </w:rPr>
              <w:t>11</w:t>
            </w:r>
            <w:r w:rsidRPr="001D2DF7">
              <w:rPr>
                <w:rFonts w:eastAsia="Calibri" w:cs="Times New Roman"/>
                <w:sz w:val="20"/>
                <w:szCs w:val="20"/>
              </w:rPr>
              <w:t xml:space="preserve"> h</w:t>
            </w:r>
            <w:r>
              <w:rPr>
                <w:rFonts w:eastAsia="Calibri" w:cs="Times New Roman"/>
                <w:sz w:val="20"/>
                <w:szCs w:val="20"/>
              </w:rPr>
              <w:t xml:space="preserve"> 30</w:t>
            </w:r>
            <w:r w:rsidRPr="001D2DF7">
              <w:rPr>
                <w:rFonts w:eastAsia="Calibri" w:cs="Times New Roman"/>
                <w:sz w:val="20"/>
                <w:szCs w:val="20"/>
              </w:rPr>
              <w:t>)</w:t>
            </w:r>
          </w:p>
          <w:p w:rsidR="00AF5620" w:rsidRDefault="00AF5620" w:rsidP="00AF5620">
            <w:pPr>
              <w:jc w:val="both"/>
              <w:rPr>
                <w:rFonts w:eastAsia="Calibri" w:cs="Times New Roman"/>
                <w:i/>
                <w:sz w:val="20"/>
                <w:szCs w:val="20"/>
              </w:rPr>
            </w:pPr>
          </w:p>
        </w:tc>
      </w:tr>
      <w:tr w:rsidR="004E1E0A" w:rsidRPr="00A97B62" w:rsidTr="00150281">
        <w:trPr>
          <w:cantSplit/>
          <w:trHeight w:val="288"/>
        </w:trPr>
        <w:tc>
          <w:tcPr>
            <w:tcW w:w="2398" w:type="dxa"/>
          </w:tcPr>
          <w:p w:rsidR="004E1E0A" w:rsidRPr="003A74F5" w:rsidRDefault="004E1E0A" w:rsidP="00A97B62">
            <w:pPr>
              <w:rPr>
                <w:rFonts w:eastAsia="Calibri" w:cs="Times New Roman"/>
                <w:sz w:val="20"/>
                <w:szCs w:val="20"/>
              </w:rPr>
            </w:pPr>
            <w:r w:rsidRPr="003A74F5">
              <w:rPr>
                <w:rFonts w:eastAsia="Calibri" w:cs="Times New Roman"/>
                <w:sz w:val="20"/>
                <w:szCs w:val="20"/>
              </w:rPr>
              <w:t>201</w:t>
            </w:r>
            <w:r w:rsidR="00A97B62">
              <w:rPr>
                <w:rFonts w:eastAsia="Calibri" w:cs="Times New Roman"/>
                <w:sz w:val="20"/>
                <w:szCs w:val="20"/>
              </w:rPr>
              <w:t>3</w:t>
            </w:r>
            <w:r w:rsidRPr="003A74F5">
              <w:rPr>
                <w:rFonts w:eastAsia="Calibri" w:cs="Times New Roman"/>
                <w:sz w:val="20"/>
                <w:szCs w:val="20"/>
              </w:rPr>
              <w:t>-</w:t>
            </w:r>
            <w:r w:rsidR="00A97B62">
              <w:rPr>
                <w:rFonts w:eastAsia="Calibri" w:cs="Times New Roman"/>
                <w:sz w:val="20"/>
                <w:szCs w:val="20"/>
              </w:rPr>
              <w:t>05</w:t>
            </w:r>
            <w:r w:rsidRPr="003A74F5">
              <w:rPr>
                <w:rFonts w:eastAsia="Calibri" w:cs="Times New Roman"/>
                <w:sz w:val="20"/>
                <w:szCs w:val="20"/>
              </w:rPr>
              <w:t>-</w:t>
            </w:r>
            <w:r w:rsidR="00A97B62">
              <w:rPr>
                <w:rFonts w:eastAsia="Calibri" w:cs="Times New Roman"/>
                <w:sz w:val="20"/>
                <w:szCs w:val="20"/>
              </w:rPr>
              <w:t>14</w:t>
            </w:r>
          </w:p>
        </w:tc>
        <w:tc>
          <w:tcPr>
            <w:tcW w:w="7178" w:type="dxa"/>
          </w:tcPr>
          <w:p w:rsidR="004E1E0A" w:rsidRPr="00A97B62" w:rsidRDefault="00A97B62" w:rsidP="00150281">
            <w:pPr>
              <w:jc w:val="both"/>
              <w:rPr>
                <w:rFonts w:eastAsia="Calibri" w:cs="Times New Roman"/>
                <w:sz w:val="20"/>
                <w:szCs w:val="20"/>
                <w:lang w:val="fr-CA"/>
              </w:rPr>
            </w:pPr>
            <w:r w:rsidRPr="00377472">
              <w:rPr>
                <w:rFonts w:eastAsia="Calibri" w:cs="Times New Roman"/>
                <w:i/>
                <w:sz w:val="20"/>
                <w:szCs w:val="20"/>
              </w:rPr>
              <w:t>Katz Group Canada Inc. et al.</w:t>
            </w:r>
            <w:r w:rsidR="004E1E0A" w:rsidRPr="00377472">
              <w:rPr>
                <w:rFonts w:eastAsia="Calibri" w:cs="Times New Roman"/>
                <w:i/>
                <w:sz w:val="20"/>
                <w:szCs w:val="20"/>
              </w:rPr>
              <w:t xml:space="preserve"> v. </w:t>
            </w:r>
            <w:r w:rsidRPr="00377472">
              <w:rPr>
                <w:rFonts w:eastAsia="Calibri" w:cs="Times New Roman"/>
                <w:i/>
                <w:sz w:val="20"/>
                <w:szCs w:val="20"/>
              </w:rPr>
              <w:t>M</w:t>
            </w:r>
            <w:r w:rsidR="004E1E0A" w:rsidRPr="00377472">
              <w:rPr>
                <w:rFonts w:eastAsia="Calibri" w:cs="Times New Roman"/>
                <w:i/>
                <w:sz w:val="20"/>
                <w:szCs w:val="20"/>
              </w:rPr>
              <w:t>i</w:t>
            </w:r>
            <w:r w:rsidRPr="00377472">
              <w:rPr>
                <w:rFonts w:eastAsia="Calibri" w:cs="Times New Roman"/>
                <w:i/>
                <w:sz w:val="20"/>
                <w:szCs w:val="20"/>
              </w:rPr>
              <w:t>ni</w:t>
            </w:r>
            <w:r w:rsidR="004E1E0A" w:rsidRPr="00377472">
              <w:rPr>
                <w:rFonts w:eastAsia="Calibri" w:cs="Times New Roman"/>
                <w:i/>
                <w:sz w:val="20"/>
                <w:szCs w:val="20"/>
              </w:rPr>
              <w:t xml:space="preserve">ster </w:t>
            </w:r>
            <w:r w:rsidRPr="00377472">
              <w:rPr>
                <w:rFonts w:eastAsia="Calibri" w:cs="Times New Roman"/>
                <w:i/>
                <w:sz w:val="20"/>
                <w:szCs w:val="20"/>
              </w:rPr>
              <w:t>of He</w:t>
            </w:r>
            <w:r w:rsidR="004E1E0A" w:rsidRPr="00377472">
              <w:rPr>
                <w:rFonts w:eastAsia="Calibri" w:cs="Times New Roman"/>
                <w:i/>
                <w:sz w:val="20"/>
                <w:szCs w:val="20"/>
              </w:rPr>
              <w:t>a</w:t>
            </w:r>
            <w:r w:rsidRPr="00377472">
              <w:rPr>
                <w:rFonts w:eastAsia="Calibri" w:cs="Times New Roman"/>
                <w:i/>
                <w:sz w:val="20"/>
                <w:szCs w:val="20"/>
              </w:rPr>
              <w:t>th and Long-T</w:t>
            </w:r>
            <w:r w:rsidR="004E1E0A" w:rsidRPr="00377472">
              <w:rPr>
                <w:rFonts w:eastAsia="Calibri" w:cs="Times New Roman"/>
                <w:i/>
                <w:sz w:val="20"/>
                <w:szCs w:val="20"/>
              </w:rPr>
              <w:t>e</w:t>
            </w:r>
            <w:r w:rsidRPr="00377472">
              <w:rPr>
                <w:rFonts w:eastAsia="Calibri" w:cs="Times New Roman"/>
                <w:i/>
                <w:sz w:val="20"/>
                <w:szCs w:val="20"/>
              </w:rPr>
              <w:t>rm Care et al.</w:t>
            </w:r>
            <w:r w:rsidR="004E1E0A" w:rsidRPr="00377472">
              <w:rPr>
                <w:rFonts w:eastAsia="Calibri" w:cs="Times New Roman"/>
                <w:sz w:val="20"/>
                <w:szCs w:val="20"/>
              </w:rPr>
              <w:t xml:space="preserve"> </w:t>
            </w:r>
            <w:r w:rsidR="004E1E0A" w:rsidRPr="00A97B62">
              <w:rPr>
                <w:rFonts w:eastAsia="Calibri" w:cs="Times New Roman"/>
                <w:sz w:val="20"/>
                <w:szCs w:val="20"/>
                <w:lang w:val="fr-CA"/>
              </w:rPr>
              <w:t>(Ont.) (Ci</w:t>
            </w:r>
            <w:r>
              <w:rPr>
                <w:rFonts w:eastAsia="Calibri" w:cs="Times New Roman"/>
                <w:sz w:val="20"/>
                <w:szCs w:val="20"/>
                <w:lang w:val="fr-CA"/>
              </w:rPr>
              <w:t>v</w:t>
            </w:r>
            <w:r w:rsidR="004E1E0A" w:rsidRPr="00A97B62">
              <w:rPr>
                <w:rFonts w:eastAsia="Calibri" w:cs="Times New Roman"/>
                <w:sz w:val="20"/>
                <w:szCs w:val="20"/>
                <w:lang w:val="fr-CA"/>
              </w:rPr>
              <w:t>il) (</w:t>
            </w:r>
            <w:r>
              <w:rPr>
                <w:rFonts w:eastAsia="Calibri" w:cs="Times New Roman"/>
                <w:sz w:val="20"/>
                <w:szCs w:val="20"/>
                <w:lang w:val="fr-CA"/>
              </w:rPr>
              <w:t xml:space="preserve">By </w:t>
            </w:r>
            <w:proofErr w:type="spellStart"/>
            <w:r>
              <w:rPr>
                <w:rFonts w:eastAsia="Calibri" w:cs="Times New Roman"/>
                <w:sz w:val="20"/>
                <w:szCs w:val="20"/>
                <w:lang w:val="fr-CA"/>
              </w:rPr>
              <w:t>Leave</w:t>
            </w:r>
            <w:proofErr w:type="spellEnd"/>
            <w:r w:rsidR="004E1E0A" w:rsidRPr="00A97B62">
              <w:rPr>
                <w:rFonts w:eastAsia="Calibri" w:cs="Times New Roman"/>
                <w:sz w:val="20"/>
                <w:szCs w:val="20"/>
                <w:lang w:val="fr-CA"/>
              </w:rPr>
              <w:t>) (34</w:t>
            </w:r>
            <w:r>
              <w:rPr>
                <w:rFonts w:eastAsia="Calibri" w:cs="Times New Roman"/>
                <w:sz w:val="20"/>
                <w:szCs w:val="20"/>
                <w:lang w:val="fr-CA"/>
              </w:rPr>
              <w:t>647</w:t>
            </w:r>
            <w:r w:rsidR="004E1E0A" w:rsidRPr="00A97B62">
              <w:rPr>
                <w:rFonts w:eastAsia="Calibri" w:cs="Times New Roman"/>
                <w:sz w:val="20"/>
                <w:szCs w:val="20"/>
                <w:lang w:val="fr-CA"/>
              </w:rPr>
              <w:t>)</w:t>
            </w:r>
          </w:p>
          <w:p w:rsidR="004E1E0A" w:rsidRPr="00A97B62" w:rsidRDefault="004E1E0A" w:rsidP="00A97B62">
            <w:pPr>
              <w:jc w:val="both"/>
              <w:rPr>
                <w:rFonts w:eastAsia="Calibri" w:cs="Times New Roman"/>
                <w:sz w:val="20"/>
                <w:szCs w:val="20"/>
                <w:lang w:val="fr-CA"/>
              </w:rPr>
            </w:pPr>
          </w:p>
        </w:tc>
      </w:tr>
      <w:tr w:rsidR="004E1E0A" w:rsidRPr="00377472" w:rsidTr="00150281">
        <w:trPr>
          <w:cantSplit/>
          <w:trHeight w:val="288"/>
        </w:trPr>
        <w:tc>
          <w:tcPr>
            <w:tcW w:w="2398" w:type="dxa"/>
          </w:tcPr>
          <w:p w:rsidR="004E1E0A" w:rsidRPr="00A97B62" w:rsidRDefault="008E3015" w:rsidP="00150281">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14</w:t>
            </w:r>
          </w:p>
        </w:tc>
        <w:tc>
          <w:tcPr>
            <w:tcW w:w="7178" w:type="dxa"/>
          </w:tcPr>
          <w:p w:rsidR="008E3015" w:rsidRPr="00A97B62" w:rsidRDefault="008E3015" w:rsidP="008E3015">
            <w:pPr>
              <w:jc w:val="both"/>
              <w:rPr>
                <w:rFonts w:eastAsia="Calibri" w:cs="Times New Roman"/>
                <w:sz w:val="20"/>
                <w:szCs w:val="20"/>
                <w:lang w:val="fr-CA"/>
              </w:rPr>
            </w:pPr>
            <w:r w:rsidRPr="008E3015">
              <w:rPr>
                <w:rFonts w:eastAsia="Calibri" w:cs="Times New Roman"/>
                <w:i/>
                <w:sz w:val="20"/>
                <w:szCs w:val="20"/>
              </w:rPr>
              <w:t>Shoppers Drug Mart Inc. et al. v. Minister of Heath and Long-Term Care et al.</w:t>
            </w:r>
            <w:r w:rsidRPr="008E3015">
              <w:rPr>
                <w:rFonts w:eastAsia="Calibri" w:cs="Times New Roman"/>
                <w:sz w:val="20"/>
                <w:szCs w:val="20"/>
              </w:rPr>
              <w:t xml:space="preserve"> </w:t>
            </w:r>
            <w:r w:rsidRPr="00A97B62">
              <w:rPr>
                <w:rFonts w:eastAsia="Calibri" w:cs="Times New Roman"/>
                <w:sz w:val="20"/>
                <w:szCs w:val="20"/>
                <w:lang w:val="fr-CA"/>
              </w:rPr>
              <w:t>(Ont.) (Ci</w:t>
            </w:r>
            <w:r>
              <w:rPr>
                <w:rFonts w:eastAsia="Calibri" w:cs="Times New Roman"/>
                <w:sz w:val="20"/>
                <w:szCs w:val="20"/>
                <w:lang w:val="fr-CA"/>
              </w:rPr>
              <w:t>v</w:t>
            </w:r>
            <w:r w:rsidRPr="00A97B62">
              <w:rPr>
                <w:rFonts w:eastAsia="Calibri" w:cs="Times New Roman"/>
                <w:sz w:val="20"/>
                <w:szCs w:val="20"/>
                <w:lang w:val="fr-CA"/>
              </w:rPr>
              <w:t>il) (</w:t>
            </w:r>
            <w:r>
              <w:rPr>
                <w:rFonts w:eastAsia="Calibri" w:cs="Times New Roman"/>
                <w:sz w:val="20"/>
                <w:szCs w:val="20"/>
                <w:lang w:val="fr-CA"/>
              </w:rPr>
              <w:t xml:space="preserve">By </w:t>
            </w:r>
            <w:proofErr w:type="spellStart"/>
            <w:r>
              <w:rPr>
                <w:rFonts w:eastAsia="Calibri" w:cs="Times New Roman"/>
                <w:sz w:val="20"/>
                <w:szCs w:val="20"/>
                <w:lang w:val="fr-CA"/>
              </w:rPr>
              <w:t>Leave</w:t>
            </w:r>
            <w:proofErr w:type="spellEnd"/>
            <w:r w:rsidRPr="00A97B62">
              <w:rPr>
                <w:rFonts w:eastAsia="Calibri" w:cs="Times New Roman"/>
                <w:sz w:val="20"/>
                <w:szCs w:val="20"/>
                <w:lang w:val="fr-CA"/>
              </w:rPr>
              <w:t>) (34</w:t>
            </w:r>
            <w:r>
              <w:rPr>
                <w:rFonts w:eastAsia="Calibri" w:cs="Times New Roman"/>
                <w:sz w:val="20"/>
                <w:szCs w:val="20"/>
                <w:lang w:val="fr-CA"/>
              </w:rPr>
              <w:t>649</w:t>
            </w:r>
            <w:r w:rsidRPr="00A97B62">
              <w:rPr>
                <w:rFonts w:eastAsia="Calibri" w:cs="Times New Roman"/>
                <w:sz w:val="20"/>
                <w:szCs w:val="20"/>
                <w:lang w:val="fr-CA"/>
              </w:rPr>
              <w:t>)</w:t>
            </w:r>
          </w:p>
          <w:p w:rsidR="004E1E0A" w:rsidRPr="00216AEB" w:rsidRDefault="004E1E0A" w:rsidP="00150281">
            <w:pPr>
              <w:jc w:val="both"/>
              <w:rPr>
                <w:rFonts w:eastAsia="Calibri" w:cs="Times New Roman"/>
                <w:sz w:val="20"/>
                <w:szCs w:val="20"/>
                <w:lang w:val="fr-CA"/>
              </w:rPr>
            </w:pPr>
          </w:p>
        </w:tc>
      </w:tr>
      <w:tr w:rsidR="004E1E0A" w:rsidRPr="005C0D71" w:rsidTr="00150281">
        <w:trPr>
          <w:cantSplit/>
          <w:trHeight w:val="288"/>
        </w:trPr>
        <w:tc>
          <w:tcPr>
            <w:tcW w:w="2398" w:type="dxa"/>
          </w:tcPr>
          <w:p w:rsidR="004E1E0A" w:rsidRPr="00216AEB" w:rsidRDefault="008E3015" w:rsidP="008E3015">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15</w:t>
            </w:r>
          </w:p>
        </w:tc>
        <w:tc>
          <w:tcPr>
            <w:tcW w:w="7178" w:type="dxa"/>
          </w:tcPr>
          <w:p w:rsidR="004E1E0A" w:rsidRDefault="008E3015" w:rsidP="00150281">
            <w:pPr>
              <w:jc w:val="both"/>
              <w:rPr>
                <w:rFonts w:eastAsia="Calibri" w:cs="Times New Roman"/>
                <w:sz w:val="20"/>
                <w:szCs w:val="20"/>
                <w:lang w:val="fr-CA"/>
              </w:rPr>
            </w:pPr>
            <w:proofErr w:type="spellStart"/>
            <w:r>
              <w:rPr>
                <w:rFonts w:eastAsia="Calibri" w:cs="Times New Roman"/>
                <w:i/>
                <w:sz w:val="20"/>
                <w:szCs w:val="20"/>
                <w:lang w:val="fr-CA"/>
              </w:rPr>
              <w:t>Mihai</w:t>
            </w:r>
            <w:proofErr w:type="spellEnd"/>
            <w:r>
              <w:rPr>
                <w:rFonts w:eastAsia="Calibri" w:cs="Times New Roman"/>
                <w:i/>
                <w:sz w:val="20"/>
                <w:szCs w:val="20"/>
                <w:lang w:val="fr-CA"/>
              </w:rPr>
              <w:t xml:space="preserve"> </w:t>
            </w:r>
            <w:proofErr w:type="spellStart"/>
            <w:r>
              <w:rPr>
                <w:rFonts w:eastAsia="Calibri" w:cs="Times New Roman"/>
                <w:i/>
                <w:sz w:val="20"/>
                <w:szCs w:val="20"/>
                <w:lang w:val="fr-CA"/>
              </w:rPr>
              <w:t>Ibanescu</w:t>
            </w:r>
            <w:proofErr w:type="spellEnd"/>
            <w:r>
              <w:rPr>
                <w:rFonts w:eastAsia="Calibri" w:cs="Times New Roman"/>
                <w:i/>
                <w:sz w:val="20"/>
                <w:szCs w:val="20"/>
                <w:lang w:val="fr-CA"/>
              </w:rPr>
              <w:t xml:space="preserve"> </w:t>
            </w:r>
            <w:r w:rsidR="004E1E0A">
              <w:rPr>
                <w:rFonts w:eastAsia="Calibri" w:cs="Times New Roman"/>
                <w:i/>
                <w:sz w:val="20"/>
                <w:szCs w:val="20"/>
                <w:lang w:val="fr-CA"/>
              </w:rPr>
              <w:t>c</w:t>
            </w:r>
            <w:r w:rsidR="004E1E0A" w:rsidRPr="00216AEB">
              <w:rPr>
                <w:rFonts w:eastAsia="Calibri" w:cs="Times New Roman"/>
                <w:i/>
                <w:sz w:val="20"/>
                <w:szCs w:val="20"/>
                <w:lang w:val="fr-CA"/>
              </w:rPr>
              <w:t xml:space="preserve">. </w:t>
            </w:r>
            <w:r>
              <w:rPr>
                <w:rFonts w:eastAsia="Calibri" w:cs="Times New Roman"/>
                <w:i/>
                <w:sz w:val="20"/>
                <w:szCs w:val="20"/>
                <w:lang w:val="fr-CA"/>
              </w:rPr>
              <w:t>S</w:t>
            </w:r>
            <w:r w:rsidR="004E1E0A">
              <w:rPr>
                <w:rFonts w:eastAsia="Calibri" w:cs="Times New Roman"/>
                <w:i/>
                <w:sz w:val="20"/>
                <w:szCs w:val="20"/>
                <w:lang w:val="fr-CA"/>
              </w:rPr>
              <w:t>a</w:t>
            </w:r>
            <w:r>
              <w:rPr>
                <w:rFonts w:eastAsia="Calibri" w:cs="Times New Roman"/>
                <w:i/>
                <w:sz w:val="20"/>
                <w:szCs w:val="20"/>
                <w:lang w:val="fr-CA"/>
              </w:rPr>
              <w:t xml:space="preserve"> Majesté la Reine</w:t>
            </w:r>
            <w:r w:rsidR="004E1E0A" w:rsidRPr="00216AEB">
              <w:rPr>
                <w:rFonts w:eastAsia="Calibri" w:cs="Times New Roman"/>
                <w:sz w:val="20"/>
                <w:szCs w:val="20"/>
                <w:lang w:val="fr-CA"/>
              </w:rPr>
              <w:t xml:space="preserve"> (</w:t>
            </w:r>
            <w:proofErr w:type="spellStart"/>
            <w:r w:rsidR="004E1E0A">
              <w:rPr>
                <w:rFonts w:eastAsia="Calibri" w:cs="Times New Roman"/>
                <w:sz w:val="20"/>
                <w:szCs w:val="20"/>
                <w:lang w:val="fr-CA"/>
              </w:rPr>
              <w:t>Qc</w:t>
            </w:r>
            <w:proofErr w:type="spellEnd"/>
            <w:r w:rsidR="004E1E0A" w:rsidRPr="00216AEB">
              <w:rPr>
                <w:rFonts w:eastAsia="Calibri" w:cs="Times New Roman"/>
                <w:sz w:val="20"/>
                <w:szCs w:val="20"/>
                <w:lang w:val="fr-CA"/>
              </w:rPr>
              <w:t>) (C</w:t>
            </w:r>
            <w:r>
              <w:rPr>
                <w:rFonts w:eastAsia="Calibri" w:cs="Times New Roman"/>
                <w:sz w:val="20"/>
                <w:szCs w:val="20"/>
                <w:lang w:val="fr-CA"/>
              </w:rPr>
              <w:t>r</w:t>
            </w:r>
            <w:r w:rsidR="004E1E0A" w:rsidRPr="00216AEB">
              <w:rPr>
                <w:rFonts w:eastAsia="Calibri" w:cs="Times New Roman"/>
                <w:sz w:val="20"/>
                <w:szCs w:val="20"/>
                <w:lang w:val="fr-CA"/>
              </w:rPr>
              <w:t>i</w:t>
            </w:r>
            <w:r>
              <w:rPr>
                <w:rFonts w:eastAsia="Calibri" w:cs="Times New Roman"/>
                <w:sz w:val="20"/>
                <w:szCs w:val="20"/>
                <w:lang w:val="fr-CA"/>
              </w:rPr>
              <w:t>m</w:t>
            </w:r>
            <w:r w:rsidR="004E1E0A" w:rsidRPr="00216AEB">
              <w:rPr>
                <w:rFonts w:eastAsia="Calibri" w:cs="Times New Roman"/>
                <w:sz w:val="20"/>
                <w:szCs w:val="20"/>
                <w:lang w:val="fr-CA"/>
              </w:rPr>
              <w:t>i</w:t>
            </w:r>
            <w:r>
              <w:rPr>
                <w:rFonts w:eastAsia="Calibri" w:cs="Times New Roman"/>
                <w:sz w:val="20"/>
                <w:szCs w:val="20"/>
                <w:lang w:val="fr-CA"/>
              </w:rPr>
              <w:t>nel</w:t>
            </w:r>
            <w:r w:rsidR="004E1E0A" w:rsidRPr="00216AEB">
              <w:rPr>
                <w:rFonts w:eastAsia="Calibri" w:cs="Times New Roman"/>
                <w:sz w:val="20"/>
                <w:szCs w:val="20"/>
                <w:lang w:val="fr-CA"/>
              </w:rPr>
              <w:t>l</w:t>
            </w:r>
            <w:r w:rsidR="004E1E0A">
              <w:rPr>
                <w:rFonts w:eastAsia="Calibri" w:cs="Times New Roman"/>
                <w:sz w:val="20"/>
                <w:szCs w:val="20"/>
                <w:lang w:val="fr-CA"/>
              </w:rPr>
              <w:t>e</w:t>
            </w:r>
            <w:r w:rsidR="004E1E0A" w:rsidRPr="00216AEB">
              <w:rPr>
                <w:rFonts w:eastAsia="Calibri" w:cs="Times New Roman"/>
                <w:sz w:val="20"/>
                <w:szCs w:val="20"/>
                <w:lang w:val="fr-CA"/>
              </w:rPr>
              <w:t>) (</w:t>
            </w:r>
            <w:r w:rsidR="004E1E0A">
              <w:rPr>
                <w:rFonts w:eastAsia="Calibri" w:cs="Times New Roman"/>
                <w:sz w:val="20"/>
                <w:szCs w:val="20"/>
                <w:lang w:val="fr-CA"/>
              </w:rPr>
              <w:t>Autoris</w:t>
            </w:r>
            <w:r w:rsidR="004E1E0A" w:rsidRPr="00216AEB">
              <w:rPr>
                <w:rFonts w:eastAsia="Calibri" w:cs="Times New Roman"/>
                <w:sz w:val="20"/>
                <w:szCs w:val="20"/>
                <w:lang w:val="fr-CA"/>
              </w:rPr>
              <w:t>a</w:t>
            </w:r>
            <w:r w:rsidR="004E1E0A">
              <w:rPr>
                <w:rFonts w:eastAsia="Calibri" w:cs="Times New Roman"/>
                <w:sz w:val="20"/>
                <w:szCs w:val="20"/>
                <w:lang w:val="fr-CA"/>
              </w:rPr>
              <w:t>tion</w:t>
            </w:r>
            <w:r w:rsidR="004E1E0A" w:rsidRPr="00216AEB">
              <w:rPr>
                <w:rFonts w:eastAsia="Calibri" w:cs="Times New Roman"/>
                <w:sz w:val="20"/>
                <w:szCs w:val="20"/>
                <w:lang w:val="fr-CA"/>
              </w:rPr>
              <w:t>) (34</w:t>
            </w:r>
            <w:r>
              <w:rPr>
                <w:rFonts w:eastAsia="Calibri" w:cs="Times New Roman"/>
                <w:sz w:val="20"/>
                <w:szCs w:val="20"/>
                <w:lang w:val="fr-CA"/>
              </w:rPr>
              <w:t>65</w:t>
            </w:r>
            <w:r w:rsidR="004E1E0A">
              <w:rPr>
                <w:rFonts w:eastAsia="Calibri" w:cs="Times New Roman"/>
                <w:sz w:val="20"/>
                <w:szCs w:val="20"/>
                <w:lang w:val="fr-CA"/>
              </w:rPr>
              <w:t>3</w:t>
            </w:r>
            <w:r w:rsidR="004E1E0A" w:rsidRPr="00216AEB">
              <w:rPr>
                <w:rFonts w:eastAsia="Calibri" w:cs="Times New Roman"/>
                <w:sz w:val="20"/>
                <w:szCs w:val="20"/>
                <w:lang w:val="fr-CA"/>
              </w:rPr>
              <w:t>)</w:t>
            </w:r>
          </w:p>
          <w:p w:rsidR="004E1E0A" w:rsidRPr="00216AEB" w:rsidRDefault="004E1E0A" w:rsidP="00150281">
            <w:pPr>
              <w:jc w:val="both"/>
              <w:rPr>
                <w:rFonts w:eastAsia="Calibri" w:cs="Times New Roman"/>
                <w:sz w:val="20"/>
                <w:szCs w:val="20"/>
                <w:lang w:val="fr-CA"/>
              </w:rPr>
            </w:pPr>
          </w:p>
        </w:tc>
      </w:tr>
      <w:tr w:rsidR="004E1E0A" w:rsidRPr="00216AEB" w:rsidTr="00150281">
        <w:trPr>
          <w:cantSplit/>
          <w:trHeight w:val="288"/>
        </w:trPr>
        <w:tc>
          <w:tcPr>
            <w:tcW w:w="2398" w:type="dxa"/>
          </w:tcPr>
          <w:p w:rsidR="004E1E0A" w:rsidRPr="00216AEB" w:rsidRDefault="008E3015" w:rsidP="00150281">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16</w:t>
            </w:r>
          </w:p>
        </w:tc>
        <w:tc>
          <w:tcPr>
            <w:tcW w:w="7178" w:type="dxa"/>
          </w:tcPr>
          <w:p w:rsidR="004E1E0A" w:rsidRPr="008E3015" w:rsidRDefault="004E1E0A" w:rsidP="00150281">
            <w:pPr>
              <w:jc w:val="both"/>
              <w:rPr>
                <w:rFonts w:eastAsia="Calibri" w:cs="Times New Roman"/>
                <w:sz w:val="20"/>
                <w:szCs w:val="20"/>
              </w:rPr>
            </w:pPr>
            <w:r w:rsidRPr="0085047E">
              <w:rPr>
                <w:rFonts w:eastAsia="Calibri" w:cs="Times New Roman"/>
                <w:i/>
                <w:sz w:val="20"/>
                <w:szCs w:val="20"/>
              </w:rPr>
              <w:t>T</w:t>
            </w:r>
            <w:r w:rsidR="008E3015">
              <w:rPr>
                <w:rFonts w:eastAsia="Calibri" w:cs="Times New Roman"/>
                <w:i/>
                <w:sz w:val="20"/>
                <w:szCs w:val="20"/>
              </w:rPr>
              <w:t>elecommunicat</w:t>
            </w:r>
            <w:r w:rsidR="009A251D">
              <w:rPr>
                <w:rFonts w:eastAsia="Calibri" w:cs="Times New Roman"/>
                <w:i/>
                <w:sz w:val="20"/>
                <w:szCs w:val="20"/>
              </w:rPr>
              <w:t>i</w:t>
            </w:r>
            <w:r w:rsidR="008E3015">
              <w:rPr>
                <w:rFonts w:eastAsia="Calibri" w:cs="Times New Roman"/>
                <w:i/>
                <w:sz w:val="20"/>
                <w:szCs w:val="20"/>
              </w:rPr>
              <w:t>on Employees Association of Manitoba Inc. – International Federation of Professional and Technical Engineers Local 161 et al.</w:t>
            </w:r>
            <w:r w:rsidRPr="0085047E">
              <w:rPr>
                <w:rFonts w:eastAsia="Calibri" w:cs="Times New Roman"/>
                <w:i/>
                <w:sz w:val="20"/>
                <w:szCs w:val="20"/>
              </w:rPr>
              <w:t xml:space="preserve"> v. Ma</w:t>
            </w:r>
            <w:r w:rsidR="008E3015">
              <w:rPr>
                <w:rFonts w:eastAsia="Calibri" w:cs="Times New Roman"/>
                <w:i/>
                <w:sz w:val="20"/>
                <w:szCs w:val="20"/>
              </w:rPr>
              <w:t>ni</w:t>
            </w:r>
            <w:r w:rsidRPr="0085047E">
              <w:rPr>
                <w:rFonts w:eastAsia="Calibri" w:cs="Times New Roman"/>
                <w:i/>
                <w:sz w:val="20"/>
                <w:szCs w:val="20"/>
              </w:rPr>
              <w:t>t</w:t>
            </w:r>
            <w:r w:rsidR="008E3015">
              <w:rPr>
                <w:rFonts w:eastAsia="Calibri" w:cs="Times New Roman"/>
                <w:i/>
                <w:sz w:val="20"/>
                <w:szCs w:val="20"/>
              </w:rPr>
              <w:t>oba Tel</w:t>
            </w:r>
            <w:r w:rsidRPr="0085047E">
              <w:rPr>
                <w:rFonts w:eastAsia="Calibri" w:cs="Times New Roman"/>
                <w:i/>
                <w:sz w:val="20"/>
                <w:szCs w:val="20"/>
              </w:rPr>
              <w:t>e</w:t>
            </w:r>
            <w:r w:rsidR="008E3015">
              <w:rPr>
                <w:rFonts w:eastAsia="Calibri" w:cs="Times New Roman"/>
                <w:i/>
                <w:sz w:val="20"/>
                <w:szCs w:val="20"/>
              </w:rPr>
              <w:t>com Servic</w:t>
            </w:r>
            <w:r w:rsidRPr="0085047E">
              <w:rPr>
                <w:rFonts w:eastAsia="Calibri" w:cs="Times New Roman"/>
                <w:i/>
                <w:sz w:val="20"/>
                <w:szCs w:val="20"/>
              </w:rPr>
              <w:t>e</w:t>
            </w:r>
            <w:r w:rsidR="008E3015">
              <w:rPr>
                <w:rFonts w:eastAsia="Calibri" w:cs="Times New Roman"/>
                <w:i/>
                <w:sz w:val="20"/>
                <w:szCs w:val="20"/>
              </w:rPr>
              <w:t>s I</w:t>
            </w:r>
            <w:r w:rsidRPr="0085047E">
              <w:rPr>
                <w:rFonts w:eastAsia="Calibri" w:cs="Times New Roman"/>
                <w:i/>
                <w:sz w:val="20"/>
                <w:szCs w:val="20"/>
              </w:rPr>
              <w:t>n</w:t>
            </w:r>
            <w:r w:rsidR="008E3015">
              <w:rPr>
                <w:rFonts w:eastAsia="Calibri" w:cs="Times New Roman"/>
                <w:i/>
                <w:sz w:val="20"/>
                <w:szCs w:val="20"/>
              </w:rPr>
              <w:t>c. et al.</w:t>
            </w:r>
            <w:r w:rsidRPr="0085047E">
              <w:rPr>
                <w:rFonts w:eastAsia="Calibri" w:cs="Times New Roman"/>
                <w:sz w:val="20"/>
                <w:szCs w:val="20"/>
              </w:rPr>
              <w:t xml:space="preserve"> (</w:t>
            </w:r>
            <w:r w:rsidR="008E3015">
              <w:rPr>
                <w:rFonts w:eastAsia="Calibri" w:cs="Times New Roman"/>
                <w:sz w:val="20"/>
                <w:szCs w:val="20"/>
              </w:rPr>
              <w:t>M</w:t>
            </w:r>
            <w:r w:rsidRPr="0085047E">
              <w:rPr>
                <w:rFonts w:eastAsia="Calibri" w:cs="Times New Roman"/>
                <w:sz w:val="20"/>
                <w:szCs w:val="20"/>
              </w:rPr>
              <w:t>a</w:t>
            </w:r>
            <w:r w:rsidR="008E3015">
              <w:rPr>
                <w:rFonts w:eastAsia="Calibri" w:cs="Times New Roman"/>
                <w:sz w:val="20"/>
                <w:szCs w:val="20"/>
              </w:rPr>
              <w:t>n</w:t>
            </w:r>
            <w:r w:rsidRPr="0085047E">
              <w:rPr>
                <w:rFonts w:eastAsia="Calibri" w:cs="Times New Roman"/>
                <w:sz w:val="20"/>
                <w:szCs w:val="20"/>
              </w:rPr>
              <w:t xml:space="preserve">.) </w:t>
            </w:r>
            <w:r w:rsidRPr="008E3015">
              <w:rPr>
                <w:rFonts w:eastAsia="Calibri" w:cs="Times New Roman"/>
                <w:sz w:val="20"/>
                <w:szCs w:val="20"/>
              </w:rPr>
              <w:t>(Ci</w:t>
            </w:r>
            <w:r w:rsidR="008E3015">
              <w:rPr>
                <w:rFonts w:eastAsia="Calibri" w:cs="Times New Roman"/>
                <w:sz w:val="20"/>
                <w:szCs w:val="20"/>
              </w:rPr>
              <w:t>v</w:t>
            </w:r>
            <w:r w:rsidRPr="008E3015">
              <w:rPr>
                <w:rFonts w:eastAsia="Calibri" w:cs="Times New Roman"/>
                <w:sz w:val="20"/>
                <w:szCs w:val="20"/>
              </w:rPr>
              <w:t>il) (</w:t>
            </w:r>
            <w:r w:rsidR="008E3015">
              <w:rPr>
                <w:rFonts w:eastAsia="Calibri" w:cs="Times New Roman"/>
                <w:sz w:val="20"/>
                <w:szCs w:val="20"/>
              </w:rPr>
              <w:t>By Leave</w:t>
            </w:r>
            <w:r w:rsidRPr="008E3015">
              <w:rPr>
                <w:rFonts w:eastAsia="Calibri" w:cs="Times New Roman"/>
                <w:sz w:val="20"/>
                <w:szCs w:val="20"/>
              </w:rPr>
              <w:t>) (347</w:t>
            </w:r>
            <w:r w:rsidR="008E3015">
              <w:rPr>
                <w:rFonts w:eastAsia="Calibri" w:cs="Times New Roman"/>
                <w:sz w:val="20"/>
                <w:szCs w:val="20"/>
              </w:rPr>
              <w:t>63</w:t>
            </w:r>
            <w:r w:rsidRPr="008E3015">
              <w:rPr>
                <w:rFonts w:eastAsia="Calibri" w:cs="Times New Roman"/>
                <w:sz w:val="20"/>
                <w:szCs w:val="20"/>
              </w:rPr>
              <w:t>)</w:t>
            </w:r>
          </w:p>
          <w:p w:rsidR="004E1E0A" w:rsidRPr="008E3015" w:rsidRDefault="004E1E0A" w:rsidP="00150281">
            <w:pPr>
              <w:jc w:val="both"/>
              <w:rPr>
                <w:rFonts w:eastAsia="Calibri" w:cs="Times New Roman"/>
                <w:sz w:val="20"/>
                <w:szCs w:val="20"/>
              </w:rPr>
            </w:pPr>
          </w:p>
        </w:tc>
      </w:tr>
      <w:tr w:rsidR="004E1E0A" w:rsidRPr="003A74F5" w:rsidTr="00150281">
        <w:trPr>
          <w:cantSplit/>
          <w:trHeight w:val="288"/>
        </w:trPr>
        <w:tc>
          <w:tcPr>
            <w:tcW w:w="2398" w:type="dxa"/>
          </w:tcPr>
          <w:p w:rsidR="004E1E0A" w:rsidRPr="003A74F5" w:rsidRDefault="008E3015" w:rsidP="00150281">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16</w:t>
            </w:r>
          </w:p>
        </w:tc>
        <w:tc>
          <w:tcPr>
            <w:tcW w:w="7178" w:type="dxa"/>
          </w:tcPr>
          <w:p w:rsidR="004E1E0A" w:rsidRDefault="008E3015" w:rsidP="00150281">
            <w:pPr>
              <w:jc w:val="both"/>
              <w:rPr>
                <w:rFonts w:eastAsia="Calibri" w:cs="Times New Roman"/>
                <w:sz w:val="20"/>
                <w:szCs w:val="20"/>
              </w:rPr>
            </w:pPr>
            <w:r>
              <w:rPr>
                <w:rFonts w:eastAsia="Calibri" w:cs="Times New Roman"/>
                <w:i/>
                <w:sz w:val="20"/>
                <w:szCs w:val="20"/>
              </w:rPr>
              <w:t xml:space="preserve">Fabian </w:t>
            </w:r>
            <w:proofErr w:type="spellStart"/>
            <w:r w:rsidR="004E1E0A" w:rsidRPr="0085047E">
              <w:rPr>
                <w:rFonts w:eastAsia="Calibri" w:cs="Times New Roman"/>
                <w:i/>
                <w:sz w:val="20"/>
                <w:szCs w:val="20"/>
              </w:rPr>
              <w:t>Vu</w:t>
            </w:r>
            <w:r>
              <w:rPr>
                <w:rFonts w:eastAsia="Calibri" w:cs="Times New Roman"/>
                <w:i/>
                <w:sz w:val="20"/>
                <w:szCs w:val="20"/>
              </w:rPr>
              <w:t>r</w:t>
            </w:r>
            <w:r w:rsidR="004E1E0A" w:rsidRPr="0085047E">
              <w:rPr>
                <w:rFonts w:eastAsia="Calibri" w:cs="Times New Roman"/>
                <w:i/>
                <w:sz w:val="20"/>
                <w:szCs w:val="20"/>
              </w:rPr>
              <w:t>a</w:t>
            </w:r>
            <w:r>
              <w:rPr>
                <w:rFonts w:eastAsia="Calibri" w:cs="Times New Roman"/>
                <w:i/>
                <w:sz w:val="20"/>
                <w:szCs w:val="20"/>
              </w:rPr>
              <w:t>di</w:t>
            </w:r>
            <w:r w:rsidR="004E1E0A" w:rsidRPr="0085047E">
              <w:rPr>
                <w:rFonts w:eastAsia="Calibri" w:cs="Times New Roman"/>
                <w:i/>
                <w:sz w:val="20"/>
                <w:szCs w:val="20"/>
              </w:rPr>
              <w:t>n</w:t>
            </w:r>
            <w:proofErr w:type="spellEnd"/>
            <w:r w:rsidR="004E1E0A" w:rsidRPr="0085047E">
              <w:rPr>
                <w:rFonts w:eastAsia="Calibri" w:cs="Times New Roman"/>
                <w:i/>
                <w:sz w:val="20"/>
                <w:szCs w:val="20"/>
              </w:rPr>
              <w:t xml:space="preserve"> 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w:t>
            </w:r>
            <w:r w:rsidR="004E1E0A" w:rsidRPr="003A74F5">
              <w:rPr>
                <w:rFonts w:eastAsia="Calibri" w:cs="Times New Roman"/>
                <w:sz w:val="20"/>
                <w:szCs w:val="20"/>
              </w:rPr>
              <w:t>(</w:t>
            </w:r>
            <w:r>
              <w:rPr>
                <w:rFonts w:eastAsia="Calibri" w:cs="Times New Roman"/>
                <w:sz w:val="20"/>
                <w:szCs w:val="20"/>
              </w:rPr>
              <w:t>Alta</w:t>
            </w:r>
            <w:r w:rsidR="004E1E0A" w:rsidRPr="003A74F5">
              <w:rPr>
                <w:rFonts w:eastAsia="Calibri" w:cs="Times New Roman"/>
                <w:sz w:val="20"/>
                <w:szCs w:val="20"/>
              </w:rPr>
              <w:t>.) (C</w:t>
            </w:r>
            <w:r>
              <w:rPr>
                <w:rFonts w:eastAsia="Calibri" w:cs="Times New Roman"/>
                <w:sz w:val="20"/>
                <w:szCs w:val="20"/>
              </w:rPr>
              <w:t>r</w:t>
            </w:r>
            <w:r w:rsidR="004E1E0A" w:rsidRPr="003A74F5">
              <w:rPr>
                <w:rFonts w:eastAsia="Calibri" w:cs="Times New Roman"/>
                <w:sz w:val="20"/>
                <w:szCs w:val="20"/>
              </w:rPr>
              <w:t>i</w:t>
            </w:r>
            <w:r>
              <w:rPr>
                <w:rFonts w:eastAsia="Calibri" w:cs="Times New Roman"/>
                <w:sz w:val="20"/>
                <w:szCs w:val="20"/>
              </w:rPr>
              <w:t>m</w:t>
            </w:r>
            <w:r w:rsidR="004E1E0A" w:rsidRPr="003A74F5">
              <w:rPr>
                <w:rFonts w:eastAsia="Calibri" w:cs="Times New Roman"/>
                <w:sz w:val="20"/>
                <w:szCs w:val="20"/>
              </w:rPr>
              <w:t>i</w:t>
            </w:r>
            <w:r>
              <w:rPr>
                <w:rFonts w:eastAsia="Calibri" w:cs="Times New Roman"/>
                <w:sz w:val="20"/>
                <w:szCs w:val="20"/>
              </w:rPr>
              <w:t>na</w:t>
            </w:r>
            <w:r w:rsidR="004E1E0A" w:rsidRPr="003A74F5">
              <w:rPr>
                <w:rFonts w:eastAsia="Calibri" w:cs="Times New Roman"/>
                <w:sz w:val="20"/>
                <w:szCs w:val="20"/>
              </w:rPr>
              <w:t>l) (</w:t>
            </w:r>
            <w:r>
              <w:rPr>
                <w:rFonts w:eastAsia="Calibri" w:cs="Times New Roman"/>
                <w:sz w:val="20"/>
                <w:szCs w:val="20"/>
              </w:rPr>
              <w:t>As of Right</w:t>
            </w:r>
            <w:r w:rsidR="004E1E0A" w:rsidRPr="003A74F5">
              <w:rPr>
                <w:rFonts w:eastAsia="Calibri" w:cs="Times New Roman"/>
                <w:sz w:val="20"/>
                <w:szCs w:val="20"/>
              </w:rPr>
              <w:t>) (3</w:t>
            </w:r>
            <w:r>
              <w:rPr>
                <w:rFonts w:eastAsia="Calibri" w:cs="Times New Roman"/>
                <w:sz w:val="20"/>
                <w:szCs w:val="20"/>
              </w:rPr>
              <w:t>51</w:t>
            </w:r>
            <w:r w:rsidR="004E1E0A" w:rsidRPr="003A74F5">
              <w:rPr>
                <w:rFonts w:eastAsia="Calibri" w:cs="Times New Roman"/>
                <w:sz w:val="20"/>
                <w:szCs w:val="20"/>
              </w:rPr>
              <w:t>4</w:t>
            </w:r>
            <w:r w:rsidR="004E1E0A">
              <w:rPr>
                <w:rFonts w:eastAsia="Calibri" w:cs="Times New Roman"/>
                <w:sz w:val="20"/>
                <w:szCs w:val="20"/>
              </w:rPr>
              <w:t>3</w:t>
            </w:r>
            <w:r w:rsidR="004E1E0A" w:rsidRPr="003A74F5">
              <w:rPr>
                <w:rFonts w:eastAsia="Calibri" w:cs="Times New Roman"/>
                <w:sz w:val="20"/>
                <w:szCs w:val="20"/>
              </w:rPr>
              <w:t>)</w:t>
            </w:r>
          </w:p>
          <w:p w:rsidR="004E1E0A" w:rsidRPr="003A74F5" w:rsidRDefault="004E1E0A" w:rsidP="00150281">
            <w:pPr>
              <w:jc w:val="both"/>
              <w:rPr>
                <w:rFonts w:eastAsia="Calibri" w:cs="Times New Roman"/>
                <w:sz w:val="20"/>
                <w:szCs w:val="20"/>
              </w:rPr>
            </w:pPr>
          </w:p>
        </w:tc>
      </w:tr>
      <w:tr w:rsidR="004E1E0A" w:rsidRPr="003A74F5" w:rsidTr="00150281">
        <w:trPr>
          <w:cantSplit/>
          <w:trHeight w:val="288"/>
        </w:trPr>
        <w:tc>
          <w:tcPr>
            <w:tcW w:w="2398" w:type="dxa"/>
          </w:tcPr>
          <w:p w:rsidR="004E1E0A" w:rsidRPr="003A74F5" w:rsidRDefault="008E3015" w:rsidP="00150281">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sidR="000A35BD">
              <w:rPr>
                <w:rFonts w:eastAsia="Calibri" w:cs="Times New Roman"/>
                <w:sz w:val="20"/>
                <w:szCs w:val="20"/>
              </w:rPr>
              <w:t>17</w:t>
            </w:r>
          </w:p>
        </w:tc>
        <w:tc>
          <w:tcPr>
            <w:tcW w:w="7178" w:type="dxa"/>
          </w:tcPr>
          <w:p w:rsidR="004E1E0A" w:rsidRPr="001C0139" w:rsidRDefault="008E3015" w:rsidP="00150281">
            <w:pPr>
              <w:jc w:val="both"/>
              <w:rPr>
                <w:rFonts w:eastAsia="Calibri" w:cs="Times New Roman"/>
                <w:sz w:val="20"/>
                <w:szCs w:val="20"/>
              </w:rPr>
            </w:pPr>
            <w:proofErr w:type="spellStart"/>
            <w:r>
              <w:rPr>
                <w:rFonts w:eastAsia="Calibri" w:cs="Times New Roman"/>
                <w:i/>
                <w:sz w:val="20"/>
                <w:szCs w:val="20"/>
              </w:rPr>
              <w:t>Cas</w:t>
            </w:r>
            <w:r w:rsidR="004E1E0A" w:rsidRPr="00202908">
              <w:rPr>
                <w:rFonts w:eastAsia="Calibri" w:cs="Times New Roman"/>
                <w:i/>
                <w:sz w:val="20"/>
                <w:szCs w:val="20"/>
              </w:rPr>
              <w:t>t</w:t>
            </w:r>
            <w:r>
              <w:rPr>
                <w:rFonts w:eastAsia="Calibri" w:cs="Times New Roman"/>
                <w:i/>
                <w:sz w:val="20"/>
                <w:szCs w:val="20"/>
              </w:rPr>
              <w:t>onguay</w:t>
            </w:r>
            <w:proofErr w:type="spellEnd"/>
            <w:r>
              <w:rPr>
                <w:rFonts w:eastAsia="Calibri" w:cs="Times New Roman"/>
                <w:i/>
                <w:sz w:val="20"/>
                <w:szCs w:val="20"/>
              </w:rPr>
              <w:t xml:space="preserve"> Blasting Ltd. </w:t>
            </w:r>
            <w:r w:rsidR="004E1E0A" w:rsidRPr="00202908">
              <w:rPr>
                <w:rFonts w:eastAsia="Calibri" w:cs="Times New Roman"/>
                <w:i/>
                <w:sz w:val="20"/>
                <w:szCs w:val="20"/>
              </w:rPr>
              <w:t>v. Her Majesty the</w:t>
            </w:r>
            <w:r w:rsidR="004E1E0A">
              <w:rPr>
                <w:rFonts w:eastAsia="Calibri" w:cs="Times New Roman"/>
                <w:i/>
                <w:sz w:val="20"/>
                <w:szCs w:val="20"/>
              </w:rPr>
              <w:t xml:space="preserve"> Quee</w:t>
            </w:r>
            <w:r w:rsidR="004E1E0A" w:rsidRPr="00202908">
              <w:rPr>
                <w:rFonts w:eastAsia="Calibri" w:cs="Times New Roman"/>
                <w:i/>
                <w:sz w:val="20"/>
                <w:szCs w:val="20"/>
              </w:rPr>
              <w:t>n</w:t>
            </w:r>
            <w:r w:rsidR="004E1E0A">
              <w:rPr>
                <w:rFonts w:eastAsia="Calibri" w:cs="Times New Roman"/>
                <w:i/>
                <w:sz w:val="20"/>
                <w:szCs w:val="20"/>
              </w:rPr>
              <w:t xml:space="preserve"> in Right of th</w:t>
            </w:r>
            <w:r w:rsidR="004E1E0A" w:rsidRPr="00202908">
              <w:rPr>
                <w:rFonts w:eastAsia="Calibri" w:cs="Times New Roman"/>
                <w:i/>
                <w:sz w:val="20"/>
                <w:szCs w:val="20"/>
              </w:rPr>
              <w:t>e</w:t>
            </w:r>
            <w:r w:rsidR="004E1E0A">
              <w:rPr>
                <w:rFonts w:eastAsia="Calibri" w:cs="Times New Roman"/>
                <w:i/>
                <w:sz w:val="20"/>
                <w:szCs w:val="20"/>
              </w:rPr>
              <w:t xml:space="preserve"> Province of Ontario, as represented by the Minister of </w:t>
            </w:r>
            <w:r>
              <w:rPr>
                <w:rFonts w:eastAsia="Calibri" w:cs="Times New Roman"/>
                <w:i/>
                <w:sz w:val="20"/>
                <w:szCs w:val="20"/>
              </w:rPr>
              <w:t>the Envi</w:t>
            </w:r>
            <w:r w:rsidR="004E1E0A">
              <w:rPr>
                <w:rFonts w:eastAsia="Calibri" w:cs="Times New Roman"/>
                <w:i/>
                <w:sz w:val="20"/>
                <w:szCs w:val="20"/>
              </w:rPr>
              <w:t>ron</w:t>
            </w:r>
            <w:r>
              <w:rPr>
                <w:rFonts w:eastAsia="Calibri" w:cs="Times New Roman"/>
                <w:i/>
                <w:sz w:val="20"/>
                <w:szCs w:val="20"/>
              </w:rPr>
              <w:t>ment</w:t>
            </w:r>
            <w:r w:rsidR="004E1E0A">
              <w:rPr>
                <w:rFonts w:eastAsia="Calibri" w:cs="Times New Roman"/>
                <w:i/>
                <w:sz w:val="20"/>
                <w:szCs w:val="20"/>
              </w:rPr>
              <w:t xml:space="preserve"> </w:t>
            </w:r>
            <w:r w:rsidR="004E1E0A" w:rsidRPr="00202908">
              <w:rPr>
                <w:rFonts w:eastAsia="Calibri" w:cs="Times New Roman"/>
                <w:sz w:val="20"/>
                <w:szCs w:val="20"/>
              </w:rPr>
              <w:t>(</w:t>
            </w:r>
            <w:r w:rsidR="004E1E0A">
              <w:rPr>
                <w:rFonts w:eastAsia="Calibri" w:cs="Times New Roman"/>
                <w:sz w:val="20"/>
                <w:szCs w:val="20"/>
              </w:rPr>
              <w:t>Ont</w:t>
            </w:r>
            <w:r w:rsidR="004E1E0A" w:rsidRPr="00202908">
              <w:rPr>
                <w:rFonts w:eastAsia="Calibri" w:cs="Times New Roman"/>
                <w:sz w:val="20"/>
                <w:szCs w:val="20"/>
              </w:rPr>
              <w:t xml:space="preserve">.) </w:t>
            </w:r>
            <w:r w:rsidR="004E1E0A" w:rsidRPr="008E3015">
              <w:rPr>
                <w:rFonts w:eastAsia="Calibri" w:cs="Times New Roman"/>
                <w:sz w:val="20"/>
                <w:szCs w:val="20"/>
              </w:rPr>
              <w:t>(C</w:t>
            </w:r>
            <w:r w:rsidR="000A35BD">
              <w:rPr>
                <w:rFonts w:eastAsia="Calibri" w:cs="Times New Roman"/>
                <w:sz w:val="20"/>
                <w:szCs w:val="20"/>
              </w:rPr>
              <w:t>rimina</w:t>
            </w:r>
            <w:r w:rsidR="004E1E0A" w:rsidRPr="008E3015">
              <w:rPr>
                <w:rFonts w:eastAsia="Calibri" w:cs="Times New Roman"/>
                <w:sz w:val="20"/>
                <w:szCs w:val="20"/>
              </w:rPr>
              <w:t>l) (By Leave) (34</w:t>
            </w:r>
            <w:r w:rsidRPr="008E3015">
              <w:rPr>
                <w:rFonts w:eastAsia="Calibri" w:cs="Times New Roman"/>
                <w:sz w:val="20"/>
                <w:szCs w:val="20"/>
              </w:rPr>
              <w:t>8</w:t>
            </w:r>
            <w:r w:rsidR="004E1E0A" w:rsidRPr="008E3015">
              <w:rPr>
                <w:rFonts w:eastAsia="Calibri" w:cs="Times New Roman"/>
                <w:sz w:val="20"/>
                <w:szCs w:val="20"/>
              </w:rPr>
              <w:t>1</w:t>
            </w:r>
            <w:r w:rsidRPr="008E3015">
              <w:rPr>
                <w:rFonts w:eastAsia="Calibri" w:cs="Times New Roman"/>
                <w:sz w:val="20"/>
                <w:szCs w:val="20"/>
              </w:rPr>
              <w:t>6</w:t>
            </w:r>
            <w:r w:rsidR="004E1E0A" w:rsidRPr="008E3015">
              <w:rPr>
                <w:rFonts w:eastAsia="Calibri" w:cs="Times New Roman"/>
                <w:sz w:val="20"/>
                <w:szCs w:val="20"/>
              </w:rPr>
              <w:t>)</w:t>
            </w:r>
          </w:p>
          <w:p w:rsidR="004E1E0A" w:rsidRPr="003A74F5" w:rsidRDefault="004E1E0A" w:rsidP="00150281">
            <w:pPr>
              <w:jc w:val="both"/>
              <w:rPr>
                <w:rFonts w:eastAsia="Calibri" w:cs="Times New Roman"/>
                <w:sz w:val="20"/>
                <w:szCs w:val="20"/>
              </w:rPr>
            </w:pPr>
          </w:p>
        </w:tc>
      </w:tr>
      <w:tr w:rsidR="004E1E0A" w:rsidRPr="005C0D71" w:rsidTr="00150281">
        <w:trPr>
          <w:cantSplit/>
          <w:trHeight w:val="288"/>
        </w:trPr>
        <w:tc>
          <w:tcPr>
            <w:tcW w:w="2398" w:type="dxa"/>
          </w:tcPr>
          <w:p w:rsidR="004E1E0A" w:rsidRPr="003A74F5" w:rsidRDefault="008E3015" w:rsidP="00150281">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sidR="000A35BD">
              <w:rPr>
                <w:rFonts w:eastAsia="Calibri" w:cs="Times New Roman"/>
                <w:sz w:val="20"/>
                <w:szCs w:val="20"/>
              </w:rPr>
              <w:t>21</w:t>
            </w:r>
          </w:p>
        </w:tc>
        <w:tc>
          <w:tcPr>
            <w:tcW w:w="7178" w:type="dxa"/>
          </w:tcPr>
          <w:p w:rsidR="004E1E0A" w:rsidRDefault="000A35BD" w:rsidP="00150281">
            <w:pPr>
              <w:jc w:val="both"/>
              <w:rPr>
                <w:rFonts w:eastAsia="Calibri" w:cs="Times New Roman"/>
                <w:sz w:val="20"/>
                <w:szCs w:val="20"/>
                <w:lang w:val="fr-CA"/>
              </w:rPr>
            </w:pPr>
            <w:r w:rsidRPr="000A35BD">
              <w:rPr>
                <w:rFonts w:eastAsia="Calibri" w:cs="Times New Roman"/>
                <w:i/>
                <w:sz w:val="20"/>
                <w:szCs w:val="20"/>
                <w:lang w:val="fr-CA"/>
              </w:rPr>
              <w:t>Sa Majesté la Reine</w:t>
            </w:r>
            <w:r w:rsidR="004E1E0A" w:rsidRPr="000A35BD">
              <w:rPr>
                <w:rFonts w:eastAsia="Calibri" w:cs="Times New Roman"/>
                <w:i/>
                <w:sz w:val="20"/>
                <w:szCs w:val="20"/>
                <w:lang w:val="fr-CA"/>
              </w:rPr>
              <w:t xml:space="preserve"> </w:t>
            </w:r>
            <w:r w:rsidRPr="000A35BD">
              <w:rPr>
                <w:rFonts w:eastAsia="Calibri" w:cs="Times New Roman"/>
                <w:i/>
                <w:sz w:val="20"/>
                <w:szCs w:val="20"/>
                <w:lang w:val="fr-CA"/>
              </w:rPr>
              <w:t>c</w:t>
            </w:r>
            <w:r w:rsidR="004E1E0A" w:rsidRPr="000A35BD">
              <w:rPr>
                <w:rFonts w:eastAsia="Calibri" w:cs="Times New Roman"/>
                <w:i/>
                <w:sz w:val="20"/>
                <w:szCs w:val="20"/>
                <w:lang w:val="fr-CA"/>
              </w:rPr>
              <w:t xml:space="preserve">. </w:t>
            </w:r>
            <w:r>
              <w:rPr>
                <w:rFonts w:eastAsia="Calibri" w:cs="Times New Roman"/>
                <w:i/>
                <w:sz w:val="20"/>
                <w:szCs w:val="20"/>
                <w:lang w:val="fr-CA"/>
              </w:rPr>
              <w:t xml:space="preserve">Stéphane </w:t>
            </w:r>
            <w:proofErr w:type="spellStart"/>
            <w:r>
              <w:rPr>
                <w:rFonts w:eastAsia="Calibri" w:cs="Times New Roman"/>
                <w:i/>
                <w:sz w:val="20"/>
                <w:szCs w:val="20"/>
                <w:lang w:val="fr-CA"/>
              </w:rPr>
              <w:t>McRae</w:t>
            </w:r>
            <w:proofErr w:type="spellEnd"/>
            <w:r w:rsidR="004E1E0A" w:rsidRPr="000A35BD">
              <w:rPr>
                <w:rFonts w:eastAsia="Calibri" w:cs="Times New Roman"/>
                <w:sz w:val="20"/>
                <w:szCs w:val="20"/>
                <w:lang w:val="fr-CA"/>
              </w:rPr>
              <w:t xml:space="preserve"> </w:t>
            </w:r>
            <w:r w:rsidRPr="00216AEB">
              <w:rPr>
                <w:rFonts w:eastAsia="Calibri" w:cs="Times New Roman"/>
                <w:sz w:val="20"/>
                <w:szCs w:val="20"/>
                <w:lang w:val="fr-CA"/>
              </w:rPr>
              <w:t>(</w:t>
            </w:r>
            <w:proofErr w:type="spellStart"/>
            <w:r>
              <w:rPr>
                <w:rFonts w:eastAsia="Calibri" w:cs="Times New Roman"/>
                <w:sz w:val="20"/>
                <w:szCs w:val="20"/>
                <w:lang w:val="fr-CA"/>
              </w:rPr>
              <w:t>Qc</w:t>
            </w:r>
            <w:proofErr w:type="spellEnd"/>
            <w:r w:rsidRPr="00216AEB">
              <w:rPr>
                <w:rFonts w:eastAsia="Calibri" w:cs="Times New Roman"/>
                <w:sz w:val="20"/>
                <w:szCs w:val="20"/>
                <w:lang w:val="fr-CA"/>
              </w:rPr>
              <w:t>) (C</w:t>
            </w:r>
            <w:r>
              <w:rPr>
                <w:rFonts w:eastAsia="Calibri" w:cs="Times New Roman"/>
                <w:sz w:val="20"/>
                <w:szCs w:val="20"/>
                <w:lang w:val="fr-CA"/>
              </w:rPr>
              <w:t>r</w:t>
            </w:r>
            <w:r w:rsidRPr="00216AEB">
              <w:rPr>
                <w:rFonts w:eastAsia="Calibri" w:cs="Times New Roman"/>
                <w:sz w:val="20"/>
                <w:szCs w:val="20"/>
                <w:lang w:val="fr-CA"/>
              </w:rPr>
              <w:t>i</w:t>
            </w:r>
            <w:r>
              <w:rPr>
                <w:rFonts w:eastAsia="Calibri" w:cs="Times New Roman"/>
                <w:sz w:val="20"/>
                <w:szCs w:val="20"/>
                <w:lang w:val="fr-CA"/>
              </w:rPr>
              <w:t>m</w:t>
            </w:r>
            <w:r w:rsidRPr="00216AEB">
              <w:rPr>
                <w:rFonts w:eastAsia="Calibri" w:cs="Times New Roman"/>
                <w:sz w:val="20"/>
                <w:szCs w:val="20"/>
                <w:lang w:val="fr-CA"/>
              </w:rPr>
              <w:t>i</w:t>
            </w:r>
            <w:r>
              <w:rPr>
                <w:rFonts w:eastAsia="Calibri" w:cs="Times New Roman"/>
                <w:sz w:val="20"/>
                <w:szCs w:val="20"/>
                <w:lang w:val="fr-CA"/>
              </w:rPr>
              <w:t>nel</w:t>
            </w:r>
            <w:r w:rsidRPr="00216AEB">
              <w:rPr>
                <w:rFonts w:eastAsia="Calibri" w:cs="Times New Roman"/>
                <w:sz w:val="20"/>
                <w:szCs w:val="20"/>
                <w:lang w:val="fr-CA"/>
              </w:rPr>
              <w:t>l</w:t>
            </w:r>
            <w:r>
              <w:rPr>
                <w:rFonts w:eastAsia="Calibri" w:cs="Times New Roman"/>
                <w:sz w:val="20"/>
                <w:szCs w:val="20"/>
                <w:lang w:val="fr-CA"/>
              </w:rPr>
              <w:t>e</w:t>
            </w:r>
            <w:r w:rsidRPr="00216AEB">
              <w:rPr>
                <w:rFonts w:eastAsia="Calibri" w:cs="Times New Roman"/>
                <w:sz w:val="20"/>
                <w:szCs w:val="20"/>
                <w:lang w:val="fr-CA"/>
              </w:rPr>
              <w:t>) (</w:t>
            </w:r>
            <w:r>
              <w:rPr>
                <w:rFonts w:eastAsia="Calibri" w:cs="Times New Roman"/>
                <w:sz w:val="20"/>
                <w:szCs w:val="20"/>
                <w:lang w:val="fr-CA"/>
              </w:rPr>
              <w:t>Autoris</w:t>
            </w:r>
            <w:r w:rsidRPr="00216AEB">
              <w:rPr>
                <w:rFonts w:eastAsia="Calibri" w:cs="Times New Roman"/>
                <w:sz w:val="20"/>
                <w:szCs w:val="20"/>
                <w:lang w:val="fr-CA"/>
              </w:rPr>
              <w:t>a</w:t>
            </w:r>
            <w:r>
              <w:rPr>
                <w:rFonts w:eastAsia="Calibri" w:cs="Times New Roman"/>
                <w:sz w:val="20"/>
                <w:szCs w:val="20"/>
                <w:lang w:val="fr-CA"/>
              </w:rPr>
              <w:t>tion</w:t>
            </w:r>
            <w:r w:rsidRPr="00216AEB">
              <w:rPr>
                <w:rFonts w:eastAsia="Calibri" w:cs="Times New Roman"/>
                <w:sz w:val="20"/>
                <w:szCs w:val="20"/>
                <w:lang w:val="fr-CA"/>
              </w:rPr>
              <w:t xml:space="preserve">) </w:t>
            </w:r>
            <w:r w:rsidR="004E1E0A" w:rsidRPr="003A74F5">
              <w:rPr>
                <w:rFonts w:eastAsia="Calibri" w:cs="Times New Roman"/>
                <w:sz w:val="20"/>
                <w:szCs w:val="20"/>
                <w:lang w:val="fr-CA"/>
              </w:rPr>
              <w:t>(34</w:t>
            </w:r>
            <w:r>
              <w:rPr>
                <w:rFonts w:eastAsia="Calibri" w:cs="Times New Roman"/>
                <w:sz w:val="20"/>
                <w:szCs w:val="20"/>
                <w:lang w:val="fr-CA"/>
              </w:rPr>
              <w:t>743</w:t>
            </w:r>
            <w:r w:rsidR="004E1E0A" w:rsidRPr="003A74F5">
              <w:rPr>
                <w:rFonts w:eastAsia="Calibri" w:cs="Times New Roman"/>
                <w:sz w:val="20"/>
                <w:szCs w:val="20"/>
                <w:lang w:val="fr-CA"/>
              </w:rPr>
              <w:t>)</w:t>
            </w:r>
          </w:p>
          <w:p w:rsidR="004E1E0A" w:rsidRPr="003A74F5" w:rsidRDefault="004E1E0A" w:rsidP="00150281">
            <w:pPr>
              <w:jc w:val="both"/>
              <w:rPr>
                <w:rFonts w:eastAsia="Calibri" w:cs="Times New Roman"/>
                <w:sz w:val="20"/>
                <w:szCs w:val="20"/>
                <w:lang w:val="fr-CA"/>
              </w:rPr>
            </w:pPr>
          </w:p>
        </w:tc>
      </w:tr>
      <w:tr w:rsidR="004E1E0A" w:rsidRPr="0085047E" w:rsidTr="00150281">
        <w:trPr>
          <w:cantSplit/>
          <w:trHeight w:val="288"/>
        </w:trPr>
        <w:tc>
          <w:tcPr>
            <w:tcW w:w="2398" w:type="dxa"/>
          </w:tcPr>
          <w:p w:rsidR="004E1E0A" w:rsidRPr="0085047E" w:rsidRDefault="008E3015" w:rsidP="00150281">
            <w:pPr>
              <w:rPr>
                <w:rFonts w:eastAsia="Calibri" w:cs="Times New Roman"/>
                <w:sz w:val="20"/>
                <w:szCs w:val="20"/>
                <w:lang w:val="fr-CA"/>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sidR="000A35BD">
              <w:rPr>
                <w:rFonts w:eastAsia="Calibri" w:cs="Times New Roman"/>
                <w:sz w:val="20"/>
                <w:szCs w:val="20"/>
              </w:rPr>
              <w:t>22</w:t>
            </w:r>
          </w:p>
        </w:tc>
        <w:tc>
          <w:tcPr>
            <w:tcW w:w="7178" w:type="dxa"/>
          </w:tcPr>
          <w:p w:rsidR="004E1E0A" w:rsidRPr="001C0139" w:rsidRDefault="000A35BD" w:rsidP="000A35BD">
            <w:pPr>
              <w:jc w:val="both"/>
              <w:rPr>
                <w:rFonts w:eastAsia="Calibri" w:cs="Times New Roman"/>
                <w:sz w:val="20"/>
                <w:szCs w:val="20"/>
              </w:rPr>
            </w:pPr>
            <w:r w:rsidRPr="000A35BD">
              <w:rPr>
                <w:rFonts w:eastAsia="Calibri" w:cs="Times New Roman"/>
                <w:i/>
                <w:sz w:val="20"/>
                <w:szCs w:val="20"/>
                <w:lang w:val="fr-CA"/>
              </w:rPr>
              <w:t xml:space="preserve">A.I. </w:t>
            </w:r>
            <w:proofErr w:type="spellStart"/>
            <w:r w:rsidRPr="000A35BD">
              <w:rPr>
                <w:rFonts w:eastAsia="Calibri" w:cs="Times New Roman"/>
                <w:i/>
                <w:sz w:val="20"/>
                <w:szCs w:val="20"/>
                <w:lang w:val="fr-CA"/>
              </w:rPr>
              <w:t>Enterprises</w:t>
            </w:r>
            <w:proofErr w:type="spellEnd"/>
            <w:r w:rsidRPr="000A35BD">
              <w:rPr>
                <w:rFonts w:eastAsia="Calibri" w:cs="Times New Roman"/>
                <w:i/>
                <w:sz w:val="20"/>
                <w:szCs w:val="20"/>
                <w:lang w:val="fr-CA"/>
              </w:rPr>
              <w:t xml:space="preserve"> Ltd. et al.</w:t>
            </w:r>
            <w:r w:rsidR="004E1E0A" w:rsidRPr="000A35BD">
              <w:rPr>
                <w:rFonts w:eastAsia="Calibri" w:cs="Times New Roman"/>
                <w:i/>
                <w:sz w:val="20"/>
                <w:szCs w:val="20"/>
                <w:lang w:val="fr-CA"/>
              </w:rPr>
              <w:t xml:space="preserve"> v. </w:t>
            </w:r>
            <w:r w:rsidRPr="000A35BD">
              <w:rPr>
                <w:rFonts w:eastAsia="Calibri" w:cs="Times New Roman"/>
                <w:i/>
                <w:sz w:val="20"/>
                <w:szCs w:val="20"/>
                <w:lang w:val="fr-CA"/>
              </w:rPr>
              <w:t xml:space="preserve">Bram </w:t>
            </w:r>
            <w:proofErr w:type="spellStart"/>
            <w:r w:rsidRPr="000A35BD">
              <w:rPr>
                <w:rFonts w:eastAsia="Calibri" w:cs="Times New Roman"/>
                <w:i/>
                <w:sz w:val="20"/>
                <w:szCs w:val="20"/>
                <w:lang w:val="fr-CA"/>
              </w:rPr>
              <w:t>Enterprises</w:t>
            </w:r>
            <w:proofErr w:type="spellEnd"/>
            <w:r w:rsidRPr="000A35BD">
              <w:rPr>
                <w:rFonts w:eastAsia="Calibri" w:cs="Times New Roman"/>
                <w:i/>
                <w:sz w:val="20"/>
                <w:szCs w:val="20"/>
                <w:lang w:val="fr-CA"/>
              </w:rPr>
              <w:t xml:space="preserve"> Ltd. et al. </w:t>
            </w:r>
            <w:r w:rsidR="004E1E0A" w:rsidRPr="003A74F5">
              <w:rPr>
                <w:rFonts w:eastAsia="Calibri" w:cs="Times New Roman"/>
                <w:sz w:val="20"/>
                <w:szCs w:val="20"/>
              </w:rPr>
              <w:t>(</w:t>
            </w:r>
            <w:r>
              <w:rPr>
                <w:rFonts w:eastAsia="Calibri" w:cs="Times New Roman"/>
                <w:sz w:val="20"/>
                <w:szCs w:val="20"/>
              </w:rPr>
              <w:t>N</w:t>
            </w:r>
            <w:r w:rsidR="004E1E0A" w:rsidRPr="003A74F5">
              <w:rPr>
                <w:rFonts w:eastAsia="Calibri" w:cs="Times New Roman"/>
                <w:sz w:val="20"/>
                <w:szCs w:val="20"/>
              </w:rPr>
              <w:t>.</w:t>
            </w:r>
            <w:r>
              <w:rPr>
                <w:rFonts w:eastAsia="Calibri" w:cs="Times New Roman"/>
                <w:sz w:val="20"/>
                <w:szCs w:val="20"/>
              </w:rPr>
              <w:t>B</w:t>
            </w:r>
            <w:r w:rsidR="004E1E0A" w:rsidRPr="003A74F5">
              <w:rPr>
                <w:rFonts w:eastAsia="Calibri" w:cs="Times New Roman"/>
                <w:sz w:val="20"/>
                <w:szCs w:val="20"/>
              </w:rPr>
              <w:t>.) (Ci</w:t>
            </w:r>
            <w:r>
              <w:rPr>
                <w:rFonts w:eastAsia="Calibri" w:cs="Times New Roman"/>
                <w:sz w:val="20"/>
                <w:szCs w:val="20"/>
              </w:rPr>
              <w:t>v</w:t>
            </w:r>
            <w:r w:rsidR="004E1E0A" w:rsidRPr="003A74F5">
              <w:rPr>
                <w:rFonts w:eastAsia="Calibri" w:cs="Times New Roman"/>
                <w:sz w:val="20"/>
                <w:szCs w:val="20"/>
              </w:rPr>
              <w:t>il) (</w:t>
            </w:r>
            <w:r>
              <w:rPr>
                <w:rFonts w:eastAsia="Calibri" w:cs="Times New Roman"/>
                <w:sz w:val="20"/>
                <w:szCs w:val="20"/>
              </w:rPr>
              <w:t>By Leave</w:t>
            </w:r>
            <w:r w:rsidR="004E1E0A" w:rsidRPr="003A74F5">
              <w:rPr>
                <w:rFonts w:eastAsia="Calibri" w:cs="Times New Roman"/>
                <w:sz w:val="20"/>
                <w:szCs w:val="20"/>
              </w:rPr>
              <w:t>) (34</w:t>
            </w:r>
            <w:r>
              <w:rPr>
                <w:rFonts w:eastAsia="Calibri" w:cs="Times New Roman"/>
                <w:sz w:val="20"/>
                <w:szCs w:val="20"/>
              </w:rPr>
              <w:t>8</w:t>
            </w:r>
            <w:r w:rsidR="004E1E0A">
              <w:rPr>
                <w:rFonts w:eastAsia="Calibri" w:cs="Times New Roman"/>
                <w:sz w:val="20"/>
                <w:szCs w:val="20"/>
              </w:rPr>
              <w:t>63)</w:t>
            </w:r>
          </w:p>
        </w:tc>
      </w:tr>
      <w:tr w:rsidR="000A35BD" w:rsidRPr="0085047E" w:rsidTr="00150281">
        <w:trPr>
          <w:cantSplit/>
          <w:trHeight w:val="288"/>
        </w:trPr>
        <w:tc>
          <w:tcPr>
            <w:tcW w:w="2398" w:type="dxa"/>
          </w:tcPr>
          <w:p w:rsidR="000A35BD" w:rsidRPr="003A74F5" w:rsidRDefault="000A35BD" w:rsidP="00150281">
            <w:pPr>
              <w:rPr>
                <w:rFonts w:eastAsia="Calibri" w:cs="Times New Roman"/>
                <w:sz w:val="20"/>
                <w:szCs w:val="20"/>
              </w:rPr>
            </w:pPr>
            <w:r w:rsidRPr="003A74F5">
              <w:rPr>
                <w:rFonts w:eastAsia="Calibri" w:cs="Times New Roman"/>
                <w:sz w:val="20"/>
                <w:szCs w:val="20"/>
              </w:rPr>
              <w:lastRenderedPageBreak/>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05</w:t>
            </w:r>
            <w:r w:rsidRPr="003A74F5">
              <w:rPr>
                <w:rFonts w:eastAsia="Calibri" w:cs="Times New Roman"/>
                <w:sz w:val="20"/>
                <w:szCs w:val="20"/>
              </w:rPr>
              <w:t>-</w:t>
            </w:r>
            <w:r>
              <w:rPr>
                <w:rFonts w:eastAsia="Calibri" w:cs="Times New Roman"/>
                <w:sz w:val="20"/>
                <w:szCs w:val="20"/>
              </w:rPr>
              <w:t>23</w:t>
            </w:r>
          </w:p>
        </w:tc>
        <w:tc>
          <w:tcPr>
            <w:tcW w:w="7178" w:type="dxa"/>
          </w:tcPr>
          <w:p w:rsidR="000A35BD" w:rsidRDefault="000A35BD" w:rsidP="000A35BD">
            <w:pPr>
              <w:jc w:val="both"/>
              <w:rPr>
                <w:rFonts w:eastAsia="Calibri" w:cs="Times New Roman"/>
                <w:i/>
                <w:sz w:val="20"/>
                <w:szCs w:val="20"/>
              </w:rPr>
            </w:pPr>
            <w:r w:rsidRPr="000A35BD">
              <w:rPr>
                <w:rFonts w:eastAsia="Calibri" w:cs="Times New Roman"/>
                <w:i/>
                <w:sz w:val="20"/>
                <w:szCs w:val="20"/>
              </w:rPr>
              <w:t xml:space="preserve">Erin Lee MacDonald et al. v. Her Majesty the Queen et al. </w:t>
            </w:r>
            <w:r w:rsidRPr="003A74F5">
              <w:rPr>
                <w:rFonts w:eastAsia="Calibri" w:cs="Times New Roman"/>
                <w:sz w:val="20"/>
                <w:szCs w:val="20"/>
              </w:rPr>
              <w:t>(</w:t>
            </w:r>
            <w:r>
              <w:rPr>
                <w:rFonts w:eastAsia="Calibri" w:cs="Times New Roman"/>
                <w:sz w:val="20"/>
                <w:szCs w:val="20"/>
              </w:rPr>
              <w:t>N</w:t>
            </w:r>
            <w:r w:rsidRPr="003A74F5">
              <w:rPr>
                <w:rFonts w:eastAsia="Calibri" w:cs="Times New Roman"/>
                <w:sz w:val="20"/>
                <w:szCs w:val="20"/>
              </w:rPr>
              <w:t>.</w:t>
            </w:r>
            <w:r>
              <w:rPr>
                <w:rFonts w:eastAsia="Calibri" w:cs="Times New Roman"/>
                <w:sz w:val="20"/>
                <w:szCs w:val="20"/>
              </w:rPr>
              <w:t>S</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w:t>
            </w:r>
            <w:r>
              <w:rPr>
                <w:rFonts w:eastAsia="Calibri" w:cs="Times New Roman"/>
                <w:sz w:val="20"/>
                <w:szCs w:val="20"/>
              </w:rPr>
              <w:t>As of Right / By Leave</w:t>
            </w:r>
            <w:r w:rsidRPr="003A74F5">
              <w:rPr>
                <w:rFonts w:eastAsia="Calibri" w:cs="Times New Roman"/>
                <w:sz w:val="20"/>
                <w:szCs w:val="20"/>
              </w:rPr>
              <w:t>) (34</w:t>
            </w:r>
            <w:r>
              <w:rPr>
                <w:rFonts w:eastAsia="Calibri" w:cs="Times New Roman"/>
                <w:sz w:val="20"/>
                <w:szCs w:val="20"/>
              </w:rPr>
              <w:t>914)</w:t>
            </w:r>
          </w:p>
        </w:tc>
      </w:tr>
    </w:tbl>
    <w:p w:rsidR="004B66B4" w:rsidRPr="003A05D5" w:rsidRDefault="004B66B4" w:rsidP="004B66B4">
      <w:pPr>
        <w:ind w:left="1890" w:hanging="1890"/>
        <w:jc w:val="both"/>
        <w:rPr>
          <w:sz w:val="20"/>
          <w:szCs w:val="20"/>
        </w:rPr>
      </w:pPr>
    </w:p>
    <w:p w:rsidR="004B66B4" w:rsidRPr="00DD0B49" w:rsidRDefault="0017005E" w:rsidP="002868D0">
      <w:pPr>
        <w:jc w:val="both"/>
        <w:rPr>
          <w:sz w:val="20"/>
          <w:szCs w:val="20"/>
        </w:rPr>
      </w:pPr>
      <w:r w:rsidRPr="0017005E">
        <w:rPr>
          <w:sz w:val="20"/>
          <w:szCs w:val="20"/>
          <w:lang w:val="fr-CA"/>
        </w:rPr>
        <w:pict>
          <v:rect id="_x0000_i1079"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3A05D5" w:rsidRPr="00F41613" w:rsidRDefault="000B3C9A" w:rsidP="003A05D5">
      <w:pPr>
        <w:pStyle w:val="SCCLsocParty"/>
        <w:ind w:left="720" w:hanging="720"/>
        <w:rPr>
          <w:sz w:val="20"/>
          <w:szCs w:val="20"/>
        </w:rPr>
      </w:pPr>
      <w:r w:rsidRPr="00DD0B49">
        <w:rPr>
          <w:sz w:val="20"/>
          <w:szCs w:val="20"/>
        </w:rPr>
        <w:t>35</w:t>
      </w:r>
      <w:r w:rsidR="003A05D5">
        <w:rPr>
          <w:sz w:val="20"/>
          <w:szCs w:val="20"/>
        </w:rPr>
        <w:t>0</w:t>
      </w:r>
      <w:r w:rsidRPr="00DD0B49">
        <w:rPr>
          <w:sz w:val="20"/>
          <w:szCs w:val="20"/>
        </w:rPr>
        <w:t>6</w:t>
      </w:r>
      <w:r w:rsidR="003A05D5">
        <w:rPr>
          <w:b w:val="0"/>
          <w:sz w:val="20"/>
          <w:szCs w:val="20"/>
        </w:rPr>
        <w:t>7</w:t>
      </w:r>
      <w:r w:rsidRPr="00DD0B49">
        <w:rPr>
          <w:sz w:val="20"/>
          <w:szCs w:val="20"/>
        </w:rPr>
        <w:tab/>
      </w:r>
      <w:r w:rsidR="003A05D5" w:rsidRPr="003A05D5">
        <w:rPr>
          <w:i/>
          <w:sz w:val="20"/>
          <w:szCs w:val="20"/>
        </w:rPr>
        <w:t xml:space="preserve">Eli Lilly Canada Inc., Eli Lilly and Company, Eli Lilly and Company Limited </w:t>
      </w:r>
      <w:r w:rsidR="003A05D5">
        <w:rPr>
          <w:i/>
          <w:sz w:val="20"/>
          <w:szCs w:val="20"/>
        </w:rPr>
        <w:t>and</w:t>
      </w:r>
      <w:r w:rsidR="003A05D5" w:rsidRPr="003A05D5">
        <w:rPr>
          <w:i/>
          <w:sz w:val="20"/>
          <w:szCs w:val="20"/>
        </w:rPr>
        <w:t xml:space="preserve"> Eli Lilly SA </w:t>
      </w:r>
      <w:r w:rsidR="003A05D5">
        <w:rPr>
          <w:i/>
          <w:sz w:val="20"/>
          <w:szCs w:val="20"/>
        </w:rPr>
        <w:t>v</w:t>
      </w:r>
      <w:r w:rsidR="003A05D5" w:rsidRPr="003A05D5">
        <w:rPr>
          <w:i/>
          <w:sz w:val="20"/>
          <w:szCs w:val="20"/>
        </w:rPr>
        <w:t xml:space="preserve">. </w:t>
      </w:r>
      <w:proofErr w:type="spellStart"/>
      <w:r w:rsidR="003A05D5" w:rsidRPr="003A05D5">
        <w:rPr>
          <w:i/>
          <w:sz w:val="20"/>
          <w:szCs w:val="20"/>
        </w:rPr>
        <w:t>Novopharm</w:t>
      </w:r>
      <w:proofErr w:type="spellEnd"/>
      <w:r w:rsidR="003A05D5" w:rsidRPr="003A05D5">
        <w:rPr>
          <w:i/>
          <w:sz w:val="20"/>
          <w:szCs w:val="20"/>
        </w:rPr>
        <w:t xml:space="preserve"> Limited</w:t>
      </w:r>
      <w:r w:rsidR="003A05D5">
        <w:rPr>
          <w:sz w:val="20"/>
          <w:szCs w:val="20"/>
        </w:rPr>
        <w:t xml:space="preserve"> </w:t>
      </w:r>
      <w:r w:rsidR="003A05D5" w:rsidRPr="003A05D5">
        <w:rPr>
          <w:b w:val="0"/>
          <w:sz w:val="20"/>
          <w:szCs w:val="20"/>
        </w:rPr>
        <w:t>(F.C.) (Civil) (By Leave)</w:t>
      </w:r>
    </w:p>
    <w:p w:rsidR="003A05D5" w:rsidRDefault="003A05D5" w:rsidP="000B3C9A">
      <w:pPr>
        <w:tabs>
          <w:tab w:val="left" w:pos="-1440"/>
          <w:tab w:val="left" w:pos="-720"/>
        </w:tabs>
        <w:ind w:left="720" w:hanging="720"/>
        <w:jc w:val="both"/>
        <w:rPr>
          <w:sz w:val="20"/>
          <w:szCs w:val="20"/>
        </w:rPr>
      </w:pPr>
    </w:p>
    <w:p w:rsidR="003A05D5" w:rsidRDefault="003A05D5" w:rsidP="003A05D5">
      <w:pPr>
        <w:tabs>
          <w:tab w:val="left" w:pos="-1440"/>
          <w:tab w:val="left" w:pos="-720"/>
        </w:tabs>
        <w:jc w:val="both"/>
        <w:rPr>
          <w:sz w:val="20"/>
          <w:szCs w:val="20"/>
        </w:rPr>
      </w:pPr>
      <w:r w:rsidRPr="0069439A">
        <w:rPr>
          <w:sz w:val="20"/>
          <w:szCs w:val="20"/>
        </w:rPr>
        <w:t xml:space="preserve">Intellectual property </w:t>
      </w:r>
      <w:r w:rsidR="008824C1">
        <w:rPr>
          <w:sz w:val="20"/>
          <w:szCs w:val="20"/>
        </w:rPr>
        <w:t>-</w:t>
      </w:r>
      <w:r w:rsidRPr="0069439A">
        <w:rPr>
          <w:sz w:val="20"/>
          <w:szCs w:val="20"/>
        </w:rPr>
        <w:t xml:space="preserve"> Patents </w:t>
      </w:r>
      <w:r w:rsidR="008824C1">
        <w:rPr>
          <w:sz w:val="20"/>
          <w:szCs w:val="20"/>
        </w:rPr>
        <w:t>-</w:t>
      </w:r>
      <w:r w:rsidRPr="0069439A">
        <w:rPr>
          <w:sz w:val="20"/>
          <w:szCs w:val="20"/>
        </w:rPr>
        <w:t xml:space="preserve"> Medicines </w:t>
      </w:r>
      <w:r w:rsidR="008824C1">
        <w:rPr>
          <w:sz w:val="20"/>
          <w:szCs w:val="20"/>
        </w:rPr>
        <w:t>-</w:t>
      </w:r>
      <w:r w:rsidRPr="0069439A">
        <w:rPr>
          <w:sz w:val="20"/>
          <w:szCs w:val="20"/>
        </w:rPr>
        <w:t xml:space="preserve"> Infringement </w:t>
      </w:r>
      <w:r w:rsidR="008824C1">
        <w:rPr>
          <w:sz w:val="20"/>
          <w:szCs w:val="20"/>
        </w:rPr>
        <w:t>-</w:t>
      </w:r>
      <w:r w:rsidRPr="0069439A">
        <w:rPr>
          <w:sz w:val="20"/>
          <w:szCs w:val="20"/>
        </w:rPr>
        <w:t xml:space="preserve"> Whether the creation by the Federal Court of Appeal of a new non-statutory test for “utility”, the so-called “Promise Doctrine”, is a matter of public importance.</w:t>
      </w:r>
    </w:p>
    <w:p w:rsidR="000B3C9A" w:rsidRPr="00DD0B49" w:rsidRDefault="000B3C9A" w:rsidP="000B3C9A">
      <w:pPr>
        <w:tabs>
          <w:tab w:val="left" w:pos="-1440"/>
          <w:tab w:val="left" w:pos="-720"/>
        </w:tabs>
        <w:ind w:left="720" w:hanging="720"/>
        <w:jc w:val="both"/>
        <w:rPr>
          <w:sz w:val="20"/>
          <w:szCs w:val="20"/>
        </w:rPr>
      </w:pPr>
    </w:p>
    <w:p w:rsidR="000B3C9A" w:rsidRPr="00DD0B49" w:rsidRDefault="0017005E" w:rsidP="000B3C9A">
      <w:pPr>
        <w:tabs>
          <w:tab w:val="left" w:pos="-1440"/>
          <w:tab w:val="left" w:pos="-720"/>
        </w:tabs>
        <w:ind w:left="720" w:hanging="720"/>
        <w:jc w:val="both"/>
        <w:rPr>
          <w:sz w:val="20"/>
          <w:szCs w:val="20"/>
        </w:rPr>
      </w:pPr>
      <w:r w:rsidRPr="0017005E">
        <w:rPr>
          <w:sz w:val="20"/>
          <w:szCs w:val="20"/>
          <w:lang w:val="fr-CA"/>
        </w:rPr>
        <w:pict>
          <v:rect id="_x0000_i1082"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rPr>
      </w:pPr>
    </w:p>
    <w:p w:rsidR="003A05D5" w:rsidRPr="003A05D5" w:rsidRDefault="003A05D5" w:rsidP="003A05D5">
      <w:pPr>
        <w:pStyle w:val="SCCLsocParty"/>
        <w:ind w:left="720" w:hanging="720"/>
        <w:rPr>
          <w:sz w:val="20"/>
          <w:szCs w:val="20"/>
          <w:lang w:val="fr-CA"/>
        </w:rPr>
      </w:pPr>
      <w:proofErr w:type="gramStart"/>
      <w:r>
        <w:rPr>
          <w:sz w:val="20"/>
          <w:szCs w:val="20"/>
        </w:rPr>
        <w:t>35067</w:t>
      </w:r>
      <w:r>
        <w:rPr>
          <w:sz w:val="20"/>
          <w:szCs w:val="20"/>
        </w:rPr>
        <w:tab/>
      </w:r>
      <w:r w:rsidRPr="003A05D5">
        <w:rPr>
          <w:i/>
          <w:sz w:val="20"/>
          <w:szCs w:val="20"/>
        </w:rPr>
        <w:t xml:space="preserve">Eli Lilly Canada Inc., Eli Lilly and Company, Eli Lilly and Company Limited et Eli Lilly SA c. </w:t>
      </w:r>
      <w:proofErr w:type="spellStart"/>
      <w:r w:rsidRPr="003A05D5">
        <w:rPr>
          <w:i/>
          <w:sz w:val="20"/>
          <w:szCs w:val="20"/>
        </w:rPr>
        <w:t>Novopharm</w:t>
      </w:r>
      <w:proofErr w:type="spellEnd"/>
      <w:r w:rsidRPr="003A05D5">
        <w:rPr>
          <w:i/>
          <w:sz w:val="20"/>
          <w:szCs w:val="20"/>
        </w:rPr>
        <w:t xml:space="preserve"> Limited</w:t>
      </w:r>
      <w:proofErr w:type="gramEnd"/>
      <w:r>
        <w:rPr>
          <w:sz w:val="20"/>
          <w:szCs w:val="20"/>
        </w:rPr>
        <w:t xml:space="preserve"> </w:t>
      </w:r>
      <w:r w:rsidRPr="003A05D5">
        <w:rPr>
          <w:b w:val="0"/>
          <w:sz w:val="20"/>
          <w:szCs w:val="20"/>
        </w:rPr>
        <w:t xml:space="preserve">(C.F.) </w:t>
      </w:r>
      <w:r w:rsidRPr="003A05D5">
        <w:rPr>
          <w:b w:val="0"/>
          <w:sz w:val="20"/>
          <w:szCs w:val="20"/>
          <w:lang w:val="fr-CA"/>
        </w:rPr>
        <w:t>(Civile) (Sur autorisation)</w:t>
      </w:r>
    </w:p>
    <w:p w:rsidR="003A05D5" w:rsidRPr="003A05D5" w:rsidRDefault="003A05D5" w:rsidP="000B3C9A">
      <w:pPr>
        <w:tabs>
          <w:tab w:val="left" w:pos="-1440"/>
          <w:tab w:val="left" w:pos="-720"/>
        </w:tabs>
        <w:ind w:left="720" w:hanging="720"/>
        <w:jc w:val="both"/>
        <w:rPr>
          <w:sz w:val="20"/>
          <w:szCs w:val="20"/>
          <w:lang w:val="fr-CA"/>
        </w:rPr>
      </w:pPr>
    </w:p>
    <w:p w:rsidR="003A05D5" w:rsidRPr="003A05D5" w:rsidRDefault="003A05D5" w:rsidP="003A05D5">
      <w:pPr>
        <w:tabs>
          <w:tab w:val="left" w:pos="-1440"/>
          <w:tab w:val="left" w:pos="-720"/>
        </w:tabs>
        <w:jc w:val="both"/>
        <w:rPr>
          <w:sz w:val="20"/>
          <w:szCs w:val="20"/>
          <w:lang w:val="fr-CA"/>
        </w:rPr>
      </w:pPr>
      <w:r w:rsidRPr="00F41613">
        <w:rPr>
          <w:sz w:val="20"/>
          <w:szCs w:val="20"/>
          <w:lang w:val="fr-FR"/>
        </w:rPr>
        <w:t xml:space="preserve">Propriété intellectuelle </w:t>
      </w:r>
      <w:r w:rsidR="008824C1">
        <w:rPr>
          <w:sz w:val="20"/>
          <w:szCs w:val="20"/>
          <w:lang w:val="fr-FR"/>
        </w:rPr>
        <w:t>-</w:t>
      </w:r>
      <w:r w:rsidRPr="00F41613">
        <w:rPr>
          <w:sz w:val="20"/>
          <w:szCs w:val="20"/>
          <w:lang w:val="fr-FR"/>
        </w:rPr>
        <w:t xml:space="preserve"> Brevets </w:t>
      </w:r>
      <w:r w:rsidR="008824C1">
        <w:rPr>
          <w:sz w:val="20"/>
          <w:szCs w:val="20"/>
          <w:lang w:val="fr-FR"/>
        </w:rPr>
        <w:t>-</w:t>
      </w:r>
      <w:r w:rsidRPr="00F41613">
        <w:rPr>
          <w:sz w:val="20"/>
          <w:szCs w:val="20"/>
          <w:lang w:val="fr-FR"/>
        </w:rPr>
        <w:t xml:space="preserve"> Médicaments </w:t>
      </w:r>
      <w:r w:rsidR="008824C1">
        <w:rPr>
          <w:sz w:val="20"/>
          <w:szCs w:val="20"/>
          <w:lang w:val="fr-FR"/>
        </w:rPr>
        <w:t>-</w:t>
      </w:r>
      <w:r w:rsidRPr="00F41613">
        <w:rPr>
          <w:sz w:val="20"/>
          <w:szCs w:val="20"/>
          <w:lang w:val="fr-FR"/>
        </w:rPr>
        <w:t xml:space="preserve"> Contrefaçon </w:t>
      </w:r>
      <w:r w:rsidR="008824C1">
        <w:rPr>
          <w:sz w:val="20"/>
          <w:szCs w:val="20"/>
          <w:lang w:val="fr-FR"/>
        </w:rPr>
        <w:t>-</w:t>
      </w:r>
      <w:r w:rsidRPr="00F41613">
        <w:rPr>
          <w:sz w:val="20"/>
          <w:szCs w:val="20"/>
          <w:lang w:val="fr-FR"/>
        </w:rPr>
        <w:t xml:space="preserve"> La formulation par la Cour d’appel fédérale d’un nouveau critère d’« utilité » non prévu par la loi, que l’on appelle la « doctrine de la promesse », est-elle une question d’importance pour le public?</w:t>
      </w:r>
    </w:p>
    <w:p w:rsidR="003A05D5" w:rsidRPr="003A05D5" w:rsidRDefault="003A05D5" w:rsidP="000B3C9A">
      <w:pPr>
        <w:tabs>
          <w:tab w:val="left" w:pos="-1440"/>
          <w:tab w:val="left" w:pos="-720"/>
        </w:tabs>
        <w:ind w:left="720" w:hanging="720"/>
        <w:jc w:val="both"/>
        <w:rPr>
          <w:sz w:val="20"/>
          <w:szCs w:val="20"/>
          <w:lang w:val="fr-CA"/>
        </w:rPr>
      </w:pPr>
    </w:p>
    <w:p w:rsidR="000B3C9A" w:rsidRPr="00DD0B49" w:rsidRDefault="0017005E" w:rsidP="000B3C9A">
      <w:pPr>
        <w:tabs>
          <w:tab w:val="left" w:pos="-1440"/>
          <w:tab w:val="left" w:pos="-720"/>
        </w:tabs>
        <w:ind w:left="720" w:hanging="720"/>
        <w:jc w:val="both"/>
        <w:rPr>
          <w:sz w:val="20"/>
          <w:szCs w:val="20"/>
          <w:lang w:val="fr-CA"/>
        </w:rPr>
      </w:pPr>
      <w:r w:rsidRPr="0017005E">
        <w:rPr>
          <w:sz w:val="20"/>
          <w:szCs w:val="20"/>
          <w:lang w:val="fr-CA"/>
        </w:rPr>
        <w:pict>
          <v:rect id="_x0000_i1083"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lang w:val="fr-CA"/>
        </w:rPr>
      </w:pPr>
    </w:p>
    <w:p w:rsidR="003A05D5" w:rsidRPr="003A05D5" w:rsidRDefault="003A05D5" w:rsidP="003A05D5">
      <w:pPr>
        <w:pStyle w:val="SCCLsocParty"/>
        <w:ind w:left="720" w:hanging="720"/>
        <w:rPr>
          <w:b w:val="0"/>
          <w:sz w:val="20"/>
          <w:szCs w:val="20"/>
        </w:rPr>
      </w:pPr>
      <w:r w:rsidRPr="003A05D5">
        <w:rPr>
          <w:sz w:val="20"/>
          <w:szCs w:val="20"/>
        </w:rPr>
        <w:t>34767</w:t>
      </w:r>
      <w:r w:rsidRPr="003A05D5">
        <w:rPr>
          <w:sz w:val="20"/>
          <w:szCs w:val="20"/>
        </w:rPr>
        <w:tab/>
      </w:r>
      <w:r w:rsidRPr="003A05D5">
        <w:rPr>
          <w:i/>
          <w:sz w:val="20"/>
          <w:szCs w:val="20"/>
        </w:rPr>
        <w:t xml:space="preserve">Attorney General of Canada on behalf of the Czech Republic and the Minister of Justice of Canada v. </w:t>
      </w:r>
      <w:proofErr w:type="spellStart"/>
      <w:r w:rsidRPr="003A05D5">
        <w:rPr>
          <w:i/>
          <w:sz w:val="20"/>
          <w:szCs w:val="20"/>
        </w:rPr>
        <w:t>Bretislav</w:t>
      </w:r>
      <w:proofErr w:type="spellEnd"/>
      <w:r w:rsidRPr="003A05D5">
        <w:rPr>
          <w:i/>
          <w:sz w:val="20"/>
          <w:szCs w:val="20"/>
        </w:rPr>
        <w:t xml:space="preserve"> </w:t>
      </w:r>
      <w:proofErr w:type="spellStart"/>
      <w:r w:rsidRPr="003A05D5">
        <w:rPr>
          <w:i/>
          <w:sz w:val="20"/>
          <w:szCs w:val="20"/>
        </w:rPr>
        <w:t>Zajicek</w:t>
      </w:r>
      <w:proofErr w:type="spellEnd"/>
      <w:r w:rsidRPr="003A05D5">
        <w:rPr>
          <w:b w:val="0"/>
          <w:sz w:val="20"/>
          <w:szCs w:val="20"/>
        </w:rPr>
        <w:t xml:space="preserve"> (Ont.) (Criminal) (By Leave)</w:t>
      </w:r>
    </w:p>
    <w:p w:rsidR="003A05D5" w:rsidRDefault="003A05D5" w:rsidP="000B3C9A">
      <w:pPr>
        <w:tabs>
          <w:tab w:val="left" w:pos="-1440"/>
          <w:tab w:val="left" w:pos="-720"/>
        </w:tabs>
        <w:ind w:left="720" w:hanging="720"/>
        <w:jc w:val="both"/>
        <w:rPr>
          <w:sz w:val="20"/>
          <w:szCs w:val="20"/>
        </w:rPr>
      </w:pPr>
    </w:p>
    <w:p w:rsidR="003A05D5" w:rsidRDefault="003A05D5" w:rsidP="003A05D5">
      <w:pPr>
        <w:tabs>
          <w:tab w:val="left" w:pos="-1440"/>
          <w:tab w:val="left" w:pos="-720"/>
        </w:tabs>
        <w:jc w:val="both"/>
        <w:rPr>
          <w:sz w:val="20"/>
          <w:szCs w:val="20"/>
        </w:rPr>
      </w:pPr>
      <w:r w:rsidRPr="003A5B78">
        <w:rPr>
          <w:sz w:val="20"/>
          <w:szCs w:val="20"/>
        </w:rPr>
        <w:t>Criminal Law</w:t>
      </w:r>
      <w:r w:rsidR="008824C1">
        <w:rPr>
          <w:sz w:val="20"/>
          <w:szCs w:val="20"/>
        </w:rPr>
        <w:t xml:space="preserve"> - </w:t>
      </w:r>
      <w:r w:rsidRPr="003A5B78">
        <w:rPr>
          <w:sz w:val="20"/>
          <w:szCs w:val="20"/>
        </w:rPr>
        <w:t>Extradition</w:t>
      </w:r>
      <w:r w:rsidR="008824C1">
        <w:rPr>
          <w:sz w:val="20"/>
          <w:szCs w:val="20"/>
        </w:rPr>
        <w:t xml:space="preserve"> - </w:t>
      </w:r>
      <w:r w:rsidRPr="003A5B78">
        <w:rPr>
          <w:sz w:val="20"/>
          <w:szCs w:val="20"/>
        </w:rPr>
        <w:t>Jurisdiction</w:t>
      </w:r>
      <w:r w:rsidR="008824C1">
        <w:rPr>
          <w:sz w:val="20"/>
          <w:szCs w:val="20"/>
        </w:rPr>
        <w:t xml:space="preserve"> -</w:t>
      </w:r>
      <w:r w:rsidRPr="003A5B78">
        <w:rPr>
          <w:sz w:val="20"/>
          <w:szCs w:val="20"/>
        </w:rPr>
        <w:t xml:space="preserve"> Whether an extradition judge’s jurisdiction extends to considering allegations of misconduct by authorities in the requesting state that do not impact on the fairness of the extradition hearing</w:t>
      </w:r>
      <w:r w:rsidR="008824C1">
        <w:rPr>
          <w:sz w:val="20"/>
          <w:szCs w:val="20"/>
        </w:rPr>
        <w:t xml:space="preserve"> - </w:t>
      </w:r>
      <w:r w:rsidRPr="003A5B78">
        <w:rPr>
          <w:sz w:val="20"/>
          <w:szCs w:val="20"/>
        </w:rPr>
        <w:t>Scope of a reviewing court’s remedial jurisdiction in applying curative proviso in section 53(b</w:t>
      </w:r>
      <w:proofErr w:type="gramStart"/>
      <w:r w:rsidRPr="003A5B78">
        <w:rPr>
          <w:sz w:val="20"/>
          <w:szCs w:val="20"/>
        </w:rPr>
        <w:t>)(</w:t>
      </w:r>
      <w:proofErr w:type="gramEnd"/>
      <w:r w:rsidRPr="003A5B78">
        <w:rPr>
          <w:sz w:val="20"/>
          <w:szCs w:val="20"/>
        </w:rPr>
        <w:t xml:space="preserve">ii) of the </w:t>
      </w:r>
      <w:r w:rsidRPr="003A5B78">
        <w:rPr>
          <w:i/>
          <w:sz w:val="20"/>
          <w:szCs w:val="20"/>
        </w:rPr>
        <w:t>Extradition Act</w:t>
      </w:r>
      <w:r w:rsidRPr="003A5B78">
        <w:rPr>
          <w:sz w:val="20"/>
          <w:szCs w:val="20"/>
        </w:rPr>
        <w:t>, S.C. 1999, c. 18</w:t>
      </w:r>
      <w:r w:rsidR="008824C1">
        <w:rPr>
          <w:sz w:val="20"/>
          <w:szCs w:val="20"/>
        </w:rPr>
        <w:t xml:space="preserve"> -</w:t>
      </w:r>
      <w:r w:rsidRPr="003A5B78">
        <w:rPr>
          <w:sz w:val="20"/>
          <w:szCs w:val="20"/>
        </w:rPr>
        <w:t xml:space="preserve"> </w:t>
      </w:r>
      <w:r w:rsidRPr="003A5B78">
        <w:rPr>
          <w:i/>
          <w:sz w:val="20"/>
          <w:szCs w:val="20"/>
        </w:rPr>
        <w:t>Extradition Act</w:t>
      </w:r>
      <w:r w:rsidRPr="003A5B78">
        <w:rPr>
          <w:sz w:val="20"/>
          <w:szCs w:val="20"/>
        </w:rPr>
        <w:t>, ss. 25, 29, 44(1)(a), 53(b)(ii), 54.</w:t>
      </w:r>
    </w:p>
    <w:p w:rsidR="003A05D5" w:rsidRDefault="003A05D5" w:rsidP="003A05D5">
      <w:pPr>
        <w:tabs>
          <w:tab w:val="left" w:pos="-1440"/>
          <w:tab w:val="left" w:pos="-720"/>
        </w:tabs>
        <w:jc w:val="both"/>
        <w:rPr>
          <w:sz w:val="20"/>
          <w:szCs w:val="20"/>
        </w:rPr>
      </w:pPr>
    </w:p>
    <w:p w:rsidR="003A05D5" w:rsidRDefault="0017005E" w:rsidP="003A05D5">
      <w:pPr>
        <w:tabs>
          <w:tab w:val="left" w:pos="-1440"/>
          <w:tab w:val="left" w:pos="-720"/>
        </w:tabs>
        <w:jc w:val="both"/>
        <w:rPr>
          <w:sz w:val="20"/>
          <w:szCs w:val="20"/>
          <w:lang w:val="fr-CA"/>
        </w:rPr>
      </w:pPr>
      <w:r w:rsidRPr="0017005E">
        <w:rPr>
          <w:sz w:val="20"/>
          <w:szCs w:val="20"/>
          <w:lang w:val="fr-CA"/>
        </w:rPr>
        <w:pict>
          <v:rect id="_x0000_i1084" style="width:2in;height:1pt" o:hrpct="0" o:hralign="center" o:hrstd="t" o:hrnoshade="t" o:hr="t" fillcolor="black [3213]" stroked="f"/>
        </w:pict>
      </w:r>
    </w:p>
    <w:p w:rsidR="003A05D5" w:rsidRDefault="003A05D5" w:rsidP="003A05D5">
      <w:pPr>
        <w:tabs>
          <w:tab w:val="left" w:pos="-1440"/>
          <w:tab w:val="left" w:pos="-720"/>
        </w:tabs>
        <w:jc w:val="both"/>
        <w:rPr>
          <w:sz w:val="20"/>
          <w:szCs w:val="20"/>
          <w:lang w:val="fr-CA"/>
        </w:rPr>
      </w:pPr>
    </w:p>
    <w:p w:rsidR="003A05D5" w:rsidRDefault="003A05D5" w:rsidP="003A05D5">
      <w:pPr>
        <w:pStyle w:val="SCCLsocParty"/>
        <w:ind w:left="720" w:hanging="720"/>
        <w:rPr>
          <w:b w:val="0"/>
          <w:sz w:val="20"/>
          <w:szCs w:val="20"/>
          <w:lang w:val="fr-CA"/>
        </w:rPr>
      </w:pPr>
      <w:r w:rsidRPr="003A05D5">
        <w:rPr>
          <w:sz w:val="20"/>
          <w:szCs w:val="20"/>
          <w:lang w:val="fr-CA"/>
        </w:rPr>
        <w:t>34767</w:t>
      </w:r>
      <w:r>
        <w:rPr>
          <w:sz w:val="20"/>
          <w:szCs w:val="20"/>
          <w:lang w:val="fr-CA"/>
        </w:rPr>
        <w:tab/>
      </w:r>
      <w:r w:rsidRPr="003A05D5">
        <w:rPr>
          <w:i/>
          <w:sz w:val="20"/>
          <w:szCs w:val="20"/>
          <w:lang w:val="fr-CA"/>
        </w:rPr>
        <w:t xml:space="preserve">Procureur général du Canada au nom de la République tchèque et le ministre de la Justice du Canada c. </w:t>
      </w:r>
      <w:proofErr w:type="spellStart"/>
      <w:r w:rsidRPr="003A05D5">
        <w:rPr>
          <w:i/>
          <w:sz w:val="20"/>
          <w:szCs w:val="20"/>
          <w:lang w:val="fr-CA"/>
        </w:rPr>
        <w:t>Bretislav</w:t>
      </w:r>
      <w:proofErr w:type="spellEnd"/>
      <w:r w:rsidRPr="003A05D5">
        <w:rPr>
          <w:i/>
          <w:sz w:val="20"/>
          <w:szCs w:val="20"/>
          <w:lang w:val="fr-CA"/>
        </w:rPr>
        <w:t xml:space="preserve"> </w:t>
      </w:r>
      <w:proofErr w:type="spellStart"/>
      <w:r w:rsidRPr="003A05D5">
        <w:rPr>
          <w:i/>
          <w:sz w:val="20"/>
          <w:szCs w:val="20"/>
          <w:lang w:val="fr-CA"/>
        </w:rPr>
        <w:t>Zajicek</w:t>
      </w:r>
      <w:proofErr w:type="spellEnd"/>
      <w:r>
        <w:rPr>
          <w:b w:val="0"/>
          <w:sz w:val="20"/>
          <w:szCs w:val="20"/>
          <w:lang w:val="fr-CA"/>
        </w:rPr>
        <w:t xml:space="preserve"> </w:t>
      </w:r>
      <w:r w:rsidRPr="003A05D5">
        <w:rPr>
          <w:b w:val="0"/>
          <w:sz w:val="20"/>
          <w:szCs w:val="20"/>
          <w:lang w:val="fr-CA"/>
        </w:rPr>
        <w:t>(Ont.) (Criminelle) (Sur autorisation)</w:t>
      </w:r>
    </w:p>
    <w:p w:rsidR="003A05D5" w:rsidRDefault="003A05D5" w:rsidP="003A05D5">
      <w:pPr>
        <w:rPr>
          <w:lang w:val="fr-CA"/>
        </w:rPr>
      </w:pPr>
    </w:p>
    <w:p w:rsidR="003A05D5" w:rsidRDefault="003A05D5" w:rsidP="00CE567E">
      <w:pPr>
        <w:jc w:val="both"/>
        <w:rPr>
          <w:sz w:val="20"/>
          <w:szCs w:val="20"/>
          <w:lang w:val="fr-CA"/>
        </w:rPr>
      </w:pPr>
      <w:r w:rsidRPr="00A56665">
        <w:rPr>
          <w:sz w:val="20"/>
          <w:szCs w:val="20"/>
          <w:lang w:val="fr-CA"/>
        </w:rPr>
        <w:t xml:space="preserve">Droit criminel </w:t>
      </w:r>
      <w:r w:rsidR="008824C1">
        <w:rPr>
          <w:sz w:val="20"/>
          <w:szCs w:val="20"/>
          <w:lang w:val="fr-CA"/>
        </w:rPr>
        <w:t>-</w:t>
      </w:r>
      <w:r w:rsidRPr="00A56665">
        <w:rPr>
          <w:sz w:val="20"/>
          <w:szCs w:val="20"/>
          <w:lang w:val="fr-CA"/>
        </w:rPr>
        <w:t xml:space="preserve"> Extradition </w:t>
      </w:r>
      <w:r w:rsidR="008824C1">
        <w:rPr>
          <w:sz w:val="20"/>
          <w:szCs w:val="20"/>
          <w:lang w:val="fr-CA"/>
        </w:rPr>
        <w:t>-</w:t>
      </w:r>
      <w:r w:rsidRPr="00A56665">
        <w:rPr>
          <w:sz w:val="20"/>
          <w:szCs w:val="20"/>
          <w:lang w:val="fr-CA"/>
        </w:rPr>
        <w:t xml:space="preserve"> Compétence </w:t>
      </w:r>
      <w:r w:rsidR="008824C1">
        <w:rPr>
          <w:sz w:val="20"/>
          <w:szCs w:val="20"/>
          <w:lang w:val="fr-CA"/>
        </w:rPr>
        <w:t>-</w:t>
      </w:r>
      <w:r w:rsidRPr="00A56665">
        <w:rPr>
          <w:sz w:val="20"/>
          <w:szCs w:val="20"/>
          <w:lang w:val="fr-CA"/>
        </w:rPr>
        <w:t xml:space="preserve"> La compétence du juge d’extradition va-t-elle jusqu’à lui permettre de considérer des allégations d’inconduite, de la part des autorités de l’État requérant, qui n’ont aucune incidence sur l’équité de l’audience en matière d’extradition?  </w:t>
      </w:r>
      <w:r w:rsidR="008824C1">
        <w:rPr>
          <w:sz w:val="20"/>
          <w:szCs w:val="20"/>
          <w:lang w:val="fr-CA"/>
        </w:rPr>
        <w:t>-</w:t>
      </w:r>
      <w:r w:rsidRPr="00A56665">
        <w:rPr>
          <w:sz w:val="20"/>
          <w:szCs w:val="20"/>
          <w:lang w:val="fr-CA"/>
        </w:rPr>
        <w:t xml:space="preserve"> Portée de la compétence en matière de réparation dans l’application de la disposition réparatrice prévue au sous-alinéa 53</w:t>
      </w:r>
      <w:r w:rsidRPr="00A56665">
        <w:rPr>
          <w:i/>
          <w:sz w:val="20"/>
          <w:szCs w:val="20"/>
          <w:lang w:val="fr-CA"/>
        </w:rPr>
        <w:t>b</w:t>
      </w:r>
      <w:proofErr w:type="gramStart"/>
      <w:r w:rsidRPr="00A56665">
        <w:rPr>
          <w:sz w:val="20"/>
          <w:szCs w:val="20"/>
          <w:lang w:val="fr-CA"/>
        </w:rPr>
        <w:t>)(</w:t>
      </w:r>
      <w:proofErr w:type="gramEnd"/>
      <w:r w:rsidRPr="00A56665">
        <w:rPr>
          <w:sz w:val="20"/>
          <w:szCs w:val="20"/>
          <w:lang w:val="fr-CA"/>
        </w:rPr>
        <w:t xml:space="preserve">ii) de la </w:t>
      </w:r>
      <w:r w:rsidRPr="00A56665">
        <w:rPr>
          <w:i/>
          <w:sz w:val="20"/>
          <w:szCs w:val="20"/>
          <w:lang w:val="fr-CA"/>
        </w:rPr>
        <w:t>Loi sur l’extradition</w:t>
      </w:r>
      <w:r w:rsidRPr="00A56665">
        <w:rPr>
          <w:sz w:val="20"/>
          <w:szCs w:val="20"/>
          <w:lang w:val="fr-CA"/>
        </w:rPr>
        <w:t xml:space="preserve">, L.C. 1999, ch. 18 </w:t>
      </w:r>
      <w:r w:rsidR="008824C1">
        <w:rPr>
          <w:sz w:val="20"/>
          <w:szCs w:val="20"/>
          <w:lang w:val="fr-CA"/>
        </w:rPr>
        <w:t>-</w:t>
      </w:r>
      <w:r w:rsidRPr="00A56665">
        <w:rPr>
          <w:sz w:val="20"/>
          <w:szCs w:val="20"/>
          <w:lang w:val="fr-CA"/>
        </w:rPr>
        <w:t xml:space="preserve"> </w:t>
      </w:r>
      <w:r w:rsidRPr="00A56665">
        <w:rPr>
          <w:i/>
          <w:sz w:val="20"/>
          <w:szCs w:val="20"/>
          <w:lang w:val="fr-CA"/>
        </w:rPr>
        <w:t>Loi sur l’extradition</w:t>
      </w:r>
      <w:r w:rsidRPr="00A56665">
        <w:rPr>
          <w:sz w:val="20"/>
          <w:szCs w:val="20"/>
          <w:lang w:val="fr-CA"/>
        </w:rPr>
        <w:t>, art. 25, 29, 44(1)</w:t>
      </w:r>
      <w:r w:rsidRPr="00A56665">
        <w:rPr>
          <w:i/>
          <w:sz w:val="20"/>
          <w:szCs w:val="20"/>
          <w:lang w:val="fr-CA"/>
        </w:rPr>
        <w:t>a</w:t>
      </w:r>
      <w:r w:rsidRPr="00A56665">
        <w:rPr>
          <w:sz w:val="20"/>
          <w:szCs w:val="20"/>
          <w:lang w:val="fr-CA"/>
        </w:rPr>
        <w:t>), 53</w:t>
      </w:r>
      <w:r w:rsidRPr="00A56665">
        <w:rPr>
          <w:i/>
          <w:sz w:val="20"/>
          <w:szCs w:val="20"/>
          <w:lang w:val="fr-CA"/>
        </w:rPr>
        <w:t>b</w:t>
      </w:r>
      <w:proofErr w:type="gramStart"/>
      <w:r w:rsidRPr="00A56665">
        <w:rPr>
          <w:sz w:val="20"/>
          <w:szCs w:val="20"/>
          <w:lang w:val="fr-CA"/>
        </w:rPr>
        <w:t>)(</w:t>
      </w:r>
      <w:proofErr w:type="gramEnd"/>
      <w:r w:rsidRPr="00A56665">
        <w:rPr>
          <w:sz w:val="20"/>
          <w:szCs w:val="20"/>
          <w:lang w:val="fr-CA"/>
        </w:rPr>
        <w:t>ii), 54.</w:t>
      </w:r>
    </w:p>
    <w:p w:rsidR="003A05D5" w:rsidRDefault="003A05D5" w:rsidP="003A05D5">
      <w:pPr>
        <w:rPr>
          <w:sz w:val="20"/>
          <w:szCs w:val="20"/>
          <w:lang w:val="fr-CA"/>
        </w:rPr>
      </w:pPr>
    </w:p>
    <w:p w:rsidR="00486901" w:rsidRDefault="0017005E" w:rsidP="003A05D5">
      <w:pPr>
        <w:rPr>
          <w:sz w:val="20"/>
          <w:szCs w:val="20"/>
          <w:lang w:val="fr-CA"/>
        </w:rPr>
      </w:pPr>
      <w:r w:rsidRPr="0017005E">
        <w:rPr>
          <w:sz w:val="20"/>
          <w:szCs w:val="20"/>
          <w:lang w:val="fr-CA"/>
        </w:rPr>
        <w:pict>
          <v:rect id="_x0000_i1085" style="width:2in;height:1pt" o:hrpct="0" o:hralign="center" o:hrstd="t" o:hrnoshade="t" o:hr="t" fillcolor="black [3213]" stroked="f"/>
        </w:pict>
      </w:r>
    </w:p>
    <w:p w:rsidR="00486901" w:rsidRDefault="00486901" w:rsidP="003A05D5">
      <w:pPr>
        <w:rPr>
          <w:sz w:val="20"/>
          <w:szCs w:val="20"/>
          <w:lang w:val="fr-CA"/>
        </w:rPr>
      </w:pPr>
    </w:p>
    <w:p w:rsidR="00CE567E" w:rsidRPr="00CE567E" w:rsidRDefault="00CE567E" w:rsidP="00CE567E">
      <w:pPr>
        <w:pStyle w:val="SCCLsocParty"/>
        <w:rPr>
          <w:b w:val="0"/>
          <w:sz w:val="20"/>
          <w:szCs w:val="20"/>
        </w:rPr>
      </w:pPr>
      <w:proofErr w:type="gramStart"/>
      <w:r w:rsidRPr="00CE567E">
        <w:rPr>
          <w:sz w:val="20"/>
          <w:szCs w:val="20"/>
        </w:rPr>
        <w:t>35132</w:t>
      </w:r>
      <w:r w:rsidRPr="00CE567E">
        <w:rPr>
          <w:sz w:val="20"/>
          <w:szCs w:val="20"/>
        </w:rPr>
        <w:tab/>
      </w:r>
      <w:r w:rsidRPr="00CE567E">
        <w:rPr>
          <w:i/>
          <w:sz w:val="20"/>
          <w:szCs w:val="20"/>
        </w:rPr>
        <w:t xml:space="preserve">Mohammad Hassan </w:t>
      </w:r>
      <w:proofErr w:type="spellStart"/>
      <w:r w:rsidRPr="00CE567E">
        <w:rPr>
          <w:i/>
          <w:sz w:val="20"/>
          <w:szCs w:val="20"/>
        </w:rPr>
        <w:t>Mian</w:t>
      </w:r>
      <w:proofErr w:type="spellEnd"/>
      <w:r w:rsidRPr="00CE567E">
        <w:rPr>
          <w:i/>
          <w:sz w:val="20"/>
          <w:szCs w:val="20"/>
        </w:rPr>
        <w:t xml:space="preserve"> v.</w:t>
      </w:r>
      <w:proofErr w:type="gramEnd"/>
      <w:r w:rsidRPr="00CE567E">
        <w:rPr>
          <w:i/>
          <w:sz w:val="20"/>
          <w:szCs w:val="20"/>
        </w:rPr>
        <w:t xml:space="preserve"> Her Majesty the Queen</w:t>
      </w:r>
      <w:r>
        <w:rPr>
          <w:sz w:val="20"/>
          <w:szCs w:val="20"/>
        </w:rPr>
        <w:t xml:space="preserve"> </w:t>
      </w:r>
      <w:r w:rsidRPr="00CE567E">
        <w:rPr>
          <w:b w:val="0"/>
          <w:sz w:val="20"/>
          <w:szCs w:val="20"/>
        </w:rPr>
        <w:t>(Alta.) (Criminal) (By Leave)</w:t>
      </w:r>
    </w:p>
    <w:p w:rsidR="00CE567E" w:rsidRDefault="00CE567E" w:rsidP="00CE567E">
      <w:pPr>
        <w:ind w:left="720" w:hanging="720"/>
        <w:rPr>
          <w:sz w:val="20"/>
          <w:szCs w:val="20"/>
        </w:rPr>
      </w:pPr>
    </w:p>
    <w:p w:rsidR="00CE567E" w:rsidRDefault="00CE567E" w:rsidP="00CE567E">
      <w:pPr>
        <w:jc w:val="both"/>
        <w:rPr>
          <w:sz w:val="20"/>
          <w:szCs w:val="20"/>
        </w:rPr>
      </w:pPr>
      <w:r w:rsidRPr="00D5485B">
        <w:rPr>
          <w:i/>
          <w:sz w:val="20"/>
          <w:szCs w:val="20"/>
        </w:rPr>
        <w:t xml:space="preserve">Charter of Rights and Freedoms </w:t>
      </w:r>
      <w:r w:rsidR="008824C1">
        <w:rPr>
          <w:sz w:val="20"/>
          <w:szCs w:val="20"/>
        </w:rPr>
        <w:t>-</w:t>
      </w:r>
      <w:r w:rsidRPr="00D5485B">
        <w:rPr>
          <w:sz w:val="20"/>
          <w:szCs w:val="20"/>
        </w:rPr>
        <w:t xml:space="preserve"> Right to be informed of reasons for arrest </w:t>
      </w:r>
      <w:r w:rsidR="008824C1">
        <w:rPr>
          <w:sz w:val="20"/>
          <w:szCs w:val="20"/>
        </w:rPr>
        <w:t>-</w:t>
      </w:r>
      <w:r w:rsidRPr="00D5485B">
        <w:rPr>
          <w:sz w:val="20"/>
          <w:szCs w:val="20"/>
        </w:rPr>
        <w:t xml:space="preserve"> Right to counsel </w:t>
      </w:r>
      <w:r w:rsidR="008824C1">
        <w:rPr>
          <w:sz w:val="20"/>
          <w:szCs w:val="20"/>
        </w:rPr>
        <w:t>-</w:t>
      </w:r>
      <w:r w:rsidRPr="00D5485B">
        <w:rPr>
          <w:sz w:val="20"/>
          <w:szCs w:val="20"/>
        </w:rPr>
        <w:t xml:space="preserve"> </w:t>
      </w:r>
      <w:r w:rsidRPr="00D5485B">
        <w:rPr>
          <w:sz w:val="20"/>
          <w:szCs w:val="20"/>
          <w:lang w:val="en-US"/>
        </w:rPr>
        <w:t xml:space="preserve">Applicant’s </w:t>
      </w:r>
      <w:r w:rsidRPr="00D5485B">
        <w:rPr>
          <w:sz w:val="20"/>
          <w:szCs w:val="20"/>
        </w:rPr>
        <w:t xml:space="preserve">ss. 10(a) and 10(b) </w:t>
      </w:r>
      <w:r w:rsidRPr="00D5485B">
        <w:rPr>
          <w:i/>
          <w:sz w:val="20"/>
          <w:szCs w:val="20"/>
        </w:rPr>
        <w:t>Charter</w:t>
      </w:r>
      <w:r w:rsidRPr="00D5485B">
        <w:rPr>
          <w:sz w:val="20"/>
          <w:szCs w:val="20"/>
        </w:rPr>
        <w:t xml:space="preserve"> rights breached </w:t>
      </w:r>
      <w:r w:rsidR="008824C1">
        <w:rPr>
          <w:sz w:val="20"/>
          <w:szCs w:val="20"/>
        </w:rPr>
        <w:t>-</w:t>
      </w:r>
      <w:r w:rsidRPr="00D5485B">
        <w:rPr>
          <w:sz w:val="20"/>
          <w:szCs w:val="20"/>
        </w:rPr>
        <w:t xml:space="preserve"> At trial evidence excluded pursuant to s. 24(2) of the </w:t>
      </w:r>
      <w:r w:rsidRPr="00D5485B">
        <w:rPr>
          <w:i/>
          <w:sz w:val="20"/>
          <w:szCs w:val="20"/>
        </w:rPr>
        <w:t>Charter</w:t>
      </w:r>
      <w:r w:rsidRPr="00D5485B">
        <w:rPr>
          <w:sz w:val="20"/>
          <w:szCs w:val="20"/>
        </w:rPr>
        <w:t xml:space="preserve"> </w:t>
      </w:r>
      <w:r w:rsidR="008824C1">
        <w:rPr>
          <w:sz w:val="20"/>
          <w:szCs w:val="20"/>
        </w:rPr>
        <w:t>-</w:t>
      </w:r>
      <w:r w:rsidRPr="00D5485B">
        <w:rPr>
          <w:sz w:val="20"/>
          <w:szCs w:val="20"/>
        </w:rPr>
        <w:t xml:space="preserve"> Appeal allowed and new trial ordered</w:t>
      </w:r>
      <w:r w:rsidR="008824C1">
        <w:rPr>
          <w:sz w:val="20"/>
          <w:szCs w:val="20"/>
        </w:rPr>
        <w:t xml:space="preserve"> -</w:t>
      </w:r>
      <w:r w:rsidRPr="00D5485B">
        <w:rPr>
          <w:sz w:val="20"/>
          <w:szCs w:val="20"/>
        </w:rPr>
        <w:t xml:space="preserve"> Application of the rule against cross-examining a witness on the veracity of another witness’s testimony </w:t>
      </w:r>
      <w:r w:rsidR="008824C1">
        <w:rPr>
          <w:sz w:val="20"/>
          <w:szCs w:val="20"/>
        </w:rPr>
        <w:t>-</w:t>
      </w:r>
      <w:r w:rsidRPr="00D5485B">
        <w:rPr>
          <w:sz w:val="20"/>
          <w:szCs w:val="20"/>
        </w:rPr>
        <w:t xml:space="preserve"> Whether an appellate court has the discretion to raise an issue not raised by the parties, and if so, when and how should that discretion be exercised </w:t>
      </w:r>
      <w:r w:rsidR="008824C1">
        <w:rPr>
          <w:sz w:val="20"/>
          <w:szCs w:val="20"/>
        </w:rPr>
        <w:t>-</w:t>
      </w:r>
      <w:r w:rsidRPr="00D5485B">
        <w:rPr>
          <w:sz w:val="20"/>
          <w:szCs w:val="20"/>
        </w:rPr>
        <w:t xml:space="preserve"> Does permitting a Crown witness to comment on the veracity of another witness’s testimony constitute an error of law, and if so, when does this error justify a new trial </w:t>
      </w:r>
      <w:r w:rsidR="008824C1">
        <w:rPr>
          <w:sz w:val="20"/>
          <w:szCs w:val="20"/>
        </w:rPr>
        <w:t>-</w:t>
      </w:r>
      <w:r w:rsidRPr="00D5485B">
        <w:rPr>
          <w:sz w:val="20"/>
          <w:szCs w:val="20"/>
        </w:rPr>
        <w:t xml:space="preserve"> Whether there are issues of public importance raised.</w:t>
      </w:r>
    </w:p>
    <w:p w:rsidR="00CE567E" w:rsidRDefault="00CE567E" w:rsidP="00CE567E">
      <w:pPr>
        <w:rPr>
          <w:sz w:val="20"/>
          <w:szCs w:val="20"/>
        </w:rPr>
      </w:pPr>
    </w:p>
    <w:p w:rsidR="000B3C9A" w:rsidRPr="00DD0B49" w:rsidRDefault="0017005E" w:rsidP="000B3C9A">
      <w:pPr>
        <w:tabs>
          <w:tab w:val="left" w:pos="-1440"/>
          <w:tab w:val="left" w:pos="-720"/>
        </w:tabs>
        <w:ind w:left="720" w:hanging="720"/>
        <w:jc w:val="both"/>
        <w:rPr>
          <w:sz w:val="20"/>
          <w:szCs w:val="20"/>
        </w:rPr>
      </w:pPr>
      <w:r w:rsidRPr="0017005E">
        <w:rPr>
          <w:sz w:val="20"/>
          <w:szCs w:val="20"/>
          <w:lang w:val="fr-CA"/>
        </w:rPr>
        <w:pict>
          <v:rect id="_x0000_i1086" style="width:2in;height:1pt" o:hrpct="0" o:hralign="center" o:hrstd="t" o:hrnoshade="t" o:hr="t" fillcolor="black [3213]" stroked="f"/>
        </w:pict>
      </w:r>
    </w:p>
    <w:p w:rsidR="000B3C9A" w:rsidRPr="00CE567E" w:rsidRDefault="000B3C9A" w:rsidP="000B3C9A">
      <w:pPr>
        <w:tabs>
          <w:tab w:val="left" w:pos="-1440"/>
          <w:tab w:val="left" w:pos="-720"/>
        </w:tabs>
        <w:ind w:left="720" w:hanging="720"/>
        <w:jc w:val="both"/>
        <w:rPr>
          <w:sz w:val="20"/>
          <w:szCs w:val="20"/>
        </w:rPr>
      </w:pPr>
    </w:p>
    <w:p w:rsidR="00E20DA0" w:rsidRDefault="00E20DA0">
      <w:pPr>
        <w:rPr>
          <w:b/>
          <w:sz w:val="20"/>
          <w:szCs w:val="20"/>
          <w:lang w:val="fr-CA"/>
        </w:rPr>
      </w:pPr>
      <w:r>
        <w:rPr>
          <w:sz w:val="20"/>
          <w:szCs w:val="20"/>
          <w:lang w:val="fr-CA"/>
        </w:rPr>
        <w:br w:type="page"/>
      </w:r>
    </w:p>
    <w:p w:rsidR="00CE567E" w:rsidRPr="00CE567E" w:rsidRDefault="00CE567E" w:rsidP="00CE567E">
      <w:pPr>
        <w:pStyle w:val="SCCLsocParty"/>
        <w:rPr>
          <w:b w:val="0"/>
          <w:sz w:val="20"/>
          <w:szCs w:val="20"/>
          <w:lang w:val="fr-CA"/>
        </w:rPr>
      </w:pPr>
      <w:r w:rsidRPr="00CE567E">
        <w:rPr>
          <w:sz w:val="20"/>
          <w:szCs w:val="20"/>
          <w:lang w:val="fr-CA"/>
        </w:rPr>
        <w:lastRenderedPageBreak/>
        <w:t>35132</w:t>
      </w:r>
      <w:r w:rsidR="000B3C9A" w:rsidRPr="00CE567E">
        <w:rPr>
          <w:sz w:val="20"/>
          <w:szCs w:val="20"/>
          <w:lang w:val="fr-CA"/>
        </w:rPr>
        <w:tab/>
      </w:r>
      <w:r w:rsidRPr="00CE567E">
        <w:rPr>
          <w:i/>
          <w:sz w:val="20"/>
          <w:szCs w:val="20"/>
          <w:lang w:val="fr-CA"/>
        </w:rPr>
        <w:t xml:space="preserve">Mohammad Hassan </w:t>
      </w:r>
      <w:proofErr w:type="spellStart"/>
      <w:r w:rsidRPr="00CE567E">
        <w:rPr>
          <w:i/>
          <w:sz w:val="20"/>
          <w:szCs w:val="20"/>
          <w:lang w:val="fr-CA"/>
        </w:rPr>
        <w:t>Mian</w:t>
      </w:r>
      <w:proofErr w:type="spellEnd"/>
      <w:r w:rsidRPr="00CE567E">
        <w:rPr>
          <w:i/>
          <w:sz w:val="20"/>
          <w:szCs w:val="20"/>
          <w:lang w:val="fr-CA"/>
        </w:rPr>
        <w:t xml:space="preserve"> c. Sa Majesté la Reine</w:t>
      </w:r>
      <w:r>
        <w:rPr>
          <w:sz w:val="20"/>
          <w:szCs w:val="20"/>
          <w:lang w:val="fr-CA"/>
        </w:rPr>
        <w:t xml:space="preserve"> </w:t>
      </w:r>
      <w:r w:rsidRPr="00CE567E">
        <w:rPr>
          <w:b w:val="0"/>
          <w:sz w:val="20"/>
          <w:szCs w:val="20"/>
          <w:lang w:val="fr-CA"/>
        </w:rPr>
        <w:t>(</w:t>
      </w:r>
      <w:proofErr w:type="spellStart"/>
      <w:r w:rsidRPr="00CE567E">
        <w:rPr>
          <w:b w:val="0"/>
          <w:sz w:val="20"/>
          <w:szCs w:val="20"/>
          <w:lang w:val="fr-CA"/>
        </w:rPr>
        <w:t>Alb</w:t>
      </w:r>
      <w:proofErr w:type="spellEnd"/>
      <w:r w:rsidRPr="00CE567E">
        <w:rPr>
          <w:b w:val="0"/>
          <w:sz w:val="20"/>
          <w:szCs w:val="20"/>
          <w:lang w:val="fr-CA"/>
        </w:rPr>
        <w:t>.) (Criminelle) (Sur autorisation)</w:t>
      </w:r>
    </w:p>
    <w:p w:rsidR="000B3C9A" w:rsidRPr="00DD0B49" w:rsidRDefault="000B3C9A" w:rsidP="000B3C9A">
      <w:pPr>
        <w:tabs>
          <w:tab w:val="left" w:pos="-1440"/>
          <w:tab w:val="left" w:pos="-720"/>
        </w:tabs>
        <w:ind w:left="720" w:hanging="720"/>
        <w:jc w:val="both"/>
        <w:rPr>
          <w:sz w:val="20"/>
          <w:szCs w:val="20"/>
          <w:lang w:val="fr-CA"/>
        </w:rPr>
      </w:pPr>
    </w:p>
    <w:p w:rsidR="000B3C9A" w:rsidRDefault="00CE567E" w:rsidP="00CE567E">
      <w:pPr>
        <w:jc w:val="both"/>
        <w:rPr>
          <w:sz w:val="20"/>
          <w:szCs w:val="20"/>
          <w:lang w:val="fr-CA"/>
        </w:rPr>
      </w:pPr>
      <w:r w:rsidRPr="00790F30">
        <w:rPr>
          <w:i/>
          <w:sz w:val="20"/>
          <w:szCs w:val="20"/>
          <w:lang w:val="fr-CA"/>
        </w:rPr>
        <w:t xml:space="preserve">Charte des droits et </w:t>
      </w:r>
      <w:r w:rsidRPr="008824C1">
        <w:rPr>
          <w:i/>
          <w:sz w:val="20"/>
          <w:szCs w:val="20"/>
          <w:lang w:val="fr-CA"/>
        </w:rPr>
        <w:t>libertés</w:t>
      </w:r>
      <w:r w:rsidR="008824C1">
        <w:rPr>
          <w:sz w:val="20"/>
          <w:szCs w:val="20"/>
          <w:lang w:val="fr-CA"/>
        </w:rPr>
        <w:t xml:space="preserve"> -</w:t>
      </w:r>
      <w:r w:rsidR="008824C1">
        <w:rPr>
          <w:i/>
          <w:sz w:val="20"/>
          <w:szCs w:val="20"/>
          <w:lang w:val="fr-CA"/>
        </w:rPr>
        <w:t xml:space="preserve"> </w:t>
      </w:r>
      <w:r w:rsidRPr="008824C1">
        <w:rPr>
          <w:sz w:val="20"/>
          <w:szCs w:val="20"/>
          <w:lang w:val="fr-CA"/>
        </w:rPr>
        <w:t xml:space="preserve">Droit </w:t>
      </w:r>
      <w:r w:rsidRPr="00790F30">
        <w:rPr>
          <w:sz w:val="20"/>
          <w:szCs w:val="20"/>
          <w:lang w:val="fr-CA"/>
        </w:rPr>
        <w:t>d’être informé des motifs de son arrestation</w:t>
      </w:r>
      <w:r w:rsidR="008824C1">
        <w:rPr>
          <w:sz w:val="20"/>
          <w:szCs w:val="20"/>
          <w:lang w:val="fr-CA"/>
        </w:rPr>
        <w:t xml:space="preserve"> - </w:t>
      </w:r>
      <w:r w:rsidRPr="00790F30">
        <w:rPr>
          <w:sz w:val="20"/>
          <w:szCs w:val="20"/>
          <w:lang w:val="fr-CA"/>
        </w:rPr>
        <w:t>Droit à l’assistance d’un avocat</w:t>
      </w:r>
      <w:r w:rsidR="00D57C32" w:rsidRPr="00D57C32">
        <w:rPr>
          <w:sz w:val="20"/>
          <w:szCs w:val="20"/>
          <w:lang w:val="fr-CA"/>
        </w:rPr>
        <w:t xml:space="preserve"> </w:t>
      </w:r>
      <w:r w:rsidR="008824C1">
        <w:rPr>
          <w:sz w:val="20"/>
          <w:szCs w:val="20"/>
          <w:lang w:val="fr-CA"/>
        </w:rPr>
        <w:t>-</w:t>
      </w:r>
      <w:r w:rsidR="00D57C32" w:rsidRPr="00D57C32">
        <w:rPr>
          <w:sz w:val="20"/>
          <w:szCs w:val="20"/>
          <w:lang w:val="fr-CA"/>
        </w:rPr>
        <w:t xml:space="preserve"> </w:t>
      </w:r>
      <w:r w:rsidRPr="00790F30">
        <w:rPr>
          <w:sz w:val="20"/>
          <w:szCs w:val="20"/>
          <w:lang w:val="fr-CA"/>
        </w:rPr>
        <w:t>Contravention aux droits garantis au demandeur par les alinéas 10</w:t>
      </w:r>
      <w:r w:rsidRPr="00790F30">
        <w:rPr>
          <w:i/>
          <w:sz w:val="20"/>
          <w:szCs w:val="20"/>
          <w:lang w:val="fr-CA"/>
        </w:rPr>
        <w:t>a</w:t>
      </w:r>
      <w:r w:rsidRPr="00790F30">
        <w:rPr>
          <w:sz w:val="20"/>
          <w:szCs w:val="20"/>
          <w:lang w:val="fr-CA"/>
        </w:rPr>
        <w:t>) et 10</w:t>
      </w:r>
      <w:r w:rsidRPr="00790F30">
        <w:rPr>
          <w:i/>
          <w:sz w:val="20"/>
          <w:szCs w:val="20"/>
          <w:lang w:val="fr-CA"/>
        </w:rPr>
        <w:t>b</w:t>
      </w:r>
      <w:r w:rsidRPr="00790F30">
        <w:rPr>
          <w:sz w:val="20"/>
          <w:szCs w:val="20"/>
          <w:lang w:val="fr-CA"/>
        </w:rPr>
        <w:t xml:space="preserve">) de la </w:t>
      </w:r>
      <w:r w:rsidRPr="00790F30">
        <w:rPr>
          <w:i/>
          <w:sz w:val="20"/>
          <w:szCs w:val="20"/>
          <w:lang w:val="fr-CA"/>
        </w:rPr>
        <w:t>Charte</w:t>
      </w:r>
      <w:r w:rsidRPr="00790F30">
        <w:rPr>
          <w:sz w:val="20"/>
          <w:szCs w:val="20"/>
          <w:lang w:val="fr-CA"/>
        </w:rPr>
        <w:t xml:space="preserve"> </w:t>
      </w:r>
      <w:r w:rsidR="008824C1">
        <w:rPr>
          <w:sz w:val="20"/>
          <w:szCs w:val="20"/>
          <w:lang w:val="fr-CA"/>
        </w:rPr>
        <w:t>-</w:t>
      </w:r>
      <w:r w:rsidRPr="00790F30">
        <w:rPr>
          <w:sz w:val="20"/>
          <w:szCs w:val="20"/>
          <w:lang w:val="fr-CA"/>
        </w:rPr>
        <w:t xml:space="preserve"> Preuve écartée au procès en vertu du par. 24(2) de la </w:t>
      </w:r>
      <w:r w:rsidRPr="00790F30">
        <w:rPr>
          <w:i/>
          <w:sz w:val="20"/>
          <w:szCs w:val="20"/>
          <w:lang w:val="fr-CA"/>
        </w:rPr>
        <w:t>Charte</w:t>
      </w:r>
      <w:r w:rsidR="008824C1">
        <w:rPr>
          <w:sz w:val="20"/>
          <w:szCs w:val="20"/>
          <w:lang w:val="fr-CA"/>
        </w:rPr>
        <w:t xml:space="preserve"> -</w:t>
      </w:r>
      <w:r w:rsidRPr="00790F30">
        <w:rPr>
          <w:sz w:val="20"/>
          <w:szCs w:val="20"/>
          <w:lang w:val="fr-CA"/>
        </w:rPr>
        <w:t xml:space="preserve"> Appel accueilli et tenue d’un nouveau procès ordonnée </w:t>
      </w:r>
      <w:r w:rsidR="008824C1">
        <w:rPr>
          <w:sz w:val="20"/>
          <w:szCs w:val="20"/>
          <w:lang w:val="fr-CA"/>
        </w:rPr>
        <w:t>-</w:t>
      </w:r>
      <w:r w:rsidRPr="00790F30">
        <w:rPr>
          <w:sz w:val="20"/>
          <w:szCs w:val="20"/>
          <w:lang w:val="fr-CA"/>
        </w:rPr>
        <w:t xml:space="preserve"> Application de la règle interdisant le contre-interrogatoire d’un témoin sur la véracité de la déposition d’un autre témoin </w:t>
      </w:r>
      <w:r w:rsidR="008824C1">
        <w:rPr>
          <w:sz w:val="20"/>
          <w:szCs w:val="20"/>
          <w:lang w:val="fr-CA"/>
        </w:rPr>
        <w:t>-</w:t>
      </w:r>
      <w:r w:rsidRPr="00790F30">
        <w:rPr>
          <w:sz w:val="20"/>
          <w:szCs w:val="20"/>
          <w:lang w:val="fr-CA"/>
        </w:rPr>
        <w:t xml:space="preserve"> La cour d’appel </w:t>
      </w:r>
      <w:proofErr w:type="spellStart"/>
      <w:r w:rsidRPr="00790F30">
        <w:rPr>
          <w:sz w:val="20"/>
          <w:szCs w:val="20"/>
          <w:lang w:val="fr-CA"/>
        </w:rPr>
        <w:t>a</w:t>
      </w:r>
      <w:r w:rsidR="008824C1">
        <w:rPr>
          <w:sz w:val="20"/>
          <w:szCs w:val="20"/>
          <w:lang w:val="fr-CA"/>
        </w:rPr>
        <w:noBreakHyphen/>
      </w:r>
      <w:r w:rsidRPr="00790F30">
        <w:rPr>
          <w:sz w:val="20"/>
          <w:szCs w:val="20"/>
          <w:lang w:val="fr-CA"/>
        </w:rPr>
        <w:t>t</w:t>
      </w:r>
      <w:r w:rsidR="008824C1">
        <w:rPr>
          <w:sz w:val="20"/>
          <w:szCs w:val="20"/>
          <w:lang w:val="fr-CA"/>
        </w:rPr>
        <w:noBreakHyphen/>
      </w:r>
      <w:r w:rsidRPr="00790F30">
        <w:rPr>
          <w:sz w:val="20"/>
          <w:szCs w:val="20"/>
          <w:lang w:val="fr-CA"/>
        </w:rPr>
        <w:t>elle</w:t>
      </w:r>
      <w:proofErr w:type="spellEnd"/>
      <w:r w:rsidRPr="00790F30">
        <w:rPr>
          <w:sz w:val="20"/>
          <w:szCs w:val="20"/>
          <w:lang w:val="fr-CA"/>
        </w:rPr>
        <w:t xml:space="preserve"> le pouvoir discrétionnaire de soulever une question qui ne l’a pas été par les parties? Dans l’affirmative, dans quelles circonstances et de quelle manière ce pouvoir doit-il être exercé? </w:t>
      </w:r>
      <w:r w:rsidR="008824C1">
        <w:rPr>
          <w:sz w:val="20"/>
          <w:szCs w:val="20"/>
          <w:lang w:val="fr-CA"/>
        </w:rPr>
        <w:t>-</w:t>
      </w:r>
      <w:r w:rsidRPr="00790F30">
        <w:rPr>
          <w:sz w:val="20"/>
          <w:szCs w:val="20"/>
          <w:lang w:val="fr-CA"/>
        </w:rPr>
        <w:t xml:space="preserve"> Le fait de permettre à un témoin à charge de commenter la véracité de la déposition d’un autre témoin constitue-t-il une erreur de droit? Dans l’affirmative, à quel point une telle erreur justifie</w:t>
      </w:r>
      <w:r w:rsidR="008824C1">
        <w:rPr>
          <w:sz w:val="20"/>
          <w:szCs w:val="20"/>
          <w:lang w:val="fr-CA"/>
        </w:rPr>
        <w:t>-</w:t>
      </w:r>
      <w:r w:rsidRPr="00790F30">
        <w:rPr>
          <w:sz w:val="20"/>
          <w:szCs w:val="20"/>
          <w:lang w:val="fr-CA"/>
        </w:rPr>
        <w:t>t</w:t>
      </w:r>
      <w:r w:rsidR="008824C1">
        <w:rPr>
          <w:sz w:val="20"/>
          <w:szCs w:val="20"/>
          <w:lang w:val="fr-CA"/>
        </w:rPr>
        <w:t>-</w:t>
      </w:r>
      <w:r w:rsidRPr="00790F30">
        <w:rPr>
          <w:sz w:val="20"/>
          <w:szCs w:val="20"/>
          <w:lang w:val="fr-CA"/>
        </w:rPr>
        <w:t>elle la tenue d’un nouveau procès? – Des questions d’importance pour le public sont-elles soulevées?</w:t>
      </w:r>
    </w:p>
    <w:p w:rsidR="000B3C9A" w:rsidRPr="00DD0B49" w:rsidRDefault="000B3C9A" w:rsidP="000B3C9A">
      <w:pPr>
        <w:tabs>
          <w:tab w:val="left" w:pos="-1440"/>
          <w:tab w:val="left" w:pos="-720"/>
        </w:tabs>
        <w:ind w:left="720" w:hanging="720"/>
        <w:jc w:val="both"/>
        <w:rPr>
          <w:sz w:val="20"/>
          <w:szCs w:val="20"/>
          <w:lang w:val="fr-CA"/>
        </w:rPr>
      </w:pPr>
    </w:p>
    <w:p w:rsidR="000B3C9A" w:rsidRPr="00DD0B49" w:rsidRDefault="0017005E" w:rsidP="000B3C9A">
      <w:pPr>
        <w:tabs>
          <w:tab w:val="left" w:pos="-1440"/>
          <w:tab w:val="left" w:pos="-720"/>
        </w:tabs>
        <w:ind w:left="720" w:hanging="720"/>
        <w:jc w:val="both"/>
        <w:rPr>
          <w:sz w:val="20"/>
          <w:szCs w:val="20"/>
          <w:lang w:val="fr-CA"/>
        </w:rPr>
      </w:pPr>
      <w:r w:rsidRPr="0017005E">
        <w:rPr>
          <w:sz w:val="20"/>
          <w:szCs w:val="20"/>
          <w:lang w:val="fr-CA"/>
        </w:rPr>
        <w:pict>
          <v:rect id="_x0000_i1087"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bookmarkStart w:id="4" w:name="1"/>
    <w:bookmarkEnd w:id="4"/>
    <w:p w:rsidR="004634AB" w:rsidRPr="0074483F" w:rsidRDefault="0017005E" w:rsidP="004634AB">
      <w:pPr>
        <w:widowControl w:val="0"/>
        <w:ind w:left="720" w:hanging="720"/>
        <w:jc w:val="both"/>
        <w:rPr>
          <w:sz w:val="20"/>
          <w:szCs w:val="20"/>
        </w:rPr>
      </w:pPr>
      <w:r w:rsidRPr="0074483F">
        <w:rPr>
          <w:b/>
          <w:sz w:val="20"/>
          <w:szCs w:val="20"/>
        </w:rPr>
        <w:lastRenderedPageBreak/>
        <w:fldChar w:fldCharType="begin"/>
      </w:r>
      <w:r w:rsidR="004634AB" w:rsidRPr="0074483F">
        <w:rPr>
          <w:b/>
          <w:sz w:val="20"/>
          <w:szCs w:val="20"/>
        </w:rPr>
        <w:instrText xml:space="preserve"> SEQ CHAPTER \h \r 1</w:instrText>
      </w:r>
      <w:r w:rsidRPr="0074483F">
        <w:rPr>
          <w:b/>
          <w:sz w:val="20"/>
          <w:szCs w:val="20"/>
        </w:rPr>
        <w:fldChar w:fldCharType="end"/>
      </w:r>
      <w:r w:rsidR="004634AB" w:rsidRPr="0074483F">
        <w:rPr>
          <w:b/>
          <w:sz w:val="20"/>
          <w:szCs w:val="20"/>
        </w:rPr>
        <w:t>34647</w:t>
      </w:r>
      <w:r w:rsidR="004634AB" w:rsidRPr="0074483F">
        <w:rPr>
          <w:sz w:val="20"/>
          <w:szCs w:val="20"/>
        </w:rPr>
        <w:tab/>
      </w:r>
      <w:bookmarkStart w:id="5" w:name="3"/>
      <w:bookmarkEnd w:id="5"/>
      <w:r w:rsidR="004634AB" w:rsidRPr="0074483F">
        <w:rPr>
          <w:b/>
          <w:i/>
          <w:sz w:val="20"/>
          <w:szCs w:val="20"/>
        </w:rPr>
        <w:t xml:space="preserve">Katz Group Canada Inc., </w:t>
      </w:r>
      <w:proofErr w:type="spellStart"/>
      <w:r w:rsidR="004634AB" w:rsidRPr="0074483F">
        <w:rPr>
          <w:b/>
          <w:i/>
          <w:sz w:val="20"/>
          <w:szCs w:val="20"/>
        </w:rPr>
        <w:t>Pharma</w:t>
      </w:r>
      <w:proofErr w:type="spellEnd"/>
      <w:r w:rsidR="004634AB" w:rsidRPr="0074483F">
        <w:rPr>
          <w:b/>
          <w:i/>
          <w:sz w:val="20"/>
          <w:szCs w:val="20"/>
        </w:rPr>
        <w:t xml:space="preserve"> Plus Drug Marts Ltd. and </w:t>
      </w:r>
      <w:proofErr w:type="spellStart"/>
      <w:r w:rsidR="004634AB" w:rsidRPr="0074483F">
        <w:rPr>
          <w:b/>
          <w:i/>
          <w:sz w:val="20"/>
          <w:szCs w:val="20"/>
        </w:rPr>
        <w:t>Pharmx</w:t>
      </w:r>
      <w:proofErr w:type="spellEnd"/>
      <w:r w:rsidR="004634AB" w:rsidRPr="0074483F">
        <w:rPr>
          <w:b/>
          <w:i/>
          <w:sz w:val="20"/>
          <w:szCs w:val="20"/>
        </w:rPr>
        <w:t xml:space="preserve"> </w:t>
      </w:r>
      <w:proofErr w:type="spellStart"/>
      <w:r w:rsidR="004634AB" w:rsidRPr="0074483F">
        <w:rPr>
          <w:b/>
          <w:i/>
          <w:sz w:val="20"/>
          <w:szCs w:val="20"/>
        </w:rPr>
        <w:t>Rexall</w:t>
      </w:r>
      <w:proofErr w:type="spellEnd"/>
      <w:r w:rsidR="004634AB" w:rsidRPr="0074483F">
        <w:rPr>
          <w:b/>
          <w:i/>
          <w:sz w:val="20"/>
          <w:szCs w:val="20"/>
        </w:rPr>
        <w:t xml:space="preserve"> Drug Stores Ltd. v. Minister of Health and Long</w:t>
      </w:r>
      <w:r w:rsidR="004634AB" w:rsidRPr="0074483F">
        <w:rPr>
          <w:b/>
          <w:i/>
          <w:sz w:val="20"/>
          <w:szCs w:val="20"/>
        </w:rPr>
        <w:noBreakHyphen/>
      </w:r>
      <w:proofErr w:type="spellStart"/>
      <w:r w:rsidR="004634AB" w:rsidRPr="0074483F">
        <w:rPr>
          <w:b/>
          <w:i/>
          <w:sz w:val="20"/>
          <w:szCs w:val="20"/>
        </w:rPr>
        <w:t>Term</w:t>
      </w:r>
      <w:proofErr w:type="spellEnd"/>
      <w:r w:rsidR="004634AB" w:rsidRPr="0074483F">
        <w:rPr>
          <w:b/>
          <w:i/>
          <w:sz w:val="20"/>
          <w:szCs w:val="20"/>
        </w:rPr>
        <w:t xml:space="preserve"> Care, Lieutenant Governor</w:t>
      </w:r>
      <w:r w:rsidR="004634AB" w:rsidRPr="0074483F">
        <w:rPr>
          <w:b/>
          <w:i/>
          <w:sz w:val="20"/>
          <w:szCs w:val="20"/>
        </w:rPr>
        <w:noBreakHyphen/>
      </w:r>
      <w:proofErr w:type="spellStart"/>
      <w:r w:rsidR="004634AB" w:rsidRPr="0074483F">
        <w:rPr>
          <w:b/>
          <w:i/>
          <w:sz w:val="20"/>
          <w:szCs w:val="20"/>
        </w:rPr>
        <w:t>In</w:t>
      </w:r>
      <w:proofErr w:type="spellEnd"/>
      <w:r w:rsidR="004634AB" w:rsidRPr="0074483F">
        <w:rPr>
          <w:b/>
          <w:i/>
          <w:sz w:val="20"/>
          <w:szCs w:val="20"/>
        </w:rPr>
        <w:noBreakHyphen/>
      </w:r>
      <w:proofErr w:type="spellStart"/>
      <w:r w:rsidR="004634AB" w:rsidRPr="0074483F">
        <w:rPr>
          <w:b/>
          <w:i/>
          <w:sz w:val="20"/>
          <w:szCs w:val="20"/>
        </w:rPr>
        <w:t>Council</w:t>
      </w:r>
      <w:proofErr w:type="spellEnd"/>
      <w:r w:rsidR="004634AB" w:rsidRPr="0074483F">
        <w:rPr>
          <w:b/>
          <w:i/>
          <w:sz w:val="20"/>
          <w:szCs w:val="20"/>
        </w:rPr>
        <w:t xml:space="preserve"> of Ontario and Attorney General of Ontario</w:t>
      </w:r>
    </w:p>
    <w:p w:rsidR="004634AB" w:rsidRPr="0074483F" w:rsidRDefault="004634AB" w:rsidP="004634AB">
      <w:pPr>
        <w:widowControl w:val="0"/>
        <w:jc w:val="both"/>
        <w:rPr>
          <w:sz w:val="20"/>
          <w:szCs w:val="20"/>
        </w:rPr>
      </w:pPr>
    </w:p>
    <w:p w:rsidR="004634AB" w:rsidRPr="0074483F" w:rsidRDefault="004634AB" w:rsidP="004634AB">
      <w:pPr>
        <w:widowControl w:val="0"/>
        <w:jc w:val="both"/>
        <w:rPr>
          <w:sz w:val="20"/>
          <w:szCs w:val="20"/>
        </w:rPr>
      </w:pPr>
      <w:r w:rsidRPr="0074483F">
        <w:rPr>
          <w:sz w:val="20"/>
          <w:szCs w:val="20"/>
        </w:rPr>
        <w:t xml:space="preserve">Health law </w:t>
      </w:r>
      <w:r w:rsidRPr="0074483F">
        <w:rPr>
          <w:sz w:val="20"/>
          <w:szCs w:val="20"/>
        </w:rPr>
        <w:noBreakHyphen/>
        <w:t xml:space="preserve"> Public health </w:t>
      </w:r>
      <w:r w:rsidRPr="0074483F">
        <w:rPr>
          <w:sz w:val="20"/>
          <w:szCs w:val="20"/>
        </w:rPr>
        <w:noBreakHyphen/>
        <w:t xml:space="preserve"> Regulations </w:t>
      </w:r>
      <w:r w:rsidRPr="0074483F">
        <w:rPr>
          <w:sz w:val="20"/>
          <w:szCs w:val="20"/>
        </w:rPr>
        <w:noBreakHyphen/>
        <w:t xml:space="preserve"> Whether this Court should show deference or genuine restraint in reviewing the legality or </w:t>
      </w:r>
      <w:proofErr w:type="spellStart"/>
      <w:r w:rsidRPr="0074483F">
        <w:rPr>
          <w:i/>
          <w:sz w:val="20"/>
          <w:szCs w:val="20"/>
        </w:rPr>
        <w:t>vires</w:t>
      </w:r>
      <w:proofErr w:type="spellEnd"/>
      <w:r w:rsidRPr="0074483F">
        <w:rPr>
          <w:sz w:val="20"/>
          <w:szCs w:val="20"/>
        </w:rPr>
        <w:t xml:space="preserve"> of regulations </w:t>
      </w:r>
      <w:r w:rsidRPr="0074483F">
        <w:rPr>
          <w:sz w:val="20"/>
          <w:szCs w:val="20"/>
        </w:rPr>
        <w:noBreakHyphen/>
        <w:t xml:space="preserve"> Whether the private label ban is consistent with the purpose of the parent statutes </w:t>
      </w:r>
      <w:r w:rsidRPr="0074483F">
        <w:rPr>
          <w:sz w:val="20"/>
          <w:szCs w:val="20"/>
        </w:rPr>
        <w:noBreakHyphen/>
        <w:t xml:space="preserve"> Whether the private label ban is a condition of listing or a prohibition </w:t>
      </w:r>
      <w:r w:rsidRPr="0074483F">
        <w:rPr>
          <w:sz w:val="20"/>
          <w:szCs w:val="20"/>
        </w:rPr>
        <w:noBreakHyphen/>
        <w:t xml:space="preserve"> Whether the parent statutes authorize regulations that interfere with otherwise lawful commercial activity, namely, the decision of a pharmacy chain to invest in its own drug manufacturer </w:t>
      </w:r>
      <w:r w:rsidRPr="0074483F">
        <w:rPr>
          <w:sz w:val="20"/>
          <w:szCs w:val="20"/>
        </w:rPr>
        <w:noBreakHyphen/>
        <w:t xml:space="preserve"> Whether the parent statutes authorize regulations that discriminate amongst drug manufacturers by banning some of them from the Ontario marketplace.</w:t>
      </w:r>
    </w:p>
    <w:p w:rsidR="004634AB" w:rsidRPr="0074483F" w:rsidRDefault="004634AB" w:rsidP="004634AB">
      <w:pPr>
        <w:widowControl w:val="0"/>
        <w:jc w:val="both"/>
        <w:rPr>
          <w:sz w:val="20"/>
          <w:szCs w:val="20"/>
        </w:rPr>
      </w:pPr>
    </w:p>
    <w:p w:rsidR="004634AB" w:rsidRPr="0074483F" w:rsidRDefault="004634AB" w:rsidP="004634AB">
      <w:pPr>
        <w:widowControl w:val="0"/>
        <w:jc w:val="both"/>
        <w:rPr>
          <w:sz w:val="20"/>
          <w:szCs w:val="20"/>
        </w:rPr>
      </w:pPr>
      <w:r w:rsidRPr="0074483F">
        <w:rPr>
          <w:sz w:val="20"/>
          <w:szCs w:val="20"/>
        </w:rPr>
        <w:t xml:space="preserve">The Shoppers Drug Mart (“Shoppers”) and the Katz Group companies </w:t>
      </w:r>
      <w:proofErr w:type="gramStart"/>
      <w:r w:rsidRPr="0074483F">
        <w:rPr>
          <w:sz w:val="20"/>
          <w:szCs w:val="20"/>
        </w:rPr>
        <w:t>own,</w:t>
      </w:r>
      <w:proofErr w:type="gramEnd"/>
      <w:r w:rsidRPr="0074483F">
        <w:rPr>
          <w:sz w:val="20"/>
          <w:szCs w:val="20"/>
        </w:rPr>
        <w:t xml:space="preserve"> franchise and operate pharmacies across Ontario.  They applied for an order quashing Ontario regulations that effectively prohibited private label generic drugs from being sold in Ontario.  </w:t>
      </w:r>
      <w:proofErr w:type="spellStart"/>
      <w:r w:rsidRPr="0074483F">
        <w:rPr>
          <w:sz w:val="20"/>
          <w:szCs w:val="20"/>
        </w:rPr>
        <w:t>Sanis</w:t>
      </w:r>
      <w:proofErr w:type="spellEnd"/>
      <w:r w:rsidRPr="0074483F">
        <w:rPr>
          <w:sz w:val="20"/>
          <w:szCs w:val="20"/>
        </w:rPr>
        <w:t xml:space="preserve"> Health Inc. (“</w:t>
      </w:r>
      <w:proofErr w:type="spellStart"/>
      <w:r w:rsidRPr="0074483F">
        <w:rPr>
          <w:sz w:val="20"/>
          <w:szCs w:val="20"/>
        </w:rPr>
        <w:t>Sanis</w:t>
      </w:r>
      <w:proofErr w:type="spellEnd"/>
      <w:r w:rsidRPr="0074483F">
        <w:rPr>
          <w:sz w:val="20"/>
          <w:szCs w:val="20"/>
        </w:rPr>
        <w:t xml:space="preserve">”) is a subsidiary of Shoppers and is a generic drug manufacturer that outsources the actual fabrication of the generic drugs that it sells primarily to Shoppers.  The price of generic drugs is regulated by provincial legislation.  The </w:t>
      </w:r>
      <w:r w:rsidRPr="0074483F">
        <w:rPr>
          <w:i/>
          <w:sz w:val="20"/>
          <w:szCs w:val="20"/>
        </w:rPr>
        <w:t>Drug Interchangeability and Dispensing Fee Act</w:t>
      </w:r>
      <w:r w:rsidRPr="0074483F">
        <w:rPr>
          <w:sz w:val="20"/>
          <w:szCs w:val="20"/>
        </w:rPr>
        <w:t>, R.S.O. 1990, c. P.23 (“</w:t>
      </w:r>
      <w:r w:rsidRPr="0074483F">
        <w:rPr>
          <w:i/>
          <w:sz w:val="20"/>
          <w:szCs w:val="20"/>
        </w:rPr>
        <w:t>DIDFA</w:t>
      </w:r>
      <w:r w:rsidRPr="0074483F">
        <w:rPr>
          <w:sz w:val="20"/>
          <w:szCs w:val="20"/>
        </w:rPr>
        <w:t xml:space="preserve">”) permits and requires pharmacists to dispense generic drugs that have been designated as interchangeable with a brand drug.  The </w:t>
      </w:r>
      <w:r w:rsidRPr="0074483F">
        <w:rPr>
          <w:i/>
          <w:sz w:val="20"/>
          <w:szCs w:val="20"/>
        </w:rPr>
        <w:t>Ontario Drug Benefits Act</w:t>
      </w:r>
      <w:r w:rsidRPr="0074483F">
        <w:rPr>
          <w:sz w:val="20"/>
          <w:szCs w:val="20"/>
        </w:rPr>
        <w:t>, R.S.O. 1990, c. O.10 (“</w:t>
      </w:r>
      <w:r w:rsidRPr="0074483F">
        <w:rPr>
          <w:i/>
          <w:sz w:val="20"/>
          <w:szCs w:val="20"/>
        </w:rPr>
        <w:t>ODBA</w:t>
      </w:r>
      <w:r w:rsidRPr="0074483F">
        <w:rPr>
          <w:sz w:val="20"/>
          <w:szCs w:val="20"/>
        </w:rPr>
        <w:t xml:space="preserve">”) sets out, </w:t>
      </w:r>
      <w:r w:rsidRPr="0074483F">
        <w:rPr>
          <w:i/>
          <w:sz w:val="20"/>
          <w:szCs w:val="20"/>
        </w:rPr>
        <w:t>inter alia</w:t>
      </w:r>
      <w:r w:rsidRPr="0074483F">
        <w:rPr>
          <w:sz w:val="20"/>
          <w:szCs w:val="20"/>
        </w:rPr>
        <w:t>, the rules governing the listing of drugs as benefits to eligible persons such as seniors and the amounts the province will pay to pharmacies for dispensing drugs.  Between 2006 and 2010, changes to regulation of prescription drug sales in Ontario had reduced the profits of pharmacies, first through the elimination of rebates that pharmacies received from generic pharmaceutical manufacturers, and later by the phasing out of “professional allowances” they received from the manufacturers.  The goal of the legislative changes was to reduce drug costs to the consumer in Ontario.  Private label generic drug companies are non</w:t>
      </w:r>
      <w:r w:rsidRPr="0074483F">
        <w:rPr>
          <w:sz w:val="20"/>
          <w:szCs w:val="20"/>
        </w:rPr>
        <w:noBreakHyphen/>
      </w:r>
      <w:proofErr w:type="spellStart"/>
      <w:r w:rsidRPr="0074483F">
        <w:rPr>
          <w:sz w:val="20"/>
          <w:szCs w:val="20"/>
        </w:rPr>
        <w:t>arms</w:t>
      </w:r>
      <w:proofErr w:type="spellEnd"/>
      <w:r w:rsidRPr="0074483F">
        <w:rPr>
          <w:sz w:val="20"/>
          <w:szCs w:val="20"/>
        </w:rPr>
        <w:t xml:space="preserve"> length from the pharmacies that sell their products.  Shoppers and the Katz Group sought to use their own private label generic drugs rather than purchasing those generic drugs from an arms</w:t>
      </w:r>
      <w:r w:rsidRPr="0074483F">
        <w:rPr>
          <w:sz w:val="20"/>
          <w:szCs w:val="20"/>
        </w:rPr>
        <w:noBreakHyphen/>
      </w:r>
      <w:proofErr w:type="spellStart"/>
      <w:r w:rsidRPr="0074483F">
        <w:rPr>
          <w:sz w:val="20"/>
          <w:szCs w:val="20"/>
        </w:rPr>
        <w:t>length</w:t>
      </w:r>
      <w:proofErr w:type="spellEnd"/>
      <w:r w:rsidRPr="0074483F">
        <w:rPr>
          <w:sz w:val="20"/>
          <w:szCs w:val="20"/>
        </w:rPr>
        <w:t xml:space="preserve"> third party.  The 2010 amendments to the regulations effectively prohibited them from doing so.</w:t>
      </w:r>
    </w:p>
    <w:p w:rsidR="004634AB" w:rsidRPr="0074483F" w:rsidRDefault="004634AB" w:rsidP="004634AB">
      <w:pPr>
        <w:widowControl w:val="0"/>
        <w:jc w:val="both"/>
        <w:rPr>
          <w:sz w:val="20"/>
          <w:szCs w:val="20"/>
        </w:rPr>
      </w:pPr>
    </w:p>
    <w:p w:rsidR="004634AB" w:rsidRPr="0074483F" w:rsidRDefault="004634AB" w:rsidP="004634AB">
      <w:pPr>
        <w:widowControl w:val="0"/>
        <w:jc w:val="both"/>
        <w:rPr>
          <w:sz w:val="20"/>
          <w:szCs w:val="20"/>
        </w:rPr>
      </w:pPr>
    </w:p>
    <w:p w:rsidR="004634AB" w:rsidRPr="0074483F" w:rsidRDefault="004634AB" w:rsidP="004634AB">
      <w:pPr>
        <w:widowControl w:val="0"/>
        <w:ind w:left="2880" w:hanging="2880"/>
        <w:jc w:val="both"/>
        <w:rPr>
          <w:sz w:val="20"/>
          <w:szCs w:val="20"/>
        </w:rPr>
      </w:pPr>
      <w:r w:rsidRPr="0074483F">
        <w:rPr>
          <w:sz w:val="20"/>
          <w:szCs w:val="20"/>
        </w:rPr>
        <w:t>Origin of the case:</w:t>
      </w:r>
      <w:r w:rsidRPr="0074483F">
        <w:rPr>
          <w:sz w:val="20"/>
          <w:szCs w:val="20"/>
        </w:rPr>
        <w:tab/>
      </w:r>
      <w:bookmarkStart w:id="6" w:name="4"/>
      <w:bookmarkEnd w:id="6"/>
      <w:r w:rsidRPr="0074483F">
        <w:rPr>
          <w:sz w:val="20"/>
          <w:szCs w:val="20"/>
        </w:rPr>
        <w:t>Ontario</w:t>
      </w:r>
    </w:p>
    <w:p w:rsidR="004634AB" w:rsidRPr="0074483F" w:rsidRDefault="004634AB" w:rsidP="004634AB">
      <w:pPr>
        <w:widowControl w:val="0"/>
        <w:ind w:left="2880" w:hanging="2880"/>
        <w:jc w:val="both"/>
        <w:rPr>
          <w:sz w:val="20"/>
          <w:szCs w:val="20"/>
        </w:rPr>
      </w:pPr>
    </w:p>
    <w:p w:rsidR="004634AB" w:rsidRPr="0074483F" w:rsidRDefault="004634AB" w:rsidP="004634AB">
      <w:pPr>
        <w:widowControl w:val="0"/>
        <w:ind w:left="2880" w:hanging="2880"/>
        <w:jc w:val="both"/>
        <w:rPr>
          <w:sz w:val="20"/>
          <w:szCs w:val="20"/>
        </w:rPr>
      </w:pPr>
      <w:r w:rsidRPr="0074483F">
        <w:rPr>
          <w:sz w:val="20"/>
          <w:szCs w:val="20"/>
        </w:rPr>
        <w:t>File No.:</w:t>
      </w:r>
      <w:r w:rsidRPr="0074483F">
        <w:rPr>
          <w:sz w:val="20"/>
          <w:szCs w:val="20"/>
        </w:rPr>
        <w:tab/>
      </w:r>
      <w:bookmarkStart w:id="7" w:name="2"/>
      <w:bookmarkEnd w:id="7"/>
      <w:r w:rsidRPr="0074483F">
        <w:rPr>
          <w:sz w:val="20"/>
          <w:szCs w:val="20"/>
        </w:rPr>
        <w:t>34647</w:t>
      </w:r>
    </w:p>
    <w:p w:rsidR="004634AB" w:rsidRPr="0074483F" w:rsidRDefault="004634AB" w:rsidP="004634AB">
      <w:pPr>
        <w:widowControl w:val="0"/>
        <w:ind w:left="2880" w:hanging="2880"/>
        <w:jc w:val="both"/>
        <w:rPr>
          <w:sz w:val="20"/>
          <w:szCs w:val="20"/>
        </w:rPr>
      </w:pPr>
    </w:p>
    <w:p w:rsidR="004634AB" w:rsidRPr="0074483F" w:rsidRDefault="004634AB" w:rsidP="004634AB">
      <w:pPr>
        <w:widowControl w:val="0"/>
        <w:ind w:left="2880" w:hanging="2880"/>
        <w:jc w:val="both"/>
        <w:rPr>
          <w:sz w:val="20"/>
          <w:szCs w:val="20"/>
        </w:rPr>
      </w:pPr>
      <w:r w:rsidRPr="0074483F">
        <w:rPr>
          <w:sz w:val="20"/>
          <w:szCs w:val="20"/>
        </w:rPr>
        <w:t>Judgment of the Court of Appeal:</w:t>
      </w:r>
      <w:r w:rsidRPr="0074483F">
        <w:rPr>
          <w:sz w:val="20"/>
          <w:szCs w:val="20"/>
        </w:rPr>
        <w:tab/>
      </w:r>
      <w:bookmarkStart w:id="8" w:name="5"/>
      <w:bookmarkEnd w:id="8"/>
      <w:r w:rsidRPr="0074483F">
        <w:rPr>
          <w:sz w:val="20"/>
          <w:szCs w:val="20"/>
        </w:rPr>
        <w:t>December 23, 2011</w:t>
      </w:r>
    </w:p>
    <w:p w:rsidR="004634AB" w:rsidRPr="0074483F" w:rsidRDefault="004634AB" w:rsidP="004634AB">
      <w:pPr>
        <w:widowControl w:val="0"/>
        <w:ind w:left="2880" w:hanging="2880"/>
        <w:jc w:val="both"/>
        <w:rPr>
          <w:sz w:val="20"/>
          <w:szCs w:val="20"/>
        </w:rPr>
      </w:pPr>
    </w:p>
    <w:p w:rsidR="004634AB" w:rsidRPr="0074483F" w:rsidRDefault="004634AB" w:rsidP="004634AB">
      <w:pPr>
        <w:widowControl w:val="0"/>
        <w:ind w:left="2880" w:hanging="2880"/>
        <w:jc w:val="both"/>
        <w:rPr>
          <w:sz w:val="20"/>
          <w:szCs w:val="20"/>
        </w:rPr>
      </w:pPr>
      <w:r w:rsidRPr="0074483F">
        <w:rPr>
          <w:sz w:val="20"/>
          <w:szCs w:val="20"/>
        </w:rPr>
        <w:t>Counsel:</w:t>
      </w:r>
      <w:r w:rsidRPr="0074483F">
        <w:rPr>
          <w:sz w:val="20"/>
          <w:szCs w:val="20"/>
        </w:rPr>
        <w:tab/>
      </w:r>
      <w:bookmarkStart w:id="9" w:name="6"/>
      <w:bookmarkEnd w:id="9"/>
      <w:r w:rsidRPr="0074483F">
        <w:rPr>
          <w:sz w:val="20"/>
          <w:szCs w:val="20"/>
        </w:rPr>
        <w:t xml:space="preserve">Terrence J. O’Sullivan and M. Paul </w:t>
      </w:r>
      <w:proofErr w:type="spellStart"/>
      <w:r w:rsidRPr="0074483F">
        <w:rPr>
          <w:sz w:val="20"/>
          <w:szCs w:val="20"/>
        </w:rPr>
        <w:t>Michell</w:t>
      </w:r>
      <w:proofErr w:type="spellEnd"/>
      <w:r w:rsidRPr="0074483F">
        <w:rPr>
          <w:sz w:val="20"/>
          <w:szCs w:val="20"/>
        </w:rPr>
        <w:t xml:space="preserve"> for the appellants</w:t>
      </w:r>
    </w:p>
    <w:p w:rsidR="004634AB" w:rsidRPr="0074483F" w:rsidRDefault="004634AB" w:rsidP="004634AB">
      <w:pPr>
        <w:widowControl w:val="0"/>
        <w:ind w:left="2880" w:hanging="2880"/>
        <w:jc w:val="both"/>
        <w:rPr>
          <w:sz w:val="20"/>
          <w:szCs w:val="20"/>
        </w:rPr>
      </w:pPr>
      <w:r w:rsidRPr="0074483F">
        <w:rPr>
          <w:sz w:val="20"/>
          <w:szCs w:val="20"/>
        </w:rPr>
        <w:tab/>
      </w:r>
      <w:bookmarkStart w:id="10" w:name="7"/>
      <w:bookmarkEnd w:id="10"/>
      <w:r w:rsidRPr="0074483F">
        <w:rPr>
          <w:sz w:val="20"/>
          <w:szCs w:val="20"/>
        </w:rPr>
        <w:t xml:space="preserve">Kim </w:t>
      </w:r>
      <w:proofErr w:type="spellStart"/>
      <w:r w:rsidRPr="0074483F">
        <w:rPr>
          <w:sz w:val="20"/>
          <w:szCs w:val="20"/>
        </w:rPr>
        <w:t>Twohig</w:t>
      </w:r>
      <w:proofErr w:type="spellEnd"/>
      <w:r w:rsidRPr="0074483F">
        <w:rPr>
          <w:sz w:val="20"/>
          <w:szCs w:val="20"/>
        </w:rPr>
        <w:t xml:space="preserve">, </w:t>
      </w:r>
      <w:proofErr w:type="spellStart"/>
      <w:r w:rsidRPr="0074483F">
        <w:rPr>
          <w:sz w:val="20"/>
          <w:szCs w:val="20"/>
        </w:rPr>
        <w:t>Lise</w:t>
      </w:r>
      <w:proofErr w:type="spellEnd"/>
      <w:r w:rsidRPr="0074483F">
        <w:rPr>
          <w:sz w:val="20"/>
          <w:szCs w:val="20"/>
        </w:rPr>
        <w:t xml:space="preserve"> G. </w:t>
      </w:r>
      <w:proofErr w:type="spellStart"/>
      <w:r w:rsidRPr="0074483F">
        <w:rPr>
          <w:sz w:val="20"/>
          <w:szCs w:val="20"/>
        </w:rPr>
        <w:t>Favreau</w:t>
      </w:r>
      <w:proofErr w:type="spellEnd"/>
      <w:r w:rsidRPr="0074483F">
        <w:rPr>
          <w:sz w:val="20"/>
          <w:szCs w:val="20"/>
        </w:rPr>
        <w:t xml:space="preserve"> and Kristin Smith for the respondents</w:t>
      </w:r>
    </w:p>
    <w:p w:rsidR="000B3C9A" w:rsidRPr="004634AB" w:rsidRDefault="000B3C9A" w:rsidP="000B3C9A">
      <w:pPr>
        <w:tabs>
          <w:tab w:val="left" w:pos="-1440"/>
          <w:tab w:val="left" w:pos="-720"/>
        </w:tabs>
        <w:jc w:val="both"/>
        <w:rPr>
          <w:sz w:val="20"/>
          <w:szCs w:val="20"/>
        </w:rPr>
      </w:pPr>
    </w:p>
    <w:p w:rsidR="000B3C9A" w:rsidRDefault="0017005E" w:rsidP="000B3C9A">
      <w:pPr>
        <w:tabs>
          <w:tab w:val="left" w:pos="-1440"/>
          <w:tab w:val="left" w:pos="-720"/>
        </w:tabs>
        <w:jc w:val="both"/>
        <w:rPr>
          <w:sz w:val="20"/>
          <w:szCs w:val="20"/>
          <w:lang w:val="fr-CA"/>
        </w:rPr>
      </w:pPr>
      <w:r w:rsidRPr="0017005E">
        <w:rPr>
          <w:sz w:val="20"/>
          <w:szCs w:val="20"/>
          <w:lang w:val="fr-CA"/>
        </w:rPr>
        <w:pict>
          <v:rect id="_x0000_i1088" style="width:2in;height:1pt" o:hrpct="0" o:hralign="center" o:hrstd="t" o:hrnoshade="t" o:hr="t" fillcolor="black [3213]" stroked="f"/>
        </w:pict>
      </w:r>
    </w:p>
    <w:p w:rsidR="004634AB" w:rsidRDefault="004634AB" w:rsidP="000B3C9A">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4634AB" w:rsidRPr="00AC3064" w:rsidRDefault="0017005E" w:rsidP="004634AB">
      <w:pPr>
        <w:widowControl w:val="0"/>
        <w:ind w:left="720" w:hanging="720"/>
        <w:jc w:val="both"/>
        <w:rPr>
          <w:sz w:val="20"/>
          <w:szCs w:val="20"/>
          <w:lang w:val="fr-CA"/>
        </w:rPr>
      </w:pPr>
      <w:r w:rsidRPr="00AC3064">
        <w:rPr>
          <w:b/>
          <w:sz w:val="20"/>
          <w:szCs w:val="20"/>
          <w:lang w:val="fr-CA"/>
        </w:rPr>
        <w:lastRenderedPageBreak/>
        <w:fldChar w:fldCharType="begin"/>
      </w:r>
      <w:r w:rsidR="004634AB" w:rsidRPr="00AC3064">
        <w:rPr>
          <w:b/>
          <w:sz w:val="20"/>
          <w:szCs w:val="20"/>
          <w:lang w:val="fr-CA"/>
        </w:rPr>
        <w:instrText xml:space="preserve"> SEQ CHAPTER \h \r 1</w:instrText>
      </w:r>
      <w:r w:rsidRPr="00AC3064">
        <w:rPr>
          <w:b/>
          <w:sz w:val="20"/>
          <w:szCs w:val="20"/>
          <w:lang w:val="fr-CA"/>
        </w:rPr>
        <w:fldChar w:fldCharType="end"/>
      </w:r>
      <w:r w:rsidR="004634AB" w:rsidRPr="00AC3064">
        <w:rPr>
          <w:b/>
          <w:sz w:val="20"/>
          <w:szCs w:val="20"/>
          <w:lang w:val="fr-CA"/>
        </w:rPr>
        <w:t>34647</w:t>
      </w:r>
      <w:r w:rsidR="004634AB" w:rsidRPr="00AC3064">
        <w:rPr>
          <w:sz w:val="20"/>
          <w:szCs w:val="20"/>
          <w:lang w:val="fr-CA"/>
        </w:rPr>
        <w:tab/>
      </w:r>
      <w:r w:rsidR="004634AB" w:rsidRPr="00AC3064">
        <w:rPr>
          <w:b/>
          <w:i/>
          <w:sz w:val="20"/>
          <w:szCs w:val="20"/>
          <w:lang w:val="fr-CA"/>
        </w:rPr>
        <w:t xml:space="preserve">Katz Group Canada Inc., Pharma Plus Drug </w:t>
      </w:r>
      <w:proofErr w:type="spellStart"/>
      <w:r w:rsidR="004634AB" w:rsidRPr="00AC3064">
        <w:rPr>
          <w:b/>
          <w:i/>
          <w:sz w:val="20"/>
          <w:szCs w:val="20"/>
          <w:lang w:val="fr-CA"/>
        </w:rPr>
        <w:t>Marts</w:t>
      </w:r>
      <w:proofErr w:type="spellEnd"/>
      <w:r w:rsidR="004634AB" w:rsidRPr="00AC3064">
        <w:rPr>
          <w:b/>
          <w:i/>
          <w:sz w:val="20"/>
          <w:szCs w:val="20"/>
          <w:lang w:val="fr-CA"/>
        </w:rPr>
        <w:t xml:space="preserve"> Ltd. et </w:t>
      </w:r>
      <w:proofErr w:type="spellStart"/>
      <w:r w:rsidR="004634AB" w:rsidRPr="00AC3064">
        <w:rPr>
          <w:b/>
          <w:i/>
          <w:sz w:val="20"/>
          <w:szCs w:val="20"/>
          <w:lang w:val="fr-CA"/>
        </w:rPr>
        <w:t>Pharmx</w:t>
      </w:r>
      <w:proofErr w:type="spellEnd"/>
      <w:r w:rsidR="004634AB" w:rsidRPr="00AC3064">
        <w:rPr>
          <w:b/>
          <w:i/>
          <w:sz w:val="20"/>
          <w:szCs w:val="20"/>
          <w:lang w:val="fr-CA"/>
        </w:rPr>
        <w:t xml:space="preserve"> </w:t>
      </w:r>
      <w:proofErr w:type="spellStart"/>
      <w:r w:rsidR="004634AB" w:rsidRPr="00AC3064">
        <w:rPr>
          <w:b/>
          <w:i/>
          <w:sz w:val="20"/>
          <w:szCs w:val="20"/>
          <w:lang w:val="fr-CA"/>
        </w:rPr>
        <w:t>Rexall</w:t>
      </w:r>
      <w:proofErr w:type="spellEnd"/>
      <w:r w:rsidR="004634AB" w:rsidRPr="00AC3064">
        <w:rPr>
          <w:b/>
          <w:i/>
          <w:sz w:val="20"/>
          <w:szCs w:val="20"/>
          <w:lang w:val="fr-CA"/>
        </w:rPr>
        <w:t xml:space="preserve"> Drug Stores Ltd. c. Ministre de la Santé et des Soins de longue durée, </w:t>
      </w:r>
      <w:proofErr w:type="spellStart"/>
      <w:r w:rsidR="004634AB" w:rsidRPr="00AC3064">
        <w:rPr>
          <w:b/>
          <w:i/>
          <w:sz w:val="20"/>
          <w:szCs w:val="20"/>
          <w:lang w:val="fr-CA"/>
        </w:rPr>
        <w:t>lieutenant</w:t>
      </w:r>
      <w:r w:rsidR="004634AB" w:rsidRPr="00AC3064">
        <w:rPr>
          <w:b/>
          <w:i/>
          <w:sz w:val="20"/>
          <w:szCs w:val="20"/>
          <w:lang w:val="fr-CA"/>
        </w:rPr>
        <w:noBreakHyphen/>
        <w:t>gouverneur</w:t>
      </w:r>
      <w:proofErr w:type="spellEnd"/>
      <w:r w:rsidR="004634AB" w:rsidRPr="00AC3064">
        <w:rPr>
          <w:b/>
          <w:i/>
          <w:sz w:val="20"/>
          <w:szCs w:val="20"/>
          <w:lang w:val="fr-CA"/>
        </w:rPr>
        <w:t xml:space="preserve"> en conseil de Ontario et procureur général de l’Ontario</w:t>
      </w:r>
    </w:p>
    <w:p w:rsidR="004634AB" w:rsidRPr="00AC3064" w:rsidRDefault="004634AB" w:rsidP="004634AB">
      <w:pPr>
        <w:widowControl w:val="0"/>
        <w:jc w:val="both"/>
        <w:rPr>
          <w:sz w:val="20"/>
          <w:szCs w:val="20"/>
          <w:lang w:val="fr-CA"/>
        </w:rPr>
      </w:pPr>
    </w:p>
    <w:p w:rsidR="00BC3BDF" w:rsidRPr="00BC3BDF" w:rsidRDefault="00BC3BDF" w:rsidP="00BC3BDF">
      <w:pPr>
        <w:widowControl w:val="0"/>
        <w:jc w:val="both"/>
        <w:rPr>
          <w:rFonts w:eastAsia="Times New Roman" w:cs="Times New Roman"/>
          <w:sz w:val="20"/>
          <w:szCs w:val="20"/>
          <w:lang w:val="fr-CA" w:eastAsia="en-CA"/>
        </w:rPr>
      </w:pPr>
      <w:r w:rsidRPr="00BC3BDF">
        <w:rPr>
          <w:rFonts w:eastAsia="Times New Roman" w:cs="Times New Roman"/>
          <w:sz w:val="20"/>
          <w:szCs w:val="20"/>
          <w:lang w:val="fr-CA" w:eastAsia="en-CA"/>
        </w:rPr>
        <w:t xml:space="preserve">Droit de la santé </w:t>
      </w:r>
      <w:r w:rsidRPr="00BC3BDF">
        <w:rPr>
          <w:rFonts w:eastAsia="Times New Roman" w:cs="Times New Roman"/>
          <w:sz w:val="20"/>
          <w:szCs w:val="20"/>
          <w:lang w:val="fr-CA" w:eastAsia="en-CA"/>
        </w:rPr>
        <w:noBreakHyphen/>
        <w:t xml:space="preserve"> Santé publique </w:t>
      </w:r>
      <w:r w:rsidRPr="00BC3BDF">
        <w:rPr>
          <w:rFonts w:eastAsia="Times New Roman" w:cs="Times New Roman"/>
          <w:sz w:val="20"/>
          <w:szCs w:val="20"/>
          <w:lang w:val="fr-CA" w:eastAsia="en-CA"/>
        </w:rPr>
        <w:noBreakHyphen/>
        <w:t xml:space="preserve"> Règlements </w:t>
      </w:r>
      <w:r w:rsidRPr="00BC3BDF">
        <w:rPr>
          <w:rFonts w:eastAsia="Times New Roman" w:cs="Times New Roman"/>
          <w:sz w:val="20"/>
          <w:szCs w:val="20"/>
          <w:lang w:val="fr-CA" w:eastAsia="en-CA"/>
        </w:rPr>
        <w:noBreakHyphen/>
        <w:t xml:space="preserve"> Cette Cour </w:t>
      </w:r>
      <w:proofErr w:type="spellStart"/>
      <w:r w:rsidRPr="00BC3BDF">
        <w:rPr>
          <w:rFonts w:eastAsia="Times New Roman" w:cs="Times New Roman"/>
          <w:sz w:val="20"/>
          <w:szCs w:val="20"/>
          <w:lang w:val="fr-CA" w:eastAsia="en-CA"/>
        </w:rPr>
        <w:t>devrait</w:t>
      </w:r>
      <w:r w:rsidRPr="00BC3BDF">
        <w:rPr>
          <w:rFonts w:eastAsia="Times New Roman" w:cs="Times New Roman"/>
          <w:sz w:val="20"/>
          <w:szCs w:val="20"/>
          <w:lang w:val="fr-CA" w:eastAsia="en-CA"/>
        </w:rPr>
        <w:noBreakHyphen/>
        <w:t>elle</w:t>
      </w:r>
      <w:proofErr w:type="spellEnd"/>
      <w:r w:rsidRPr="00BC3BDF">
        <w:rPr>
          <w:rFonts w:eastAsia="Times New Roman" w:cs="Times New Roman"/>
          <w:sz w:val="20"/>
          <w:szCs w:val="20"/>
          <w:lang w:val="fr-CA" w:eastAsia="en-CA"/>
        </w:rPr>
        <w:t xml:space="preserve"> faire preuve de déférence ou de véritable retenue en examinant la légalité ou la validité de règlements? </w:t>
      </w:r>
      <w:r w:rsidRPr="00BC3BDF">
        <w:rPr>
          <w:rFonts w:eastAsia="Times New Roman" w:cs="Times New Roman"/>
          <w:sz w:val="20"/>
          <w:szCs w:val="20"/>
          <w:lang w:val="fr-CA" w:eastAsia="en-CA"/>
        </w:rPr>
        <w:noBreakHyphen/>
        <w:t xml:space="preserve"> L’interdiction des médicaments de marque privée </w:t>
      </w:r>
      <w:proofErr w:type="spellStart"/>
      <w:r w:rsidRPr="00BC3BDF">
        <w:rPr>
          <w:rFonts w:eastAsia="Times New Roman" w:cs="Times New Roman"/>
          <w:sz w:val="20"/>
          <w:szCs w:val="20"/>
          <w:lang w:val="fr-CA" w:eastAsia="en-CA"/>
        </w:rPr>
        <w:t>est</w:t>
      </w:r>
      <w:r w:rsidRPr="00BC3BDF">
        <w:rPr>
          <w:rFonts w:eastAsia="Times New Roman" w:cs="Times New Roman"/>
          <w:sz w:val="20"/>
          <w:szCs w:val="20"/>
          <w:lang w:val="fr-CA" w:eastAsia="en-CA"/>
        </w:rPr>
        <w:noBreakHyphen/>
        <w:t>elle</w:t>
      </w:r>
      <w:proofErr w:type="spellEnd"/>
      <w:r w:rsidRPr="00BC3BDF">
        <w:rPr>
          <w:rFonts w:eastAsia="Times New Roman" w:cs="Times New Roman"/>
          <w:sz w:val="20"/>
          <w:szCs w:val="20"/>
          <w:lang w:val="fr-CA" w:eastAsia="en-CA"/>
        </w:rPr>
        <w:t xml:space="preserve"> conforme à l’objet des lois habilitantes? </w:t>
      </w:r>
      <w:r w:rsidRPr="00BC3BDF">
        <w:rPr>
          <w:rFonts w:eastAsia="Times New Roman" w:cs="Times New Roman"/>
          <w:sz w:val="20"/>
          <w:szCs w:val="20"/>
          <w:lang w:val="fr-CA" w:eastAsia="en-CA"/>
        </w:rPr>
        <w:noBreakHyphen/>
        <w:t xml:space="preserve"> L’interdiction des médicaments de marque privée </w:t>
      </w:r>
      <w:proofErr w:type="spellStart"/>
      <w:r w:rsidRPr="00BC3BDF">
        <w:rPr>
          <w:rFonts w:eastAsia="Times New Roman" w:cs="Times New Roman"/>
          <w:sz w:val="20"/>
          <w:szCs w:val="20"/>
          <w:lang w:val="fr-CA" w:eastAsia="en-CA"/>
        </w:rPr>
        <w:t>est</w:t>
      </w:r>
      <w:r w:rsidRPr="00BC3BDF">
        <w:rPr>
          <w:rFonts w:eastAsia="Times New Roman" w:cs="Times New Roman"/>
          <w:sz w:val="20"/>
          <w:szCs w:val="20"/>
          <w:lang w:val="fr-CA" w:eastAsia="en-CA"/>
        </w:rPr>
        <w:noBreakHyphen/>
        <w:t>elle</w:t>
      </w:r>
      <w:proofErr w:type="spellEnd"/>
      <w:r w:rsidRPr="00BC3BDF">
        <w:rPr>
          <w:rFonts w:eastAsia="Times New Roman" w:cs="Times New Roman"/>
          <w:sz w:val="20"/>
          <w:szCs w:val="20"/>
          <w:lang w:val="fr-CA" w:eastAsia="en-CA"/>
        </w:rPr>
        <w:t xml:space="preserve"> une condition d’inscription sur la liste ou une interdiction? </w:t>
      </w:r>
      <w:r w:rsidRPr="00BC3BDF">
        <w:rPr>
          <w:rFonts w:eastAsia="Times New Roman" w:cs="Times New Roman"/>
          <w:sz w:val="20"/>
          <w:szCs w:val="20"/>
          <w:lang w:val="fr-CA" w:eastAsia="en-CA"/>
        </w:rPr>
        <w:noBreakHyphen/>
        <w:t xml:space="preserve"> Les lois habilitantes </w:t>
      </w:r>
      <w:proofErr w:type="spellStart"/>
      <w:r w:rsidRPr="00BC3BDF">
        <w:rPr>
          <w:rFonts w:eastAsia="Times New Roman" w:cs="Times New Roman"/>
          <w:sz w:val="20"/>
          <w:szCs w:val="20"/>
          <w:lang w:val="fr-CA" w:eastAsia="en-CA"/>
        </w:rPr>
        <w:t>autorisent</w:t>
      </w:r>
      <w:r w:rsidRPr="00BC3BDF">
        <w:rPr>
          <w:rFonts w:eastAsia="Times New Roman" w:cs="Times New Roman"/>
          <w:sz w:val="20"/>
          <w:szCs w:val="20"/>
          <w:lang w:val="fr-CA" w:eastAsia="en-CA"/>
        </w:rPr>
        <w:noBreakHyphen/>
        <w:t>elles</w:t>
      </w:r>
      <w:proofErr w:type="spellEnd"/>
      <w:r w:rsidRPr="00BC3BDF">
        <w:rPr>
          <w:rFonts w:eastAsia="Times New Roman" w:cs="Times New Roman"/>
          <w:sz w:val="20"/>
          <w:szCs w:val="20"/>
          <w:lang w:val="fr-CA" w:eastAsia="en-CA"/>
        </w:rPr>
        <w:t xml:space="preserve"> des règlements qui font obstacle à une activité commerciale licite par ailleurs, à savoir la décision d’une chaîne de pharmacies d’investir dans le fabricant de ses propres médicaments? </w:t>
      </w:r>
      <w:r w:rsidRPr="00BC3BDF">
        <w:rPr>
          <w:rFonts w:eastAsia="Times New Roman" w:cs="Times New Roman"/>
          <w:sz w:val="20"/>
          <w:szCs w:val="20"/>
          <w:lang w:val="fr-CA" w:eastAsia="en-CA"/>
        </w:rPr>
        <w:noBreakHyphen/>
        <w:t xml:space="preserve"> Les lois habilitantes </w:t>
      </w:r>
      <w:proofErr w:type="spellStart"/>
      <w:r w:rsidRPr="00BC3BDF">
        <w:rPr>
          <w:rFonts w:eastAsia="Times New Roman" w:cs="Times New Roman"/>
          <w:sz w:val="20"/>
          <w:szCs w:val="20"/>
          <w:lang w:val="fr-CA" w:eastAsia="en-CA"/>
        </w:rPr>
        <w:t>autorisent</w:t>
      </w:r>
      <w:r w:rsidRPr="00BC3BDF">
        <w:rPr>
          <w:rFonts w:eastAsia="Times New Roman" w:cs="Times New Roman"/>
          <w:sz w:val="20"/>
          <w:szCs w:val="20"/>
          <w:lang w:val="fr-CA" w:eastAsia="en-CA"/>
        </w:rPr>
        <w:noBreakHyphen/>
        <w:t>elles</w:t>
      </w:r>
      <w:proofErr w:type="spellEnd"/>
      <w:r w:rsidRPr="00BC3BDF">
        <w:rPr>
          <w:rFonts w:eastAsia="Times New Roman" w:cs="Times New Roman"/>
          <w:sz w:val="20"/>
          <w:szCs w:val="20"/>
          <w:lang w:val="fr-CA" w:eastAsia="en-CA"/>
        </w:rPr>
        <w:t xml:space="preserve"> des règlements qui font des distinctions entre des fabricants de médicaments en interdisant l’accès de certains d’entre eux au marché ontarien?</w:t>
      </w:r>
    </w:p>
    <w:p w:rsidR="00BC3BDF" w:rsidRPr="00BC3BDF" w:rsidRDefault="00BC3BDF" w:rsidP="00BC3BDF">
      <w:pPr>
        <w:widowControl w:val="0"/>
        <w:jc w:val="both"/>
        <w:rPr>
          <w:rFonts w:eastAsia="Times New Roman" w:cs="Times New Roman"/>
          <w:sz w:val="20"/>
          <w:szCs w:val="20"/>
          <w:lang w:val="fr-CA" w:eastAsia="en-CA"/>
        </w:rPr>
      </w:pPr>
    </w:p>
    <w:p w:rsidR="00BC3BDF" w:rsidRPr="00BC3BDF" w:rsidRDefault="00BC3BDF" w:rsidP="00BC3BDF">
      <w:pPr>
        <w:widowControl w:val="0"/>
        <w:jc w:val="both"/>
        <w:rPr>
          <w:rFonts w:eastAsia="Times New Roman" w:cs="Times New Roman"/>
          <w:sz w:val="20"/>
          <w:szCs w:val="20"/>
          <w:lang w:val="fr-CA" w:eastAsia="en-CA"/>
        </w:rPr>
      </w:pPr>
      <w:proofErr w:type="spellStart"/>
      <w:r w:rsidRPr="00BC3BDF">
        <w:rPr>
          <w:rFonts w:eastAsia="Times New Roman" w:cs="Times New Roman"/>
          <w:sz w:val="20"/>
          <w:szCs w:val="20"/>
          <w:lang w:val="fr-CA" w:eastAsia="en-CA"/>
        </w:rPr>
        <w:t>Shoppers</w:t>
      </w:r>
      <w:proofErr w:type="spellEnd"/>
      <w:r w:rsidRPr="00BC3BDF">
        <w:rPr>
          <w:rFonts w:eastAsia="Times New Roman" w:cs="Times New Roman"/>
          <w:sz w:val="20"/>
          <w:szCs w:val="20"/>
          <w:lang w:val="fr-CA" w:eastAsia="en-CA"/>
        </w:rPr>
        <w:t xml:space="preserve"> Drug </w:t>
      </w:r>
      <w:proofErr w:type="spellStart"/>
      <w:r w:rsidRPr="00BC3BDF">
        <w:rPr>
          <w:rFonts w:eastAsia="Times New Roman" w:cs="Times New Roman"/>
          <w:sz w:val="20"/>
          <w:szCs w:val="20"/>
          <w:lang w:val="fr-CA" w:eastAsia="en-CA"/>
        </w:rPr>
        <w:t>Mart</w:t>
      </w:r>
      <w:proofErr w:type="spellEnd"/>
      <w:r w:rsidRPr="00BC3BDF">
        <w:rPr>
          <w:rFonts w:eastAsia="Times New Roman" w:cs="Times New Roman"/>
          <w:sz w:val="20"/>
          <w:szCs w:val="20"/>
          <w:lang w:val="fr-CA" w:eastAsia="en-CA"/>
        </w:rPr>
        <w:t xml:space="preserve"> (« </w:t>
      </w:r>
      <w:proofErr w:type="spellStart"/>
      <w:r w:rsidRPr="00BC3BDF">
        <w:rPr>
          <w:rFonts w:eastAsia="Times New Roman" w:cs="Times New Roman"/>
          <w:sz w:val="20"/>
          <w:szCs w:val="20"/>
          <w:lang w:val="fr-CA" w:eastAsia="en-CA"/>
        </w:rPr>
        <w:t>Shoppers</w:t>
      </w:r>
      <w:proofErr w:type="spellEnd"/>
      <w:r w:rsidRPr="00BC3BDF">
        <w:rPr>
          <w:rFonts w:eastAsia="Times New Roman" w:cs="Times New Roman"/>
          <w:sz w:val="20"/>
          <w:szCs w:val="20"/>
          <w:lang w:val="fr-CA" w:eastAsia="en-CA"/>
        </w:rPr>
        <w:t xml:space="preserve"> ») et les compagnies du groupe Katz sont propriétaires, franchiseurs et exploitants de pharmacies à l’échelle de l’Ontario.  Elles ont demandé une ordonnance annulant les règlements de l’Ontario qui interdisait effectivement la vente de médicaments génériques de marque privée en Ontario.  </w:t>
      </w:r>
      <w:proofErr w:type="spellStart"/>
      <w:r w:rsidRPr="00BC3BDF">
        <w:rPr>
          <w:rFonts w:eastAsia="Times New Roman" w:cs="Times New Roman"/>
          <w:sz w:val="20"/>
          <w:szCs w:val="20"/>
          <w:lang w:val="fr-CA" w:eastAsia="en-CA"/>
        </w:rPr>
        <w:t>Sanis</w:t>
      </w:r>
      <w:proofErr w:type="spellEnd"/>
      <w:r w:rsidRPr="00BC3BDF">
        <w:rPr>
          <w:rFonts w:eastAsia="Times New Roman" w:cs="Times New Roman"/>
          <w:sz w:val="20"/>
          <w:szCs w:val="20"/>
          <w:lang w:val="fr-CA" w:eastAsia="en-CA"/>
        </w:rPr>
        <w:t xml:space="preserve"> </w:t>
      </w:r>
      <w:proofErr w:type="spellStart"/>
      <w:r w:rsidRPr="00BC3BDF">
        <w:rPr>
          <w:rFonts w:eastAsia="Times New Roman" w:cs="Times New Roman"/>
          <w:sz w:val="20"/>
          <w:szCs w:val="20"/>
          <w:lang w:val="fr-CA" w:eastAsia="en-CA"/>
        </w:rPr>
        <w:t>Health</w:t>
      </w:r>
      <w:proofErr w:type="spellEnd"/>
      <w:r w:rsidRPr="00BC3BDF">
        <w:rPr>
          <w:rFonts w:eastAsia="Times New Roman" w:cs="Times New Roman"/>
          <w:sz w:val="20"/>
          <w:szCs w:val="20"/>
          <w:lang w:val="fr-CA" w:eastAsia="en-CA"/>
        </w:rPr>
        <w:t xml:space="preserve"> Inc. (« </w:t>
      </w:r>
      <w:proofErr w:type="spellStart"/>
      <w:r w:rsidRPr="00BC3BDF">
        <w:rPr>
          <w:rFonts w:eastAsia="Times New Roman" w:cs="Times New Roman"/>
          <w:sz w:val="20"/>
          <w:szCs w:val="20"/>
          <w:lang w:val="fr-CA" w:eastAsia="en-CA"/>
        </w:rPr>
        <w:t>Sanis</w:t>
      </w:r>
      <w:proofErr w:type="spellEnd"/>
      <w:r w:rsidRPr="00BC3BDF">
        <w:rPr>
          <w:rFonts w:eastAsia="Times New Roman" w:cs="Times New Roman"/>
          <w:sz w:val="20"/>
          <w:szCs w:val="20"/>
          <w:lang w:val="fr-CA" w:eastAsia="en-CA"/>
        </w:rPr>
        <w:t xml:space="preserve"> ») est une filiale de </w:t>
      </w:r>
      <w:proofErr w:type="spellStart"/>
      <w:r w:rsidRPr="00BC3BDF">
        <w:rPr>
          <w:rFonts w:eastAsia="Times New Roman" w:cs="Times New Roman"/>
          <w:sz w:val="20"/>
          <w:szCs w:val="20"/>
          <w:lang w:val="fr-CA" w:eastAsia="en-CA"/>
        </w:rPr>
        <w:t>Shoppers</w:t>
      </w:r>
      <w:proofErr w:type="spellEnd"/>
      <w:r w:rsidRPr="00BC3BDF">
        <w:rPr>
          <w:rFonts w:eastAsia="Times New Roman" w:cs="Times New Roman"/>
          <w:sz w:val="20"/>
          <w:szCs w:val="20"/>
          <w:lang w:val="fr-CA" w:eastAsia="en-CA"/>
        </w:rPr>
        <w:t xml:space="preserve"> et un fabricant de médicaments génériques qui externalise la fabrication des médicaments génériques qu’elle vend principalement à </w:t>
      </w:r>
      <w:proofErr w:type="spellStart"/>
      <w:r w:rsidRPr="00BC3BDF">
        <w:rPr>
          <w:rFonts w:eastAsia="Times New Roman" w:cs="Times New Roman"/>
          <w:sz w:val="20"/>
          <w:szCs w:val="20"/>
          <w:lang w:val="fr-CA" w:eastAsia="en-CA"/>
        </w:rPr>
        <w:t>Shoppers</w:t>
      </w:r>
      <w:proofErr w:type="spellEnd"/>
      <w:r w:rsidRPr="00BC3BDF">
        <w:rPr>
          <w:rFonts w:eastAsia="Times New Roman" w:cs="Times New Roman"/>
          <w:sz w:val="20"/>
          <w:szCs w:val="20"/>
          <w:lang w:val="fr-CA" w:eastAsia="en-CA"/>
        </w:rPr>
        <w:t>.  Le prix des médicaments génériques est réglementé par la loi provinciale.  La</w:t>
      </w:r>
      <w:r w:rsidRPr="00BC3BDF">
        <w:rPr>
          <w:rFonts w:eastAsia="Times New Roman" w:cs="Times New Roman"/>
          <w:i/>
          <w:sz w:val="20"/>
          <w:szCs w:val="20"/>
          <w:lang w:val="fr-CA" w:eastAsia="en-CA"/>
        </w:rPr>
        <w:t xml:space="preserve"> Loi sur l’interchangeabilité des médicaments et les honoraires de préparation</w:t>
      </w:r>
      <w:r w:rsidRPr="00BC3BDF">
        <w:rPr>
          <w:rFonts w:eastAsia="Times New Roman" w:cs="Times New Roman"/>
          <w:sz w:val="20"/>
          <w:szCs w:val="20"/>
          <w:lang w:val="fr-CA" w:eastAsia="en-CA"/>
        </w:rPr>
        <w:t>, L.R.O. 1990, ch. P.23 (la « </w:t>
      </w:r>
      <w:r w:rsidRPr="00BC3BDF">
        <w:rPr>
          <w:rFonts w:eastAsia="Times New Roman" w:cs="Times New Roman"/>
          <w:i/>
          <w:sz w:val="20"/>
          <w:szCs w:val="20"/>
          <w:lang w:val="fr-CA" w:eastAsia="en-CA"/>
        </w:rPr>
        <w:t>LIMHP</w:t>
      </w:r>
      <w:r w:rsidRPr="00BC3BDF">
        <w:rPr>
          <w:rFonts w:eastAsia="Times New Roman" w:cs="Times New Roman"/>
          <w:sz w:val="20"/>
          <w:szCs w:val="20"/>
          <w:lang w:val="fr-CA" w:eastAsia="en-CA"/>
        </w:rPr>
        <w:t> ») autorise et oblige les pharmacies à délivrer des médicaments génériques qui ont été désignés comme étant interchangeables avec un médicament breveté.  La</w:t>
      </w:r>
      <w:r w:rsidRPr="00BC3BDF">
        <w:rPr>
          <w:rFonts w:eastAsia="Times New Roman" w:cs="Times New Roman"/>
          <w:i/>
          <w:sz w:val="20"/>
          <w:szCs w:val="20"/>
          <w:lang w:val="fr-CA" w:eastAsia="en-CA"/>
        </w:rPr>
        <w:t xml:space="preserve"> Loi sur le régime de médicaments gratuits de l’Ontario</w:t>
      </w:r>
      <w:r w:rsidRPr="00BC3BDF">
        <w:rPr>
          <w:rFonts w:eastAsia="Times New Roman" w:cs="Times New Roman"/>
          <w:sz w:val="20"/>
          <w:szCs w:val="20"/>
          <w:lang w:val="fr-CA" w:eastAsia="en-CA"/>
        </w:rPr>
        <w:t>, L.R.O. 1990, ch. O.10 (« </w:t>
      </w:r>
      <w:r w:rsidRPr="00BC3BDF">
        <w:rPr>
          <w:rFonts w:eastAsia="Times New Roman" w:cs="Times New Roman"/>
          <w:i/>
          <w:sz w:val="20"/>
          <w:szCs w:val="20"/>
          <w:lang w:val="fr-CA" w:eastAsia="en-CA"/>
        </w:rPr>
        <w:t>LRMGO</w:t>
      </w:r>
      <w:r w:rsidRPr="00BC3BDF">
        <w:rPr>
          <w:rFonts w:eastAsia="Times New Roman" w:cs="Times New Roman"/>
          <w:sz w:val="20"/>
          <w:szCs w:val="20"/>
          <w:lang w:val="fr-CA" w:eastAsia="en-CA"/>
        </w:rPr>
        <w:t xml:space="preserve"> ») énonce notamment les règles qui régissent la liste des médicaments qui peuvent être délivrés aux personnes admissibles — par exemple les personnes âgées — et les montants que la province versera aux pharmacies qui délivrent les médicaments.  Entre 2006 et 2010, des modifications apportées à la réglementation des ventes de médicaments sur ordonnance en Ontario avaient eu pour effet de réduire les profits des pharmacies, d’abord par l’élimination des ristournes que les pharmacies recevaient des fabricants de médicaments génériques, puis par l’élimination progressive des « remises aux professionnels » qu’elles recevaient des fabricants.  Les modifications législatives et règlementaires avaient pour but de réduire le coût des médicaments pour les consommateurs en Ontario.  Les compagnies de médicaments génériques de marque privée sont liées aux pharmacies qui vendent leurs produits.  </w:t>
      </w:r>
      <w:proofErr w:type="spellStart"/>
      <w:r w:rsidRPr="00BC3BDF">
        <w:rPr>
          <w:rFonts w:eastAsia="Times New Roman" w:cs="Times New Roman"/>
          <w:sz w:val="20"/>
          <w:szCs w:val="20"/>
          <w:lang w:val="fr-CA" w:eastAsia="en-CA"/>
        </w:rPr>
        <w:t>Shoppers</w:t>
      </w:r>
      <w:proofErr w:type="spellEnd"/>
      <w:r w:rsidRPr="00BC3BDF">
        <w:rPr>
          <w:rFonts w:eastAsia="Times New Roman" w:cs="Times New Roman"/>
          <w:sz w:val="20"/>
          <w:szCs w:val="20"/>
          <w:lang w:val="fr-CA" w:eastAsia="en-CA"/>
        </w:rPr>
        <w:t xml:space="preserve"> et le groupe Katz ont tenté d’utiliser leurs propres médicaments génériques de marque privée plutôt que d’acheter ces médicaments génériques d’un tiers non lié.  Les modifications apportées aux règlements en 2010 leur ont effectivement interdit de le faire.</w:t>
      </w:r>
    </w:p>
    <w:p w:rsidR="004634AB" w:rsidRPr="00AC3064" w:rsidRDefault="004634AB" w:rsidP="004634AB">
      <w:pPr>
        <w:widowControl w:val="0"/>
        <w:jc w:val="both"/>
        <w:rPr>
          <w:sz w:val="20"/>
          <w:szCs w:val="20"/>
          <w:lang w:val="fr-CA"/>
        </w:rPr>
      </w:pPr>
    </w:p>
    <w:p w:rsidR="004634AB" w:rsidRPr="00AC3064" w:rsidRDefault="004634AB" w:rsidP="004634AB">
      <w:pPr>
        <w:widowControl w:val="0"/>
        <w:jc w:val="both"/>
        <w:rPr>
          <w:sz w:val="20"/>
          <w:szCs w:val="20"/>
          <w:lang w:val="fr-CA"/>
        </w:rPr>
      </w:pPr>
    </w:p>
    <w:p w:rsidR="004634AB" w:rsidRPr="00AC3064" w:rsidRDefault="004634AB" w:rsidP="004634AB">
      <w:pPr>
        <w:widowControl w:val="0"/>
        <w:ind w:left="2880" w:hanging="2880"/>
        <w:jc w:val="both"/>
        <w:rPr>
          <w:sz w:val="20"/>
          <w:szCs w:val="20"/>
          <w:lang w:val="fr-CA"/>
        </w:rPr>
      </w:pPr>
      <w:r w:rsidRPr="00AC3064">
        <w:rPr>
          <w:sz w:val="20"/>
          <w:szCs w:val="20"/>
          <w:lang w:val="fr-CA"/>
        </w:rPr>
        <w:t>Origine :</w:t>
      </w:r>
      <w:r w:rsidRPr="00AC3064">
        <w:rPr>
          <w:sz w:val="20"/>
          <w:szCs w:val="20"/>
          <w:lang w:val="fr-CA"/>
        </w:rPr>
        <w:tab/>
        <w:t>Ontario</w:t>
      </w:r>
    </w:p>
    <w:p w:rsidR="004634AB" w:rsidRPr="00AC3064" w:rsidRDefault="004634AB" w:rsidP="004634AB">
      <w:pPr>
        <w:widowControl w:val="0"/>
        <w:ind w:left="2880" w:hanging="2880"/>
        <w:jc w:val="both"/>
        <w:rPr>
          <w:sz w:val="20"/>
          <w:szCs w:val="20"/>
          <w:lang w:val="fr-CA"/>
        </w:rPr>
      </w:pPr>
    </w:p>
    <w:p w:rsidR="004634AB" w:rsidRPr="00AC3064" w:rsidRDefault="004634AB" w:rsidP="004634AB">
      <w:pPr>
        <w:widowControl w:val="0"/>
        <w:ind w:left="2880" w:hanging="2880"/>
        <w:jc w:val="both"/>
        <w:rPr>
          <w:sz w:val="20"/>
          <w:szCs w:val="20"/>
          <w:lang w:val="fr-CA"/>
        </w:rPr>
      </w:pPr>
      <w:r w:rsidRPr="00AC3064">
        <w:rPr>
          <w:sz w:val="20"/>
          <w:szCs w:val="20"/>
          <w:lang w:val="fr-CA"/>
        </w:rPr>
        <w:t>N</w:t>
      </w:r>
      <w:r w:rsidRPr="00AC3064">
        <w:rPr>
          <w:sz w:val="20"/>
          <w:szCs w:val="20"/>
          <w:vertAlign w:val="superscript"/>
          <w:lang w:val="fr-CA"/>
        </w:rPr>
        <w:t>o</w:t>
      </w:r>
      <w:r w:rsidRPr="00AC3064">
        <w:rPr>
          <w:sz w:val="20"/>
          <w:szCs w:val="20"/>
          <w:lang w:val="fr-CA"/>
        </w:rPr>
        <w:t xml:space="preserve"> du greffe :</w:t>
      </w:r>
      <w:r w:rsidRPr="00AC3064">
        <w:rPr>
          <w:sz w:val="20"/>
          <w:szCs w:val="20"/>
          <w:lang w:val="fr-CA"/>
        </w:rPr>
        <w:tab/>
        <w:t>34647</w:t>
      </w:r>
    </w:p>
    <w:p w:rsidR="004634AB" w:rsidRPr="00AC3064" w:rsidRDefault="004634AB" w:rsidP="004634AB">
      <w:pPr>
        <w:widowControl w:val="0"/>
        <w:ind w:left="2880" w:hanging="2880"/>
        <w:jc w:val="both"/>
        <w:rPr>
          <w:sz w:val="20"/>
          <w:szCs w:val="20"/>
          <w:lang w:val="fr-CA"/>
        </w:rPr>
      </w:pPr>
    </w:p>
    <w:p w:rsidR="004634AB" w:rsidRPr="00AC3064" w:rsidRDefault="004634AB" w:rsidP="004634AB">
      <w:pPr>
        <w:widowControl w:val="0"/>
        <w:ind w:left="2880" w:hanging="2880"/>
        <w:jc w:val="both"/>
        <w:rPr>
          <w:sz w:val="20"/>
          <w:szCs w:val="20"/>
          <w:lang w:val="fr-CA"/>
        </w:rPr>
      </w:pPr>
      <w:r w:rsidRPr="00AC3064">
        <w:rPr>
          <w:sz w:val="20"/>
          <w:szCs w:val="20"/>
          <w:lang w:val="fr-CA"/>
        </w:rPr>
        <w:t>Arrêt de la Cour d’appel :</w:t>
      </w:r>
      <w:r w:rsidRPr="00AC3064">
        <w:rPr>
          <w:sz w:val="20"/>
          <w:szCs w:val="20"/>
          <w:lang w:val="fr-CA"/>
        </w:rPr>
        <w:tab/>
        <w:t>le 23 décembre 2011</w:t>
      </w:r>
    </w:p>
    <w:p w:rsidR="004634AB" w:rsidRPr="00AC3064" w:rsidRDefault="004634AB" w:rsidP="004634AB">
      <w:pPr>
        <w:widowControl w:val="0"/>
        <w:ind w:left="2880" w:hanging="2880"/>
        <w:jc w:val="both"/>
        <w:rPr>
          <w:sz w:val="20"/>
          <w:szCs w:val="20"/>
          <w:lang w:val="fr-CA"/>
        </w:rPr>
      </w:pPr>
    </w:p>
    <w:p w:rsidR="004634AB" w:rsidRPr="00AC3064" w:rsidRDefault="004634AB" w:rsidP="004634AB">
      <w:pPr>
        <w:widowControl w:val="0"/>
        <w:ind w:left="2880" w:hanging="2880"/>
        <w:jc w:val="both"/>
        <w:rPr>
          <w:sz w:val="20"/>
          <w:szCs w:val="20"/>
          <w:lang w:val="fr-CA"/>
        </w:rPr>
      </w:pPr>
      <w:r w:rsidRPr="00AC3064">
        <w:rPr>
          <w:sz w:val="20"/>
          <w:szCs w:val="20"/>
          <w:lang w:val="fr-CA"/>
        </w:rPr>
        <w:t>Avocats:</w:t>
      </w:r>
      <w:r w:rsidRPr="00AC3064">
        <w:rPr>
          <w:sz w:val="20"/>
          <w:szCs w:val="20"/>
          <w:lang w:val="fr-CA"/>
        </w:rPr>
        <w:tab/>
        <w:t xml:space="preserve">Terrence J. </w:t>
      </w:r>
      <w:proofErr w:type="spellStart"/>
      <w:r w:rsidRPr="00AC3064">
        <w:rPr>
          <w:sz w:val="20"/>
          <w:szCs w:val="20"/>
          <w:lang w:val="fr-CA"/>
        </w:rPr>
        <w:t>O’Sullivan</w:t>
      </w:r>
      <w:proofErr w:type="spellEnd"/>
      <w:r w:rsidRPr="00AC3064">
        <w:rPr>
          <w:sz w:val="20"/>
          <w:szCs w:val="20"/>
          <w:lang w:val="fr-CA"/>
        </w:rPr>
        <w:t xml:space="preserve"> et M. Paul </w:t>
      </w:r>
      <w:proofErr w:type="spellStart"/>
      <w:r w:rsidRPr="00AC3064">
        <w:rPr>
          <w:sz w:val="20"/>
          <w:szCs w:val="20"/>
          <w:lang w:val="fr-CA"/>
        </w:rPr>
        <w:t>Michell</w:t>
      </w:r>
      <w:proofErr w:type="spellEnd"/>
      <w:r w:rsidRPr="00AC3064">
        <w:rPr>
          <w:sz w:val="20"/>
          <w:szCs w:val="20"/>
          <w:lang w:val="fr-CA"/>
        </w:rPr>
        <w:t xml:space="preserve"> pour les appelantes</w:t>
      </w:r>
    </w:p>
    <w:p w:rsidR="004634AB" w:rsidRPr="00AC3064" w:rsidRDefault="004634AB" w:rsidP="004634AB">
      <w:pPr>
        <w:widowControl w:val="0"/>
        <w:ind w:left="2880" w:hanging="2880"/>
        <w:jc w:val="both"/>
        <w:rPr>
          <w:sz w:val="20"/>
          <w:szCs w:val="20"/>
          <w:lang w:val="fr-CA"/>
        </w:rPr>
      </w:pPr>
      <w:r w:rsidRPr="00AC3064">
        <w:rPr>
          <w:sz w:val="20"/>
          <w:szCs w:val="20"/>
          <w:lang w:val="fr-CA"/>
        </w:rPr>
        <w:tab/>
        <w:t xml:space="preserve">Kim </w:t>
      </w:r>
      <w:proofErr w:type="spellStart"/>
      <w:r w:rsidRPr="00AC3064">
        <w:rPr>
          <w:sz w:val="20"/>
          <w:szCs w:val="20"/>
          <w:lang w:val="fr-CA"/>
        </w:rPr>
        <w:t>Twohig</w:t>
      </w:r>
      <w:proofErr w:type="spellEnd"/>
      <w:r w:rsidRPr="00AC3064">
        <w:rPr>
          <w:sz w:val="20"/>
          <w:szCs w:val="20"/>
          <w:lang w:val="fr-CA"/>
        </w:rPr>
        <w:t>, Lise G. Favreau and Kristin Smith pour les intimés</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89"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p>
    <w:p w:rsidR="004634AB" w:rsidRDefault="004634AB">
      <w:pPr>
        <w:rPr>
          <w:sz w:val="20"/>
          <w:szCs w:val="20"/>
          <w:lang w:val="fr-CA"/>
        </w:rPr>
      </w:pPr>
      <w:r>
        <w:rPr>
          <w:sz w:val="20"/>
          <w:szCs w:val="20"/>
          <w:lang w:val="fr-CA"/>
        </w:rPr>
        <w:br w:type="page"/>
      </w:r>
    </w:p>
    <w:p w:rsidR="003B7537" w:rsidRPr="006636CD" w:rsidRDefault="0017005E" w:rsidP="003B7537">
      <w:pPr>
        <w:widowControl w:val="0"/>
        <w:ind w:left="720" w:hanging="720"/>
        <w:jc w:val="both"/>
        <w:rPr>
          <w:sz w:val="20"/>
          <w:szCs w:val="20"/>
        </w:rPr>
      </w:pPr>
      <w:r w:rsidRPr="006636CD">
        <w:rPr>
          <w:b/>
          <w:sz w:val="20"/>
          <w:szCs w:val="20"/>
        </w:rPr>
        <w:lastRenderedPageBreak/>
        <w:fldChar w:fldCharType="begin"/>
      </w:r>
      <w:r w:rsidR="003B7537" w:rsidRPr="006636CD">
        <w:rPr>
          <w:b/>
          <w:sz w:val="20"/>
          <w:szCs w:val="20"/>
        </w:rPr>
        <w:instrText xml:space="preserve"> SEQ CHAPTER \h \r 1</w:instrText>
      </w:r>
      <w:r w:rsidRPr="006636CD">
        <w:rPr>
          <w:b/>
          <w:sz w:val="20"/>
          <w:szCs w:val="20"/>
        </w:rPr>
        <w:fldChar w:fldCharType="end"/>
      </w:r>
      <w:r w:rsidR="003B7537" w:rsidRPr="006636CD">
        <w:rPr>
          <w:b/>
          <w:sz w:val="20"/>
          <w:szCs w:val="20"/>
        </w:rPr>
        <w:t>34649</w:t>
      </w:r>
      <w:r w:rsidR="003B7537" w:rsidRPr="006636CD">
        <w:rPr>
          <w:sz w:val="20"/>
          <w:szCs w:val="20"/>
        </w:rPr>
        <w:tab/>
      </w:r>
      <w:r w:rsidR="003B7537" w:rsidRPr="006636CD">
        <w:rPr>
          <w:b/>
          <w:i/>
          <w:sz w:val="20"/>
          <w:szCs w:val="20"/>
        </w:rPr>
        <w:t xml:space="preserve">Shoppers Drug Mart Inc., Shoppers Drug Mart (London) Limited and </w:t>
      </w:r>
      <w:proofErr w:type="spellStart"/>
      <w:r w:rsidR="003B7537" w:rsidRPr="006636CD">
        <w:rPr>
          <w:b/>
          <w:i/>
          <w:sz w:val="20"/>
          <w:szCs w:val="20"/>
        </w:rPr>
        <w:t>Sanis</w:t>
      </w:r>
      <w:proofErr w:type="spellEnd"/>
      <w:r w:rsidR="003B7537" w:rsidRPr="006636CD">
        <w:rPr>
          <w:b/>
          <w:i/>
          <w:sz w:val="20"/>
          <w:szCs w:val="20"/>
        </w:rPr>
        <w:t xml:space="preserve"> Health Inc. v. Minister of Health and Long</w:t>
      </w:r>
      <w:r w:rsidR="003B7537" w:rsidRPr="006636CD">
        <w:rPr>
          <w:b/>
          <w:i/>
          <w:sz w:val="20"/>
          <w:szCs w:val="20"/>
        </w:rPr>
        <w:noBreakHyphen/>
      </w:r>
      <w:proofErr w:type="spellStart"/>
      <w:r w:rsidR="003B7537" w:rsidRPr="006636CD">
        <w:rPr>
          <w:b/>
          <w:i/>
          <w:sz w:val="20"/>
          <w:szCs w:val="20"/>
        </w:rPr>
        <w:t>Term</w:t>
      </w:r>
      <w:proofErr w:type="spellEnd"/>
      <w:r w:rsidR="003B7537" w:rsidRPr="006636CD">
        <w:rPr>
          <w:b/>
          <w:i/>
          <w:sz w:val="20"/>
          <w:szCs w:val="20"/>
        </w:rPr>
        <w:t xml:space="preserve"> Care, Lieutenant Governor</w:t>
      </w:r>
      <w:r w:rsidR="003B7537" w:rsidRPr="006636CD">
        <w:rPr>
          <w:b/>
          <w:i/>
          <w:sz w:val="20"/>
          <w:szCs w:val="20"/>
        </w:rPr>
        <w:noBreakHyphen/>
      </w:r>
      <w:proofErr w:type="spellStart"/>
      <w:r w:rsidR="003B7537" w:rsidRPr="006636CD">
        <w:rPr>
          <w:b/>
          <w:i/>
          <w:sz w:val="20"/>
          <w:szCs w:val="20"/>
        </w:rPr>
        <w:t>In</w:t>
      </w:r>
      <w:proofErr w:type="spellEnd"/>
      <w:r w:rsidR="003B7537" w:rsidRPr="006636CD">
        <w:rPr>
          <w:b/>
          <w:i/>
          <w:sz w:val="20"/>
          <w:szCs w:val="20"/>
        </w:rPr>
        <w:noBreakHyphen/>
      </w:r>
      <w:proofErr w:type="spellStart"/>
      <w:r w:rsidR="003B7537" w:rsidRPr="006636CD">
        <w:rPr>
          <w:b/>
          <w:i/>
          <w:sz w:val="20"/>
          <w:szCs w:val="20"/>
        </w:rPr>
        <w:t>Council</w:t>
      </w:r>
      <w:proofErr w:type="spellEnd"/>
      <w:r w:rsidR="003B7537" w:rsidRPr="006636CD">
        <w:rPr>
          <w:b/>
          <w:i/>
          <w:sz w:val="20"/>
          <w:szCs w:val="20"/>
        </w:rPr>
        <w:t xml:space="preserve"> of Ontario and Attorney General of Ontario</w:t>
      </w:r>
    </w:p>
    <w:p w:rsidR="003B7537" w:rsidRPr="006636CD" w:rsidRDefault="003B7537" w:rsidP="003B7537">
      <w:pPr>
        <w:widowControl w:val="0"/>
        <w:jc w:val="both"/>
        <w:rPr>
          <w:sz w:val="20"/>
          <w:szCs w:val="20"/>
        </w:rPr>
      </w:pPr>
    </w:p>
    <w:p w:rsidR="003B7537" w:rsidRPr="006636CD" w:rsidRDefault="003B7537" w:rsidP="003B7537">
      <w:pPr>
        <w:widowControl w:val="0"/>
        <w:jc w:val="both"/>
        <w:rPr>
          <w:sz w:val="20"/>
          <w:szCs w:val="20"/>
        </w:rPr>
      </w:pPr>
      <w:r w:rsidRPr="006636CD">
        <w:rPr>
          <w:sz w:val="20"/>
          <w:szCs w:val="20"/>
        </w:rPr>
        <w:t xml:space="preserve">Health law </w:t>
      </w:r>
      <w:r w:rsidRPr="006636CD">
        <w:rPr>
          <w:sz w:val="20"/>
          <w:szCs w:val="20"/>
        </w:rPr>
        <w:noBreakHyphen/>
        <w:t xml:space="preserve"> Public health </w:t>
      </w:r>
      <w:r w:rsidRPr="006636CD">
        <w:rPr>
          <w:sz w:val="20"/>
          <w:szCs w:val="20"/>
        </w:rPr>
        <w:noBreakHyphen/>
        <w:t xml:space="preserve"> Regulations </w:t>
      </w:r>
      <w:r w:rsidRPr="006636CD">
        <w:rPr>
          <w:sz w:val="20"/>
          <w:szCs w:val="20"/>
        </w:rPr>
        <w:noBreakHyphen/>
        <w:t xml:space="preserve"> Whether this Court should show deference or genuine restraint in reviewing the legality or </w:t>
      </w:r>
      <w:proofErr w:type="spellStart"/>
      <w:r w:rsidRPr="006636CD">
        <w:rPr>
          <w:i/>
          <w:sz w:val="20"/>
          <w:szCs w:val="20"/>
        </w:rPr>
        <w:t>vires</w:t>
      </w:r>
      <w:proofErr w:type="spellEnd"/>
      <w:r w:rsidRPr="006636CD">
        <w:rPr>
          <w:sz w:val="20"/>
          <w:szCs w:val="20"/>
        </w:rPr>
        <w:t xml:space="preserve"> of regulations </w:t>
      </w:r>
      <w:r w:rsidRPr="006636CD">
        <w:rPr>
          <w:sz w:val="20"/>
          <w:szCs w:val="20"/>
        </w:rPr>
        <w:noBreakHyphen/>
        <w:t xml:space="preserve"> Whether the private label ban is consistent with the purpose of the parent statutes </w:t>
      </w:r>
      <w:r w:rsidRPr="006636CD">
        <w:rPr>
          <w:sz w:val="20"/>
          <w:szCs w:val="20"/>
        </w:rPr>
        <w:noBreakHyphen/>
        <w:t xml:space="preserve"> Whether the private label ban is a condition of listing or a prohibition </w:t>
      </w:r>
      <w:r w:rsidRPr="006636CD">
        <w:rPr>
          <w:sz w:val="20"/>
          <w:szCs w:val="20"/>
        </w:rPr>
        <w:noBreakHyphen/>
        <w:t xml:space="preserve"> Whether the parent statutes authorize regulations that interfere with otherwise lawful commercial activity, namely, the decision of a pharmacy chain to invest in its own drug manufacturer </w:t>
      </w:r>
      <w:r w:rsidRPr="006636CD">
        <w:rPr>
          <w:sz w:val="20"/>
          <w:szCs w:val="20"/>
        </w:rPr>
        <w:noBreakHyphen/>
        <w:t xml:space="preserve"> Whether the parent statutes authorize regulations that discriminate amongst drug manufacturers by banning some of them from the Ontario marketplace.</w:t>
      </w:r>
    </w:p>
    <w:p w:rsidR="003B7537" w:rsidRPr="006636CD" w:rsidRDefault="003B7537" w:rsidP="003B7537">
      <w:pPr>
        <w:widowControl w:val="0"/>
        <w:jc w:val="both"/>
        <w:rPr>
          <w:sz w:val="20"/>
          <w:szCs w:val="20"/>
        </w:rPr>
      </w:pPr>
    </w:p>
    <w:p w:rsidR="003B7537" w:rsidRPr="006636CD" w:rsidRDefault="003B7537" w:rsidP="003B7537">
      <w:pPr>
        <w:widowControl w:val="0"/>
        <w:jc w:val="both"/>
        <w:rPr>
          <w:sz w:val="20"/>
          <w:szCs w:val="20"/>
        </w:rPr>
      </w:pPr>
      <w:r w:rsidRPr="006636CD">
        <w:rPr>
          <w:sz w:val="20"/>
          <w:szCs w:val="20"/>
        </w:rPr>
        <w:t xml:space="preserve">The Shoppers Drug Mart (“Shoppers”) and the Katz Group companies </w:t>
      </w:r>
      <w:proofErr w:type="gramStart"/>
      <w:r w:rsidRPr="006636CD">
        <w:rPr>
          <w:sz w:val="20"/>
          <w:szCs w:val="20"/>
        </w:rPr>
        <w:t>own,</w:t>
      </w:r>
      <w:proofErr w:type="gramEnd"/>
      <w:r w:rsidRPr="006636CD">
        <w:rPr>
          <w:sz w:val="20"/>
          <w:szCs w:val="20"/>
        </w:rPr>
        <w:t xml:space="preserve"> franchise and operate pharmacies across Ontario.  They applied for an order quashing Ontario regulations that effectively prohibited private label generic drugs from being sold in Ontario.  </w:t>
      </w:r>
      <w:proofErr w:type="spellStart"/>
      <w:r w:rsidRPr="006636CD">
        <w:rPr>
          <w:sz w:val="20"/>
          <w:szCs w:val="20"/>
        </w:rPr>
        <w:t>Sanis</w:t>
      </w:r>
      <w:proofErr w:type="spellEnd"/>
      <w:r w:rsidRPr="006636CD">
        <w:rPr>
          <w:sz w:val="20"/>
          <w:szCs w:val="20"/>
        </w:rPr>
        <w:t xml:space="preserve"> Health Inc. (“</w:t>
      </w:r>
      <w:proofErr w:type="spellStart"/>
      <w:r w:rsidRPr="006636CD">
        <w:rPr>
          <w:sz w:val="20"/>
          <w:szCs w:val="20"/>
        </w:rPr>
        <w:t>Sanis</w:t>
      </w:r>
      <w:proofErr w:type="spellEnd"/>
      <w:r w:rsidRPr="006636CD">
        <w:rPr>
          <w:sz w:val="20"/>
          <w:szCs w:val="20"/>
        </w:rPr>
        <w:t xml:space="preserve">”) is a subsidiary of Shoppers and is a generic drug manufacturer that outsources the actual fabrication of the generic drugs that it sells primarily to Shoppers.  The price of generic drugs is regulated by provincial legislation.  The </w:t>
      </w:r>
      <w:r w:rsidRPr="006636CD">
        <w:rPr>
          <w:i/>
          <w:sz w:val="20"/>
          <w:szCs w:val="20"/>
        </w:rPr>
        <w:t>Drug Interchangeability and Dispensing Fee Act</w:t>
      </w:r>
      <w:r w:rsidRPr="006636CD">
        <w:rPr>
          <w:sz w:val="20"/>
          <w:szCs w:val="20"/>
        </w:rPr>
        <w:t>, R.S.O. 1990, c. P.23 (“</w:t>
      </w:r>
      <w:r w:rsidRPr="006636CD">
        <w:rPr>
          <w:i/>
          <w:sz w:val="20"/>
          <w:szCs w:val="20"/>
        </w:rPr>
        <w:t>DIDFA</w:t>
      </w:r>
      <w:r w:rsidRPr="006636CD">
        <w:rPr>
          <w:sz w:val="20"/>
          <w:szCs w:val="20"/>
        </w:rPr>
        <w:t xml:space="preserve">”) permits and requires pharmacists to dispense generic drugs that have been designated as interchangeable with a brand drug.  The </w:t>
      </w:r>
      <w:r w:rsidRPr="006636CD">
        <w:rPr>
          <w:i/>
          <w:sz w:val="20"/>
          <w:szCs w:val="20"/>
        </w:rPr>
        <w:t>Ontario Drug Benefits Act</w:t>
      </w:r>
      <w:r w:rsidRPr="006636CD">
        <w:rPr>
          <w:sz w:val="20"/>
          <w:szCs w:val="20"/>
        </w:rPr>
        <w:t>, R.S.O. 1990, c. O.10 (“</w:t>
      </w:r>
      <w:r w:rsidRPr="006636CD">
        <w:rPr>
          <w:i/>
          <w:sz w:val="20"/>
          <w:szCs w:val="20"/>
        </w:rPr>
        <w:t>ODBA</w:t>
      </w:r>
      <w:r w:rsidRPr="006636CD">
        <w:rPr>
          <w:sz w:val="20"/>
          <w:szCs w:val="20"/>
        </w:rPr>
        <w:t xml:space="preserve">”) sets out, </w:t>
      </w:r>
      <w:r w:rsidRPr="006636CD">
        <w:rPr>
          <w:i/>
          <w:sz w:val="20"/>
          <w:szCs w:val="20"/>
        </w:rPr>
        <w:t>inter alia</w:t>
      </w:r>
      <w:r w:rsidRPr="006636CD">
        <w:rPr>
          <w:sz w:val="20"/>
          <w:szCs w:val="20"/>
        </w:rPr>
        <w:t>, the rules governing the listing of drugs as benefits to eligible persons such as seniors and the amounts the province will pay to pharmacies for dispensing drugs.  Between 2006 and 2010, changes to regulation of prescription drug sales in Ontario had reduced the profits of pharmacies, first through the elimination of rebates that pharmacies received from generic pharmaceutical manufacturers, and later by the phasing out of “professional allowances” they received from the manufacturers.  The goal of the legislative changes was to reduce drug costs to the consumer in Ontario.  Private label generic drug companies are non</w:t>
      </w:r>
      <w:r w:rsidRPr="006636CD">
        <w:rPr>
          <w:sz w:val="20"/>
          <w:szCs w:val="20"/>
        </w:rPr>
        <w:noBreakHyphen/>
      </w:r>
      <w:proofErr w:type="spellStart"/>
      <w:r w:rsidRPr="006636CD">
        <w:rPr>
          <w:sz w:val="20"/>
          <w:szCs w:val="20"/>
        </w:rPr>
        <w:t>arms</w:t>
      </w:r>
      <w:proofErr w:type="spellEnd"/>
      <w:r w:rsidRPr="006636CD">
        <w:rPr>
          <w:sz w:val="20"/>
          <w:szCs w:val="20"/>
        </w:rPr>
        <w:t xml:space="preserve"> length from the pharmacies that sell their products.  Shoppers and the Katz Group sought to use their own private label generic drugs rather than purchasing those generic drugs from an arms</w:t>
      </w:r>
      <w:r w:rsidRPr="006636CD">
        <w:rPr>
          <w:sz w:val="20"/>
          <w:szCs w:val="20"/>
        </w:rPr>
        <w:noBreakHyphen/>
      </w:r>
      <w:proofErr w:type="spellStart"/>
      <w:r w:rsidRPr="006636CD">
        <w:rPr>
          <w:sz w:val="20"/>
          <w:szCs w:val="20"/>
        </w:rPr>
        <w:t>length</w:t>
      </w:r>
      <w:proofErr w:type="spellEnd"/>
      <w:r w:rsidRPr="006636CD">
        <w:rPr>
          <w:sz w:val="20"/>
          <w:szCs w:val="20"/>
        </w:rPr>
        <w:t xml:space="preserve"> third party.  The 2010 amendments to the regulations effectively prohibited them from doing so.</w:t>
      </w:r>
    </w:p>
    <w:p w:rsidR="003B7537" w:rsidRPr="006636CD" w:rsidRDefault="003B7537" w:rsidP="003B7537">
      <w:pPr>
        <w:widowControl w:val="0"/>
        <w:jc w:val="both"/>
        <w:rPr>
          <w:sz w:val="20"/>
          <w:szCs w:val="20"/>
        </w:rPr>
      </w:pPr>
    </w:p>
    <w:p w:rsidR="003B7537" w:rsidRPr="006636CD" w:rsidRDefault="003B7537" w:rsidP="003B7537">
      <w:pPr>
        <w:widowControl w:val="0"/>
        <w:jc w:val="both"/>
        <w:rPr>
          <w:sz w:val="20"/>
          <w:szCs w:val="20"/>
        </w:rPr>
      </w:pPr>
    </w:p>
    <w:p w:rsidR="003B7537" w:rsidRPr="006636CD" w:rsidRDefault="003B7537" w:rsidP="003B7537">
      <w:pPr>
        <w:widowControl w:val="0"/>
        <w:ind w:left="2880" w:hanging="2880"/>
        <w:jc w:val="both"/>
        <w:rPr>
          <w:sz w:val="20"/>
          <w:szCs w:val="20"/>
        </w:rPr>
      </w:pPr>
      <w:r w:rsidRPr="006636CD">
        <w:rPr>
          <w:sz w:val="20"/>
          <w:szCs w:val="20"/>
        </w:rPr>
        <w:t>Origin of the case:</w:t>
      </w:r>
      <w:r w:rsidRPr="006636CD">
        <w:rPr>
          <w:sz w:val="20"/>
          <w:szCs w:val="20"/>
        </w:rPr>
        <w:tab/>
        <w:t>Ontario</w:t>
      </w:r>
    </w:p>
    <w:p w:rsidR="003B7537" w:rsidRPr="006636CD" w:rsidRDefault="003B7537" w:rsidP="003B7537">
      <w:pPr>
        <w:widowControl w:val="0"/>
        <w:ind w:left="2880" w:hanging="2880"/>
        <w:jc w:val="both"/>
        <w:rPr>
          <w:sz w:val="20"/>
          <w:szCs w:val="20"/>
        </w:rPr>
      </w:pPr>
    </w:p>
    <w:p w:rsidR="003B7537" w:rsidRPr="006636CD" w:rsidRDefault="003B7537" w:rsidP="003B7537">
      <w:pPr>
        <w:widowControl w:val="0"/>
        <w:ind w:left="2880" w:hanging="2880"/>
        <w:jc w:val="both"/>
        <w:rPr>
          <w:sz w:val="20"/>
          <w:szCs w:val="20"/>
        </w:rPr>
      </w:pPr>
      <w:r w:rsidRPr="006636CD">
        <w:rPr>
          <w:sz w:val="20"/>
          <w:szCs w:val="20"/>
        </w:rPr>
        <w:t>File No.:</w:t>
      </w:r>
      <w:r w:rsidRPr="006636CD">
        <w:rPr>
          <w:sz w:val="20"/>
          <w:szCs w:val="20"/>
        </w:rPr>
        <w:tab/>
        <w:t>34649</w:t>
      </w:r>
    </w:p>
    <w:p w:rsidR="003B7537" w:rsidRPr="006636CD" w:rsidRDefault="003B7537" w:rsidP="003B7537">
      <w:pPr>
        <w:widowControl w:val="0"/>
        <w:ind w:left="2880" w:hanging="2880"/>
        <w:jc w:val="both"/>
        <w:rPr>
          <w:sz w:val="20"/>
          <w:szCs w:val="20"/>
        </w:rPr>
      </w:pPr>
    </w:p>
    <w:p w:rsidR="003B7537" w:rsidRPr="006636CD" w:rsidRDefault="003B7537" w:rsidP="003B7537">
      <w:pPr>
        <w:widowControl w:val="0"/>
        <w:ind w:left="2880" w:hanging="2880"/>
        <w:jc w:val="both"/>
        <w:rPr>
          <w:sz w:val="20"/>
          <w:szCs w:val="20"/>
        </w:rPr>
      </w:pPr>
      <w:r w:rsidRPr="006636CD">
        <w:rPr>
          <w:sz w:val="20"/>
          <w:szCs w:val="20"/>
        </w:rPr>
        <w:t>Judgment of the Court of Appeal:</w:t>
      </w:r>
      <w:r w:rsidRPr="006636CD">
        <w:rPr>
          <w:sz w:val="20"/>
          <w:szCs w:val="20"/>
        </w:rPr>
        <w:tab/>
        <w:t>December 23, 2011</w:t>
      </w:r>
    </w:p>
    <w:p w:rsidR="003B7537" w:rsidRPr="006636CD" w:rsidRDefault="003B7537" w:rsidP="003B7537">
      <w:pPr>
        <w:widowControl w:val="0"/>
        <w:ind w:left="2880" w:hanging="2880"/>
        <w:jc w:val="both"/>
        <w:rPr>
          <w:sz w:val="20"/>
          <w:szCs w:val="20"/>
        </w:rPr>
      </w:pPr>
    </w:p>
    <w:p w:rsidR="003B7537" w:rsidRPr="006636CD" w:rsidRDefault="003B7537" w:rsidP="003B7537">
      <w:pPr>
        <w:widowControl w:val="0"/>
        <w:ind w:left="2880" w:hanging="2880"/>
        <w:jc w:val="both"/>
        <w:rPr>
          <w:sz w:val="20"/>
          <w:szCs w:val="20"/>
        </w:rPr>
      </w:pPr>
      <w:r w:rsidRPr="006636CD">
        <w:rPr>
          <w:sz w:val="20"/>
          <w:szCs w:val="20"/>
        </w:rPr>
        <w:t>Counsel:</w:t>
      </w:r>
      <w:r w:rsidRPr="006636CD">
        <w:rPr>
          <w:sz w:val="20"/>
          <w:szCs w:val="20"/>
        </w:rPr>
        <w:tab/>
        <w:t>Mahmud Jamal, Craig T. Lockwood, Eric Morgan and W. David Rankin for the appellants</w:t>
      </w:r>
    </w:p>
    <w:p w:rsidR="003B7537" w:rsidRPr="006636CD" w:rsidRDefault="003B7537" w:rsidP="003B7537">
      <w:pPr>
        <w:widowControl w:val="0"/>
        <w:ind w:left="2880" w:hanging="2880"/>
        <w:jc w:val="both"/>
        <w:rPr>
          <w:sz w:val="20"/>
          <w:szCs w:val="20"/>
        </w:rPr>
      </w:pPr>
      <w:r w:rsidRPr="006636CD">
        <w:rPr>
          <w:sz w:val="20"/>
          <w:szCs w:val="20"/>
        </w:rPr>
        <w:tab/>
        <w:t xml:space="preserve">Kim </w:t>
      </w:r>
      <w:proofErr w:type="spellStart"/>
      <w:r w:rsidRPr="006636CD">
        <w:rPr>
          <w:sz w:val="20"/>
          <w:szCs w:val="20"/>
        </w:rPr>
        <w:t>Twohig</w:t>
      </w:r>
      <w:proofErr w:type="spellEnd"/>
      <w:r w:rsidRPr="006636CD">
        <w:rPr>
          <w:sz w:val="20"/>
          <w:szCs w:val="20"/>
        </w:rPr>
        <w:t xml:space="preserve">, </w:t>
      </w:r>
      <w:proofErr w:type="spellStart"/>
      <w:r w:rsidRPr="006636CD">
        <w:rPr>
          <w:sz w:val="20"/>
          <w:szCs w:val="20"/>
        </w:rPr>
        <w:t>Lise</w:t>
      </w:r>
      <w:proofErr w:type="spellEnd"/>
      <w:r w:rsidRPr="006636CD">
        <w:rPr>
          <w:sz w:val="20"/>
          <w:szCs w:val="20"/>
        </w:rPr>
        <w:t xml:space="preserve"> G. </w:t>
      </w:r>
      <w:proofErr w:type="spellStart"/>
      <w:r w:rsidRPr="006636CD">
        <w:rPr>
          <w:sz w:val="20"/>
          <w:szCs w:val="20"/>
        </w:rPr>
        <w:t>Favreau</w:t>
      </w:r>
      <w:proofErr w:type="spellEnd"/>
      <w:r w:rsidRPr="006636CD">
        <w:rPr>
          <w:sz w:val="20"/>
          <w:szCs w:val="20"/>
        </w:rPr>
        <w:t xml:space="preserve"> and Kristin Smith for the respondents</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0"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3B7537" w:rsidRPr="003B7537" w:rsidRDefault="0017005E" w:rsidP="003B7537">
      <w:pPr>
        <w:widowControl w:val="0"/>
        <w:ind w:left="720" w:hanging="720"/>
        <w:jc w:val="both"/>
        <w:rPr>
          <w:rFonts w:eastAsia="Times New Roman" w:cs="Times New Roman"/>
          <w:sz w:val="20"/>
          <w:szCs w:val="20"/>
          <w:lang w:val="fr-CA" w:eastAsia="en-CA"/>
        </w:rPr>
      </w:pPr>
      <w:r w:rsidRPr="003B7537">
        <w:rPr>
          <w:rFonts w:eastAsia="Times New Roman" w:cs="Times New Roman"/>
          <w:b/>
          <w:sz w:val="20"/>
          <w:szCs w:val="20"/>
          <w:lang w:val="fr-CA" w:eastAsia="en-CA"/>
        </w:rPr>
        <w:lastRenderedPageBreak/>
        <w:fldChar w:fldCharType="begin"/>
      </w:r>
      <w:r w:rsidR="003B7537" w:rsidRPr="003B7537">
        <w:rPr>
          <w:rFonts w:eastAsia="Times New Roman" w:cs="Times New Roman"/>
          <w:b/>
          <w:sz w:val="20"/>
          <w:szCs w:val="20"/>
          <w:lang w:val="fr-CA" w:eastAsia="en-CA"/>
        </w:rPr>
        <w:instrText xml:space="preserve"> SEQ CHAPTER \h \r 1</w:instrText>
      </w:r>
      <w:r w:rsidRPr="003B7537">
        <w:rPr>
          <w:rFonts w:eastAsia="Times New Roman" w:cs="Times New Roman"/>
          <w:b/>
          <w:sz w:val="20"/>
          <w:szCs w:val="20"/>
          <w:lang w:val="fr-CA" w:eastAsia="en-CA"/>
        </w:rPr>
        <w:fldChar w:fldCharType="end"/>
      </w:r>
      <w:r w:rsidR="003B7537" w:rsidRPr="003B7537">
        <w:rPr>
          <w:rFonts w:eastAsia="Times New Roman" w:cs="Times New Roman"/>
          <w:b/>
          <w:sz w:val="20"/>
          <w:szCs w:val="20"/>
          <w:lang w:val="fr-CA" w:eastAsia="en-CA"/>
        </w:rPr>
        <w:t>34649</w:t>
      </w:r>
      <w:r w:rsidR="003B7537" w:rsidRPr="003B7537">
        <w:rPr>
          <w:rFonts w:eastAsia="Times New Roman" w:cs="Times New Roman"/>
          <w:sz w:val="20"/>
          <w:szCs w:val="20"/>
          <w:lang w:val="fr-CA" w:eastAsia="en-CA"/>
        </w:rPr>
        <w:tab/>
      </w:r>
      <w:proofErr w:type="spellStart"/>
      <w:r w:rsidR="003B7537" w:rsidRPr="003B7537">
        <w:rPr>
          <w:rFonts w:eastAsia="Times New Roman" w:cs="Times New Roman"/>
          <w:b/>
          <w:i/>
          <w:sz w:val="20"/>
          <w:szCs w:val="20"/>
          <w:lang w:val="fr-CA" w:eastAsia="en-CA"/>
        </w:rPr>
        <w:t>Shoppers</w:t>
      </w:r>
      <w:proofErr w:type="spellEnd"/>
      <w:r w:rsidR="003B7537" w:rsidRPr="003B7537">
        <w:rPr>
          <w:rFonts w:eastAsia="Times New Roman" w:cs="Times New Roman"/>
          <w:b/>
          <w:i/>
          <w:sz w:val="20"/>
          <w:szCs w:val="20"/>
          <w:lang w:val="fr-CA" w:eastAsia="en-CA"/>
        </w:rPr>
        <w:t xml:space="preserve"> Drug </w:t>
      </w:r>
      <w:proofErr w:type="spellStart"/>
      <w:r w:rsidR="003B7537" w:rsidRPr="003B7537">
        <w:rPr>
          <w:rFonts w:eastAsia="Times New Roman" w:cs="Times New Roman"/>
          <w:b/>
          <w:i/>
          <w:sz w:val="20"/>
          <w:szCs w:val="20"/>
          <w:lang w:val="fr-CA" w:eastAsia="en-CA"/>
        </w:rPr>
        <w:t>Mart</w:t>
      </w:r>
      <w:proofErr w:type="spellEnd"/>
      <w:r w:rsidR="003B7537" w:rsidRPr="003B7537">
        <w:rPr>
          <w:rFonts w:eastAsia="Times New Roman" w:cs="Times New Roman"/>
          <w:b/>
          <w:i/>
          <w:sz w:val="20"/>
          <w:szCs w:val="20"/>
          <w:lang w:val="fr-CA" w:eastAsia="en-CA"/>
        </w:rPr>
        <w:t xml:space="preserve"> Inc., </w:t>
      </w:r>
      <w:proofErr w:type="spellStart"/>
      <w:r w:rsidR="003B7537" w:rsidRPr="003B7537">
        <w:rPr>
          <w:rFonts w:eastAsia="Times New Roman" w:cs="Times New Roman"/>
          <w:b/>
          <w:i/>
          <w:sz w:val="20"/>
          <w:szCs w:val="20"/>
          <w:lang w:val="fr-CA" w:eastAsia="en-CA"/>
        </w:rPr>
        <w:t>Shoppers</w:t>
      </w:r>
      <w:proofErr w:type="spellEnd"/>
      <w:r w:rsidR="003B7537" w:rsidRPr="003B7537">
        <w:rPr>
          <w:rFonts w:eastAsia="Times New Roman" w:cs="Times New Roman"/>
          <w:b/>
          <w:i/>
          <w:sz w:val="20"/>
          <w:szCs w:val="20"/>
          <w:lang w:val="fr-CA" w:eastAsia="en-CA"/>
        </w:rPr>
        <w:t xml:space="preserve"> Drug </w:t>
      </w:r>
      <w:proofErr w:type="spellStart"/>
      <w:r w:rsidR="003B7537" w:rsidRPr="003B7537">
        <w:rPr>
          <w:rFonts w:eastAsia="Times New Roman" w:cs="Times New Roman"/>
          <w:b/>
          <w:i/>
          <w:sz w:val="20"/>
          <w:szCs w:val="20"/>
          <w:lang w:val="fr-CA" w:eastAsia="en-CA"/>
        </w:rPr>
        <w:t>Mart</w:t>
      </w:r>
      <w:proofErr w:type="spellEnd"/>
      <w:r w:rsidR="003B7537" w:rsidRPr="003B7537">
        <w:rPr>
          <w:rFonts w:eastAsia="Times New Roman" w:cs="Times New Roman"/>
          <w:b/>
          <w:i/>
          <w:sz w:val="20"/>
          <w:szCs w:val="20"/>
          <w:lang w:val="fr-CA" w:eastAsia="en-CA"/>
        </w:rPr>
        <w:t xml:space="preserve"> (London) Limited et </w:t>
      </w:r>
      <w:proofErr w:type="spellStart"/>
      <w:r w:rsidR="003B7537" w:rsidRPr="003B7537">
        <w:rPr>
          <w:rFonts w:eastAsia="Times New Roman" w:cs="Times New Roman"/>
          <w:b/>
          <w:i/>
          <w:sz w:val="20"/>
          <w:szCs w:val="20"/>
          <w:lang w:val="fr-CA" w:eastAsia="en-CA"/>
        </w:rPr>
        <w:t>Sanis</w:t>
      </w:r>
      <w:proofErr w:type="spellEnd"/>
      <w:r w:rsidR="003B7537" w:rsidRPr="003B7537">
        <w:rPr>
          <w:rFonts w:eastAsia="Times New Roman" w:cs="Times New Roman"/>
          <w:b/>
          <w:i/>
          <w:sz w:val="20"/>
          <w:szCs w:val="20"/>
          <w:lang w:val="fr-CA" w:eastAsia="en-CA"/>
        </w:rPr>
        <w:t xml:space="preserve"> </w:t>
      </w:r>
      <w:proofErr w:type="spellStart"/>
      <w:r w:rsidR="003B7537" w:rsidRPr="003B7537">
        <w:rPr>
          <w:rFonts w:eastAsia="Times New Roman" w:cs="Times New Roman"/>
          <w:b/>
          <w:i/>
          <w:sz w:val="20"/>
          <w:szCs w:val="20"/>
          <w:lang w:val="fr-CA" w:eastAsia="en-CA"/>
        </w:rPr>
        <w:t>Health</w:t>
      </w:r>
      <w:proofErr w:type="spellEnd"/>
      <w:r w:rsidR="003B7537" w:rsidRPr="003B7537">
        <w:rPr>
          <w:rFonts w:eastAsia="Times New Roman" w:cs="Times New Roman"/>
          <w:b/>
          <w:i/>
          <w:sz w:val="20"/>
          <w:szCs w:val="20"/>
          <w:lang w:val="fr-CA" w:eastAsia="en-CA"/>
        </w:rPr>
        <w:t xml:space="preserve"> Inc. c. Ministre de la Santé et des Soins de longue durée, </w:t>
      </w:r>
      <w:proofErr w:type="spellStart"/>
      <w:r w:rsidR="003B7537" w:rsidRPr="003B7537">
        <w:rPr>
          <w:rFonts w:eastAsia="Times New Roman" w:cs="Times New Roman"/>
          <w:b/>
          <w:i/>
          <w:sz w:val="20"/>
          <w:szCs w:val="20"/>
          <w:lang w:val="fr-CA" w:eastAsia="en-CA"/>
        </w:rPr>
        <w:t>lieutenant</w:t>
      </w:r>
      <w:r w:rsidR="003B7537" w:rsidRPr="003B7537">
        <w:rPr>
          <w:rFonts w:eastAsia="Times New Roman" w:cs="Times New Roman"/>
          <w:b/>
          <w:i/>
          <w:sz w:val="20"/>
          <w:szCs w:val="20"/>
          <w:lang w:val="fr-CA" w:eastAsia="en-CA"/>
        </w:rPr>
        <w:noBreakHyphen/>
        <w:t>gouverneur</w:t>
      </w:r>
      <w:proofErr w:type="spellEnd"/>
      <w:r w:rsidR="003B7537" w:rsidRPr="003B7537">
        <w:rPr>
          <w:rFonts w:eastAsia="Times New Roman" w:cs="Times New Roman"/>
          <w:b/>
          <w:i/>
          <w:sz w:val="20"/>
          <w:szCs w:val="20"/>
          <w:lang w:val="fr-CA" w:eastAsia="en-CA"/>
        </w:rPr>
        <w:t xml:space="preserve"> en conseil de Ontario et procureur général de l’Ontario</w:t>
      </w:r>
    </w:p>
    <w:p w:rsidR="003B7537" w:rsidRPr="003B7537" w:rsidRDefault="003B7537" w:rsidP="003B7537">
      <w:pPr>
        <w:widowControl w:val="0"/>
        <w:jc w:val="both"/>
        <w:rPr>
          <w:rFonts w:eastAsia="Times New Roman" w:cs="Times New Roman"/>
          <w:sz w:val="20"/>
          <w:szCs w:val="20"/>
          <w:lang w:val="fr-CA" w:eastAsia="en-CA"/>
        </w:rPr>
      </w:pPr>
    </w:p>
    <w:p w:rsidR="003B7537" w:rsidRPr="003B7537" w:rsidRDefault="003B7537" w:rsidP="003B7537">
      <w:pPr>
        <w:widowControl w:val="0"/>
        <w:jc w:val="both"/>
        <w:rPr>
          <w:rFonts w:eastAsia="Times New Roman" w:cs="Times New Roman"/>
          <w:sz w:val="20"/>
          <w:szCs w:val="20"/>
          <w:lang w:val="fr-CA" w:eastAsia="en-CA"/>
        </w:rPr>
      </w:pPr>
      <w:r w:rsidRPr="003B7537">
        <w:rPr>
          <w:rFonts w:eastAsia="Times New Roman" w:cs="Times New Roman"/>
          <w:sz w:val="20"/>
          <w:szCs w:val="20"/>
          <w:lang w:val="fr-CA" w:eastAsia="en-CA"/>
        </w:rPr>
        <w:t xml:space="preserve">Droit de la santé </w:t>
      </w:r>
      <w:r w:rsidRPr="003B7537">
        <w:rPr>
          <w:rFonts w:eastAsia="Times New Roman" w:cs="Times New Roman"/>
          <w:sz w:val="20"/>
          <w:szCs w:val="20"/>
          <w:lang w:val="fr-CA" w:eastAsia="en-CA"/>
        </w:rPr>
        <w:noBreakHyphen/>
        <w:t xml:space="preserve"> Santé publique </w:t>
      </w:r>
      <w:r w:rsidRPr="003B7537">
        <w:rPr>
          <w:rFonts w:eastAsia="Times New Roman" w:cs="Times New Roman"/>
          <w:sz w:val="20"/>
          <w:szCs w:val="20"/>
          <w:lang w:val="fr-CA" w:eastAsia="en-CA"/>
        </w:rPr>
        <w:noBreakHyphen/>
        <w:t xml:space="preserve"> Règlements </w:t>
      </w:r>
      <w:r w:rsidRPr="003B7537">
        <w:rPr>
          <w:rFonts w:eastAsia="Times New Roman" w:cs="Times New Roman"/>
          <w:sz w:val="20"/>
          <w:szCs w:val="20"/>
          <w:lang w:val="fr-CA" w:eastAsia="en-CA"/>
        </w:rPr>
        <w:noBreakHyphen/>
        <w:t xml:space="preserve"> Cette Cour </w:t>
      </w:r>
      <w:proofErr w:type="spellStart"/>
      <w:r w:rsidRPr="003B7537">
        <w:rPr>
          <w:rFonts w:eastAsia="Times New Roman" w:cs="Times New Roman"/>
          <w:sz w:val="20"/>
          <w:szCs w:val="20"/>
          <w:lang w:val="fr-CA" w:eastAsia="en-CA"/>
        </w:rPr>
        <w:t>devrait</w:t>
      </w:r>
      <w:r w:rsidRPr="003B7537">
        <w:rPr>
          <w:rFonts w:eastAsia="Times New Roman" w:cs="Times New Roman"/>
          <w:sz w:val="20"/>
          <w:szCs w:val="20"/>
          <w:lang w:val="fr-CA" w:eastAsia="en-CA"/>
        </w:rPr>
        <w:noBreakHyphen/>
        <w:t>elle</w:t>
      </w:r>
      <w:proofErr w:type="spellEnd"/>
      <w:r w:rsidRPr="003B7537">
        <w:rPr>
          <w:rFonts w:eastAsia="Times New Roman" w:cs="Times New Roman"/>
          <w:sz w:val="20"/>
          <w:szCs w:val="20"/>
          <w:lang w:val="fr-CA" w:eastAsia="en-CA"/>
        </w:rPr>
        <w:t xml:space="preserve"> faire preuve de déférence ou de véritable retenue en examinant la légalité ou la validité de règlements? </w:t>
      </w:r>
      <w:r w:rsidRPr="003B7537">
        <w:rPr>
          <w:rFonts w:eastAsia="Times New Roman" w:cs="Times New Roman"/>
          <w:sz w:val="20"/>
          <w:szCs w:val="20"/>
          <w:lang w:val="fr-CA" w:eastAsia="en-CA"/>
        </w:rPr>
        <w:noBreakHyphen/>
        <w:t xml:space="preserve"> L’interdiction des médicaments de marque privée </w:t>
      </w:r>
      <w:proofErr w:type="spellStart"/>
      <w:r w:rsidRPr="003B7537">
        <w:rPr>
          <w:rFonts w:eastAsia="Times New Roman" w:cs="Times New Roman"/>
          <w:sz w:val="20"/>
          <w:szCs w:val="20"/>
          <w:lang w:val="fr-CA" w:eastAsia="en-CA"/>
        </w:rPr>
        <w:t>est</w:t>
      </w:r>
      <w:r w:rsidRPr="003B7537">
        <w:rPr>
          <w:rFonts w:eastAsia="Times New Roman" w:cs="Times New Roman"/>
          <w:sz w:val="20"/>
          <w:szCs w:val="20"/>
          <w:lang w:val="fr-CA" w:eastAsia="en-CA"/>
        </w:rPr>
        <w:noBreakHyphen/>
        <w:t>elle</w:t>
      </w:r>
      <w:proofErr w:type="spellEnd"/>
      <w:r w:rsidRPr="003B7537">
        <w:rPr>
          <w:rFonts w:eastAsia="Times New Roman" w:cs="Times New Roman"/>
          <w:sz w:val="20"/>
          <w:szCs w:val="20"/>
          <w:lang w:val="fr-CA" w:eastAsia="en-CA"/>
        </w:rPr>
        <w:t xml:space="preserve"> conforme à l’objet des lois habilitantes? </w:t>
      </w:r>
      <w:r w:rsidRPr="003B7537">
        <w:rPr>
          <w:rFonts w:eastAsia="Times New Roman" w:cs="Times New Roman"/>
          <w:sz w:val="20"/>
          <w:szCs w:val="20"/>
          <w:lang w:val="fr-CA" w:eastAsia="en-CA"/>
        </w:rPr>
        <w:noBreakHyphen/>
        <w:t xml:space="preserve"> L’interdiction des médicaments de marque privée </w:t>
      </w:r>
      <w:proofErr w:type="spellStart"/>
      <w:r w:rsidRPr="003B7537">
        <w:rPr>
          <w:rFonts w:eastAsia="Times New Roman" w:cs="Times New Roman"/>
          <w:sz w:val="20"/>
          <w:szCs w:val="20"/>
          <w:lang w:val="fr-CA" w:eastAsia="en-CA"/>
        </w:rPr>
        <w:t>est</w:t>
      </w:r>
      <w:r w:rsidRPr="003B7537">
        <w:rPr>
          <w:rFonts w:eastAsia="Times New Roman" w:cs="Times New Roman"/>
          <w:sz w:val="20"/>
          <w:szCs w:val="20"/>
          <w:lang w:val="fr-CA" w:eastAsia="en-CA"/>
        </w:rPr>
        <w:noBreakHyphen/>
        <w:t>elle</w:t>
      </w:r>
      <w:proofErr w:type="spellEnd"/>
      <w:r w:rsidRPr="003B7537">
        <w:rPr>
          <w:rFonts w:eastAsia="Times New Roman" w:cs="Times New Roman"/>
          <w:sz w:val="20"/>
          <w:szCs w:val="20"/>
          <w:lang w:val="fr-CA" w:eastAsia="en-CA"/>
        </w:rPr>
        <w:t xml:space="preserve"> une condition d’inscription sur la liste ou une interdiction? </w:t>
      </w:r>
      <w:r w:rsidRPr="003B7537">
        <w:rPr>
          <w:rFonts w:eastAsia="Times New Roman" w:cs="Times New Roman"/>
          <w:sz w:val="20"/>
          <w:szCs w:val="20"/>
          <w:lang w:val="fr-CA" w:eastAsia="en-CA"/>
        </w:rPr>
        <w:noBreakHyphen/>
        <w:t xml:space="preserve"> Les lois habilitantes </w:t>
      </w:r>
      <w:proofErr w:type="spellStart"/>
      <w:r w:rsidRPr="003B7537">
        <w:rPr>
          <w:rFonts w:eastAsia="Times New Roman" w:cs="Times New Roman"/>
          <w:sz w:val="20"/>
          <w:szCs w:val="20"/>
          <w:lang w:val="fr-CA" w:eastAsia="en-CA"/>
        </w:rPr>
        <w:t>autorisent</w:t>
      </w:r>
      <w:r w:rsidRPr="003B7537">
        <w:rPr>
          <w:rFonts w:eastAsia="Times New Roman" w:cs="Times New Roman"/>
          <w:sz w:val="20"/>
          <w:szCs w:val="20"/>
          <w:lang w:val="fr-CA" w:eastAsia="en-CA"/>
        </w:rPr>
        <w:noBreakHyphen/>
        <w:t>elles</w:t>
      </w:r>
      <w:proofErr w:type="spellEnd"/>
      <w:r w:rsidRPr="003B7537">
        <w:rPr>
          <w:rFonts w:eastAsia="Times New Roman" w:cs="Times New Roman"/>
          <w:sz w:val="20"/>
          <w:szCs w:val="20"/>
          <w:lang w:val="fr-CA" w:eastAsia="en-CA"/>
        </w:rPr>
        <w:t xml:space="preserve"> des règlements qui font obstacle à une activité commerciale licite par ailleurs, à savoir la décision d’une chaîne de pharmacies d’investir dans le fabricant de ses propres médicaments? </w:t>
      </w:r>
      <w:r w:rsidRPr="003B7537">
        <w:rPr>
          <w:rFonts w:eastAsia="Times New Roman" w:cs="Times New Roman"/>
          <w:sz w:val="20"/>
          <w:szCs w:val="20"/>
          <w:lang w:val="fr-CA" w:eastAsia="en-CA"/>
        </w:rPr>
        <w:noBreakHyphen/>
        <w:t xml:space="preserve"> Les lois habilitantes </w:t>
      </w:r>
      <w:proofErr w:type="spellStart"/>
      <w:r w:rsidRPr="003B7537">
        <w:rPr>
          <w:rFonts w:eastAsia="Times New Roman" w:cs="Times New Roman"/>
          <w:sz w:val="20"/>
          <w:szCs w:val="20"/>
          <w:lang w:val="fr-CA" w:eastAsia="en-CA"/>
        </w:rPr>
        <w:t>autorisent</w:t>
      </w:r>
      <w:r w:rsidRPr="003B7537">
        <w:rPr>
          <w:rFonts w:eastAsia="Times New Roman" w:cs="Times New Roman"/>
          <w:sz w:val="20"/>
          <w:szCs w:val="20"/>
          <w:lang w:val="fr-CA" w:eastAsia="en-CA"/>
        </w:rPr>
        <w:noBreakHyphen/>
        <w:t>elles</w:t>
      </w:r>
      <w:proofErr w:type="spellEnd"/>
      <w:r w:rsidRPr="003B7537">
        <w:rPr>
          <w:rFonts w:eastAsia="Times New Roman" w:cs="Times New Roman"/>
          <w:sz w:val="20"/>
          <w:szCs w:val="20"/>
          <w:lang w:val="fr-CA" w:eastAsia="en-CA"/>
        </w:rPr>
        <w:t xml:space="preserve"> des règlements qui font des distinctions entre des fabricants de médicaments en interdisant l’accès de certains d’entre eux au marché ontarien?</w:t>
      </w:r>
    </w:p>
    <w:p w:rsidR="003B7537" w:rsidRPr="003B7537" w:rsidRDefault="003B7537" w:rsidP="003B7537">
      <w:pPr>
        <w:widowControl w:val="0"/>
        <w:jc w:val="both"/>
        <w:rPr>
          <w:rFonts w:eastAsia="Times New Roman" w:cs="Times New Roman"/>
          <w:sz w:val="20"/>
          <w:szCs w:val="20"/>
          <w:lang w:val="fr-CA" w:eastAsia="en-CA"/>
        </w:rPr>
      </w:pPr>
    </w:p>
    <w:p w:rsidR="003B7537" w:rsidRPr="003B7537" w:rsidRDefault="003B7537" w:rsidP="003B7537">
      <w:pPr>
        <w:widowControl w:val="0"/>
        <w:jc w:val="both"/>
        <w:rPr>
          <w:rFonts w:eastAsia="Times New Roman" w:cs="Times New Roman"/>
          <w:sz w:val="20"/>
          <w:szCs w:val="20"/>
          <w:lang w:val="fr-CA" w:eastAsia="en-CA"/>
        </w:rPr>
      </w:pPr>
      <w:proofErr w:type="spellStart"/>
      <w:r w:rsidRPr="003B7537">
        <w:rPr>
          <w:rFonts w:eastAsia="Times New Roman" w:cs="Times New Roman"/>
          <w:sz w:val="20"/>
          <w:szCs w:val="20"/>
          <w:lang w:val="fr-CA" w:eastAsia="en-CA"/>
        </w:rPr>
        <w:t>Shoppers</w:t>
      </w:r>
      <w:proofErr w:type="spellEnd"/>
      <w:r w:rsidRPr="003B7537">
        <w:rPr>
          <w:rFonts w:eastAsia="Times New Roman" w:cs="Times New Roman"/>
          <w:sz w:val="20"/>
          <w:szCs w:val="20"/>
          <w:lang w:val="fr-CA" w:eastAsia="en-CA"/>
        </w:rPr>
        <w:t xml:space="preserve"> Drug </w:t>
      </w:r>
      <w:proofErr w:type="spellStart"/>
      <w:r w:rsidRPr="003B7537">
        <w:rPr>
          <w:rFonts w:eastAsia="Times New Roman" w:cs="Times New Roman"/>
          <w:sz w:val="20"/>
          <w:szCs w:val="20"/>
          <w:lang w:val="fr-CA" w:eastAsia="en-CA"/>
        </w:rPr>
        <w:t>Mart</w:t>
      </w:r>
      <w:proofErr w:type="spellEnd"/>
      <w:r w:rsidRPr="003B7537">
        <w:rPr>
          <w:rFonts w:eastAsia="Times New Roman" w:cs="Times New Roman"/>
          <w:sz w:val="20"/>
          <w:szCs w:val="20"/>
          <w:lang w:val="fr-CA" w:eastAsia="en-CA"/>
        </w:rPr>
        <w:t xml:space="preserve"> (« </w:t>
      </w:r>
      <w:proofErr w:type="spellStart"/>
      <w:r w:rsidRPr="003B7537">
        <w:rPr>
          <w:rFonts w:eastAsia="Times New Roman" w:cs="Times New Roman"/>
          <w:sz w:val="20"/>
          <w:szCs w:val="20"/>
          <w:lang w:val="fr-CA" w:eastAsia="en-CA"/>
        </w:rPr>
        <w:t>Shoppers</w:t>
      </w:r>
      <w:proofErr w:type="spellEnd"/>
      <w:r w:rsidRPr="003B7537">
        <w:rPr>
          <w:rFonts w:eastAsia="Times New Roman" w:cs="Times New Roman"/>
          <w:sz w:val="20"/>
          <w:szCs w:val="20"/>
          <w:lang w:val="fr-CA" w:eastAsia="en-CA"/>
        </w:rPr>
        <w:t xml:space="preserve"> ») et les compagnies du groupe Katz sont propriétaires, franchiseurs et exploitants de pharmacies à l’échelle de l’Ontario.  Elles ont demandé une ordonnance annulant les règlements de l’Ontario qui interdisaient effectivement la vente de médicaments génériques de marque privée en Ontario.  </w:t>
      </w:r>
      <w:proofErr w:type="spellStart"/>
      <w:r w:rsidRPr="003B7537">
        <w:rPr>
          <w:rFonts w:eastAsia="Times New Roman" w:cs="Times New Roman"/>
          <w:sz w:val="20"/>
          <w:szCs w:val="20"/>
          <w:lang w:val="fr-CA" w:eastAsia="en-CA"/>
        </w:rPr>
        <w:t>Sanis</w:t>
      </w:r>
      <w:proofErr w:type="spellEnd"/>
      <w:r w:rsidRPr="003B7537">
        <w:rPr>
          <w:rFonts w:eastAsia="Times New Roman" w:cs="Times New Roman"/>
          <w:sz w:val="20"/>
          <w:szCs w:val="20"/>
          <w:lang w:val="fr-CA" w:eastAsia="en-CA"/>
        </w:rPr>
        <w:t xml:space="preserve"> </w:t>
      </w:r>
      <w:proofErr w:type="spellStart"/>
      <w:r w:rsidRPr="003B7537">
        <w:rPr>
          <w:rFonts w:eastAsia="Times New Roman" w:cs="Times New Roman"/>
          <w:sz w:val="20"/>
          <w:szCs w:val="20"/>
          <w:lang w:val="fr-CA" w:eastAsia="en-CA"/>
        </w:rPr>
        <w:t>Health</w:t>
      </w:r>
      <w:proofErr w:type="spellEnd"/>
      <w:r w:rsidRPr="003B7537">
        <w:rPr>
          <w:rFonts w:eastAsia="Times New Roman" w:cs="Times New Roman"/>
          <w:sz w:val="20"/>
          <w:szCs w:val="20"/>
          <w:lang w:val="fr-CA" w:eastAsia="en-CA"/>
        </w:rPr>
        <w:t xml:space="preserve"> Inc. (« </w:t>
      </w:r>
      <w:proofErr w:type="spellStart"/>
      <w:r w:rsidRPr="003B7537">
        <w:rPr>
          <w:rFonts w:eastAsia="Times New Roman" w:cs="Times New Roman"/>
          <w:sz w:val="20"/>
          <w:szCs w:val="20"/>
          <w:lang w:val="fr-CA" w:eastAsia="en-CA"/>
        </w:rPr>
        <w:t>Sanis</w:t>
      </w:r>
      <w:proofErr w:type="spellEnd"/>
      <w:r w:rsidRPr="003B7537">
        <w:rPr>
          <w:rFonts w:eastAsia="Times New Roman" w:cs="Times New Roman"/>
          <w:sz w:val="20"/>
          <w:szCs w:val="20"/>
          <w:lang w:val="fr-CA" w:eastAsia="en-CA"/>
        </w:rPr>
        <w:t xml:space="preserve"> ») est une filiale de </w:t>
      </w:r>
      <w:proofErr w:type="spellStart"/>
      <w:r w:rsidRPr="003B7537">
        <w:rPr>
          <w:rFonts w:eastAsia="Times New Roman" w:cs="Times New Roman"/>
          <w:sz w:val="20"/>
          <w:szCs w:val="20"/>
          <w:lang w:val="fr-CA" w:eastAsia="en-CA"/>
        </w:rPr>
        <w:t>Shoppers</w:t>
      </w:r>
      <w:proofErr w:type="spellEnd"/>
      <w:r w:rsidRPr="003B7537">
        <w:rPr>
          <w:rFonts w:eastAsia="Times New Roman" w:cs="Times New Roman"/>
          <w:sz w:val="20"/>
          <w:szCs w:val="20"/>
          <w:lang w:val="fr-CA" w:eastAsia="en-CA"/>
        </w:rPr>
        <w:t xml:space="preserve"> et un fabricant de médicaments génériques qui externalise la fabrication des médicaments génériques qu’elle vend principalement à </w:t>
      </w:r>
      <w:proofErr w:type="spellStart"/>
      <w:r w:rsidRPr="003B7537">
        <w:rPr>
          <w:rFonts w:eastAsia="Times New Roman" w:cs="Times New Roman"/>
          <w:sz w:val="20"/>
          <w:szCs w:val="20"/>
          <w:lang w:val="fr-CA" w:eastAsia="en-CA"/>
        </w:rPr>
        <w:t>Shoppers</w:t>
      </w:r>
      <w:proofErr w:type="spellEnd"/>
      <w:r w:rsidRPr="003B7537">
        <w:rPr>
          <w:rFonts w:eastAsia="Times New Roman" w:cs="Times New Roman"/>
          <w:sz w:val="20"/>
          <w:szCs w:val="20"/>
          <w:lang w:val="fr-CA" w:eastAsia="en-CA"/>
        </w:rPr>
        <w:t>.  Le prix des médicaments génériques est réglementé par la loi provinciale.  La</w:t>
      </w:r>
      <w:r w:rsidRPr="003B7537">
        <w:rPr>
          <w:rFonts w:eastAsia="Times New Roman" w:cs="Times New Roman"/>
          <w:i/>
          <w:sz w:val="20"/>
          <w:szCs w:val="20"/>
          <w:lang w:val="fr-CA" w:eastAsia="en-CA"/>
        </w:rPr>
        <w:t xml:space="preserve"> Loi sur l’interchangeabilité des médicaments et les honoraires de préparation</w:t>
      </w:r>
      <w:r w:rsidRPr="003B7537">
        <w:rPr>
          <w:rFonts w:eastAsia="Times New Roman" w:cs="Times New Roman"/>
          <w:sz w:val="20"/>
          <w:szCs w:val="20"/>
          <w:lang w:val="fr-CA" w:eastAsia="en-CA"/>
        </w:rPr>
        <w:t>, L.R.O. 1990, ch. P.23 (la « </w:t>
      </w:r>
      <w:r w:rsidRPr="003B7537">
        <w:rPr>
          <w:rFonts w:eastAsia="Times New Roman" w:cs="Times New Roman"/>
          <w:i/>
          <w:sz w:val="20"/>
          <w:szCs w:val="20"/>
          <w:lang w:val="fr-CA" w:eastAsia="en-CA"/>
        </w:rPr>
        <w:t>LIMHP</w:t>
      </w:r>
      <w:r w:rsidRPr="003B7537">
        <w:rPr>
          <w:rFonts w:eastAsia="Times New Roman" w:cs="Times New Roman"/>
          <w:sz w:val="20"/>
          <w:szCs w:val="20"/>
          <w:lang w:val="fr-CA" w:eastAsia="en-CA"/>
        </w:rPr>
        <w:t> ») autorise et oblige les pharmacies à délivrer des médicaments génériques qui ont été désignés comme étant interchangeables avec un médicament breveté.  La</w:t>
      </w:r>
      <w:r w:rsidRPr="003B7537">
        <w:rPr>
          <w:rFonts w:eastAsia="Times New Roman" w:cs="Times New Roman"/>
          <w:i/>
          <w:sz w:val="20"/>
          <w:szCs w:val="20"/>
          <w:lang w:val="fr-CA" w:eastAsia="en-CA"/>
        </w:rPr>
        <w:t xml:space="preserve"> Loi sur le régime de médicaments gratuits de l’Ontario</w:t>
      </w:r>
      <w:r w:rsidRPr="003B7537">
        <w:rPr>
          <w:rFonts w:eastAsia="Times New Roman" w:cs="Times New Roman"/>
          <w:sz w:val="20"/>
          <w:szCs w:val="20"/>
          <w:lang w:val="fr-CA" w:eastAsia="en-CA"/>
        </w:rPr>
        <w:t>, L.R.O. 1990, ch. O.10 (« </w:t>
      </w:r>
      <w:r w:rsidRPr="003B7537">
        <w:rPr>
          <w:rFonts w:eastAsia="Times New Roman" w:cs="Times New Roman"/>
          <w:i/>
          <w:sz w:val="20"/>
          <w:szCs w:val="20"/>
          <w:lang w:val="fr-CA" w:eastAsia="en-CA"/>
        </w:rPr>
        <w:t>LRMGO</w:t>
      </w:r>
      <w:r w:rsidRPr="003B7537">
        <w:rPr>
          <w:rFonts w:eastAsia="Times New Roman" w:cs="Times New Roman"/>
          <w:sz w:val="20"/>
          <w:szCs w:val="20"/>
          <w:lang w:val="fr-CA" w:eastAsia="en-CA"/>
        </w:rPr>
        <w:t xml:space="preserve"> ») énonce notamment les règles qui régissent la liste des médicaments qui peuvent être délivrés aux personnes admissibles — par exemple les personnes âgées — et les montants que la province versera aux pharmacies qui délivrent les médicaments.  Entre 2006 et 2010, des modifications apportées à la réglementation des ventes de médicaments sur ordonnance en Ontario avaient eu pour effet de réduire les profits des pharmacies, d’abord par l’élimination des ristournes que les pharmacies recevaient des fabricants de médicaments génériques, puis par l’élimination progressive des « remises aux professionnels » qu’elles recevaient des fabricants.  Les modifications législatives avaient pour but de réduire le coût des médicaments pour les consommateurs en Ontario.  Les compagnies de médicaments génériques de marque privée sont liées aux pharmacies qui vendent leurs produits.  </w:t>
      </w:r>
      <w:proofErr w:type="spellStart"/>
      <w:r w:rsidRPr="003B7537">
        <w:rPr>
          <w:rFonts w:eastAsia="Times New Roman" w:cs="Times New Roman"/>
          <w:sz w:val="20"/>
          <w:szCs w:val="20"/>
          <w:lang w:val="fr-CA" w:eastAsia="en-CA"/>
        </w:rPr>
        <w:t>Shoppers</w:t>
      </w:r>
      <w:proofErr w:type="spellEnd"/>
      <w:r w:rsidRPr="003B7537">
        <w:rPr>
          <w:rFonts w:eastAsia="Times New Roman" w:cs="Times New Roman"/>
          <w:sz w:val="20"/>
          <w:szCs w:val="20"/>
          <w:lang w:val="fr-CA" w:eastAsia="en-CA"/>
        </w:rPr>
        <w:t xml:space="preserve"> et le groupe Katz ont tenté d’utiliser leurs propres médicaments génériques de marque privée plutôt que d’acheter ces médicaments génériques d’un tiers non lié.  Les modifications apportées aux règlements en 2010 leur ont effectivement interdit de le faire.</w:t>
      </w:r>
    </w:p>
    <w:p w:rsidR="003B7537" w:rsidRPr="003B7537" w:rsidRDefault="003B7537" w:rsidP="003B7537">
      <w:pPr>
        <w:widowControl w:val="0"/>
        <w:jc w:val="both"/>
        <w:rPr>
          <w:rFonts w:eastAsia="Times New Roman" w:cs="Times New Roman"/>
          <w:sz w:val="20"/>
          <w:szCs w:val="20"/>
          <w:lang w:val="fr-CA" w:eastAsia="en-CA"/>
        </w:rPr>
      </w:pPr>
    </w:p>
    <w:p w:rsidR="003B7537" w:rsidRPr="003B7537" w:rsidRDefault="003B7537" w:rsidP="003B7537">
      <w:pPr>
        <w:widowControl w:val="0"/>
        <w:jc w:val="both"/>
        <w:rPr>
          <w:rFonts w:eastAsia="Times New Roman" w:cs="Times New Roman"/>
          <w:sz w:val="20"/>
          <w:szCs w:val="20"/>
          <w:lang w:val="fr-CA" w:eastAsia="en-CA"/>
        </w:rPr>
      </w:pPr>
    </w:p>
    <w:p w:rsidR="003B7537" w:rsidRPr="003B7537" w:rsidRDefault="003B7537" w:rsidP="003B7537">
      <w:pPr>
        <w:widowControl w:val="0"/>
        <w:ind w:left="2880" w:hanging="2880"/>
        <w:jc w:val="both"/>
        <w:rPr>
          <w:rFonts w:eastAsia="Times New Roman" w:cs="Times New Roman"/>
          <w:sz w:val="20"/>
          <w:szCs w:val="20"/>
          <w:lang w:val="fr-CA" w:eastAsia="en-CA"/>
        </w:rPr>
      </w:pPr>
      <w:r w:rsidRPr="003B7537">
        <w:rPr>
          <w:rFonts w:eastAsia="Times New Roman" w:cs="Times New Roman"/>
          <w:sz w:val="20"/>
          <w:szCs w:val="20"/>
          <w:lang w:val="fr-CA" w:eastAsia="en-CA"/>
        </w:rPr>
        <w:t>Origine :</w:t>
      </w:r>
      <w:r w:rsidRPr="003B7537">
        <w:rPr>
          <w:rFonts w:eastAsia="Times New Roman" w:cs="Times New Roman"/>
          <w:sz w:val="20"/>
          <w:szCs w:val="20"/>
          <w:lang w:val="fr-CA" w:eastAsia="en-CA"/>
        </w:rPr>
        <w:tab/>
        <w:t>Ontario</w:t>
      </w:r>
    </w:p>
    <w:p w:rsidR="003B7537" w:rsidRPr="003B7537" w:rsidRDefault="003B7537" w:rsidP="003B7537">
      <w:pPr>
        <w:widowControl w:val="0"/>
        <w:ind w:left="2880" w:hanging="2880"/>
        <w:jc w:val="both"/>
        <w:rPr>
          <w:rFonts w:eastAsia="Times New Roman" w:cs="Times New Roman"/>
          <w:sz w:val="20"/>
          <w:szCs w:val="20"/>
          <w:lang w:val="fr-CA" w:eastAsia="en-CA"/>
        </w:rPr>
      </w:pPr>
    </w:p>
    <w:p w:rsidR="003B7537" w:rsidRPr="003B7537" w:rsidRDefault="003B7537" w:rsidP="003B7537">
      <w:pPr>
        <w:widowControl w:val="0"/>
        <w:ind w:left="2880" w:hanging="2880"/>
        <w:jc w:val="both"/>
        <w:rPr>
          <w:rFonts w:eastAsia="Times New Roman" w:cs="Times New Roman"/>
          <w:sz w:val="20"/>
          <w:szCs w:val="20"/>
          <w:lang w:val="fr-CA" w:eastAsia="en-CA"/>
        </w:rPr>
      </w:pPr>
      <w:r w:rsidRPr="003B7537">
        <w:rPr>
          <w:rFonts w:eastAsia="Times New Roman" w:cs="Times New Roman"/>
          <w:sz w:val="20"/>
          <w:szCs w:val="20"/>
          <w:lang w:val="fr-CA" w:eastAsia="en-CA"/>
        </w:rPr>
        <w:t>N</w:t>
      </w:r>
      <w:r w:rsidRPr="003B7537">
        <w:rPr>
          <w:rFonts w:eastAsia="Times New Roman" w:cs="Times New Roman"/>
          <w:sz w:val="20"/>
          <w:szCs w:val="20"/>
          <w:vertAlign w:val="superscript"/>
          <w:lang w:val="fr-CA" w:eastAsia="en-CA"/>
        </w:rPr>
        <w:t>o</w:t>
      </w:r>
      <w:r w:rsidRPr="003B7537">
        <w:rPr>
          <w:rFonts w:eastAsia="Times New Roman" w:cs="Times New Roman"/>
          <w:sz w:val="20"/>
          <w:szCs w:val="20"/>
          <w:lang w:val="fr-CA" w:eastAsia="en-CA"/>
        </w:rPr>
        <w:t xml:space="preserve"> du greffe :</w:t>
      </w:r>
      <w:r w:rsidRPr="003B7537">
        <w:rPr>
          <w:rFonts w:eastAsia="Times New Roman" w:cs="Times New Roman"/>
          <w:sz w:val="20"/>
          <w:szCs w:val="20"/>
          <w:lang w:val="fr-CA" w:eastAsia="en-CA"/>
        </w:rPr>
        <w:tab/>
        <w:t>34649</w:t>
      </w:r>
    </w:p>
    <w:p w:rsidR="003B7537" w:rsidRPr="003B7537" w:rsidRDefault="003B7537" w:rsidP="003B7537">
      <w:pPr>
        <w:widowControl w:val="0"/>
        <w:ind w:left="2880" w:hanging="2880"/>
        <w:jc w:val="both"/>
        <w:rPr>
          <w:rFonts w:eastAsia="Times New Roman" w:cs="Times New Roman"/>
          <w:sz w:val="20"/>
          <w:szCs w:val="20"/>
          <w:lang w:val="fr-CA" w:eastAsia="en-CA"/>
        </w:rPr>
      </w:pPr>
    </w:p>
    <w:p w:rsidR="003B7537" w:rsidRPr="003B7537" w:rsidRDefault="003B7537" w:rsidP="003B7537">
      <w:pPr>
        <w:widowControl w:val="0"/>
        <w:ind w:left="2880" w:hanging="2880"/>
        <w:jc w:val="both"/>
        <w:rPr>
          <w:rFonts w:eastAsia="Times New Roman" w:cs="Times New Roman"/>
          <w:sz w:val="20"/>
          <w:szCs w:val="20"/>
          <w:lang w:val="fr-CA" w:eastAsia="en-CA"/>
        </w:rPr>
      </w:pPr>
      <w:r w:rsidRPr="003B7537">
        <w:rPr>
          <w:rFonts w:eastAsia="Times New Roman" w:cs="Times New Roman"/>
          <w:sz w:val="20"/>
          <w:szCs w:val="20"/>
          <w:lang w:val="fr-CA" w:eastAsia="en-CA"/>
        </w:rPr>
        <w:t>Arrêt de la Cour d’appel :</w:t>
      </w:r>
      <w:r w:rsidRPr="003B7537">
        <w:rPr>
          <w:rFonts w:eastAsia="Times New Roman" w:cs="Times New Roman"/>
          <w:sz w:val="20"/>
          <w:szCs w:val="20"/>
          <w:lang w:val="fr-CA" w:eastAsia="en-CA"/>
        </w:rPr>
        <w:tab/>
        <w:t>le 23 décembre 2011</w:t>
      </w:r>
    </w:p>
    <w:p w:rsidR="003B7537" w:rsidRPr="003B7537" w:rsidRDefault="003B7537" w:rsidP="003B7537">
      <w:pPr>
        <w:widowControl w:val="0"/>
        <w:ind w:left="2880" w:hanging="2880"/>
        <w:jc w:val="both"/>
        <w:rPr>
          <w:rFonts w:eastAsia="Times New Roman" w:cs="Times New Roman"/>
          <w:sz w:val="20"/>
          <w:szCs w:val="20"/>
          <w:lang w:val="fr-CA" w:eastAsia="en-CA"/>
        </w:rPr>
      </w:pPr>
    </w:p>
    <w:p w:rsidR="003B7537" w:rsidRPr="003B7537" w:rsidRDefault="003B7537" w:rsidP="003B7537">
      <w:pPr>
        <w:widowControl w:val="0"/>
        <w:ind w:left="2880" w:hanging="2880"/>
        <w:jc w:val="both"/>
        <w:rPr>
          <w:rFonts w:eastAsia="Times New Roman" w:cs="Times New Roman"/>
          <w:sz w:val="20"/>
          <w:szCs w:val="20"/>
          <w:lang w:val="fr-CA" w:eastAsia="en-CA"/>
        </w:rPr>
      </w:pPr>
      <w:r w:rsidRPr="003B7537">
        <w:rPr>
          <w:rFonts w:eastAsia="Times New Roman" w:cs="Times New Roman"/>
          <w:sz w:val="20"/>
          <w:szCs w:val="20"/>
          <w:lang w:val="fr-CA" w:eastAsia="en-CA"/>
        </w:rPr>
        <w:t>Avocats :</w:t>
      </w:r>
      <w:r w:rsidRPr="003B7537">
        <w:rPr>
          <w:rFonts w:eastAsia="Times New Roman" w:cs="Times New Roman"/>
          <w:sz w:val="20"/>
          <w:szCs w:val="20"/>
          <w:lang w:val="fr-CA" w:eastAsia="en-CA"/>
        </w:rPr>
        <w:tab/>
        <w:t xml:space="preserve">Mahmud Jamal, Craig T. </w:t>
      </w:r>
      <w:proofErr w:type="spellStart"/>
      <w:r w:rsidRPr="003B7537">
        <w:rPr>
          <w:rFonts w:eastAsia="Times New Roman" w:cs="Times New Roman"/>
          <w:sz w:val="20"/>
          <w:szCs w:val="20"/>
          <w:lang w:val="fr-CA" w:eastAsia="en-CA"/>
        </w:rPr>
        <w:t>Lockwood</w:t>
      </w:r>
      <w:proofErr w:type="spellEnd"/>
      <w:r w:rsidRPr="003B7537">
        <w:rPr>
          <w:rFonts w:eastAsia="Times New Roman" w:cs="Times New Roman"/>
          <w:sz w:val="20"/>
          <w:szCs w:val="20"/>
          <w:lang w:val="fr-CA" w:eastAsia="en-CA"/>
        </w:rPr>
        <w:t xml:space="preserve">, </w:t>
      </w:r>
      <w:proofErr w:type="spellStart"/>
      <w:r w:rsidRPr="003B7537">
        <w:rPr>
          <w:rFonts w:eastAsia="Times New Roman" w:cs="Times New Roman"/>
          <w:sz w:val="20"/>
          <w:szCs w:val="20"/>
          <w:lang w:val="fr-CA" w:eastAsia="en-CA"/>
        </w:rPr>
        <w:t>Eric</w:t>
      </w:r>
      <w:proofErr w:type="spellEnd"/>
      <w:r w:rsidRPr="003B7537">
        <w:rPr>
          <w:rFonts w:eastAsia="Times New Roman" w:cs="Times New Roman"/>
          <w:sz w:val="20"/>
          <w:szCs w:val="20"/>
          <w:lang w:val="fr-CA" w:eastAsia="en-CA"/>
        </w:rPr>
        <w:t xml:space="preserve"> Morgan et W. David </w:t>
      </w:r>
      <w:proofErr w:type="spellStart"/>
      <w:r w:rsidRPr="003B7537">
        <w:rPr>
          <w:rFonts w:eastAsia="Times New Roman" w:cs="Times New Roman"/>
          <w:sz w:val="20"/>
          <w:szCs w:val="20"/>
          <w:lang w:val="fr-CA" w:eastAsia="en-CA"/>
        </w:rPr>
        <w:t>Rankin</w:t>
      </w:r>
      <w:proofErr w:type="spellEnd"/>
      <w:r w:rsidRPr="003B7537">
        <w:rPr>
          <w:rFonts w:eastAsia="Times New Roman" w:cs="Times New Roman"/>
          <w:sz w:val="20"/>
          <w:szCs w:val="20"/>
          <w:lang w:val="fr-CA" w:eastAsia="en-CA"/>
        </w:rPr>
        <w:t xml:space="preserve"> pour les appelantes</w:t>
      </w:r>
    </w:p>
    <w:p w:rsidR="003B7537" w:rsidRPr="003B7537" w:rsidRDefault="003B7537" w:rsidP="003B7537">
      <w:pPr>
        <w:widowControl w:val="0"/>
        <w:ind w:left="2880" w:hanging="2880"/>
        <w:jc w:val="both"/>
        <w:rPr>
          <w:rFonts w:eastAsia="Times New Roman" w:cs="Times New Roman"/>
          <w:sz w:val="20"/>
          <w:szCs w:val="20"/>
          <w:lang w:val="fr-CA" w:eastAsia="en-CA"/>
        </w:rPr>
      </w:pPr>
      <w:r w:rsidRPr="003B7537">
        <w:rPr>
          <w:rFonts w:eastAsia="Times New Roman" w:cs="Times New Roman"/>
          <w:sz w:val="20"/>
          <w:szCs w:val="20"/>
          <w:lang w:val="fr-CA" w:eastAsia="en-CA"/>
        </w:rPr>
        <w:tab/>
        <w:t xml:space="preserve">Kim </w:t>
      </w:r>
      <w:proofErr w:type="spellStart"/>
      <w:r w:rsidRPr="003B7537">
        <w:rPr>
          <w:rFonts w:eastAsia="Times New Roman" w:cs="Times New Roman"/>
          <w:sz w:val="20"/>
          <w:szCs w:val="20"/>
          <w:lang w:val="fr-CA" w:eastAsia="en-CA"/>
        </w:rPr>
        <w:t>Twohig</w:t>
      </w:r>
      <w:proofErr w:type="spellEnd"/>
      <w:r w:rsidRPr="003B7537">
        <w:rPr>
          <w:rFonts w:eastAsia="Times New Roman" w:cs="Times New Roman"/>
          <w:sz w:val="20"/>
          <w:szCs w:val="20"/>
          <w:lang w:val="fr-CA" w:eastAsia="en-CA"/>
        </w:rPr>
        <w:t>, Lise G. Favreau et Kristin Smith pour les intimés</w:t>
      </w:r>
    </w:p>
    <w:p w:rsidR="004634AB" w:rsidRPr="003B7537" w:rsidRDefault="004634AB" w:rsidP="004634AB">
      <w:pPr>
        <w:tabs>
          <w:tab w:val="left" w:pos="-1440"/>
          <w:tab w:val="left" w:pos="-720"/>
        </w:tabs>
        <w:jc w:val="both"/>
        <w:rPr>
          <w:sz w:val="20"/>
          <w:szCs w:val="20"/>
          <w:lang w:val="fr-CA"/>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1"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BB7091" w:rsidRPr="00AE5AF1" w:rsidRDefault="0017005E" w:rsidP="00BB7091">
      <w:pPr>
        <w:widowControl w:val="0"/>
        <w:ind w:left="720" w:hanging="720"/>
        <w:jc w:val="both"/>
        <w:rPr>
          <w:sz w:val="20"/>
          <w:szCs w:val="20"/>
        </w:rPr>
      </w:pPr>
      <w:r w:rsidRPr="00AE5AF1">
        <w:rPr>
          <w:b/>
          <w:sz w:val="20"/>
          <w:szCs w:val="20"/>
        </w:rPr>
        <w:lastRenderedPageBreak/>
        <w:fldChar w:fldCharType="begin"/>
      </w:r>
      <w:r w:rsidR="00BB7091" w:rsidRPr="00AE5AF1">
        <w:rPr>
          <w:b/>
          <w:sz w:val="20"/>
          <w:szCs w:val="20"/>
        </w:rPr>
        <w:instrText xml:space="preserve"> SEQ CHAPTER \h \r 1</w:instrText>
      </w:r>
      <w:r w:rsidRPr="00AE5AF1">
        <w:rPr>
          <w:b/>
          <w:sz w:val="20"/>
          <w:szCs w:val="20"/>
        </w:rPr>
        <w:fldChar w:fldCharType="end"/>
      </w:r>
      <w:proofErr w:type="gramStart"/>
      <w:r w:rsidR="00BB7091" w:rsidRPr="00AE5AF1">
        <w:rPr>
          <w:b/>
          <w:sz w:val="20"/>
          <w:szCs w:val="20"/>
        </w:rPr>
        <w:t>34653</w:t>
      </w:r>
      <w:r w:rsidR="00BB7091" w:rsidRPr="00AE5AF1">
        <w:rPr>
          <w:sz w:val="20"/>
          <w:szCs w:val="20"/>
        </w:rPr>
        <w:tab/>
      </w:r>
      <w:proofErr w:type="spellStart"/>
      <w:r w:rsidR="00BB7091" w:rsidRPr="00AE5AF1">
        <w:rPr>
          <w:b/>
          <w:i/>
          <w:sz w:val="20"/>
          <w:szCs w:val="20"/>
        </w:rPr>
        <w:t>Mihai</w:t>
      </w:r>
      <w:proofErr w:type="spellEnd"/>
      <w:r w:rsidR="00BB7091" w:rsidRPr="00AE5AF1">
        <w:rPr>
          <w:b/>
          <w:i/>
          <w:sz w:val="20"/>
          <w:szCs w:val="20"/>
        </w:rPr>
        <w:t xml:space="preserve"> </w:t>
      </w:r>
      <w:proofErr w:type="spellStart"/>
      <w:r w:rsidR="00BB7091" w:rsidRPr="00AE5AF1">
        <w:rPr>
          <w:b/>
          <w:i/>
          <w:sz w:val="20"/>
          <w:szCs w:val="20"/>
        </w:rPr>
        <w:t>Ibanescu</w:t>
      </w:r>
      <w:proofErr w:type="spellEnd"/>
      <w:r w:rsidR="00BB7091" w:rsidRPr="00AE5AF1">
        <w:rPr>
          <w:b/>
          <w:i/>
          <w:sz w:val="20"/>
          <w:szCs w:val="20"/>
        </w:rPr>
        <w:t xml:space="preserve"> v.</w:t>
      </w:r>
      <w:proofErr w:type="gramEnd"/>
      <w:r w:rsidR="00BB7091" w:rsidRPr="00AE5AF1">
        <w:rPr>
          <w:b/>
          <w:i/>
          <w:sz w:val="20"/>
          <w:szCs w:val="20"/>
        </w:rPr>
        <w:t xml:space="preserve"> Her Majesty the Queen</w:t>
      </w:r>
    </w:p>
    <w:p w:rsidR="00BB7091" w:rsidRPr="00AE5AF1" w:rsidRDefault="00BB7091" w:rsidP="00BB7091">
      <w:pPr>
        <w:widowControl w:val="0"/>
        <w:jc w:val="both"/>
        <w:rPr>
          <w:sz w:val="20"/>
          <w:szCs w:val="20"/>
        </w:rPr>
      </w:pPr>
    </w:p>
    <w:p w:rsidR="00BB7091" w:rsidRPr="00AE5AF1" w:rsidRDefault="00BB7091" w:rsidP="00BB7091">
      <w:pPr>
        <w:widowControl w:val="0"/>
        <w:jc w:val="both"/>
        <w:rPr>
          <w:sz w:val="20"/>
          <w:szCs w:val="20"/>
        </w:rPr>
      </w:pPr>
      <w:r w:rsidRPr="00AE5AF1">
        <w:rPr>
          <w:sz w:val="20"/>
          <w:szCs w:val="20"/>
        </w:rPr>
        <w:t xml:space="preserve">Criminal law </w:t>
      </w:r>
      <w:r w:rsidRPr="00AE5AF1">
        <w:rPr>
          <w:sz w:val="20"/>
          <w:szCs w:val="20"/>
        </w:rPr>
        <w:noBreakHyphen/>
        <w:t xml:space="preserve"> Offences </w:t>
      </w:r>
      <w:r w:rsidRPr="00AE5AF1">
        <w:rPr>
          <w:sz w:val="20"/>
          <w:szCs w:val="20"/>
        </w:rPr>
        <w:noBreakHyphen/>
        <w:t xml:space="preserve"> Driving with more than 80 mg of alcohol in 100 ml of blood </w:t>
      </w:r>
      <w:r w:rsidRPr="00AE5AF1">
        <w:rPr>
          <w:sz w:val="20"/>
          <w:szCs w:val="20"/>
        </w:rPr>
        <w:noBreakHyphen/>
        <w:t xml:space="preserve"> Impaired driving </w:t>
      </w:r>
      <w:r w:rsidRPr="00AE5AF1">
        <w:rPr>
          <w:sz w:val="20"/>
          <w:szCs w:val="20"/>
        </w:rPr>
        <w:noBreakHyphen/>
        <w:t xml:space="preserve"> Evidence </w:t>
      </w:r>
      <w:r w:rsidRPr="00AE5AF1">
        <w:rPr>
          <w:sz w:val="20"/>
          <w:szCs w:val="20"/>
        </w:rPr>
        <w:noBreakHyphen/>
        <w:t xml:space="preserve"> Presumptions </w:t>
      </w:r>
      <w:r w:rsidRPr="00AE5AF1">
        <w:rPr>
          <w:sz w:val="20"/>
          <w:szCs w:val="20"/>
        </w:rPr>
        <w:noBreakHyphen/>
        <w:t xml:space="preserve"> </w:t>
      </w:r>
      <w:proofErr w:type="spellStart"/>
      <w:r w:rsidRPr="00AE5AF1">
        <w:rPr>
          <w:sz w:val="20"/>
          <w:szCs w:val="20"/>
        </w:rPr>
        <w:t>Breathalyzer</w:t>
      </w:r>
      <w:proofErr w:type="spellEnd"/>
      <w:r w:rsidRPr="00AE5AF1">
        <w:rPr>
          <w:sz w:val="20"/>
          <w:szCs w:val="20"/>
        </w:rPr>
        <w:t xml:space="preserve"> tests </w:t>
      </w:r>
      <w:r w:rsidRPr="00AE5AF1">
        <w:rPr>
          <w:sz w:val="20"/>
          <w:szCs w:val="20"/>
        </w:rPr>
        <w:noBreakHyphen/>
        <w:t xml:space="preserve"> Straddle evidence </w:t>
      </w:r>
      <w:r w:rsidRPr="00AE5AF1">
        <w:rPr>
          <w:sz w:val="20"/>
          <w:szCs w:val="20"/>
        </w:rPr>
        <w:noBreakHyphen/>
        <w:t xml:space="preserve"> Whether Court of Appeal erred in law in its analysis of </w:t>
      </w:r>
      <w:r w:rsidRPr="00AE5AF1">
        <w:rPr>
          <w:i/>
          <w:sz w:val="20"/>
          <w:szCs w:val="20"/>
        </w:rPr>
        <w:t>R. v. Gibson</w:t>
      </w:r>
      <w:r w:rsidRPr="00AE5AF1">
        <w:rPr>
          <w:sz w:val="20"/>
          <w:szCs w:val="20"/>
        </w:rPr>
        <w:t xml:space="preserve">, [2008] 1 S.C.R. 397 </w:t>
      </w:r>
      <w:r w:rsidRPr="00AE5AF1">
        <w:rPr>
          <w:sz w:val="20"/>
          <w:szCs w:val="20"/>
        </w:rPr>
        <w:noBreakHyphen/>
        <w:t xml:space="preserve"> Whether Court of Appeal erred in law in not complying with </w:t>
      </w:r>
      <w:r w:rsidRPr="00AE5AF1">
        <w:rPr>
          <w:i/>
          <w:sz w:val="20"/>
          <w:szCs w:val="20"/>
        </w:rPr>
        <w:t>stare </w:t>
      </w:r>
      <w:proofErr w:type="spellStart"/>
      <w:r w:rsidRPr="00AE5AF1">
        <w:rPr>
          <w:i/>
          <w:sz w:val="20"/>
          <w:szCs w:val="20"/>
        </w:rPr>
        <w:t>decisis</w:t>
      </w:r>
      <w:proofErr w:type="spellEnd"/>
      <w:r w:rsidRPr="00AE5AF1">
        <w:rPr>
          <w:sz w:val="20"/>
          <w:szCs w:val="20"/>
        </w:rPr>
        <w:t xml:space="preserve"> rule </w:t>
      </w:r>
      <w:r w:rsidRPr="00AE5AF1">
        <w:rPr>
          <w:sz w:val="20"/>
          <w:szCs w:val="20"/>
        </w:rPr>
        <w:noBreakHyphen/>
        <w:t xml:space="preserve"> Whether Court of Appeal overstepped its role by substituting its own assessment of facts for that of trial judge.</w:t>
      </w:r>
    </w:p>
    <w:p w:rsidR="00BB7091" w:rsidRPr="00AE5AF1" w:rsidRDefault="00BB7091" w:rsidP="00BB7091">
      <w:pPr>
        <w:widowControl w:val="0"/>
        <w:jc w:val="both"/>
        <w:rPr>
          <w:sz w:val="20"/>
          <w:szCs w:val="20"/>
        </w:rPr>
      </w:pPr>
    </w:p>
    <w:p w:rsidR="00BB7091" w:rsidRPr="00AE5AF1" w:rsidRDefault="00BB7091" w:rsidP="00BB7091">
      <w:pPr>
        <w:jc w:val="both"/>
        <w:rPr>
          <w:sz w:val="20"/>
          <w:szCs w:val="20"/>
        </w:rPr>
      </w:pPr>
      <w:r w:rsidRPr="00AE5AF1">
        <w:rPr>
          <w:sz w:val="20"/>
          <w:szCs w:val="20"/>
        </w:rPr>
        <w:t xml:space="preserve">On January 15, 2006, following car accidents and a loss of control, </w:t>
      </w:r>
      <w:proofErr w:type="spellStart"/>
      <w:r w:rsidRPr="00AE5AF1">
        <w:rPr>
          <w:sz w:val="20"/>
          <w:szCs w:val="20"/>
        </w:rPr>
        <w:t>Mihai</w:t>
      </w:r>
      <w:proofErr w:type="spellEnd"/>
      <w:r w:rsidRPr="00AE5AF1">
        <w:rPr>
          <w:sz w:val="20"/>
          <w:szCs w:val="20"/>
        </w:rPr>
        <w:t xml:space="preserve"> </w:t>
      </w:r>
      <w:proofErr w:type="spellStart"/>
      <w:r w:rsidRPr="00AE5AF1">
        <w:rPr>
          <w:sz w:val="20"/>
          <w:szCs w:val="20"/>
        </w:rPr>
        <w:t>Ibanescu’s</w:t>
      </w:r>
      <w:proofErr w:type="spellEnd"/>
      <w:r w:rsidRPr="00AE5AF1">
        <w:rPr>
          <w:sz w:val="20"/>
          <w:szCs w:val="20"/>
        </w:rPr>
        <w:t xml:space="preserve"> vehicle came to a stop around 2:15 a.m.  A Transports Québec patrol officer and some witnesses prevented Mr. </w:t>
      </w:r>
      <w:proofErr w:type="spellStart"/>
      <w:r w:rsidRPr="00AE5AF1">
        <w:rPr>
          <w:sz w:val="20"/>
          <w:szCs w:val="20"/>
        </w:rPr>
        <w:t>Ibanescu</w:t>
      </w:r>
      <w:proofErr w:type="spellEnd"/>
      <w:r w:rsidRPr="00AE5AF1">
        <w:rPr>
          <w:sz w:val="20"/>
          <w:szCs w:val="20"/>
        </w:rPr>
        <w:t xml:space="preserve"> from leaving.  The police arrived around 2:37 a.m.  After some checks were done and Mr. </w:t>
      </w:r>
      <w:proofErr w:type="spellStart"/>
      <w:r w:rsidRPr="00AE5AF1">
        <w:rPr>
          <w:sz w:val="20"/>
          <w:szCs w:val="20"/>
        </w:rPr>
        <w:t>Ibanescu</w:t>
      </w:r>
      <w:proofErr w:type="spellEnd"/>
      <w:r w:rsidRPr="00AE5AF1">
        <w:rPr>
          <w:sz w:val="20"/>
          <w:szCs w:val="20"/>
        </w:rPr>
        <w:t xml:space="preserve"> was read his rights, he was arrested and taken to the police station.  The </w:t>
      </w:r>
      <w:proofErr w:type="spellStart"/>
      <w:r w:rsidRPr="00AE5AF1">
        <w:rPr>
          <w:sz w:val="20"/>
          <w:szCs w:val="20"/>
        </w:rPr>
        <w:t>breathalyzer</w:t>
      </w:r>
      <w:proofErr w:type="spellEnd"/>
      <w:r w:rsidRPr="00AE5AF1">
        <w:rPr>
          <w:sz w:val="20"/>
          <w:szCs w:val="20"/>
        </w:rPr>
        <w:t xml:space="preserve"> test administered at 3:59 a.m. measured a blood alcohol concentration of 104 mg / 100 ml.  Two charges were laid against Mr. </w:t>
      </w:r>
      <w:proofErr w:type="spellStart"/>
      <w:r w:rsidRPr="00AE5AF1">
        <w:rPr>
          <w:sz w:val="20"/>
          <w:szCs w:val="20"/>
        </w:rPr>
        <w:t>Ibanescu</w:t>
      </w:r>
      <w:proofErr w:type="spellEnd"/>
      <w:r w:rsidRPr="00AE5AF1">
        <w:rPr>
          <w:sz w:val="20"/>
          <w:szCs w:val="20"/>
        </w:rPr>
        <w:t xml:space="preserve">: driving with a blood alcohol level over the legal limit and impaired driving. </w:t>
      </w:r>
    </w:p>
    <w:p w:rsidR="00BB7091" w:rsidRPr="00AE5AF1" w:rsidRDefault="00BB7091" w:rsidP="00BB7091">
      <w:pPr>
        <w:widowControl w:val="0"/>
        <w:jc w:val="both"/>
        <w:rPr>
          <w:sz w:val="20"/>
          <w:szCs w:val="20"/>
        </w:rPr>
      </w:pPr>
    </w:p>
    <w:p w:rsidR="00BB7091" w:rsidRPr="00AE5AF1" w:rsidRDefault="00BB7091" w:rsidP="00BB7091">
      <w:pPr>
        <w:widowControl w:val="0"/>
        <w:jc w:val="both"/>
        <w:rPr>
          <w:sz w:val="20"/>
          <w:szCs w:val="20"/>
        </w:rPr>
      </w:pPr>
    </w:p>
    <w:p w:rsidR="00BB7091" w:rsidRPr="00AE5AF1" w:rsidRDefault="00BB7091" w:rsidP="00BB7091">
      <w:pPr>
        <w:widowControl w:val="0"/>
        <w:ind w:left="2880" w:hanging="2880"/>
        <w:jc w:val="both"/>
        <w:rPr>
          <w:sz w:val="20"/>
          <w:szCs w:val="20"/>
        </w:rPr>
      </w:pPr>
      <w:r w:rsidRPr="00AE5AF1">
        <w:rPr>
          <w:sz w:val="20"/>
          <w:szCs w:val="20"/>
        </w:rPr>
        <w:t>Origin of the case:</w:t>
      </w:r>
      <w:r w:rsidRPr="00AE5AF1">
        <w:rPr>
          <w:sz w:val="20"/>
          <w:szCs w:val="20"/>
        </w:rPr>
        <w:tab/>
        <w:t>Quebec</w:t>
      </w:r>
    </w:p>
    <w:p w:rsidR="00BB7091" w:rsidRPr="00AE5AF1" w:rsidRDefault="00BB7091" w:rsidP="00BB7091">
      <w:pPr>
        <w:widowControl w:val="0"/>
        <w:ind w:left="2880" w:hanging="2880"/>
        <w:jc w:val="both"/>
        <w:rPr>
          <w:sz w:val="20"/>
          <w:szCs w:val="20"/>
        </w:rPr>
      </w:pPr>
    </w:p>
    <w:p w:rsidR="00BB7091" w:rsidRPr="00AE5AF1" w:rsidRDefault="00BB7091" w:rsidP="00BB7091">
      <w:pPr>
        <w:widowControl w:val="0"/>
        <w:ind w:left="2880" w:hanging="2880"/>
        <w:jc w:val="both"/>
        <w:rPr>
          <w:sz w:val="20"/>
          <w:szCs w:val="20"/>
        </w:rPr>
      </w:pPr>
      <w:r w:rsidRPr="00AE5AF1">
        <w:rPr>
          <w:sz w:val="20"/>
          <w:szCs w:val="20"/>
        </w:rPr>
        <w:t>File No.:</w:t>
      </w:r>
      <w:r w:rsidRPr="00AE5AF1">
        <w:rPr>
          <w:sz w:val="20"/>
          <w:szCs w:val="20"/>
        </w:rPr>
        <w:tab/>
        <w:t>34653</w:t>
      </w:r>
    </w:p>
    <w:p w:rsidR="00BB7091" w:rsidRPr="00AE5AF1" w:rsidRDefault="00BB7091" w:rsidP="00BB7091">
      <w:pPr>
        <w:widowControl w:val="0"/>
        <w:ind w:left="2880" w:hanging="2880"/>
        <w:jc w:val="both"/>
        <w:rPr>
          <w:sz w:val="20"/>
          <w:szCs w:val="20"/>
        </w:rPr>
      </w:pPr>
    </w:p>
    <w:p w:rsidR="00BB7091" w:rsidRPr="00AE5AF1" w:rsidRDefault="00BB7091" w:rsidP="00BB7091">
      <w:pPr>
        <w:widowControl w:val="0"/>
        <w:ind w:left="2880" w:hanging="2880"/>
        <w:jc w:val="both"/>
        <w:rPr>
          <w:sz w:val="20"/>
          <w:szCs w:val="20"/>
        </w:rPr>
      </w:pPr>
      <w:r w:rsidRPr="00AE5AF1">
        <w:rPr>
          <w:sz w:val="20"/>
          <w:szCs w:val="20"/>
        </w:rPr>
        <w:t>Judgment of the Court of Appeal:</w:t>
      </w:r>
      <w:r w:rsidRPr="00AE5AF1">
        <w:rPr>
          <w:sz w:val="20"/>
          <w:szCs w:val="20"/>
        </w:rPr>
        <w:tab/>
        <w:t>January 18, 2012</w:t>
      </w:r>
    </w:p>
    <w:p w:rsidR="00BB7091" w:rsidRPr="00AE5AF1" w:rsidRDefault="00BB7091" w:rsidP="00BB7091">
      <w:pPr>
        <w:widowControl w:val="0"/>
        <w:ind w:left="2880" w:hanging="2880"/>
        <w:jc w:val="both"/>
        <w:rPr>
          <w:sz w:val="20"/>
          <w:szCs w:val="20"/>
        </w:rPr>
      </w:pPr>
    </w:p>
    <w:p w:rsidR="00BB7091" w:rsidRPr="00AE5AF1" w:rsidRDefault="00BB7091" w:rsidP="00BB7091">
      <w:pPr>
        <w:widowControl w:val="0"/>
        <w:ind w:left="2880" w:hanging="2880"/>
        <w:jc w:val="both"/>
        <w:rPr>
          <w:sz w:val="20"/>
          <w:szCs w:val="20"/>
        </w:rPr>
      </w:pPr>
      <w:r w:rsidRPr="00AE5AF1">
        <w:rPr>
          <w:sz w:val="20"/>
          <w:szCs w:val="20"/>
        </w:rPr>
        <w:t>Counsel:</w:t>
      </w:r>
      <w:r w:rsidRPr="00AE5AF1">
        <w:rPr>
          <w:sz w:val="20"/>
          <w:szCs w:val="20"/>
        </w:rPr>
        <w:tab/>
        <w:t>Rose</w:t>
      </w:r>
      <w:r w:rsidRPr="00AE5AF1">
        <w:rPr>
          <w:sz w:val="20"/>
          <w:szCs w:val="20"/>
        </w:rPr>
        <w:noBreakHyphen/>
      </w:r>
      <w:proofErr w:type="spellStart"/>
      <w:r w:rsidRPr="00AE5AF1">
        <w:rPr>
          <w:sz w:val="20"/>
          <w:szCs w:val="20"/>
        </w:rPr>
        <w:t>Mélanie</w:t>
      </w:r>
      <w:proofErr w:type="spellEnd"/>
      <w:r w:rsidRPr="00AE5AF1">
        <w:rPr>
          <w:sz w:val="20"/>
          <w:szCs w:val="20"/>
        </w:rPr>
        <w:t xml:space="preserve"> </w:t>
      </w:r>
      <w:proofErr w:type="spellStart"/>
      <w:r w:rsidRPr="00AE5AF1">
        <w:rPr>
          <w:sz w:val="20"/>
          <w:szCs w:val="20"/>
        </w:rPr>
        <w:t>Drivod</w:t>
      </w:r>
      <w:proofErr w:type="spellEnd"/>
      <w:r w:rsidRPr="00AE5AF1">
        <w:rPr>
          <w:sz w:val="20"/>
          <w:szCs w:val="20"/>
        </w:rPr>
        <w:t xml:space="preserve"> for the appellant</w:t>
      </w:r>
    </w:p>
    <w:p w:rsidR="00BB7091" w:rsidRPr="00AE5AF1" w:rsidRDefault="00BB7091" w:rsidP="00BB7091">
      <w:pPr>
        <w:widowControl w:val="0"/>
        <w:ind w:left="2880" w:hanging="2880"/>
        <w:jc w:val="both"/>
        <w:rPr>
          <w:sz w:val="20"/>
          <w:szCs w:val="20"/>
        </w:rPr>
      </w:pPr>
      <w:r w:rsidRPr="00AE5AF1">
        <w:rPr>
          <w:sz w:val="20"/>
          <w:szCs w:val="20"/>
        </w:rPr>
        <w:tab/>
        <w:t xml:space="preserve">Dennis </w:t>
      </w:r>
      <w:proofErr w:type="spellStart"/>
      <w:r w:rsidRPr="00AE5AF1">
        <w:rPr>
          <w:sz w:val="20"/>
          <w:szCs w:val="20"/>
        </w:rPr>
        <w:t>Galiatsatos</w:t>
      </w:r>
      <w:proofErr w:type="spellEnd"/>
      <w:r w:rsidRPr="00AE5AF1">
        <w:rPr>
          <w:sz w:val="20"/>
          <w:szCs w:val="20"/>
        </w:rPr>
        <w:t xml:space="preserve"> and </w:t>
      </w:r>
      <w:proofErr w:type="spellStart"/>
      <w:r w:rsidRPr="00AE5AF1">
        <w:rPr>
          <w:sz w:val="20"/>
          <w:szCs w:val="20"/>
        </w:rPr>
        <w:t>Benoît</w:t>
      </w:r>
      <w:proofErr w:type="spellEnd"/>
      <w:r w:rsidRPr="00AE5AF1">
        <w:rPr>
          <w:sz w:val="20"/>
          <w:szCs w:val="20"/>
        </w:rPr>
        <w:t xml:space="preserve"> Lauzon for the respondent</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2"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5577A5" w:rsidRPr="00AF40E9" w:rsidRDefault="0017005E" w:rsidP="005577A5">
      <w:pPr>
        <w:widowControl w:val="0"/>
        <w:ind w:left="720" w:hanging="720"/>
        <w:jc w:val="both"/>
        <w:rPr>
          <w:sz w:val="20"/>
          <w:szCs w:val="20"/>
          <w:lang w:val="fr-CA"/>
        </w:rPr>
      </w:pPr>
      <w:r w:rsidRPr="0017005E">
        <w:rPr>
          <w:b/>
          <w:sz w:val="20"/>
          <w:szCs w:val="20"/>
          <w:lang w:val="fr-CA"/>
        </w:rPr>
        <w:lastRenderedPageBreak/>
        <w:fldChar w:fldCharType="begin"/>
      </w:r>
      <w:r w:rsidR="005577A5" w:rsidRPr="00AF40E9">
        <w:rPr>
          <w:b/>
          <w:sz w:val="20"/>
          <w:szCs w:val="20"/>
          <w:lang w:val="fr-CA"/>
        </w:rPr>
        <w:instrText xml:space="preserve"> SEQ CHAPTER \h \r 1</w:instrText>
      </w:r>
      <w:r w:rsidRPr="00AF40E9">
        <w:rPr>
          <w:b/>
          <w:sz w:val="20"/>
          <w:szCs w:val="20"/>
        </w:rPr>
        <w:fldChar w:fldCharType="end"/>
      </w:r>
      <w:r w:rsidR="005577A5" w:rsidRPr="00AF40E9">
        <w:rPr>
          <w:b/>
          <w:sz w:val="20"/>
          <w:szCs w:val="20"/>
          <w:lang w:val="fr-CA"/>
        </w:rPr>
        <w:t>34653</w:t>
      </w:r>
      <w:r w:rsidR="005577A5" w:rsidRPr="00AF40E9">
        <w:rPr>
          <w:sz w:val="20"/>
          <w:szCs w:val="20"/>
          <w:lang w:val="fr-CA"/>
        </w:rPr>
        <w:tab/>
      </w:r>
      <w:proofErr w:type="spellStart"/>
      <w:r w:rsidR="005577A5" w:rsidRPr="00AF40E9">
        <w:rPr>
          <w:b/>
          <w:i/>
          <w:sz w:val="20"/>
          <w:szCs w:val="20"/>
          <w:lang w:val="fr-CA"/>
        </w:rPr>
        <w:t>Mihai</w:t>
      </w:r>
      <w:proofErr w:type="spellEnd"/>
      <w:r w:rsidR="005577A5" w:rsidRPr="00AF40E9">
        <w:rPr>
          <w:b/>
          <w:i/>
          <w:sz w:val="20"/>
          <w:szCs w:val="20"/>
          <w:lang w:val="fr-CA"/>
        </w:rPr>
        <w:t xml:space="preserve"> </w:t>
      </w:r>
      <w:proofErr w:type="spellStart"/>
      <w:r w:rsidR="005577A5" w:rsidRPr="00AF40E9">
        <w:rPr>
          <w:b/>
          <w:i/>
          <w:sz w:val="20"/>
          <w:szCs w:val="20"/>
          <w:lang w:val="fr-CA"/>
        </w:rPr>
        <w:t>Ibanescu</w:t>
      </w:r>
      <w:proofErr w:type="spellEnd"/>
      <w:r w:rsidR="005577A5" w:rsidRPr="00AF40E9">
        <w:rPr>
          <w:b/>
          <w:i/>
          <w:sz w:val="20"/>
          <w:szCs w:val="20"/>
          <w:lang w:val="fr-CA"/>
        </w:rPr>
        <w:t xml:space="preserve"> c. Sa Majesté la Reine</w:t>
      </w:r>
    </w:p>
    <w:p w:rsidR="005577A5" w:rsidRPr="00AF40E9" w:rsidRDefault="005577A5" w:rsidP="005577A5">
      <w:pPr>
        <w:widowControl w:val="0"/>
        <w:jc w:val="both"/>
        <w:rPr>
          <w:sz w:val="20"/>
          <w:szCs w:val="20"/>
          <w:lang w:val="fr-CA"/>
        </w:rPr>
      </w:pPr>
    </w:p>
    <w:p w:rsidR="005577A5" w:rsidRPr="00AF40E9" w:rsidRDefault="005577A5" w:rsidP="005577A5">
      <w:pPr>
        <w:widowControl w:val="0"/>
        <w:jc w:val="both"/>
        <w:rPr>
          <w:sz w:val="20"/>
          <w:szCs w:val="20"/>
          <w:lang w:val="fr-CA"/>
        </w:rPr>
      </w:pPr>
      <w:r w:rsidRPr="00AF40E9">
        <w:rPr>
          <w:sz w:val="20"/>
          <w:szCs w:val="20"/>
          <w:lang w:val="fr-CA"/>
        </w:rPr>
        <w:t xml:space="preserve">Droit criminel </w:t>
      </w:r>
      <w:r w:rsidRPr="00AF40E9">
        <w:rPr>
          <w:sz w:val="20"/>
          <w:szCs w:val="20"/>
          <w:lang w:val="fr-CA"/>
        </w:rPr>
        <w:noBreakHyphen/>
        <w:t xml:space="preserve"> Infractions </w:t>
      </w:r>
      <w:r w:rsidRPr="00AF40E9">
        <w:rPr>
          <w:sz w:val="20"/>
          <w:szCs w:val="20"/>
          <w:lang w:val="fr-CA"/>
        </w:rPr>
        <w:noBreakHyphen/>
        <w:t xml:space="preserve"> Conduite avec plus de 80 mg d’alcool / 100 ml dans le sang </w:t>
      </w:r>
      <w:r w:rsidRPr="00AF40E9">
        <w:rPr>
          <w:sz w:val="20"/>
          <w:szCs w:val="20"/>
          <w:lang w:val="fr-CA"/>
        </w:rPr>
        <w:noBreakHyphen/>
        <w:t xml:space="preserve"> Conduite avec les capacités affaiblies </w:t>
      </w:r>
      <w:r w:rsidRPr="00AF40E9">
        <w:rPr>
          <w:sz w:val="20"/>
          <w:szCs w:val="20"/>
          <w:lang w:val="fr-CA"/>
        </w:rPr>
        <w:noBreakHyphen/>
        <w:t xml:space="preserve"> Preuve </w:t>
      </w:r>
      <w:r w:rsidRPr="00AF40E9">
        <w:rPr>
          <w:sz w:val="20"/>
          <w:szCs w:val="20"/>
          <w:lang w:val="fr-CA"/>
        </w:rPr>
        <w:noBreakHyphen/>
        <w:t xml:space="preserve"> Présomptions </w:t>
      </w:r>
      <w:r w:rsidRPr="00AF40E9">
        <w:rPr>
          <w:sz w:val="20"/>
          <w:szCs w:val="20"/>
          <w:lang w:val="fr-CA"/>
        </w:rPr>
        <w:noBreakHyphen/>
        <w:t xml:space="preserve"> Alcootests </w:t>
      </w:r>
      <w:r w:rsidRPr="00AF40E9">
        <w:rPr>
          <w:sz w:val="20"/>
          <w:szCs w:val="20"/>
          <w:lang w:val="fr-CA"/>
        </w:rPr>
        <w:noBreakHyphen/>
        <w:t xml:space="preserve"> Preuve de chevauchement </w:t>
      </w:r>
      <w:r w:rsidRPr="00AF40E9">
        <w:rPr>
          <w:sz w:val="20"/>
          <w:szCs w:val="20"/>
          <w:lang w:val="fr-CA"/>
        </w:rPr>
        <w:noBreakHyphen/>
        <w:t xml:space="preserve"> La Cour d’appel </w:t>
      </w:r>
      <w:proofErr w:type="spellStart"/>
      <w:r w:rsidRPr="00AF40E9">
        <w:rPr>
          <w:sz w:val="20"/>
          <w:szCs w:val="20"/>
          <w:lang w:val="fr-CA"/>
        </w:rPr>
        <w:t>a</w:t>
      </w:r>
      <w:r w:rsidRPr="00AF40E9">
        <w:rPr>
          <w:sz w:val="20"/>
          <w:szCs w:val="20"/>
          <w:lang w:val="fr-CA"/>
        </w:rPr>
        <w:noBreakHyphen/>
        <w:t>t</w:t>
      </w:r>
      <w:r w:rsidRPr="00AF40E9">
        <w:rPr>
          <w:sz w:val="20"/>
          <w:szCs w:val="20"/>
          <w:lang w:val="fr-CA"/>
        </w:rPr>
        <w:noBreakHyphen/>
        <w:t>elle</w:t>
      </w:r>
      <w:proofErr w:type="spellEnd"/>
      <w:r w:rsidRPr="00AF40E9">
        <w:rPr>
          <w:sz w:val="20"/>
          <w:szCs w:val="20"/>
          <w:lang w:val="fr-CA"/>
        </w:rPr>
        <w:t xml:space="preserve"> erré en droit dans son analyse de l’arrêt </w:t>
      </w:r>
      <w:r w:rsidRPr="00AF40E9">
        <w:rPr>
          <w:i/>
          <w:sz w:val="20"/>
          <w:szCs w:val="20"/>
          <w:lang w:val="fr-CA"/>
        </w:rPr>
        <w:t>R. c. Gibson</w:t>
      </w:r>
      <w:r w:rsidRPr="00AF40E9">
        <w:rPr>
          <w:sz w:val="20"/>
          <w:szCs w:val="20"/>
          <w:lang w:val="fr-CA"/>
        </w:rPr>
        <w:t xml:space="preserve">, [2008] 1 R.C.S. 397? </w:t>
      </w:r>
      <w:r w:rsidRPr="00AF40E9">
        <w:rPr>
          <w:sz w:val="20"/>
          <w:szCs w:val="20"/>
          <w:lang w:val="fr-CA"/>
        </w:rPr>
        <w:noBreakHyphen/>
        <w:t xml:space="preserve"> La Cour d’appel </w:t>
      </w:r>
      <w:proofErr w:type="spellStart"/>
      <w:r w:rsidRPr="00AF40E9">
        <w:rPr>
          <w:sz w:val="20"/>
          <w:szCs w:val="20"/>
          <w:lang w:val="fr-CA"/>
        </w:rPr>
        <w:t>a</w:t>
      </w:r>
      <w:r w:rsidRPr="00AF40E9">
        <w:rPr>
          <w:sz w:val="20"/>
          <w:szCs w:val="20"/>
          <w:lang w:val="fr-CA"/>
        </w:rPr>
        <w:noBreakHyphen/>
        <w:t>t</w:t>
      </w:r>
      <w:r w:rsidRPr="00AF40E9">
        <w:rPr>
          <w:sz w:val="20"/>
          <w:szCs w:val="20"/>
          <w:lang w:val="fr-CA"/>
        </w:rPr>
        <w:noBreakHyphen/>
        <w:t>elle</w:t>
      </w:r>
      <w:proofErr w:type="spellEnd"/>
      <w:r w:rsidRPr="00AF40E9">
        <w:rPr>
          <w:sz w:val="20"/>
          <w:szCs w:val="20"/>
          <w:lang w:val="fr-CA"/>
        </w:rPr>
        <w:t xml:space="preserve"> erré en droit en ne respectant pas la règle du </w:t>
      </w:r>
      <w:proofErr w:type="spellStart"/>
      <w:r w:rsidRPr="00AF40E9">
        <w:rPr>
          <w:i/>
          <w:sz w:val="20"/>
          <w:szCs w:val="20"/>
          <w:lang w:val="fr-CA"/>
        </w:rPr>
        <w:t>stare</w:t>
      </w:r>
      <w:proofErr w:type="spellEnd"/>
      <w:r w:rsidRPr="00AF40E9">
        <w:rPr>
          <w:i/>
          <w:sz w:val="20"/>
          <w:szCs w:val="20"/>
          <w:lang w:val="fr-CA"/>
        </w:rPr>
        <w:t xml:space="preserve"> </w:t>
      </w:r>
      <w:proofErr w:type="spellStart"/>
      <w:r w:rsidRPr="00AF40E9">
        <w:rPr>
          <w:i/>
          <w:sz w:val="20"/>
          <w:szCs w:val="20"/>
          <w:lang w:val="fr-CA"/>
        </w:rPr>
        <w:t>decisis</w:t>
      </w:r>
      <w:proofErr w:type="spellEnd"/>
      <w:r w:rsidRPr="00AF40E9">
        <w:rPr>
          <w:sz w:val="20"/>
          <w:szCs w:val="20"/>
          <w:lang w:val="fr-CA"/>
        </w:rPr>
        <w:t xml:space="preserve">? </w:t>
      </w:r>
      <w:r w:rsidRPr="00AF40E9">
        <w:rPr>
          <w:sz w:val="20"/>
          <w:szCs w:val="20"/>
          <w:lang w:val="fr-CA"/>
        </w:rPr>
        <w:noBreakHyphen/>
        <w:t xml:space="preserve"> La Cour d’appel </w:t>
      </w:r>
      <w:proofErr w:type="spellStart"/>
      <w:r w:rsidRPr="00AF40E9">
        <w:rPr>
          <w:sz w:val="20"/>
          <w:szCs w:val="20"/>
          <w:lang w:val="fr-CA"/>
        </w:rPr>
        <w:t>a</w:t>
      </w:r>
      <w:r w:rsidRPr="00AF40E9">
        <w:rPr>
          <w:sz w:val="20"/>
          <w:szCs w:val="20"/>
          <w:lang w:val="fr-CA"/>
        </w:rPr>
        <w:noBreakHyphen/>
        <w:t>t</w:t>
      </w:r>
      <w:r w:rsidRPr="00AF40E9">
        <w:rPr>
          <w:sz w:val="20"/>
          <w:szCs w:val="20"/>
          <w:lang w:val="fr-CA"/>
        </w:rPr>
        <w:noBreakHyphen/>
        <w:t>elle</w:t>
      </w:r>
      <w:proofErr w:type="spellEnd"/>
      <w:r w:rsidRPr="00AF40E9">
        <w:rPr>
          <w:sz w:val="20"/>
          <w:szCs w:val="20"/>
          <w:lang w:val="fr-CA"/>
        </w:rPr>
        <w:t xml:space="preserve"> outrepassé son rôle en substituant sa propre appréciation des faits à celle du juge du procès?</w:t>
      </w:r>
    </w:p>
    <w:p w:rsidR="005577A5" w:rsidRPr="00AF40E9" w:rsidRDefault="005577A5" w:rsidP="005577A5">
      <w:pPr>
        <w:widowControl w:val="0"/>
        <w:jc w:val="both"/>
        <w:rPr>
          <w:sz w:val="20"/>
          <w:szCs w:val="20"/>
          <w:lang w:val="fr-CA"/>
        </w:rPr>
      </w:pPr>
    </w:p>
    <w:p w:rsidR="005577A5" w:rsidRPr="00AF40E9" w:rsidRDefault="005577A5" w:rsidP="005577A5">
      <w:pPr>
        <w:widowControl w:val="0"/>
        <w:jc w:val="both"/>
        <w:rPr>
          <w:sz w:val="20"/>
          <w:szCs w:val="20"/>
          <w:lang w:val="fr-CA"/>
        </w:rPr>
      </w:pPr>
      <w:r w:rsidRPr="00AF40E9">
        <w:rPr>
          <w:sz w:val="20"/>
          <w:szCs w:val="20"/>
          <w:lang w:val="fr-CA"/>
        </w:rPr>
        <w:t>Le 15 janvier 2006, à la suite d’accidents de la route puis d’une perte de contrôle, le véhicule de M. </w:t>
      </w:r>
      <w:proofErr w:type="spellStart"/>
      <w:r w:rsidRPr="00AF40E9">
        <w:rPr>
          <w:sz w:val="20"/>
          <w:szCs w:val="20"/>
          <w:lang w:val="fr-CA"/>
        </w:rPr>
        <w:t>Mihai</w:t>
      </w:r>
      <w:proofErr w:type="spellEnd"/>
      <w:r w:rsidRPr="00AF40E9">
        <w:rPr>
          <w:sz w:val="20"/>
          <w:szCs w:val="20"/>
          <w:lang w:val="fr-CA"/>
        </w:rPr>
        <w:t xml:space="preserve"> </w:t>
      </w:r>
      <w:proofErr w:type="spellStart"/>
      <w:r w:rsidRPr="00AF40E9">
        <w:rPr>
          <w:sz w:val="20"/>
          <w:szCs w:val="20"/>
          <w:lang w:val="fr-CA"/>
        </w:rPr>
        <w:t>Ibanescu</w:t>
      </w:r>
      <w:proofErr w:type="spellEnd"/>
      <w:r w:rsidRPr="00AF40E9">
        <w:rPr>
          <w:sz w:val="20"/>
          <w:szCs w:val="20"/>
          <w:lang w:val="fr-CA"/>
        </w:rPr>
        <w:t xml:space="preserve"> s’immobilise vers 2h15.  Un patrouilleur de Transports Québec et des témoins l’empêchent de repartir.  Les policiers arrivent vers 2h37.  Après certaines vérifications et la lecture de ses droits, il est arrêté et amené au poste de police.  Le test de l’éthylomètre, subi à 3h59, mesure une concentration de 104 mg / 100 ml d’alcool dans son sang.  Deux chefs d’accusation sont portés contre M. </w:t>
      </w:r>
      <w:proofErr w:type="spellStart"/>
      <w:r w:rsidRPr="00AF40E9">
        <w:rPr>
          <w:sz w:val="20"/>
          <w:szCs w:val="20"/>
          <w:lang w:val="fr-CA"/>
        </w:rPr>
        <w:t>Ibanescu</w:t>
      </w:r>
      <w:proofErr w:type="spellEnd"/>
      <w:r w:rsidRPr="00AF40E9">
        <w:rPr>
          <w:sz w:val="20"/>
          <w:szCs w:val="20"/>
          <w:lang w:val="fr-CA"/>
        </w:rPr>
        <w:t xml:space="preserve"> : en premier lieu, celui de conduite avec un taux d’alcool supérieur à celui autorisé et, en second lieu, celui de conduite avec faculté affaiblies. </w:t>
      </w:r>
    </w:p>
    <w:p w:rsidR="005577A5" w:rsidRPr="00AF40E9" w:rsidRDefault="005577A5" w:rsidP="005577A5">
      <w:pPr>
        <w:widowControl w:val="0"/>
        <w:jc w:val="both"/>
        <w:rPr>
          <w:sz w:val="20"/>
          <w:szCs w:val="20"/>
          <w:lang w:val="fr-CA"/>
        </w:rPr>
      </w:pPr>
    </w:p>
    <w:p w:rsidR="005577A5" w:rsidRPr="00AF40E9" w:rsidRDefault="005577A5" w:rsidP="005577A5">
      <w:pPr>
        <w:widowControl w:val="0"/>
        <w:jc w:val="both"/>
        <w:rPr>
          <w:sz w:val="20"/>
          <w:szCs w:val="20"/>
          <w:lang w:val="fr-CA"/>
        </w:rPr>
      </w:pPr>
    </w:p>
    <w:p w:rsidR="005577A5" w:rsidRPr="00AF40E9" w:rsidRDefault="005577A5" w:rsidP="005577A5">
      <w:pPr>
        <w:widowControl w:val="0"/>
        <w:ind w:left="2880" w:hanging="2880"/>
        <w:jc w:val="both"/>
        <w:rPr>
          <w:sz w:val="20"/>
          <w:szCs w:val="20"/>
          <w:lang w:val="fr-CA"/>
        </w:rPr>
      </w:pPr>
      <w:r w:rsidRPr="00AF40E9">
        <w:rPr>
          <w:sz w:val="20"/>
          <w:szCs w:val="20"/>
          <w:lang w:val="fr-CA"/>
        </w:rPr>
        <w:t>Origine:</w:t>
      </w:r>
      <w:r w:rsidRPr="00AF40E9">
        <w:rPr>
          <w:sz w:val="20"/>
          <w:szCs w:val="20"/>
          <w:lang w:val="fr-CA"/>
        </w:rPr>
        <w:tab/>
        <w:t>Québec</w:t>
      </w:r>
    </w:p>
    <w:p w:rsidR="005577A5" w:rsidRPr="00AF40E9" w:rsidRDefault="005577A5" w:rsidP="005577A5">
      <w:pPr>
        <w:widowControl w:val="0"/>
        <w:ind w:left="2880" w:hanging="2880"/>
        <w:jc w:val="both"/>
        <w:rPr>
          <w:sz w:val="20"/>
          <w:szCs w:val="20"/>
          <w:lang w:val="fr-CA"/>
        </w:rPr>
      </w:pPr>
    </w:p>
    <w:p w:rsidR="005577A5" w:rsidRPr="00AF40E9" w:rsidRDefault="005577A5" w:rsidP="005577A5">
      <w:pPr>
        <w:widowControl w:val="0"/>
        <w:ind w:left="2880" w:hanging="2880"/>
        <w:jc w:val="both"/>
        <w:rPr>
          <w:sz w:val="20"/>
          <w:szCs w:val="20"/>
          <w:lang w:val="fr-CA"/>
        </w:rPr>
      </w:pPr>
      <w:r w:rsidRPr="00AF40E9">
        <w:rPr>
          <w:sz w:val="20"/>
          <w:szCs w:val="20"/>
          <w:lang w:val="fr-CA"/>
        </w:rPr>
        <w:t>N</w:t>
      </w:r>
      <w:r w:rsidRPr="00AF40E9">
        <w:rPr>
          <w:sz w:val="20"/>
          <w:szCs w:val="20"/>
          <w:vertAlign w:val="superscript"/>
          <w:lang w:val="fr-CA"/>
        </w:rPr>
        <w:t>o</w:t>
      </w:r>
      <w:r w:rsidRPr="00AF40E9">
        <w:rPr>
          <w:sz w:val="20"/>
          <w:szCs w:val="20"/>
          <w:lang w:val="fr-CA"/>
        </w:rPr>
        <w:t xml:space="preserve"> du greffe:</w:t>
      </w:r>
      <w:r w:rsidRPr="00AF40E9">
        <w:rPr>
          <w:sz w:val="20"/>
          <w:szCs w:val="20"/>
          <w:lang w:val="fr-CA"/>
        </w:rPr>
        <w:tab/>
        <w:t>34653</w:t>
      </w:r>
    </w:p>
    <w:p w:rsidR="005577A5" w:rsidRPr="00AF40E9" w:rsidRDefault="005577A5" w:rsidP="005577A5">
      <w:pPr>
        <w:widowControl w:val="0"/>
        <w:ind w:left="2880" w:hanging="2880"/>
        <w:jc w:val="both"/>
        <w:rPr>
          <w:sz w:val="20"/>
          <w:szCs w:val="20"/>
          <w:lang w:val="fr-CA"/>
        </w:rPr>
      </w:pPr>
    </w:p>
    <w:p w:rsidR="005577A5" w:rsidRPr="00AF40E9" w:rsidRDefault="005577A5" w:rsidP="005577A5">
      <w:pPr>
        <w:widowControl w:val="0"/>
        <w:ind w:left="2880" w:hanging="2880"/>
        <w:jc w:val="both"/>
        <w:rPr>
          <w:sz w:val="20"/>
          <w:szCs w:val="20"/>
          <w:lang w:val="fr-CA"/>
        </w:rPr>
      </w:pPr>
      <w:r w:rsidRPr="00AF40E9">
        <w:rPr>
          <w:sz w:val="20"/>
          <w:szCs w:val="20"/>
          <w:lang w:val="fr-CA"/>
        </w:rPr>
        <w:t>Arrêt de la Cour d’appel:</w:t>
      </w:r>
      <w:r w:rsidRPr="00AF40E9">
        <w:rPr>
          <w:sz w:val="20"/>
          <w:szCs w:val="20"/>
          <w:lang w:val="fr-CA"/>
        </w:rPr>
        <w:tab/>
        <w:t>Le 18 janvier 2012</w:t>
      </w:r>
    </w:p>
    <w:p w:rsidR="005577A5" w:rsidRPr="00AF40E9" w:rsidRDefault="005577A5" w:rsidP="005577A5">
      <w:pPr>
        <w:widowControl w:val="0"/>
        <w:ind w:left="2880" w:hanging="2880"/>
        <w:jc w:val="both"/>
        <w:rPr>
          <w:sz w:val="20"/>
          <w:szCs w:val="20"/>
          <w:lang w:val="fr-CA"/>
        </w:rPr>
      </w:pPr>
    </w:p>
    <w:p w:rsidR="005577A5" w:rsidRPr="00AF40E9" w:rsidRDefault="005577A5" w:rsidP="005577A5">
      <w:pPr>
        <w:widowControl w:val="0"/>
        <w:ind w:left="2880" w:hanging="2880"/>
        <w:jc w:val="both"/>
        <w:rPr>
          <w:sz w:val="20"/>
          <w:szCs w:val="20"/>
          <w:lang w:val="fr-CA"/>
        </w:rPr>
      </w:pPr>
      <w:r w:rsidRPr="00AF40E9">
        <w:rPr>
          <w:sz w:val="20"/>
          <w:szCs w:val="20"/>
          <w:lang w:val="fr-CA"/>
        </w:rPr>
        <w:t>Avocats:</w:t>
      </w:r>
      <w:r w:rsidRPr="00AF40E9">
        <w:rPr>
          <w:sz w:val="20"/>
          <w:szCs w:val="20"/>
          <w:lang w:val="fr-CA"/>
        </w:rPr>
        <w:tab/>
      </w:r>
      <w:proofErr w:type="spellStart"/>
      <w:r w:rsidRPr="00AF40E9">
        <w:rPr>
          <w:sz w:val="20"/>
          <w:szCs w:val="20"/>
          <w:lang w:val="fr-CA"/>
        </w:rPr>
        <w:t>Rose</w:t>
      </w:r>
      <w:r w:rsidRPr="00AF40E9">
        <w:rPr>
          <w:sz w:val="20"/>
          <w:szCs w:val="20"/>
          <w:lang w:val="fr-CA"/>
        </w:rPr>
        <w:noBreakHyphen/>
        <w:t>Mélanie</w:t>
      </w:r>
      <w:proofErr w:type="spellEnd"/>
      <w:r w:rsidRPr="00AF40E9">
        <w:rPr>
          <w:sz w:val="20"/>
          <w:szCs w:val="20"/>
          <w:lang w:val="fr-CA"/>
        </w:rPr>
        <w:t xml:space="preserve"> </w:t>
      </w:r>
      <w:proofErr w:type="spellStart"/>
      <w:r w:rsidRPr="00AF40E9">
        <w:rPr>
          <w:sz w:val="20"/>
          <w:szCs w:val="20"/>
          <w:lang w:val="fr-CA"/>
        </w:rPr>
        <w:t>Drivod</w:t>
      </w:r>
      <w:proofErr w:type="spellEnd"/>
      <w:r w:rsidRPr="00AF40E9">
        <w:rPr>
          <w:sz w:val="20"/>
          <w:szCs w:val="20"/>
          <w:lang w:val="fr-CA"/>
        </w:rPr>
        <w:t xml:space="preserve"> pour l’appelant</w:t>
      </w:r>
    </w:p>
    <w:p w:rsidR="005577A5" w:rsidRPr="00AF40E9" w:rsidRDefault="005577A5" w:rsidP="005577A5">
      <w:pPr>
        <w:widowControl w:val="0"/>
        <w:ind w:left="2880" w:hanging="2880"/>
        <w:jc w:val="both"/>
        <w:rPr>
          <w:sz w:val="20"/>
          <w:szCs w:val="20"/>
          <w:lang w:val="fr-CA"/>
        </w:rPr>
      </w:pPr>
      <w:r w:rsidRPr="00AF40E9">
        <w:rPr>
          <w:sz w:val="20"/>
          <w:szCs w:val="20"/>
          <w:lang w:val="fr-CA"/>
        </w:rPr>
        <w:tab/>
        <w:t xml:space="preserve">Dennis </w:t>
      </w:r>
      <w:proofErr w:type="spellStart"/>
      <w:r w:rsidRPr="00AF40E9">
        <w:rPr>
          <w:sz w:val="20"/>
          <w:szCs w:val="20"/>
          <w:lang w:val="fr-CA"/>
        </w:rPr>
        <w:t>Galiatsatos</w:t>
      </w:r>
      <w:proofErr w:type="spellEnd"/>
      <w:r w:rsidRPr="00AF40E9">
        <w:rPr>
          <w:sz w:val="20"/>
          <w:szCs w:val="20"/>
          <w:lang w:val="fr-CA"/>
        </w:rPr>
        <w:t xml:space="preserve"> et Benoît Lauzon pour l’intimée</w:t>
      </w:r>
    </w:p>
    <w:p w:rsidR="004634AB" w:rsidRPr="005577A5" w:rsidRDefault="004634AB" w:rsidP="004634AB">
      <w:pPr>
        <w:tabs>
          <w:tab w:val="left" w:pos="-1440"/>
          <w:tab w:val="left" w:pos="-720"/>
        </w:tabs>
        <w:jc w:val="both"/>
        <w:rPr>
          <w:sz w:val="20"/>
          <w:szCs w:val="20"/>
          <w:lang w:val="fr-CA"/>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3"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006ACA" w:rsidRPr="00E85B99" w:rsidRDefault="0017005E" w:rsidP="00006ACA">
      <w:pPr>
        <w:widowControl w:val="0"/>
        <w:ind w:left="720" w:hanging="720"/>
        <w:jc w:val="both"/>
        <w:rPr>
          <w:sz w:val="20"/>
          <w:szCs w:val="20"/>
        </w:rPr>
      </w:pPr>
      <w:r w:rsidRPr="00E85B99">
        <w:rPr>
          <w:b/>
          <w:sz w:val="20"/>
          <w:szCs w:val="20"/>
        </w:rPr>
        <w:lastRenderedPageBreak/>
        <w:fldChar w:fldCharType="begin"/>
      </w:r>
      <w:r w:rsidR="00006ACA" w:rsidRPr="00E85B99">
        <w:rPr>
          <w:b/>
          <w:sz w:val="20"/>
          <w:szCs w:val="20"/>
        </w:rPr>
        <w:instrText xml:space="preserve"> SEQ CHAPTER \h \r 1</w:instrText>
      </w:r>
      <w:r w:rsidRPr="00E85B99">
        <w:rPr>
          <w:b/>
          <w:sz w:val="20"/>
          <w:szCs w:val="20"/>
        </w:rPr>
        <w:fldChar w:fldCharType="end"/>
      </w:r>
      <w:r w:rsidR="00006ACA" w:rsidRPr="00E85B99">
        <w:rPr>
          <w:b/>
          <w:sz w:val="20"/>
          <w:szCs w:val="20"/>
        </w:rPr>
        <w:t>34763</w:t>
      </w:r>
      <w:r w:rsidR="00006ACA" w:rsidRPr="00E85B99">
        <w:rPr>
          <w:sz w:val="20"/>
          <w:szCs w:val="20"/>
        </w:rPr>
        <w:tab/>
      </w:r>
      <w:r w:rsidR="00006ACA" w:rsidRPr="00E85B99">
        <w:rPr>
          <w:b/>
          <w:i/>
          <w:sz w:val="20"/>
          <w:szCs w:val="20"/>
        </w:rPr>
        <w:t xml:space="preserve">Telecommunication Employees Association of Manitoba Inc. </w:t>
      </w:r>
      <w:r w:rsidR="00006ACA" w:rsidRPr="00E85B99">
        <w:rPr>
          <w:b/>
          <w:i/>
          <w:sz w:val="20"/>
          <w:szCs w:val="20"/>
        </w:rPr>
        <w:noBreakHyphen/>
        <w:t xml:space="preserve"> International Federation of Professional and Technical Engineers Local 161, Communications, Energy and </w:t>
      </w:r>
      <w:proofErr w:type="spellStart"/>
      <w:r w:rsidR="00006ACA" w:rsidRPr="00E85B99">
        <w:rPr>
          <w:b/>
          <w:i/>
          <w:sz w:val="20"/>
          <w:szCs w:val="20"/>
        </w:rPr>
        <w:t>Paperworkers</w:t>
      </w:r>
      <w:proofErr w:type="spellEnd"/>
      <w:r w:rsidR="00006ACA" w:rsidRPr="00E85B99">
        <w:rPr>
          <w:b/>
          <w:i/>
          <w:sz w:val="20"/>
          <w:szCs w:val="20"/>
        </w:rPr>
        <w:t xml:space="preserve"> Union of Canada Local 7, International Brotherhood of Electric Workers, Local Union 435, Harry </w:t>
      </w:r>
      <w:proofErr w:type="spellStart"/>
      <w:r w:rsidR="00006ACA" w:rsidRPr="00E85B99">
        <w:rPr>
          <w:b/>
          <w:i/>
          <w:sz w:val="20"/>
          <w:szCs w:val="20"/>
        </w:rPr>
        <w:t>Restall</w:t>
      </w:r>
      <w:proofErr w:type="spellEnd"/>
      <w:r w:rsidR="00006ACA" w:rsidRPr="00E85B99">
        <w:rPr>
          <w:b/>
          <w:i/>
          <w:sz w:val="20"/>
          <w:szCs w:val="20"/>
        </w:rPr>
        <w:t xml:space="preserve">, on his own behalf and on behalf of certain retired employees or the Widows/Widowers thereof of Manitoba Telecom Services Inc., MTS Communications Inc., MTS Mobility Inc., MTS Advanced Inc., and Larry </w:t>
      </w:r>
      <w:proofErr w:type="spellStart"/>
      <w:r w:rsidR="00006ACA" w:rsidRPr="00E85B99">
        <w:rPr>
          <w:b/>
          <w:i/>
          <w:sz w:val="20"/>
          <w:szCs w:val="20"/>
        </w:rPr>
        <w:t>Trach</w:t>
      </w:r>
      <w:proofErr w:type="spellEnd"/>
      <w:r w:rsidR="00006ACA" w:rsidRPr="00E85B99">
        <w:rPr>
          <w:b/>
          <w:i/>
          <w:sz w:val="20"/>
          <w:szCs w:val="20"/>
        </w:rPr>
        <w:t xml:space="preserve">, on his own behalf and on behalf of all unionized employees of Manitoba Telecom Services Inc., MTS Communications Inc., MTS Mobility Inc., MTS Advanced Inc., and all unionized employees of MTS Media Inc. who were transferred to Yellow Pages Group Co. pursuant to a sale on October 2, 2006 v. Manitoba Telecom Services Inc., MTS </w:t>
      </w:r>
      <w:proofErr w:type="spellStart"/>
      <w:r w:rsidR="00006ACA" w:rsidRPr="00E85B99">
        <w:rPr>
          <w:b/>
          <w:i/>
          <w:sz w:val="20"/>
          <w:szCs w:val="20"/>
        </w:rPr>
        <w:t>Allstream</w:t>
      </w:r>
      <w:proofErr w:type="spellEnd"/>
      <w:r w:rsidR="00006ACA" w:rsidRPr="00E85B99">
        <w:rPr>
          <w:b/>
          <w:i/>
          <w:sz w:val="20"/>
          <w:szCs w:val="20"/>
        </w:rPr>
        <w:t xml:space="preserve"> Inc. (as successor to MTS Communications Inc., MTS Mobility Inc., and MTS Advanced Inc.)</w:t>
      </w:r>
    </w:p>
    <w:p w:rsidR="00006ACA" w:rsidRPr="00E85B99" w:rsidRDefault="00006ACA" w:rsidP="00006ACA">
      <w:pPr>
        <w:widowControl w:val="0"/>
        <w:jc w:val="both"/>
        <w:rPr>
          <w:sz w:val="20"/>
          <w:szCs w:val="20"/>
        </w:rPr>
      </w:pPr>
    </w:p>
    <w:p w:rsidR="00006ACA" w:rsidRPr="00E85B99" w:rsidRDefault="00006ACA" w:rsidP="00006ACA">
      <w:pPr>
        <w:widowControl w:val="0"/>
        <w:jc w:val="both"/>
        <w:rPr>
          <w:sz w:val="20"/>
          <w:szCs w:val="20"/>
        </w:rPr>
      </w:pPr>
      <w:r w:rsidRPr="00E85B99">
        <w:rPr>
          <w:sz w:val="20"/>
          <w:szCs w:val="20"/>
        </w:rPr>
        <w:t xml:space="preserve">Pensions </w:t>
      </w:r>
      <w:r w:rsidRPr="00E85B99">
        <w:rPr>
          <w:sz w:val="20"/>
          <w:szCs w:val="20"/>
        </w:rPr>
        <w:noBreakHyphen/>
        <w:t xml:space="preserve"> Legislation </w:t>
      </w:r>
      <w:r w:rsidRPr="00E85B99">
        <w:rPr>
          <w:sz w:val="20"/>
          <w:szCs w:val="20"/>
        </w:rPr>
        <w:noBreakHyphen/>
        <w:t xml:space="preserve"> Interpretation </w:t>
      </w:r>
      <w:r w:rsidRPr="00E85B99">
        <w:rPr>
          <w:sz w:val="20"/>
          <w:szCs w:val="20"/>
        </w:rPr>
        <w:noBreakHyphen/>
        <w:t xml:space="preserve"> </w:t>
      </w:r>
      <w:bookmarkStart w:id="11" w:name="OLE_LINK1"/>
      <w:r w:rsidRPr="00E85B99">
        <w:rPr>
          <w:sz w:val="20"/>
          <w:szCs w:val="20"/>
        </w:rPr>
        <w:t xml:space="preserve">Whether the Court of Appeal erred in reviewing this case on a correctness standard </w:t>
      </w:r>
      <w:r w:rsidRPr="00E85B99">
        <w:rPr>
          <w:sz w:val="20"/>
          <w:szCs w:val="20"/>
        </w:rPr>
        <w:noBreakHyphen/>
        <w:t xml:space="preserve"> Whether the Court of Appeal erred in determining that the initial surplus was the same as an actuarial surplus in an ongoing defined pension plan </w:t>
      </w:r>
      <w:r w:rsidRPr="00E85B99">
        <w:rPr>
          <w:sz w:val="20"/>
          <w:szCs w:val="20"/>
        </w:rPr>
        <w:noBreakHyphen/>
        <w:t xml:space="preserve"> Whether the Court of Appeal erred in overturning the trial judge’s conclusion that the benefits of the two plans were not equivalent in value on the implementation date </w:t>
      </w:r>
      <w:r w:rsidRPr="00E85B99">
        <w:rPr>
          <w:sz w:val="20"/>
          <w:szCs w:val="20"/>
        </w:rPr>
        <w:noBreakHyphen/>
        <w:t xml:space="preserve"> Whether the Court of Appeal erred in concluding that the undertaking was unenforceable and that the respondents had not breached the MOA </w:t>
      </w:r>
      <w:r w:rsidRPr="00E85B99">
        <w:rPr>
          <w:sz w:val="20"/>
          <w:szCs w:val="20"/>
        </w:rPr>
        <w:noBreakHyphen/>
        <w:t xml:space="preserve"> Whether an apprehension of bias exists where a recently retired appellate court judge argues a case before a panel of the same court. </w:t>
      </w:r>
      <w:bookmarkEnd w:id="11"/>
    </w:p>
    <w:p w:rsidR="00006ACA" w:rsidRPr="00E85B99" w:rsidRDefault="00006ACA" w:rsidP="00006ACA">
      <w:pPr>
        <w:widowControl w:val="0"/>
        <w:jc w:val="both"/>
        <w:rPr>
          <w:sz w:val="20"/>
          <w:szCs w:val="20"/>
        </w:rPr>
      </w:pPr>
    </w:p>
    <w:p w:rsidR="00006ACA" w:rsidRPr="00E85B99" w:rsidRDefault="00006ACA" w:rsidP="00006ACA">
      <w:pPr>
        <w:widowControl w:val="0"/>
        <w:jc w:val="both"/>
        <w:rPr>
          <w:sz w:val="20"/>
          <w:szCs w:val="20"/>
        </w:rPr>
      </w:pPr>
      <w:r w:rsidRPr="00E85B99">
        <w:rPr>
          <w:sz w:val="20"/>
          <w:szCs w:val="20"/>
        </w:rPr>
        <w:t>When the Manitoba Telephone System ceased to exist as a Crown Corporation, those employees and retirees who had been members of the statutory pension plan became members of the new pension plan created for the new publicly traded entity (“MTS”).  The pension assets attributable to those members under the old plan were transferred to the new plan, as were the corresponding liabilities.  The difference in the value of the assets and one</w:t>
      </w:r>
      <w:r w:rsidRPr="00E85B99">
        <w:rPr>
          <w:sz w:val="20"/>
          <w:szCs w:val="20"/>
        </w:rPr>
        <w:noBreakHyphen/>
        <w:t>half of the liabilities (to be assumed by MTS) was determined at trial to be $43,343,000 (the “Initial Surplus”).  Representatives of the members demanded that the Initial Surplus be recognized and used solely for their benefit, since it had arisen solely from the contributions of the members, plus interest.  Representatives of MTS undertook not to use the Initial Surplus to reduce MTS’s costs or share of contributions to the New Plan.  The statute setting up the new plan stipulated that the new plan would “provide for benefits which on the implementation date are equivalent in value to the pension benefits” to which employees had been entitled under the old plan.  The appellant employees and pensioners commenced an action for payment of the Initial Surplus from MTS, claiming that MTS had used it contrary to the terms agreed upon.  They also sought declarations relating to the governance of the new plan and the invalidity of an actuarial opinion about the equivalency of the benefits under the old and new plans.  The Court of Queen’s Bench of Manitoba allowed the action in part, declaring the opinion on equivalency invalid and ordering MTS to pay the appellants $43,343,000 to enhance pension benefits.  The Manitoba Court of Appeal allowed the appeal and dismissed a cross</w:t>
      </w:r>
      <w:r w:rsidRPr="00E85B99">
        <w:rPr>
          <w:sz w:val="20"/>
          <w:szCs w:val="20"/>
        </w:rPr>
        <w:noBreakHyphen/>
      </w:r>
      <w:proofErr w:type="spellStart"/>
      <w:r w:rsidRPr="00E85B99">
        <w:rPr>
          <w:sz w:val="20"/>
          <w:szCs w:val="20"/>
        </w:rPr>
        <w:t>appeal</w:t>
      </w:r>
      <w:proofErr w:type="spellEnd"/>
      <w:r w:rsidRPr="00E85B99">
        <w:rPr>
          <w:sz w:val="20"/>
          <w:szCs w:val="20"/>
        </w:rPr>
        <w:t>.</w:t>
      </w:r>
    </w:p>
    <w:p w:rsidR="00006ACA" w:rsidRPr="00E85B99" w:rsidRDefault="00006ACA" w:rsidP="00006ACA">
      <w:pPr>
        <w:widowControl w:val="0"/>
        <w:jc w:val="both"/>
        <w:rPr>
          <w:sz w:val="20"/>
          <w:szCs w:val="20"/>
        </w:rPr>
      </w:pPr>
    </w:p>
    <w:p w:rsidR="00006ACA" w:rsidRPr="00E85B99" w:rsidRDefault="00006ACA" w:rsidP="00006ACA">
      <w:pPr>
        <w:widowControl w:val="0"/>
        <w:jc w:val="both"/>
        <w:rPr>
          <w:sz w:val="20"/>
          <w:szCs w:val="20"/>
        </w:rPr>
      </w:pPr>
    </w:p>
    <w:p w:rsidR="00006ACA" w:rsidRPr="00E85B99" w:rsidRDefault="00006ACA" w:rsidP="00006ACA">
      <w:pPr>
        <w:widowControl w:val="0"/>
        <w:ind w:left="2880" w:hanging="2880"/>
        <w:jc w:val="both"/>
        <w:rPr>
          <w:sz w:val="20"/>
          <w:szCs w:val="20"/>
        </w:rPr>
      </w:pPr>
      <w:r w:rsidRPr="00E85B99">
        <w:rPr>
          <w:sz w:val="20"/>
          <w:szCs w:val="20"/>
        </w:rPr>
        <w:t>Origin of the case:</w:t>
      </w:r>
      <w:r w:rsidRPr="00E85B99">
        <w:rPr>
          <w:sz w:val="20"/>
          <w:szCs w:val="20"/>
        </w:rPr>
        <w:tab/>
        <w:t>Manitoba</w:t>
      </w:r>
    </w:p>
    <w:p w:rsidR="00006ACA" w:rsidRPr="00E85B99" w:rsidRDefault="00006ACA" w:rsidP="00006ACA">
      <w:pPr>
        <w:widowControl w:val="0"/>
        <w:ind w:left="2880" w:hanging="2880"/>
        <w:jc w:val="both"/>
        <w:rPr>
          <w:sz w:val="20"/>
          <w:szCs w:val="20"/>
        </w:rPr>
      </w:pPr>
    </w:p>
    <w:p w:rsidR="00006ACA" w:rsidRPr="00E85B99" w:rsidRDefault="00006ACA" w:rsidP="00006ACA">
      <w:pPr>
        <w:widowControl w:val="0"/>
        <w:ind w:left="2880" w:hanging="2880"/>
        <w:jc w:val="both"/>
        <w:rPr>
          <w:sz w:val="20"/>
          <w:szCs w:val="20"/>
        </w:rPr>
      </w:pPr>
      <w:r w:rsidRPr="00E85B99">
        <w:rPr>
          <w:sz w:val="20"/>
          <w:szCs w:val="20"/>
        </w:rPr>
        <w:t>File No.:</w:t>
      </w:r>
      <w:r w:rsidRPr="00E85B99">
        <w:rPr>
          <w:sz w:val="20"/>
          <w:szCs w:val="20"/>
        </w:rPr>
        <w:tab/>
        <w:t>34763</w:t>
      </w:r>
    </w:p>
    <w:p w:rsidR="00006ACA" w:rsidRPr="00E85B99" w:rsidRDefault="00006ACA" w:rsidP="00006ACA">
      <w:pPr>
        <w:widowControl w:val="0"/>
        <w:ind w:left="2880" w:hanging="2880"/>
        <w:jc w:val="both"/>
        <w:rPr>
          <w:sz w:val="20"/>
          <w:szCs w:val="20"/>
        </w:rPr>
      </w:pPr>
    </w:p>
    <w:p w:rsidR="00006ACA" w:rsidRPr="00E85B99" w:rsidRDefault="00006ACA" w:rsidP="00006ACA">
      <w:pPr>
        <w:widowControl w:val="0"/>
        <w:ind w:left="2880" w:hanging="2880"/>
        <w:jc w:val="both"/>
        <w:rPr>
          <w:sz w:val="20"/>
          <w:szCs w:val="20"/>
        </w:rPr>
      </w:pPr>
      <w:r w:rsidRPr="00E85B99">
        <w:rPr>
          <w:sz w:val="20"/>
          <w:szCs w:val="20"/>
        </w:rPr>
        <w:t>Judgment of the Court of Appeal:</w:t>
      </w:r>
      <w:r w:rsidRPr="00E85B99">
        <w:rPr>
          <w:sz w:val="20"/>
          <w:szCs w:val="20"/>
        </w:rPr>
        <w:tab/>
        <w:t>February 10, 2012</w:t>
      </w:r>
    </w:p>
    <w:p w:rsidR="00006ACA" w:rsidRPr="00E85B99" w:rsidRDefault="00006ACA" w:rsidP="00006ACA">
      <w:pPr>
        <w:widowControl w:val="0"/>
        <w:ind w:left="2880" w:hanging="2880"/>
        <w:jc w:val="both"/>
        <w:rPr>
          <w:sz w:val="20"/>
          <w:szCs w:val="20"/>
        </w:rPr>
      </w:pPr>
    </w:p>
    <w:p w:rsidR="00006ACA" w:rsidRPr="00E85B99" w:rsidRDefault="00006ACA" w:rsidP="00006ACA">
      <w:pPr>
        <w:widowControl w:val="0"/>
        <w:ind w:left="2880" w:hanging="2880"/>
        <w:jc w:val="both"/>
        <w:rPr>
          <w:sz w:val="20"/>
          <w:szCs w:val="20"/>
        </w:rPr>
      </w:pPr>
      <w:r w:rsidRPr="00E85B99">
        <w:rPr>
          <w:sz w:val="20"/>
          <w:szCs w:val="20"/>
        </w:rPr>
        <w:t>Counsel:</w:t>
      </w:r>
      <w:r w:rsidRPr="00E85B99">
        <w:rPr>
          <w:sz w:val="20"/>
          <w:szCs w:val="20"/>
        </w:rPr>
        <w:tab/>
        <w:t xml:space="preserve">Brian J. </w:t>
      </w:r>
      <w:proofErr w:type="spellStart"/>
      <w:r w:rsidRPr="00E85B99">
        <w:rPr>
          <w:sz w:val="20"/>
          <w:szCs w:val="20"/>
        </w:rPr>
        <w:t>Meronek</w:t>
      </w:r>
      <w:proofErr w:type="spellEnd"/>
      <w:r w:rsidRPr="00E85B99">
        <w:rPr>
          <w:sz w:val="20"/>
          <w:szCs w:val="20"/>
        </w:rPr>
        <w:t xml:space="preserve">, Q.C., Kris M. </w:t>
      </w:r>
      <w:proofErr w:type="spellStart"/>
      <w:r w:rsidRPr="00E85B99">
        <w:rPr>
          <w:sz w:val="20"/>
          <w:szCs w:val="20"/>
        </w:rPr>
        <w:t>Saxberg</w:t>
      </w:r>
      <w:proofErr w:type="spellEnd"/>
      <w:r w:rsidRPr="00E85B99">
        <w:rPr>
          <w:sz w:val="20"/>
          <w:szCs w:val="20"/>
        </w:rPr>
        <w:t xml:space="preserve"> and D. Thomas </w:t>
      </w:r>
      <w:proofErr w:type="spellStart"/>
      <w:r w:rsidRPr="00E85B99">
        <w:rPr>
          <w:sz w:val="20"/>
          <w:szCs w:val="20"/>
        </w:rPr>
        <w:t>Masi</w:t>
      </w:r>
      <w:proofErr w:type="spellEnd"/>
      <w:r w:rsidRPr="00E85B99">
        <w:rPr>
          <w:sz w:val="20"/>
          <w:szCs w:val="20"/>
        </w:rPr>
        <w:t xml:space="preserve"> for the appellants</w:t>
      </w:r>
    </w:p>
    <w:p w:rsidR="00006ACA" w:rsidRPr="00E85B99" w:rsidRDefault="00006ACA" w:rsidP="00006ACA">
      <w:pPr>
        <w:widowControl w:val="0"/>
        <w:ind w:left="2880" w:hanging="2880"/>
        <w:jc w:val="both"/>
        <w:rPr>
          <w:sz w:val="20"/>
          <w:szCs w:val="20"/>
        </w:rPr>
      </w:pPr>
      <w:r w:rsidRPr="00E85B99">
        <w:rPr>
          <w:sz w:val="20"/>
          <w:szCs w:val="20"/>
        </w:rPr>
        <w:tab/>
        <w:t>Kevin T. Williams and Paul Forsyth for the respondents</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4"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E554F3" w:rsidRPr="00CB49F5" w:rsidRDefault="0017005E" w:rsidP="00E554F3">
      <w:pPr>
        <w:widowControl w:val="0"/>
        <w:ind w:left="720" w:hanging="720"/>
        <w:jc w:val="both"/>
        <w:rPr>
          <w:sz w:val="20"/>
          <w:szCs w:val="20"/>
          <w:lang w:val="fr-CA"/>
        </w:rPr>
      </w:pPr>
      <w:r w:rsidRPr="00CB49F5">
        <w:rPr>
          <w:b/>
          <w:sz w:val="20"/>
          <w:szCs w:val="20"/>
          <w:lang w:val="fr-CA"/>
        </w:rPr>
        <w:lastRenderedPageBreak/>
        <w:fldChar w:fldCharType="begin"/>
      </w:r>
      <w:r w:rsidR="00E554F3" w:rsidRPr="00CB49F5">
        <w:rPr>
          <w:b/>
          <w:sz w:val="20"/>
          <w:szCs w:val="20"/>
        </w:rPr>
        <w:instrText xml:space="preserve"> SEQ CHAPTER \h \r 1</w:instrText>
      </w:r>
      <w:r w:rsidRPr="00CB49F5">
        <w:rPr>
          <w:b/>
          <w:sz w:val="20"/>
          <w:szCs w:val="20"/>
          <w:lang w:val="fr-CA"/>
        </w:rPr>
        <w:fldChar w:fldCharType="end"/>
      </w:r>
      <w:r w:rsidR="00E554F3" w:rsidRPr="00CB49F5">
        <w:rPr>
          <w:b/>
          <w:sz w:val="20"/>
          <w:szCs w:val="20"/>
        </w:rPr>
        <w:t>34763</w:t>
      </w:r>
      <w:r w:rsidR="00E554F3" w:rsidRPr="00CB49F5">
        <w:rPr>
          <w:sz w:val="20"/>
          <w:szCs w:val="20"/>
        </w:rPr>
        <w:tab/>
      </w:r>
      <w:r w:rsidR="00E554F3" w:rsidRPr="00CB49F5">
        <w:rPr>
          <w:b/>
          <w:i/>
          <w:sz w:val="20"/>
          <w:szCs w:val="20"/>
        </w:rPr>
        <w:t xml:space="preserve">Telecommunication Employees Association of Manitoba Inc. </w:t>
      </w:r>
      <w:r w:rsidR="00E554F3" w:rsidRPr="00CB49F5">
        <w:rPr>
          <w:b/>
          <w:i/>
          <w:sz w:val="20"/>
          <w:szCs w:val="20"/>
          <w:lang w:val="fr-CA"/>
        </w:rPr>
        <w:noBreakHyphen/>
        <w:t xml:space="preserve"> International </w:t>
      </w:r>
      <w:proofErr w:type="spellStart"/>
      <w:r w:rsidR="00E554F3" w:rsidRPr="00CB49F5">
        <w:rPr>
          <w:b/>
          <w:i/>
          <w:sz w:val="20"/>
          <w:szCs w:val="20"/>
          <w:lang w:val="fr-CA"/>
        </w:rPr>
        <w:t>Federation</w:t>
      </w:r>
      <w:proofErr w:type="spellEnd"/>
      <w:r w:rsidR="00E554F3" w:rsidRPr="00CB49F5">
        <w:rPr>
          <w:b/>
          <w:i/>
          <w:sz w:val="20"/>
          <w:szCs w:val="20"/>
          <w:lang w:val="fr-CA"/>
        </w:rPr>
        <w:t xml:space="preserve"> of Professional and </w:t>
      </w:r>
      <w:proofErr w:type="spellStart"/>
      <w:r w:rsidR="00E554F3" w:rsidRPr="00CB49F5">
        <w:rPr>
          <w:b/>
          <w:i/>
          <w:sz w:val="20"/>
          <w:szCs w:val="20"/>
          <w:lang w:val="fr-CA"/>
        </w:rPr>
        <w:t>Technical</w:t>
      </w:r>
      <w:proofErr w:type="spellEnd"/>
      <w:r w:rsidR="00E554F3" w:rsidRPr="00CB49F5">
        <w:rPr>
          <w:b/>
          <w:i/>
          <w:sz w:val="20"/>
          <w:szCs w:val="20"/>
          <w:lang w:val="fr-CA"/>
        </w:rPr>
        <w:t xml:space="preserve"> </w:t>
      </w:r>
      <w:proofErr w:type="spellStart"/>
      <w:r w:rsidR="00E554F3" w:rsidRPr="00CB49F5">
        <w:rPr>
          <w:b/>
          <w:i/>
          <w:sz w:val="20"/>
          <w:szCs w:val="20"/>
          <w:lang w:val="fr-CA"/>
        </w:rPr>
        <w:t>Engineers</w:t>
      </w:r>
      <w:proofErr w:type="spellEnd"/>
      <w:r w:rsidR="00E554F3" w:rsidRPr="00CB49F5">
        <w:rPr>
          <w:b/>
          <w:i/>
          <w:sz w:val="20"/>
          <w:szCs w:val="20"/>
          <w:lang w:val="fr-CA"/>
        </w:rPr>
        <w:t xml:space="preserve"> Local 161, Syndicat canadien des communications, de l’énergie et du papier, section locale 7, Fraternité internationale des ouvriers en électricité, syndicat local 435, Harry </w:t>
      </w:r>
      <w:proofErr w:type="spellStart"/>
      <w:r w:rsidR="00E554F3" w:rsidRPr="00CB49F5">
        <w:rPr>
          <w:b/>
          <w:i/>
          <w:sz w:val="20"/>
          <w:szCs w:val="20"/>
          <w:lang w:val="fr-CA"/>
        </w:rPr>
        <w:t>Restall</w:t>
      </w:r>
      <w:proofErr w:type="spellEnd"/>
      <w:r w:rsidR="00E554F3" w:rsidRPr="00CB49F5">
        <w:rPr>
          <w:b/>
          <w:i/>
          <w:sz w:val="20"/>
          <w:szCs w:val="20"/>
          <w:lang w:val="fr-CA"/>
        </w:rPr>
        <w:t xml:space="preserve">, en son propre nom et au nom de certains retraités ou des veuves ou veufs de retraités de Manitoba Telecom Services Inc., MTS Communications Inc., MTS </w:t>
      </w:r>
      <w:proofErr w:type="spellStart"/>
      <w:r w:rsidR="00E554F3" w:rsidRPr="00CB49F5">
        <w:rPr>
          <w:b/>
          <w:i/>
          <w:sz w:val="20"/>
          <w:szCs w:val="20"/>
          <w:lang w:val="fr-CA"/>
        </w:rPr>
        <w:t>Mobility</w:t>
      </w:r>
      <w:proofErr w:type="spellEnd"/>
      <w:r w:rsidR="00E554F3" w:rsidRPr="00CB49F5">
        <w:rPr>
          <w:b/>
          <w:i/>
          <w:sz w:val="20"/>
          <w:szCs w:val="20"/>
          <w:lang w:val="fr-CA"/>
        </w:rPr>
        <w:t xml:space="preserve"> Inc., MTS Advanced Inc. et Larry </w:t>
      </w:r>
      <w:proofErr w:type="spellStart"/>
      <w:r w:rsidR="00E554F3" w:rsidRPr="00CB49F5">
        <w:rPr>
          <w:b/>
          <w:i/>
          <w:sz w:val="20"/>
          <w:szCs w:val="20"/>
          <w:lang w:val="fr-CA"/>
        </w:rPr>
        <w:t>Trach</w:t>
      </w:r>
      <w:proofErr w:type="spellEnd"/>
      <w:r w:rsidR="00E554F3" w:rsidRPr="00CB49F5">
        <w:rPr>
          <w:b/>
          <w:i/>
          <w:sz w:val="20"/>
          <w:szCs w:val="20"/>
          <w:lang w:val="fr-CA"/>
        </w:rPr>
        <w:t xml:space="preserve">, en son propre nom et au nom de tous les employés syndiqués de Manitoba Telecom Services Inc., MTS Communications Inc., MTS </w:t>
      </w:r>
      <w:proofErr w:type="spellStart"/>
      <w:r w:rsidR="00E554F3" w:rsidRPr="00CB49F5">
        <w:rPr>
          <w:b/>
          <w:i/>
          <w:sz w:val="20"/>
          <w:szCs w:val="20"/>
          <w:lang w:val="fr-CA"/>
        </w:rPr>
        <w:t>Mobility</w:t>
      </w:r>
      <w:proofErr w:type="spellEnd"/>
      <w:r w:rsidR="00E554F3" w:rsidRPr="00CB49F5">
        <w:rPr>
          <w:b/>
          <w:i/>
          <w:sz w:val="20"/>
          <w:szCs w:val="20"/>
          <w:lang w:val="fr-CA"/>
        </w:rPr>
        <w:t xml:space="preserve"> Inc., MTS Advanced Inc., et tous les employés syndiqués de MTS Media Inc. qui sont devenus des employés de </w:t>
      </w:r>
      <w:proofErr w:type="spellStart"/>
      <w:r w:rsidR="00E554F3" w:rsidRPr="00CB49F5">
        <w:rPr>
          <w:b/>
          <w:i/>
          <w:sz w:val="20"/>
          <w:szCs w:val="20"/>
          <w:lang w:val="fr-CA"/>
        </w:rPr>
        <w:t>Yellow</w:t>
      </w:r>
      <w:proofErr w:type="spellEnd"/>
      <w:r w:rsidR="00E554F3" w:rsidRPr="00CB49F5">
        <w:rPr>
          <w:b/>
          <w:i/>
          <w:sz w:val="20"/>
          <w:szCs w:val="20"/>
          <w:lang w:val="fr-CA"/>
        </w:rPr>
        <w:t xml:space="preserve"> Pages Group Co. au terme d’une vente réalisée le 2 octobre 2006 c. Manitoba Telecom Services Inc., MTS </w:t>
      </w:r>
      <w:proofErr w:type="spellStart"/>
      <w:r w:rsidR="00E554F3" w:rsidRPr="00CB49F5">
        <w:rPr>
          <w:b/>
          <w:i/>
          <w:sz w:val="20"/>
          <w:szCs w:val="20"/>
          <w:lang w:val="fr-CA"/>
        </w:rPr>
        <w:t>Allstream</w:t>
      </w:r>
      <w:proofErr w:type="spellEnd"/>
      <w:r w:rsidR="00E554F3" w:rsidRPr="00CB49F5">
        <w:rPr>
          <w:b/>
          <w:i/>
          <w:sz w:val="20"/>
          <w:szCs w:val="20"/>
          <w:lang w:val="fr-CA"/>
        </w:rPr>
        <w:t xml:space="preserve"> Inc. (à titre de successeur de  MTS Communications Inc., MTS </w:t>
      </w:r>
      <w:proofErr w:type="spellStart"/>
      <w:r w:rsidR="00E554F3" w:rsidRPr="00CB49F5">
        <w:rPr>
          <w:b/>
          <w:i/>
          <w:sz w:val="20"/>
          <w:szCs w:val="20"/>
          <w:lang w:val="fr-CA"/>
        </w:rPr>
        <w:t>Mobility</w:t>
      </w:r>
      <w:proofErr w:type="spellEnd"/>
      <w:r w:rsidR="00E554F3" w:rsidRPr="00CB49F5">
        <w:rPr>
          <w:b/>
          <w:i/>
          <w:sz w:val="20"/>
          <w:szCs w:val="20"/>
          <w:lang w:val="fr-CA"/>
        </w:rPr>
        <w:t xml:space="preserve"> Inc. et MTS Advanced Inc.)</w:t>
      </w:r>
    </w:p>
    <w:p w:rsidR="00E554F3" w:rsidRPr="00CB49F5" w:rsidRDefault="00E554F3" w:rsidP="00E554F3">
      <w:pPr>
        <w:widowControl w:val="0"/>
        <w:jc w:val="both"/>
        <w:rPr>
          <w:sz w:val="20"/>
          <w:szCs w:val="20"/>
          <w:lang w:val="fr-CA"/>
        </w:rPr>
      </w:pPr>
    </w:p>
    <w:p w:rsidR="00E554F3" w:rsidRPr="00CB49F5" w:rsidRDefault="00E554F3" w:rsidP="00E554F3">
      <w:pPr>
        <w:widowControl w:val="0"/>
        <w:jc w:val="both"/>
        <w:rPr>
          <w:sz w:val="20"/>
          <w:szCs w:val="20"/>
          <w:lang w:val="fr-CA"/>
        </w:rPr>
      </w:pPr>
      <w:r w:rsidRPr="00CB49F5">
        <w:rPr>
          <w:sz w:val="20"/>
          <w:szCs w:val="20"/>
          <w:lang w:val="fr-CA"/>
        </w:rPr>
        <w:t xml:space="preserve">Pensions </w:t>
      </w:r>
      <w:r w:rsidRPr="00CB49F5">
        <w:rPr>
          <w:sz w:val="20"/>
          <w:szCs w:val="20"/>
          <w:lang w:val="fr-CA"/>
        </w:rPr>
        <w:noBreakHyphen/>
        <w:t xml:space="preserve"> Législation </w:t>
      </w:r>
      <w:r w:rsidRPr="00CB49F5">
        <w:rPr>
          <w:sz w:val="20"/>
          <w:szCs w:val="20"/>
          <w:lang w:val="fr-CA"/>
        </w:rPr>
        <w:noBreakHyphen/>
        <w:t xml:space="preserve"> Interprétation </w:t>
      </w:r>
      <w:r w:rsidRPr="00CB49F5">
        <w:rPr>
          <w:sz w:val="20"/>
          <w:szCs w:val="20"/>
          <w:lang w:val="fr-CA"/>
        </w:rPr>
        <w:noBreakHyphen/>
        <w:t xml:space="preserve"> La Cour d’appel </w:t>
      </w:r>
      <w:proofErr w:type="spellStart"/>
      <w:r w:rsidRPr="00CB49F5">
        <w:rPr>
          <w:sz w:val="20"/>
          <w:szCs w:val="20"/>
          <w:lang w:val="fr-CA"/>
        </w:rPr>
        <w:t>a</w:t>
      </w:r>
      <w:r w:rsidRPr="00CB49F5">
        <w:rPr>
          <w:sz w:val="20"/>
          <w:szCs w:val="20"/>
          <w:lang w:val="fr-CA"/>
        </w:rPr>
        <w:noBreakHyphen/>
        <w:t>t</w:t>
      </w:r>
      <w:r w:rsidRPr="00CB49F5">
        <w:rPr>
          <w:sz w:val="20"/>
          <w:szCs w:val="20"/>
          <w:lang w:val="fr-CA"/>
        </w:rPr>
        <w:noBreakHyphen/>
        <w:t>elle</w:t>
      </w:r>
      <w:proofErr w:type="spellEnd"/>
      <w:r w:rsidRPr="00CB49F5">
        <w:rPr>
          <w:sz w:val="20"/>
          <w:szCs w:val="20"/>
          <w:lang w:val="fr-CA"/>
        </w:rPr>
        <w:t xml:space="preserve"> eu tort de contrôler la décision en l’espèce en appliquant la norme de la décision correcte? </w:t>
      </w:r>
      <w:r w:rsidRPr="00CB49F5">
        <w:rPr>
          <w:sz w:val="20"/>
          <w:szCs w:val="20"/>
          <w:lang w:val="fr-CA"/>
        </w:rPr>
        <w:noBreakHyphen/>
        <w:t xml:space="preserve"> La Cour d’appel </w:t>
      </w:r>
      <w:proofErr w:type="spellStart"/>
      <w:r w:rsidRPr="00CB49F5">
        <w:rPr>
          <w:sz w:val="20"/>
          <w:szCs w:val="20"/>
          <w:lang w:val="fr-CA"/>
        </w:rPr>
        <w:t>a</w:t>
      </w:r>
      <w:r w:rsidRPr="00CB49F5">
        <w:rPr>
          <w:sz w:val="20"/>
          <w:szCs w:val="20"/>
          <w:lang w:val="fr-CA"/>
        </w:rPr>
        <w:noBreakHyphen/>
        <w:t>t</w:t>
      </w:r>
      <w:r w:rsidRPr="00CB49F5">
        <w:rPr>
          <w:sz w:val="20"/>
          <w:szCs w:val="20"/>
          <w:lang w:val="fr-CA"/>
        </w:rPr>
        <w:noBreakHyphen/>
        <w:t>elle</w:t>
      </w:r>
      <w:proofErr w:type="spellEnd"/>
      <w:r w:rsidRPr="00CB49F5">
        <w:rPr>
          <w:sz w:val="20"/>
          <w:szCs w:val="20"/>
          <w:lang w:val="fr-CA"/>
        </w:rPr>
        <w:t xml:space="preserve"> eu tort de conclure que le surplus initial était le même qu’un surplus actuariel dans un régime de retraite à prestations déterminées existant? </w:t>
      </w:r>
      <w:r w:rsidRPr="00CB49F5">
        <w:rPr>
          <w:sz w:val="20"/>
          <w:szCs w:val="20"/>
          <w:lang w:val="fr-CA"/>
        </w:rPr>
        <w:noBreakHyphen/>
        <w:t xml:space="preserve"> La Cour d’appel </w:t>
      </w:r>
      <w:proofErr w:type="spellStart"/>
      <w:r w:rsidRPr="00CB49F5">
        <w:rPr>
          <w:sz w:val="20"/>
          <w:szCs w:val="20"/>
          <w:lang w:val="fr-CA"/>
        </w:rPr>
        <w:t>a</w:t>
      </w:r>
      <w:r w:rsidRPr="00CB49F5">
        <w:rPr>
          <w:sz w:val="20"/>
          <w:szCs w:val="20"/>
          <w:lang w:val="fr-CA"/>
        </w:rPr>
        <w:noBreakHyphen/>
        <w:t>t</w:t>
      </w:r>
      <w:r w:rsidRPr="00CB49F5">
        <w:rPr>
          <w:sz w:val="20"/>
          <w:szCs w:val="20"/>
          <w:lang w:val="fr-CA"/>
        </w:rPr>
        <w:noBreakHyphen/>
        <w:t>elle</w:t>
      </w:r>
      <w:proofErr w:type="spellEnd"/>
      <w:r w:rsidRPr="00CB49F5">
        <w:rPr>
          <w:sz w:val="20"/>
          <w:szCs w:val="20"/>
          <w:lang w:val="fr-CA"/>
        </w:rPr>
        <w:t xml:space="preserve"> eu tort d’infirmer la conclusion du juge de première instance selon laquelle les prestations des deux régimes n’étaient pas équivalentes en valeur à la date de mise en œuvre? </w:t>
      </w:r>
      <w:r w:rsidRPr="00CB49F5">
        <w:rPr>
          <w:sz w:val="20"/>
          <w:szCs w:val="20"/>
          <w:lang w:val="fr-CA"/>
        </w:rPr>
        <w:noBreakHyphen/>
        <w:t xml:space="preserve"> La Cour d’appel </w:t>
      </w:r>
      <w:proofErr w:type="spellStart"/>
      <w:r w:rsidRPr="00CB49F5">
        <w:rPr>
          <w:sz w:val="20"/>
          <w:szCs w:val="20"/>
          <w:lang w:val="fr-CA"/>
        </w:rPr>
        <w:t>a</w:t>
      </w:r>
      <w:r w:rsidRPr="00CB49F5">
        <w:rPr>
          <w:sz w:val="20"/>
          <w:szCs w:val="20"/>
          <w:lang w:val="fr-CA"/>
        </w:rPr>
        <w:noBreakHyphen/>
        <w:t>t</w:t>
      </w:r>
      <w:r w:rsidRPr="00CB49F5">
        <w:rPr>
          <w:sz w:val="20"/>
          <w:szCs w:val="20"/>
          <w:lang w:val="fr-CA"/>
        </w:rPr>
        <w:noBreakHyphen/>
        <w:t>elle</w:t>
      </w:r>
      <w:proofErr w:type="spellEnd"/>
      <w:r w:rsidRPr="00CB49F5">
        <w:rPr>
          <w:sz w:val="20"/>
          <w:szCs w:val="20"/>
          <w:lang w:val="fr-CA"/>
        </w:rPr>
        <w:t xml:space="preserve"> eu tort de conclure que l’engagement était inexécutable et que les intimées n’avaient pas violé le protocole d’accord? </w:t>
      </w:r>
      <w:r w:rsidRPr="00CB49F5">
        <w:rPr>
          <w:sz w:val="20"/>
          <w:szCs w:val="20"/>
          <w:lang w:val="fr-CA"/>
        </w:rPr>
        <w:noBreakHyphen/>
        <w:t xml:space="preserve"> Le fait que le juge d’un tribunal d’appel, qui vient de prendre sa retraite, plaide une cause devant une formation du même tribunal </w:t>
      </w:r>
      <w:proofErr w:type="spellStart"/>
      <w:r w:rsidRPr="00CB49F5">
        <w:rPr>
          <w:sz w:val="20"/>
          <w:szCs w:val="20"/>
          <w:lang w:val="fr-CA"/>
        </w:rPr>
        <w:t>suscite</w:t>
      </w:r>
      <w:r w:rsidRPr="00CB49F5">
        <w:rPr>
          <w:sz w:val="20"/>
          <w:szCs w:val="20"/>
          <w:lang w:val="fr-CA"/>
        </w:rPr>
        <w:noBreakHyphen/>
        <w:t>t</w:t>
      </w:r>
      <w:r w:rsidRPr="00CB49F5">
        <w:rPr>
          <w:sz w:val="20"/>
          <w:szCs w:val="20"/>
          <w:lang w:val="fr-CA"/>
        </w:rPr>
        <w:noBreakHyphen/>
        <w:t>il</w:t>
      </w:r>
      <w:proofErr w:type="spellEnd"/>
      <w:r w:rsidRPr="00CB49F5">
        <w:rPr>
          <w:sz w:val="20"/>
          <w:szCs w:val="20"/>
          <w:lang w:val="fr-CA"/>
        </w:rPr>
        <w:t xml:space="preserve"> une crainte de partialité?</w:t>
      </w:r>
    </w:p>
    <w:p w:rsidR="00E554F3" w:rsidRPr="00CB49F5" w:rsidRDefault="00E554F3" w:rsidP="00E554F3">
      <w:pPr>
        <w:widowControl w:val="0"/>
        <w:jc w:val="both"/>
        <w:rPr>
          <w:sz w:val="20"/>
          <w:szCs w:val="20"/>
          <w:lang w:val="fr-CA"/>
        </w:rPr>
      </w:pPr>
    </w:p>
    <w:p w:rsidR="00E554F3" w:rsidRPr="00CB49F5" w:rsidRDefault="00E554F3" w:rsidP="00E554F3">
      <w:pPr>
        <w:jc w:val="both"/>
        <w:rPr>
          <w:sz w:val="20"/>
          <w:szCs w:val="20"/>
          <w:lang w:val="fr-CA"/>
        </w:rPr>
      </w:pPr>
      <w:r w:rsidRPr="00CB49F5">
        <w:rPr>
          <w:sz w:val="20"/>
          <w:szCs w:val="20"/>
          <w:lang w:val="fr-CA"/>
        </w:rPr>
        <w:t xml:space="preserve">Lorsque la société d’État responsable du système téléphonique du Manitoba a cessé d’exister, ses employés et retraités qui avaient participé au régime de retraite prévu par la loi sont devenus des participants au nouveau régime de retraite créé pour la nouvelle société ouverte (« MTS »).  Les avoirs de retraite destinés aux participants selon l’ancien régime ont été transférés au nouveau régime, tout comme les éléments de passif correspondants.  On a été établi au procès que la différence entre la valeur des avoirs et la moitié des éléments de passif (imputables à MTS) était de 43 343 000 $ (le « surplus initial »).  Les représentants des participants ont exigé que le surplus initial soit reconnu et utilisé uniquement à leur avantage, car il découle seulement des cotisations des participants, plus les intérêts.  Les représentants de MTS se sont engagés à ne pas se servir du surplus initial pour réduire les frais de MTS ou sa part des cotisations au nouveau régime.  Selon la loi instaurant le nouveau régime, </w:t>
      </w:r>
      <w:proofErr w:type="spellStart"/>
      <w:r w:rsidRPr="00CB49F5">
        <w:rPr>
          <w:sz w:val="20"/>
          <w:szCs w:val="20"/>
          <w:lang w:val="fr-CA"/>
        </w:rPr>
        <w:t>celui</w:t>
      </w:r>
      <w:r w:rsidRPr="00CB49F5">
        <w:rPr>
          <w:sz w:val="20"/>
          <w:szCs w:val="20"/>
          <w:lang w:val="fr-CA"/>
        </w:rPr>
        <w:noBreakHyphen/>
        <w:t>ci</w:t>
      </w:r>
      <w:proofErr w:type="spellEnd"/>
      <w:r w:rsidRPr="00CB49F5">
        <w:rPr>
          <w:sz w:val="20"/>
          <w:szCs w:val="20"/>
          <w:lang w:val="fr-CA"/>
        </w:rPr>
        <w:t xml:space="preserve"> « offre des prestations dont la valeur est, à la date de mise en œuvre, équivalente à celle des prestations de retraite » auxquelles les employés avaient droit aux termes de l’ancien régime.  Les employés et pensionnés demandeurs ont intenté une action pour que MTS leur verse le surplus initial, prétendant que MTS l’avait utilisé en violation des modalités convenues.  Ils ont aussi sollicité des jugements déclaratoires quant à l’administration du nouveau régime et à l’invalidité d’un avis actuariel sur l’équivalence entre les prestations prévues par l’ancien régime et celles prévues par le nouveau régime.  La Cour du Banc de la Reine du Manitoba a accueilli l’action en partie, déclarant invalide l’avis sur l’équivalence et ordonnant à MTS de verser 43 343 000 $ aux demandeurs pour majorer leurs prestations de retraite.  La Cour d’appel du Manitoba a accueilli l’appel et rejeté l’appel incident.</w:t>
      </w:r>
    </w:p>
    <w:p w:rsidR="00E554F3" w:rsidRPr="00CB49F5" w:rsidRDefault="00E554F3" w:rsidP="00E554F3">
      <w:pPr>
        <w:widowControl w:val="0"/>
        <w:jc w:val="both"/>
        <w:rPr>
          <w:sz w:val="20"/>
          <w:szCs w:val="20"/>
          <w:lang w:val="fr-CA"/>
        </w:rPr>
      </w:pPr>
    </w:p>
    <w:p w:rsidR="00E554F3" w:rsidRPr="00CB49F5" w:rsidRDefault="00E554F3" w:rsidP="00E554F3">
      <w:pPr>
        <w:widowControl w:val="0"/>
        <w:jc w:val="both"/>
        <w:rPr>
          <w:sz w:val="20"/>
          <w:szCs w:val="20"/>
          <w:lang w:val="fr-CA"/>
        </w:rPr>
      </w:pPr>
    </w:p>
    <w:p w:rsidR="00E554F3" w:rsidRPr="00CB49F5" w:rsidRDefault="00E554F3" w:rsidP="00E554F3">
      <w:pPr>
        <w:widowControl w:val="0"/>
        <w:ind w:left="2880" w:hanging="2880"/>
        <w:jc w:val="both"/>
        <w:rPr>
          <w:sz w:val="20"/>
          <w:szCs w:val="20"/>
          <w:lang w:val="fr-CA"/>
        </w:rPr>
      </w:pPr>
      <w:r w:rsidRPr="00CB49F5">
        <w:rPr>
          <w:sz w:val="20"/>
          <w:szCs w:val="20"/>
          <w:lang w:val="fr-CA"/>
        </w:rPr>
        <w:t>Origine :</w:t>
      </w:r>
      <w:r w:rsidRPr="00CB49F5">
        <w:rPr>
          <w:sz w:val="20"/>
          <w:szCs w:val="20"/>
          <w:lang w:val="fr-CA"/>
        </w:rPr>
        <w:tab/>
        <w:t>Manitoba</w:t>
      </w:r>
    </w:p>
    <w:p w:rsidR="00E554F3" w:rsidRPr="00CB49F5" w:rsidRDefault="00E554F3" w:rsidP="00E554F3">
      <w:pPr>
        <w:widowControl w:val="0"/>
        <w:ind w:left="2880" w:hanging="2880"/>
        <w:jc w:val="both"/>
        <w:rPr>
          <w:sz w:val="20"/>
          <w:szCs w:val="20"/>
          <w:lang w:val="fr-CA"/>
        </w:rPr>
      </w:pPr>
    </w:p>
    <w:p w:rsidR="00E554F3" w:rsidRPr="00CB49F5" w:rsidRDefault="00E554F3" w:rsidP="00E554F3">
      <w:pPr>
        <w:widowControl w:val="0"/>
        <w:ind w:left="2880" w:hanging="2880"/>
        <w:jc w:val="both"/>
        <w:rPr>
          <w:sz w:val="20"/>
          <w:szCs w:val="20"/>
          <w:lang w:val="fr-CA"/>
        </w:rPr>
      </w:pPr>
      <w:r w:rsidRPr="00CB49F5">
        <w:rPr>
          <w:sz w:val="20"/>
          <w:szCs w:val="20"/>
          <w:lang w:val="fr-CA"/>
        </w:rPr>
        <w:t>N</w:t>
      </w:r>
      <w:r w:rsidRPr="00CB49F5">
        <w:rPr>
          <w:sz w:val="20"/>
          <w:szCs w:val="20"/>
          <w:vertAlign w:val="superscript"/>
          <w:lang w:val="fr-CA"/>
        </w:rPr>
        <w:t>o</w:t>
      </w:r>
      <w:r w:rsidRPr="00CB49F5">
        <w:rPr>
          <w:sz w:val="20"/>
          <w:szCs w:val="20"/>
          <w:lang w:val="fr-CA"/>
        </w:rPr>
        <w:t xml:space="preserve"> du greffe :</w:t>
      </w:r>
      <w:r w:rsidRPr="00CB49F5">
        <w:rPr>
          <w:sz w:val="20"/>
          <w:szCs w:val="20"/>
          <w:lang w:val="fr-CA"/>
        </w:rPr>
        <w:tab/>
        <w:t>34763</w:t>
      </w:r>
    </w:p>
    <w:p w:rsidR="00E554F3" w:rsidRPr="00CB49F5" w:rsidRDefault="00E554F3" w:rsidP="00E554F3">
      <w:pPr>
        <w:widowControl w:val="0"/>
        <w:ind w:left="2880" w:hanging="2880"/>
        <w:jc w:val="both"/>
        <w:rPr>
          <w:sz w:val="20"/>
          <w:szCs w:val="20"/>
          <w:lang w:val="fr-CA"/>
        </w:rPr>
      </w:pPr>
    </w:p>
    <w:p w:rsidR="00E554F3" w:rsidRPr="00CB49F5" w:rsidRDefault="00E554F3" w:rsidP="00E554F3">
      <w:pPr>
        <w:widowControl w:val="0"/>
        <w:ind w:left="2880" w:hanging="2880"/>
        <w:jc w:val="both"/>
        <w:rPr>
          <w:sz w:val="20"/>
          <w:szCs w:val="20"/>
          <w:lang w:val="fr-CA"/>
        </w:rPr>
      </w:pPr>
      <w:r w:rsidRPr="00CB49F5">
        <w:rPr>
          <w:sz w:val="20"/>
          <w:szCs w:val="20"/>
          <w:lang w:val="fr-CA"/>
        </w:rPr>
        <w:t>Arrêt de la Cour d’appel :</w:t>
      </w:r>
      <w:r w:rsidRPr="00CB49F5">
        <w:rPr>
          <w:sz w:val="20"/>
          <w:szCs w:val="20"/>
          <w:lang w:val="fr-CA"/>
        </w:rPr>
        <w:tab/>
        <w:t>le 10 février 2012</w:t>
      </w:r>
    </w:p>
    <w:p w:rsidR="00E554F3" w:rsidRPr="00CB49F5" w:rsidRDefault="00E554F3" w:rsidP="00E554F3">
      <w:pPr>
        <w:widowControl w:val="0"/>
        <w:ind w:left="2880" w:hanging="2880"/>
        <w:jc w:val="both"/>
        <w:rPr>
          <w:sz w:val="20"/>
          <w:szCs w:val="20"/>
          <w:lang w:val="fr-CA"/>
        </w:rPr>
      </w:pPr>
    </w:p>
    <w:p w:rsidR="00E554F3" w:rsidRPr="00CB49F5" w:rsidRDefault="00E554F3" w:rsidP="00E554F3">
      <w:pPr>
        <w:widowControl w:val="0"/>
        <w:ind w:left="2880" w:hanging="2880"/>
        <w:jc w:val="both"/>
        <w:rPr>
          <w:sz w:val="20"/>
          <w:szCs w:val="20"/>
          <w:lang w:val="fr-CA"/>
        </w:rPr>
      </w:pPr>
      <w:r w:rsidRPr="00CB49F5">
        <w:rPr>
          <w:sz w:val="20"/>
          <w:szCs w:val="20"/>
          <w:lang w:val="fr-CA"/>
        </w:rPr>
        <w:t>Avocats :</w:t>
      </w:r>
      <w:r w:rsidRPr="00CB49F5">
        <w:rPr>
          <w:sz w:val="20"/>
          <w:szCs w:val="20"/>
          <w:lang w:val="fr-CA"/>
        </w:rPr>
        <w:tab/>
        <w:t xml:space="preserve">Brian J. </w:t>
      </w:r>
      <w:proofErr w:type="spellStart"/>
      <w:r w:rsidRPr="00CB49F5">
        <w:rPr>
          <w:sz w:val="20"/>
          <w:szCs w:val="20"/>
          <w:lang w:val="fr-CA"/>
        </w:rPr>
        <w:t>Meronek</w:t>
      </w:r>
      <w:proofErr w:type="spellEnd"/>
      <w:r w:rsidRPr="00CB49F5">
        <w:rPr>
          <w:sz w:val="20"/>
          <w:szCs w:val="20"/>
          <w:lang w:val="fr-CA"/>
        </w:rPr>
        <w:t xml:space="preserve">, </w:t>
      </w:r>
      <w:proofErr w:type="gramStart"/>
      <w:r w:rsidRPr="00CB49F5">
        <w:rPr>
          <w:sz w:val="20"/>
          <w:szCs w:val="20"/>
          <w:lang w:val="fr-CA"/>
        </w:rPr>
        <w:t>c.r.,</w:t>
      </w:r>
      <w:proofErr w:type="gramEnd"/>
      <w:r w:rsidRPr="00CB49F5">
        <w:rPr>
          <w:sz w:val="20"/>
          <w:szCs w:val="20"/>
          <w:lang w:val="fr-CA"/>
        </w:rPr>
        <w:t xml:space="preserve"> Kris M. </w:t>
      </w:r>
      <w:proofErr w:type="spellStart"/>
      <w:r w:rsidRPr="00CB49F5">
        <w:rPr>
          <w:sz w:val="20"/>
          <w:szCs w:val="20"/>
          <w:lang w:val="fr-CA"/>
        </w:rPr>
        <w:t>Saxberg</w:t>
      </w:r>
      <w:proofErr w:type="spellEnd"/>
      <w:r w:rsidRPr="00CB49F5">
        <w:rPr>
          <w:sz w:val="20"/>
          <w:szCs w:val="20"/>
          <w:lang w:val="fr-CA"/>
        </w:rPr>
        <w:t xml:space="preserve"> et D. Thomas Masi pour les appelants</w:t>
      </w:r>
    </w:p>
    <w:p w:rsidR="00E554F3" w:rsidRPr="00CB49F5" w:rsidRDefault="00E554F3" w:rsidP="00E554F3">
      <w:pPr>
        <w:widowControl w:val="0"/>
        <w:ind w:left="2880" w:hanging="2880"/>
        <w:jc w:val="both"/>
        <w:rPr>
          <w:sz w:val="20"/>
          <w:szCs w:val="20"/>
          <w:lang w:val="fr-CA"/>
        </w:rPr>
      </w:pPr>
      <w:r w:rsidRPr="00CB49F5">
        <w:rPr>
          <w:sz w:val="20"/>
          <w:szCs w:val="20"/>
          <w:lang w:val="fr-CA"/>
        </w:rPr>
        <w:tab/>
        <w:t>Kevin T. Williams et Paul Forsyth pour les intimées</w:t>
      </w:r>
    </w:p>
    <w:p w:rsidR="004634AB" w:rsidRPr="00E554F3" w:rsidRDefault="004634AB" w:rsidP="004634AB">
      <w:pPr>
        <w:tabs>
          <w:tab w:val="left" w:pos="-1440"/>
          <w:tab w:val="left" w:pos="-720"/>
        </w:tabs>
        <w:jc w:val="both"/>
        <w:rPr>
          <w:sz w:val="20"/>
          <w:szCs w:val="20"/>
          <w:lang w:val="fr-CA"/>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5"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730925" w:rsidRPr="005673AD" w:rsidRDefault="0017005E" w:rsidP="00730925">
      <w:pPr>
        <w:widowControl w:val="0"/>
        <w:ind w:left="720" w:hanging="720"/>
        <w:jc w:val="both"/>
        <w:rPr>
          <w:sz w:val="20"/>
          <w:szCs w:val="20"/>
        </w:rPr>
      </w:pPr>
      <w:r w:rsidRPr="005673AD">
        <w:rPr>
          <w:b/>
          <w:sz w:val="20"/>
          <w:szCs w:val="20"/>
        </w:rPr>
        <w:lastRenderedPageBreak/>
        <w:fldChar w:fldCharType="begin"/>
      </w:r>
      <w:r w:rsidR="00730925" w:rsidRPr="005673AD">
        <w:rPr>
          <w:b/>
          <w:sz w:val="20"/>
          <w:szCs w:val="20"/>
        </w:rPr>
        <w:instrText xml:space="preserve"> SEQ CHAPTER \h \r 1</w:instrText>
      </w:r>
      <w:r w:rsidRPr="005673AD">
        <w:rPr>
          <w:b/>
          <w:sz w:val="20"/>
          <w:szCs w:val="20"/>
        </w:rPr>
        <w:fldChar w:fldCharType="end"/>
      </w:r>
      <w:r w:rsidR="00730925" w:rsidRPr="005673AD">
        <w:rPr>
          <w:b/>
          <w:sz w:val="20"/>
          <w:szCs w:val="20"/>
        </w:rPr>
        <w:t>35143</w:t>
      </w:r>
      <w:r w:rsidR="00730925" w:rsidRPr="005673AD">
        <w:rPr>
          <w:sz w:val="20"/>
          <w:szCs w:val="20"/>
        </w:rPr>
        <w:tab/>
      </w:r>
      <w:r w:rsidR="00730925" w:rsidRPr="005673AD">
        <w:rPr>
          <w:b/>
          <w:i/>
          <w:sz w:val="20"/>
          <w:szCs w:val="20"/>
        </w:rPr>
        <w:t xml:space="preserve">Fabian </w:t>
      </w:r>
      <w:proofErr w:type="spellStart"/>
      <w:r w:rsidR="00730925" w:rsidRPr="005673AD">
        <w:rPr>
          <w:b/>
          <w:i/>
          <w:sz w:val="20"/>
          <w:szCs w:val="20"/>
        </w:rPr>
        <w:t>Vuradin</w:t>
      </w:r>
      <w:proofErr w:type="spellEnd"/>
      <w:r w:rsidR="00730925" w:rsidRPr="005673AD">
        <w:rPr>
          <w:b/>
          <w:i/>
          <w:sz w:val="20"/>
          <w:szCs w:val="20"/>
        </w:rPr>
        <w:t xml:space="preserve"> v. Her Majesty the Queen</w:t>
      </w:r>
    </w:p>
    <w:p w:rsidR="00730925" w:rsidRPr="005673AD" w:rsidRDefault="00730925" w:rsidP="00730925">
      <w:pPr>
        <w:widowControl w:val="0"/>
        <w:jc w:val="both"/>
        <w:rPr>
          <w:sz w:val="20"/>
          <w:szCs w:val="20"/>
        </w:rPr>
      </w:pPr>
    </w:p>
    <w:p w:rsidR="00730925" w:rsidRPr="005673AD" w:rsidRDefault="00730925" w:rsidP="00730925">
      <w:pPr>
        <w:widowControl w:val="0"/>
        <w:jc w:val="both"/>
        <w:rPr>
          <w:smallCaps/>
          <w:sz w:val="20"/>
          <w:szCs w:val="20"/>
        </w:rPr>
      </w:pPr>
      <w:r w:rsidRPr="005673AD">
        <w:rPr>
          <w:smallCaps/>
          <w:sz w:val="20"/>
          <w:szCs w:val="20"/>
        </w:rPr>
        <w:t>(Publication Ban in Case)</w:t>
      </w:r>
    </w:p>
    <w:p w:rsidR="00730925" w:rsidRPr="005673AD" w:rsidRDefault="00730925" w:rsidP="00730925">
      <w:pPr>
        <w:widowControl w:val="0"/>
        <w:jc w:val="both"/>
        <w:rPr>
          <w:sz w:val="20"/>
          <w:szCs w:val="20"/>
        </w:rPr>
      </w:pPr>
    </w:p>
    <w:p w:rsidR="00730925" w:rsidRPr="005673AD" w:rsidRDefault="00730925" w:rsidP="00730925">
      <w:pPr>
        <w:widowControl w:val="0"/>
        <w:jc w:val="both"/>
        <w:rPr>
          <w:sz w:val="20"/>
          <w:szCs w:val="20"/>
        </w:rPr>
      </w:pPr>
      <w:r w:rsidRPr="005673AD">
        <w:rPr>
          <w:sz w:val="20"/>
          <w:szCs w:val="20"/>
        </w:rPr>
        <w:t xml:space="preserve">Criminal law </w:t>
      </w:r>
      <w:r w:rsidRPr="005673AD">
        <w:rPr>
          <w:sz w:val="20"/>
          <w:szCs w:val="20"/>
        </w:rPr>
        <w:noBreakHyphen/>
        <w:t xml:space="preserve"> Evidence </w:t>
      </w:r>
      <w:r w:rsidRPr="005673AD">
        <w:rPr>
          <w:sz w:val="20"/>
          <w:szCs w:val="20"/>
        </w:rPr>
        <w:noBreakHyphen/>
        <w:t xml:space="preserve"> Similar fact evidence </w:t>
      </w:r>
      <w:r w:rsidRPr="005673AD">
        <w:rPr>
          <w:sz w:val="20"/>
          <w:szCs w:val="20"/>
        </w:rPr>
        <w:noBreakHyphen/>
        <w:t xml:space="preserve"> Application of </w:t>
      </w:r>
      <w:r w:rsidRPr="005673AD">
        <w:rPr>
          <w:i/>
          <w:sz w:val="20"/>
          <w:szCs w:val="20"/>
        </w:rPr>
        <w:t>R. v. W</w:t>
      </w:r>
      <w:proofErr w:type="gramStart"/>
      <w:r w:rsidRPr="005673AD">
        <w:rPr>
          <w:i/>
          <w:sz w:val="20"/>
          <w:szCs w:val="20"/>
        </w:rPr>
        <w:t>.(</w:t>
      </w:r>
      <w:proofErr w:type="gramEnd"/>
      <w:r w:rsidRPr="005673AD">
        <w:rPr>
          <w:i/>
          <w:sz w:val="20"/>
          <w:szCs w:val="20"/>
        </w:rPr>
        <w:t>D.)</w:t>
      </w:r>
      <w:r w:rsidRPr="005673AD">
        <w:rPr>
          <w:sz w:val="20"/>
          <w:szCs w:val="20"/>
        </w:rPr>
        <w:t xml:space="preserve">, [1991] 1 S.C.R. 742 </w:t>
      </w:r>
      <w:r w:rsidRPr="005673AD">
        <w:rPr>
          <w:sz w:val="20"/>
          <w:szCs w:val="20"/>
        </w:rPr>
        <w:noBreakHyphen/>
        <w:t xml:space="preserve"> Whether the majority of the Court of Appeal erred in concluding that the trial judge’s improper use of similar fact evidence did not affect the findings of guilt on counts 1 and 2 </w:t>
      </w:r>
      <w:r w:rsidRPr="005673AD">
        <w:rPr>
          <w:sz w:val="20"/>
          <w:szCs w:val="20"/>
        </w:rPr>
        <w:noBreakHyphen/>
        <w:t xml:space="preserve"> Whether the majority of the Court of Appeal erred in concluding that the reasons for judgment were sufficient to allow meaningful appellate review. </w:t>
      </w:r>
    </w:p>
    <w:p w:rsidR="00730925" w:rsidRPr="005673AD" w:rsidRDefault="00730925" w:rsidP="00730925">
      <w:pPr>
        <w:widowControl w:val="0"/>
        <w:jc w:val="both"/>
        <w:rPr>
          <w:sz w:val="20"/>
          <w:szCs w:val="20"/>
        </w:rPr>
      </w:pPr>
    </w:p>
    <w:p w:rsidR="00730925" w:rsidRPr="005673AD" w:rsidRDefault="00730925" w:rsidP="00730925">
      <w:pPr>
        <w:widowControl w:val="0"/>
        <w:jc w:val="both"/>
        <w:rPr>
          <w:sz w:val="20"/>
          <w:szCs w:val="20"/>
        </w:rPr>
      </w:pPr>
      <w:r w:rsidRPr="005673AD">
        <w:rPr>
          <w:sz w:val="20"/>
          <w:szCs w:val="20"/>
        </w:rPr>
        <w:t>The appellant, Mr. </w:t>
      </w:r>
      <w:proofErr w:type="spellStart"/>
      <w:r w:rsidRPr="005673AD">
        <w:rPr>
          <w:sz w:val="20"/>
          <w:szCs w:val="20"/>
        </w:rPr>
        <w:t>Vuradin</w:t>
      </w:r>
      <w:proofErr w:type="spellEnd"/>
      <w:r w:rsidRPr="005673AD">
        <w:rPr>
          <w:sz w:val="20"/>
          <w:szCs w:val="20"/>
        </w:rPr>
        <w:t>, was found guilty on four counts of sexual assault and one count of unlawful touching for a sexual purpose.  The complainants included three children, two sisters and one of the sisters’ friends, and one adult, the mother of the sister complainants.  The testimony of all four complainants was similar in that each testified to inappropriate touching and groping in Mr. </w:t>
      </w:r>
      <w:proofErr w:type="spellStart"/>
      <w:r w:rsidRPr="005673AD">
        <w:rPr>
          <w:sz w:val="20"/>
          <w:szCs w:val="20"/>
        </w:rPr>
        <w:t>Vuradin’s</w:t>
      </w:r>
      <w:proofErr w:type="spellEnd"/>
      <w:r w:rsidRPr="005673AD">
        <w:rPr>
          <w:sz w:val="20"/>
          <w:szCs w:val="20"/>
        </w:rPr>
        <w:t xml:space="preserve"> car while he drove them to their various activities, and the Crown successfully applied to have the similar fact evidence admitted with respect to each of the charges.  On appeal, Mr. </w:t>
      </w:r>
      <w:proofErr w:type="spellStart"/>
      <w:r w:rsidRPr="005673AD">
        <w:rPr>
          <w:sz w:val="20"/>
          <w:szCs w:val="20"/>
        </w:rPr>
        <w:t>Vuradin</w:t>
      </w:r>
      <w:proofErr w:type="spellEnd"/>
      <w:r w:rsidRPr="005673AD">
        <w:rPr>
          <w:sz w:val="20"/>
          <w:szCs w:val="20"/>
        </w:rPr>
        <w:t xml:space="preserve"> argued that the trial judge erred in allowing the similar fact evidence application and in his application of the test set out in </w:t>
      </w:r>
      <w:r w:rsidRPr="005673AD">
        <w:rPr>
          <w:i/>
          <w:sz w:val="20"/>
          <w:szCs w:val="20"/>
        </w:rPr>
        <w:t>R. v. W.(D.)</w:t>
      </w:r>
      <w:r w:rsidRPr="005673AD">
        <w:rPr>
          <w:sz w:val="20"/>
          <w:szCs w:val="20"/>
        </w:rPr>
        <w:t xml:space="preserve">, [1991] 1 S.C.R. 742.  The majority of the Court of Appeal allowed the appeal and ordered a new trial on three of the counts.  </w:t>
      </w:r>
      <w:proofErr w:type="spellStart"/>
      <w:r w:rsidRPr="005673AD">
        <w:rPr>
          <w:sz w:val="20"/>
          <w:szCs w:val="20"/>
        </w:rPr>
        <w:t>Côté</w:t>
      </w:r>
      <w:proofErr w:type="spellEnd"/>
      <w:r w:rsidRPr="005673AD">
        <w:rPr>
          <w:sz w:val="20"/>
          <w:szCs w:val="20"/>
        </w:rPr>
        <w:t xml:space="preserve"> J.A., dissenting, would have allowed the appeal and ordered a new trial on all counts.  He agreed with the majority’s view on the issue of similar fact evidence, although he would not have limited it to three of the five counts.  However, unlike the majority, </w:t>
      </w:r>
      <w:proofErr w:type="spellStart"/>
      <w:r w:rsidRPr="005673AD">
        <w:rPr>
          <w:sz w:val="20"/>
          <w:szCs w:val="20"/>
        </w:rPr>
        <w:t>Côté</w:t>
      </w:r>
      <w:proofErr w:type="spellEnd"/>
      <w:r w:rsidRPr="005673AD">
        <w:rPr>
          <w:sz w:val="20"/>
          <w:szCs w:val="20"/>
        </w:rPr>
        <w:t xml:space="preserve"> J.A. also found that the trial judge’s reasons for judgment were inadequate and that he did not properly consider the doctrine of reasonable doubt.</w:t>
      </w:r>
    </w:p>
    <w:p w:rsidR="00730925" w:rsidRPr="005673AD" w:rsidRDefault="00730925" w:rsidP="00730925">
      <w:pPr>
        <w:widowControl w:val="0"/>
        <w:jc w:val="both"/>
        <w:rPr>
          <w:sz w:val="20"/>
          <w:szCs w:val="20"/>
        </w:rPr>
      </w:pPr>
    </w:p>
    <w:p w:rsidR="00730925" w:rsidRPr="005673AD" w:rsidRDefault="00730925" w:rsidP="00730925">
      <w:pPr>
        <w:widowControl w:val="0"/>
        <w:jc w:val="both"/>
        <w:rPr>
          <w:sz w:val="20"/>
          <w:szCs w:val="20"/>
        </w:rPr>
      </w:pPr>
    </w:p>
    <w:p w:rsidR="00730925" w:rsidRPr="005673AD" w:rsidRDefault="00730925" w:rsidP="00730925">
      <w:pPr>
        <w:widowControl w:val="0"/>
        <w:ind w:left="2880" w:hanging="2880"/>
        <w:jc w:val="both"/>
        <w:rPr>
          <w:sz w:val="20"/>
          <w:szCs w:val="20"/>
        </w:rPr>
      </w:pPr>
      <w:r w:rsidRPr="005673AD">
        <w:rPr>
          <w:sz w:val="20"/>
          <w:szCs w:val="20"/>
        </w:rPr>
        <w:t>Origin of the case:</w:t>
      </w:r>
      <w:r w:rsidRPr="005673AD">
        <w:rPr>
          <w:sz w:val="20"/>
          <w:szCs w:val="20"/>
        </w:rPr>
        <w:tab/>
        <w:t>Alberta</w:t>
      </w:r>
    </w:p>
    <w:p w:rsidR="00730925" w:rsidRPr="005673AD" w:rsidRDefault="00730925" w:rsidP="00730925">
      <w:pPr>
        <w:widowControl w:val="0"/>
        <w:ind w:left="2880" w:hanging="2880"/>
        <w:jc w:val="both"/>
        <w:rPr>
          <w:sz w:val="20"/>
          <w:szCs w:val="20"/>
        </w:rPr>
      </w:pPr>
    </w:p>
    <w:p w:rsidR="00730925" w:rsidRPr="005673AD" w:rsidRDefault="00730925" w:rsidP="00730925">
      <w:pPr>
        <w:widowControl w:val="0"/>
        <w:ind w:left="2880" w:hanging="2880"/>
        <w:jc w:val="both"/>
        <w:rPr>
          <w:sz w:val="20"/>
          <w:szCs w:val="20"/>
        </w:rPr>
      </w:pPr>
      <w:r w:rsidRPr="005673AD">
        <w:rPr>
          <w:sz w:val="20"/>
          <w:szCs w:val="20"/>
        </w:rPr>
        <w:t>File No.:</w:t>
      </w:r>
      <w:r w:rsidRPr="005673AD">
        <w:rPr>
          <w:sz w:val="20"/>
          <w:szCs w:val="20"/>
        </w:rPr>
        <w:tab/>
        <w:t>35143</w:t>
      </w:r>
    </w:p>
    <w:p w:rsidR="00730925" w:rsidRPr="005673AD" w:rsidRDefault="00730925" w:rsidP="00730925">
      <w:pPr>
        <w:widowControl w:val="0"/>
        <w:ind w:left="2880" w:hanging="2880"/>
        <w:jc w:val="both"/>
        <w:rPr>
          <w:sz w:val="20"/>
          <w:szCs w:val="20"/>
        </w:rPr>
      </w:pPr>
    </w:p>
    <w:p w:rsidR="00730925" w:rsidRPr="005673AD" w:rsidRDefault="00730925" w:rsidP="00730925">
      <w:pPr>
        <w:widowControl w:val="0"/>
        <w:ind w:left="2880" w:hanging="2880"/>
        <w:jc w:val="both"/>
        <w:rPr>
          <w:sz w:val="20"/>
          <w:szCs w:val="20"/>
        </w:rPr>
      </w:pPr>
      <w:r w:rsidRPr="005673AD">
        <w:rPr>
          <w:sz w:val="20"/>
          <w:szCs w:val="20"/>
        </w:rPr>
        <w:t>Judgment of the Court of Appeal:</w:t>
      </w:r>
      <w:r w:rsidRPr="005673AD">
        <w:rPr>
          <w:sz w:val="20"/>
          <w:szCs w:val="20"/>
        </w:rPr>
        <w:tab/>
        <w:t>October 7, 2011</w:t>
      </w:r>
    </w:p>
    <w:p w:rsidR="00730925" w:rsidRPr="005673AD" w:rsidRDefault="00730925" w:rsidP="00730925">
      <w:pPr>
        <w:widowControl w:val="0"/>
        <w:ind w:left="2880" w:hanging="2880"/>
        <w:jc w:val="both"/>
        <w:rPr>
          <w:sz w:val="20"/>
          <w:szCs w:val="20"/>
        </w:rPr>
      </w:pPr>
    </w:p>
    <w:p w:rsidR="00730925" w:rsidRPr="005673AD" w:rsidRDefault="00730925" w:rsidP="00730925">
      <w:pPr>
        <w:widowControl w:val="0"/>
        <w:ind w:left="2880" w:hanging="2880"/>
        <w:jc w:val="both"/>
        <w:rPr>
          <w:sz w:val="20"/>
          <w:szCs w:val="20"/>
        </w:rPr>
      </w:pPr>
      <w:r w:rsidRPr="005673AD">
        <w:rPr>
          <w:sz w:val="20"/>
          <w:szCs w:val="20"/>
        </w:rPr>
        <w:t>Counsel:</w:t>
      </w:r>
      <w:r w:rsidRPr="005673AD">
        <w:rPr>
          <w:sz w:val="20"/>
          <w:szCs w:val="20"/>
        </w:rPr>
        <w:tab/>
        <w:t>Peter J. Royal, Q.C. for the appellant</w:t>
      </w:r>
    </w:p>
    <w:p w:rsidR="00730925" w:rsidRPr="005673AD" w:rsidRDefault="00730925" w:rsidP="00730925">
      <w:pPr>
        <w:widowControl w:val="0"/>
        <w:ind w:left="2880" w:hanging="2880"/>
        <w:jc w:val="both"/>
        <w:rPr>
          <w:sz w:val="20"/>
          <w:szCs w:val="20"/>
        </w:rPr>
      </w:pPr>
      <w:r w:rsidRPr="005673AD">
        <w:rPr>
          <w:sz w:val="20"/>
          <w:szCs w:val="20"/>
        </w:rPr>
        <w:tab/>
        <w:t>Maureen J. McGuire for the respondent</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6"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C63DBF" w:rsidRPr="00662C46" w:rsidRDefault="0017005E" w:rsidP="00C63DBF">
      <w:pPr>
        <w:widowControl w:val="0"/>
        <w:ind w:left="720" w:hanging="720"/>
        <w:jc w:val="both"/>
        <w:rPr>
          <w:sz w:val="20"/>
          <w:szCs w:val="20"/>
          <w:lang w:val="fr-CA"/>
        </w:rPr>
      </w:pPr>
      <w:r w:rsidRPr="00662C46">
        <w:rPr>
          <w:b/>
          <w:sz w:val="20"/>
          <w:szCs w:val="20"/>
          <w:lang w:val="fr-CA"/>
        </w:rPr>
        <w:lastRenderedPageBreak/>
        <w:fldChar w:fldCharType="begin"/>
      </w:r>
      <w:r w:rsidR="00C63DBF" w:rsidRPr="00662C46">
        <w:rPr>
          <w:b/>
          <w:sz w:val="20"/>
          <w:szCs w:val="20"/>
          <w:lang w:val="fr-CA"/>
        </w:rPr>
        <w:instrText xml:space="preserve"> SEQ CHAPTER \h \r 1</w:instrText>
      </w:r>
      <w:r w:rsidRPr="00662C46">
        <w:rPr>
          <w:b/>
          <w:sz w:val="20"/>
          <w:szCs w:val="20"/>
          <w:lang w:val="fr-CA"/>
        </w:rPr>
        <w:fldChar w:fldCharType="end"/>
      </w:r>
      <w:r w:rsidR="00C63DBF" w:rsidRPr="00662C46">
        <w:rPr>
          <w:b/>
          <w:sz w:val="20"/>
          <w:szCs w:val="20"/>
          <w:lang w:val="fr-CA"/>
        </w:rPr>
        <w:t>35143</w:t>
      </w:r>
      <w:r w:rsidR="00C63DBF" w:rsidRPr="00662C46">
        <w:rPr>
          <w:sz w:val="20"/>
          <w:szCs w:val="20"/>
          <w:lang w:val="fr-CA"/>
        </w:rPr>
        <w:tab/>
      </w:r>
      <w:r w:rsidR="00C63DBF" w:rsidRPr="00662C46">
        <w:rPr>
          <w:b/>
          <w:i/>
          <w:sz w:val="20"/>
          <w:szCs w:val="20"/>
          <w:lang w:val="fr-CA"/>
        </w:rPr>
        <w:t xml:space="preserve">Fabian </w:t>
      </w:r>
      <w:proofErr w:type="spellStart"/>
      <w:r w:rsidR="00C63DBF" w:rsidRPr="00662C46">
        <w:rPr>
          <w:b/>
          <w:i/>
          <w:sz w:val="20"/>
          <w:szCs w:val="20"/>
          <w:lang w:val="fr-CA"/>
        </w:rPr>
        <w:t>Vuradin</w:t>
      </w:r>
      <w:proofErr w:type="spellEnd"/>
      <w:r w:rsidR="00C63DBF" w:rsidRPr="00662C46">
        <w:rPr>
          <w:b/>
          <w:i/>
          <w:sz w:val="20"/>
          <w:szCs w:val="20"/>
          <w:lang w:val="fr-CA"/>
        </w:rPr>
        <w:t xml:space="preserve"> c. Sa Majesté la Reine</w:t>
      </w:r>
    </w:p>
    <w:p w:rsidR="00C63DBF" w:rsidRPr="00662C46" w:rsidRDefault="00C63DBF" w:rsidP="00C63DBF">
      <w:pPr>
        <w:widowControl w:val="0"/>
        <w:jc w:val="both"/>
        <w:rPr>
          <w:sz w:val="20"/>
          <w:szCs w:val="20"/>
          <w:lang w:val="fr-CA"/>
        </w:rPr>
      </w:pPr>
    </w:p>
    <w:p w:rsidR="00C63DBF" w:rsidRPr="00662C46" w:rsidRDefault="00C63DBF" w:rsidP="00C63DBF">
      <w:pPr>
        <w:widowControl w:val="0"/>
        <w:jc w:val="both"/>
        <w:rPr>
          <w:smallCaps/>
          <w:sz w:val="20"/>
          <w:szCs w:val="20"/>
          <w:lang w:val="fr-CA"/>
        </w:rPr>
      </w:pPr>
      <w:r w:rsidRPr="00662C46">
        <w:rPr>
          <w:smallCaps/>
          <w:sz w:val="20"/>
          <w:szCs w:val="20"/>
          <w:lang w:val="fr-CA"/>
        </w:rPr>
        <w:t xml:space="preserve">(Ordonnance de </w:t>
      </w:r>
      <w:proofErr w:type="spellStart"/>
      <w:r w:rsidRPr="00662C46">
        <w:rPr>
          <w:smallCaps/>
          <w:sz w:val="20"/>
          <w:szCs w:val="20"/>
          <w:lang w:val="fr-CA"/>
        </w:rPr>
        <w:t>non</w:t>
      </w:r>
      <w:r w:rsidRPr="00662C46">
        <w:rPr>
          <w:smallCaps/>
          <w:sz w:val="20"/>
          <w:szCs w:val="20"/>
          <w:lang w:val="fr-CA"/>
        </w:rPr>
        <w:noBreakHyphen/>
        <w:t>publication</w:t>
      </w:r>
      <w:proofErr w:type="spellEnd"/>
      <w:r w:rsidRPr="00662C46">
        <w:rPr>
          <w:smallCaps/>
          <w:sz w:val="20"/>
          <w:szCs w:val="20"/>
          <w:lang w:val="fr-CA"/>
        </w:rPr>
        <w:t xml:space="preserve"> dans le dossier)</w:t>
      </w:r>
    </w:p>
    <w:p w:rsidR="00C63DBF" w:rsidRPr="00662C46" w:rsidRDefault="00C63DBF" w:rsidP="00C63DBF">
      <w:pPr>
        <w:widowControl w:val="0"/>
        <w:jc w:val="both"/>
        <w:rPr>
          <w:sz w:val="20"/>
          <w:szCs w:val="20"/>
          <w:lang w:val="fr-CA"/>
        </w:rPr>
      </w:pPr>
    </w:p>
    <w:p w:rsidR="00C63DBF" w:rsidRPr="00662C46" w:rsidRDefault="00C63DBF" w:rsidP="00C63DBF">
      <w:pPr>
        <w:widowControl w:val="0"/>
        <w:jc w:val="both"/>
        <w:rPr>
          <w:sz w:val="20"/>
          <w:szCs w:val="20"/>
          <w:lang w:val="fr-CA"/>
        </w:rPr>
      </w:pPr>
      <w:r w:rsidRPr="00662C46">
        <w:rPr>
          <w:sz w:val="20"/>
          <w:szCs w:val="20"/>
          <w:lang w:val="fr-CA"/>
        </w:rPr>
        <w:t xml:space="preserve">Droit criminel </w:t>
      </w:r>
      <w:r w:rsidRPr="00662C46">
        <w:rPr>
          <w:sz w:val="20"/>
          <w:szCs w:val="20"/>
          <w:lang w:val="fr-CA"/>
        </w:rPr>
        <w:noBreakHyphen/>
        <w:t xml:space="preserve"> Preuve </w:t>
      </w:r>
      <w:r w:rsidRPr="00662C46">
        <w:rPr>
          <w:sz w:val="20"/>
          <w:szCs w:val="20"/>
          <w:lang w:val="fr-CA"/>
        </w:rPr>
        <w:noBreakHyphen/>
        <w:t xml:space="preserve"> Preuve de faits similaires </w:t>
      </w:r>
      <w:r w:rsidRPr="00662C46">
        <w:rPr>
          <w:sz w:val="20"/>
          <w:szCs w:val="20"/>
          <w:lang w:val="fr-CA"/>
        </w:rPr>
        <w:noBreakHyphen/>
        <w:t xml:space="preserve"> Application de l’arrêt </w:t>
      </w:r>
      <w:r w:rsidRPr="00662C46">
        <w:rPr>
          <w:i/>
          <w:sz w:val="20"/>
          <w:szCs w:val="20"/>
          <w:lang w:val="fr-CA"/>
        </w:rPr>
        <w:t>R. c. W.(D.)</w:t>
      </w:r>
      <w:r w:rsidRPr="00662C46">
        <w:rPr>
          <w:sz w:val="20"/>
          <w:szCs w:val="20"/>
          <w:lang w:val="fr-CA"/>
        </w:rPr>
        <w:t xml:space="preserve">, [1991] 1 R.C.S. 742 </w:t>
      </w:r>
      <w:r w:rsidRPr="00662C46">
        <w:rPr>
          <w:sz w:val="20"/>
          <w:szCs w:val="20"/>
          <w:lang w:val="fr-CA"/>
        </w:rPr>
        <w:noBreakHyphen/>
        <w:t xml:space="preserve"> Les juges majoritaires de la Cour d’appel </w:t>
      </w:r>
      <w:proofErr w:type="spellStart"/>
      <w:r w:rsidRPr="00662C46">
        <w:rPr>
          <w:sz w:val="20"/>
          <w:szCs w:val="20"/>
          <w:lang w:val="fr-CA"/>
        </w:rPr>
        <w:t>ont</w:t>
      </w:r>
      <w:r w:rsidRPr="00662C46">
        <w:rPr>
          <w:sz w:val="20"/>
          <w:szCs w:val="20"/>
          <w:lang w:val="fr-CA"/>
        </w:rPr>
        <w:noBreakHyphen/>
        <w:t>ils</w:t>
      </w:r>
      <w:proofErr w:type="spellEnd"/>
      <w:r w:rsidRPr="00662C46">
        <w:rPr>
          <w:sz w:val="20"/>
          <w:szCs w:val="20"/>
          <w:lang w:val="fr-CA"/>
        </w:rPr>
        <w:t xml:space="preserve"> eu tort de conclure que la mauvaise utilisation de la preuve de faits similaires par le juge du procès n’avait pas eu d’incidence sur les verdicts de culpabilité sous les chefs 1 et 2? </w:t>
      </w:r>
      <w:r w:rsidRPr="00662C46">
        <w:rPr>
          <w:sz w:val="20"/>
          <w:szCs w:val="20"/>
          <w:lang w:val="fr-CA"/>
        </w:rPr>
        <w:noBreakHyphen/>
        <w:t xml:space="preserve"> Les juges majoritaires de la Cour d’appel </w:t>
      </w:r>
      <w:proofErr w:type="spellStart"/>
      <w:r w:rsidRPr="00662C46">
        <w:rPr>
          <w:sz w:val="20"/>
          <w:szCs w:val="20"/>
          <w:lang w:val="fr-CA"/>
        </w:rPr>
        <w:t>ont</w:t>
      </w:r>
      <w:r w:rsidRPr="00662C46">
        <w:rPr>
          <w:sz w:val="20"/>
          <w:szCs w:val="20"/>
          <w:lang w:val="fr-CA"/>
        </w:rPr>
        <w:noBreakHyphen/>
        <w:t>ils</w:t>
      </w:r>
      <w:proofErr w:type="spellEnd"/>
      <w:r w:rsidRPr="00662C46">
        <w:rPr>
          <w:sz w:val="20"/>
          <w:szCs w:val="20"/>
          <w:lang w:val="fr-CA"/>
        </w:rPr>
        <w:t xml:space="preserve"> eu tort de conclure que les motifs du jugement étaient suffisants pour permettre un examen valable en appel? </w:t>
      </w:r>
    </w:p>
    <w:p w:rsidR="00C63DBF" w:rsidRPr="00662C46" w:rsidRDefault="00C63DBF" w:rsidP="00C63DBF">
      <w:pPr>
        <w:widowControl w:val="0"/>
        <w:jc w:val="both"/>
        <w:rPr>
          <w:sz w:val="20"/>
          <w:szCs w:val="20"/>
          <w:lang w:val="fr-CA"/>
        </w:rPr>
      </w:pPr>
    </w:p>
    <w:p w:rsidR="00C63DBF" w:rsidRPr="00662C46" w:rsidRDefault="00C63DBF" w:rsidP="00C63DBF">
      <w:pPr>
        <w:widowControl w:val="0"/>
        <w:jc w:val="both"/>
        <w:rPr>
          <w:sz w:val="20"/>
          <w:szCs w:val="20"/>
          <w:lang w:val="fr-CA"/>
        </w:rPr>
      </w:pPr>
      <w:r w:rsidRPr="00662C46">
        <w:rPr>
          <w:sz w:val="20"/>
          <w:szCs w:val="20"/>
          <w:lang w:val="fr-CA"/>
        </w:rPr>
        <w:t>L’appelant, M. </w:t>
      </w:r>
      <w:proofErr w:type="spellStart"/>
      <w:r w:rsidRPr="00662C46">
        <w:rPr>
          <w:sz w:val="20"/>
          <w:szCs w:val="20"/>
          <w:lang w:val="fr-CA"/>
        </w:rPr>
        <w:t>Vuradin</w:t>
      </w:r>
      <w:proofErr w:type="spellEnd"/>
      <w:r w:rsidRPr="00662C46">
        <w:rPr>
          <w:sz w:val="20"/>
          <w:szCs w:val="20"/>
          <w:lang w:val="fr-CA"/>
        </w:rPr>
        <w:t>, a été déclaré coupable sous quatre chefs d’accusation d’agression sexuelle et un chef d’accusation de contacts sexuels illégaux.  Les plaignantes comprenaient trois enfants — deux sœurs et une de leurs amies — et une adulte, savoir la mère des sœurs plaignantes.  Les témoignages des quatre plaignantes étaient similaires en ce sens que chacune d’elles a affirmé avoir été l’objet d’attouchements répréhensibles dans la voiture de M. </w:t>
      </w:r>
      <w:proofErr w:type="spellStart"/>
      <w:r w:rsidRPr="00662C46">
        <w:rPr>
          <w:sz w:val="20"/>
          <w:szCs w:val="20"/>
          <w:lang w:val="fr-CA"/>
        </w:rPr>
        <w:t>Vuradin</w:t>
      </w:r>
      <w:proofErr w:type="spellEnd"/>
      <w:r w:rsidRPr="00662C46">
        <w:rPr>
          <w:sz w:val="20"/>
          <w:szCs w:val="20"/>
          <w:lang w:val="fr-CA"/>
        </w:rPr>
        <w:t xml:space="preserve"> alors qu’il les conduisait à leurs diverses activités, et le ministère public a demandé et obtenu que la preuve de faits similaires soit admise à l’égard de chacune des accusations.  En appel, M. </w:t>
      </w:r>
      <w:proofErr w:type="spellStart"/>
      <w:r w:rsidRPr="00662C46">
        <w:rPr>
          <w:sz w:val="20"/>
          <w:szCs w:val="20"/>
          <w:lang w:val="fr-CA"/>
        </w:rPr>
        <w:t>Vuradin</w:t>
      </w:r>
      <w:proofErr w:type="spellEnd"/>
      <w:r w:rsidRPr="00662C46">
        <w:rPr>
          <w:sz w:val="20"/>
          <w:szCs w:val="20"/>
          <w:lang w:val="fr-CA"/>
        </w:rPr>
        <w:t xml:space="preserve"> a plaidé que le juge du procès avait eu tort d’accueillir la demande relative à la preuve de faits similaires et qu’il s’était trompé dans son application du critère énoncé dans l’arrêt </w:t>
      </w:r>
      <w:r w:rsidRPr="00662C46">
        <w:rPr>
          <w:i/>
          <w:sz w:val="20"/>
          <w:szCs w:val="20"/>
          <w:lang w:val="fr-CA"/>
        </w:rPr>
        <w:t>R. c. W.(D.)</w:t>
      </w:r>
      <w:r w:rsidRPr="00662C46">
        <w:rPr>
          <w:sz w:val="20"/>
          <w:szCs w:val="20"/>
          <w:lang w:val="fr-CA"/>
        </w:rPr>
        <w:t>, [1991] 1 R.C.S. 742.  Les juges majoritaires de la Cour d’appel ont accueilli l’appel et ordonné un nouveau procès sous trois des chefs.  Le juge Côté, dissident, aurait accueilli l’appel et ordonné un nouveau procès sous tous les chefs.  Il a souscrit à l’opinion des juges majoritaires sur la question de la preuve de faits similaires, même s’il ne l’aurait pas limitée à trois des cinq chefs.  Toutefois, contrairement aux juges majoritaires, le juge Côté a également conclu que les motifs du jugement du juge du procès étaient inadéquats et que ce dernier n’avait pas correctement considéré la doctrine du doute raisonnable.</w:t>
      </w:r>
    </w:p>
    <w:p w:rsidR="00C63DBF" w:rsidRPr="00662C46" w:rsidRDefault="00C63DBF" w:rsidP="00C63DBF">
      <w:pPr>
        <w:widowControl w:val="0"/>
        <w:jc w:val="both"/>
        <w:rPr>
          <w:sz w:val="20"/>
          <w:szCs w:val="20"/>
          <w:lang w:val="fr-CA"/>
        </w:rPr>
      </w:pPr>
    </w:p>
    <w:p w:rsidR="00C63DBF" w:rsidRPr="00662C46" w:rsidRDefault="00C63DBF" w:rsidP="00C63DBF">
      <w:pPr>
        <w:widowControl w:val="0"/>
        <w:jc w:val="both"/>
        <w:rPr>
          <w:sz w:val="20"/>
          <w:szCs w:val="20"/>
          <w:lang w:val="fr-CA"/>
        </w:rPr>
      </w:pPr>
    </w:p>
    <w:p w:rsidR="00C63DBF" w:rsidRPr="00662C46" w:rsidRDefault="00C63DBF" w:rsidP="00C63DBF">
      <w:pPr>
        <w:widowControl w:val="0"/>
        <w:ind w:left="2880" w:hanging="2880"/>
        <w:jc w:val="both"/>
        <w:rPr>
          <w:sz w:val="20"/>
          <w:szCs w:val="20"/>
          <w:lang w:val="fr-CA"/>
        </w:rPr>
      </w:pPr>
      <w:r w:rsidRPr="00662C46">
        <w:rPr>
          <w:sz w:val="20"/>
          <w:szCs w:val="20"/>
          <w:lang w:val="fr-CA"/>
        </w:rPr>
        <w:t>Origine :</w:t>
      </w:r>
      <w:r w:rsidRPr="00662C46">
        <w:rPr>
          <w:sz w:val="20"/>
          <w:szCs w:val="20"/>
          <w:lang w:val="fr-CA"/>
        </w:rPr>
        <w:tab/>
        <w:t>Alberta</w:t>
      </w:r>
    </w:p>
    <w:p w:rsidR="00C63DBF" w:rsidRPr="00662C46" w:rsidRDefault="00C63DBF" w:rsidP="00C63DBF">
      <w:pPr>
        <w:widowControl w:val="0"/>
        <w:ind w:left="2880" w:hanging="2880"/>
        <w:jc w:val="both"/>
        <w:rPr>
          <w:sz w:val="20"/>
          <w:szCs w:val="20"/>
          <w:lang w:val="fr-CA"/>
        </w:rPr>
      </w:pPr>
    </w:p>
    <w:p w:rsidR="00C63DBF" w:rsidRPr="00662C46" w:rsidRDefault="00C63DBF" w:rsidP="00C63DBF">
      <w:pPr>
        <w:widowControl w:val="0"/>
        <w:ind w:left="2880" w:hanging="2880"/>
        <w:jc w:val="both"/>
        <w:rPr>
          <w:sz w:val="20"/>
          <w:szCs w:val="20"/>
          <w:lang w:val="fr-CA"/>
        </w:rPr>
      </w:pPr>
      <w:r w:rsidRPr="00662C46">
        <w:rPr>
          <w:sz w:val="20"/>
          <w:szCs w:val="20"/>
          <w:lang w:val="fr-CA"/>
        </w:rPr>
        <w:t>N</w:t>
      </w:r>
      <w:r w:rsidRPr="00662C46">
        <w:rPr>
          <w:sz w:val="20"/>
          <w:szCs w:val="20"/>
          <w:vertAlign w:val="superscript"/>
          <w:lang w:val="fr-CA"/>
        </w:rPr>
        <w:t>o</w:t>
      </w:r>
      <w:r w:rsidRPr="00662C46">
        <w:rPr>
          <w:sz w:val="20"/>
          <w:szCs w:val="20"/>
          <w:lang w:val="fr-CA"/>
        </w:rPr>
        <w:t xml:space="preserve"> du greffe :</w:t>
      </w:r>
      <w:r w:rsidRPr="00662C46">
        <w:rPr>
          <w:sz w:val="20"/>
          <w:szCs w:val="20"/>
          <w:lang w:val="fr-CA"/>
        </w:rPr>
        <w:tab/>
        <w:t>35143</w:t>
      </w:r>
    </w:p>
    <w:p w:rsidR="00C63DBF" w:rsidRPr="00662C46" w:rsidRDefault="00C63DBF" w:rsidP="00C63DBF">
      <w:pPr>
        <w:widowControl w:val="0"/>
        <w:ind w:left="2880" w:hanging="2880"/>
        <w:jc w:val="both"/>
        <w:rPr>
          <w:sz w:val="20"/>
          <w:szCs w:val="20"/>
          <w:lang w:val="fr-CA"/>
        </w:rPr>
      </w:pPr>
    </w:p>
    <w:p w:rsidR="00C63DBF" w:rsidRPr="00662C46" w:rsidRDefault="00C63DBF" w:rsidP="00C63DBF">
      <w:pPr>
        <w:widowControl w:val="0"/>
        <w:ind w:left="2880" w:hanging="2880"/>
        <w:jc w:val="both"/>
        <w:rPr>
          <w:sz w:val="20"/>
          <w:szCs w:val="20"/>
          <w:lang w:val="fr-CA"/>
        </w:rPr>
      </w:pPr>
      <w:r w:rsidRPr="00662C46">
        <w:rPr>
          <w:sz w:val="20"/>
          <w:szCs w:val="20"/>
          <w:lang w:val="fr-CA"/>
        </w:rPr>
        <w:t>Arrêt de la Cour d’appel :</w:t>
      </w:r>
      <w:r w:rsidRPr="00662C46">
        <w:rPr>
          <w:sz w:val="20"/>
          <w:szCs w:val="20"/>
          <w:lang w:val="fr-CA"/>
        </w:rPr>
        <w:tab/>
        <w:t>le 7 octobre 2011</w:t>
      </w:r>
    </w:p>
    <w:p w:rsidR="00C63DBF" w:rsidRPr="00662C46" w:rsidRDefault="00C63DBF" w:rsidP="00C63DBF">
      <w:pPr>
        <w:widowControl w:val="0"/>
        <w:ind w:left="2880" w:hanging="2880"/>
        <w:jc w:val="both"/>
        <w:rPr>
          <w:sz w:val="20"/>
          <w:szCs w:val="20"/>
          <w:lang w:val="fr-CA"/>
        </w:rPr>
      </w:pPr>
    </w:p>
    <w:p w:rsidR="00C63DBF" w:rsidRPr="00662C46" w:rsidRDefault="00C63DBF" w:rsidP="00C63DBF">
      <w:pPr>
        <w:widowControl w:val="0"/>
        <w:ind w:left="2880" w:hanging="2880"/>
        <w:jc w:val="both"/>
        <w:rPr>
          <w:sz w:val="20"/>
          <w:szCs w:val="20"/>
          <w:lang w:val="fr-CA"/>
        </w:rPr>
      </w:pPr>
      <w:r w:rsidRPr="00662C46">
        <w:rPr>
          <w:sz w:val="20"/>
          <w:szCs w:val="20"/>
          <w:lang w:val="fr-CA"/>
        </w:rPr>
        <w:t>Avocats :</w:t>
      </w:r>
      <w:r w:rsidRPr="00662C46">
        <w:rPr>
          <w:sz w:val="20"/>
          <w:szCs w:val="20"/>
          <w:lang w:val="fr-CA"/>
        </w:rPr>
        <w:tab/>
        <w:t xml:space="preserve">Peter J. Royal, </w:t>
      </w:r>
      <w:proofErr w:type="spellStart"/>
      <w:r w:rsidRPr="00662C46">
        <w:rPr>
          <w:sz w:val="20"/>
          <w:szCs w:val="20"/>
          <w:lang w:val="fr-CA"/>
        </w:rPr>
        <w:t>c.r</w:t>
      </w:r>
      <w:proofErr w:type="spellEnd"/>
      <w:r w:rsidRPr="00662C46">
        <w:rPr>
          <w:sz w:val="20"/>
          <w:szCs w:val="20"/>
          <w:lang w:val="fr-CA"/>
        </w:rPr>
        <w:t>. pour l’appelant</w:t>
      </w:r>
    </w:p>
    <w:p w:rsidR="00C63DBF" w:rsidRPr="00662C46" w:rsidRDefault="00C63DBF" w:rsidP="00C63DBF">
      <w:pPr>
        <w:widowControl w:val="0"/>
        <w:ind w:left="2880" w:hanging="2880"/>
        <w:jc w:val="both"/>
        <w:rPr>
          <w:sz w:val="20"/>
          <w:szCs w:val="20"/>
          <w:lang w:val="fr-CA"/>
        </w:rPr>
      </w:pPr>
      <w:r w:rsidRPr="00662C46">
        <w:rPr>
          <w:sz w:val="20"/>
          <w:szCs w:val="20"/>
          <w:lang w:val="fr-CA"/>
        </w:rPr>
        <w:tab/>
      </w:r>
      <w:r w:rsidRPr="000041EA">
        <w:rPr>
          <w:sz w:val="20"/>
          <w:szCs w:val="20"/>
          <w:lang w:val="fr-CA"/>
        </w:rPr>
        <w:t xml:space="preserve">Maureen J. </w:t>
      </w:r>
      <w:proofErr w:type="spellStart"/>
      <w:r w:rsidRPr="000041EA">
        <w:rPr>
          <w:sz w:val="20"/>
          <w:szCs w:val="20"/>
          <w:lang w:val="fr-CA"/>
        </w:rPr>
        <w:t>McGuire</w:t>
      </w:r>
      <w:proofErr w:type="spellEnd"/>
      <w:r w:rsidRPr="00662C46">
        <w:rPr>
          <w:sz w:val="20"/>
          <w:szCs w:val="20"/>
          <w:lang w:val="fr-CA"/>
        </w:rPr>
        <w:t xml:space="preserve"> pour l’intimée</w:t>
      </w:r>
    </w:p>
    <w:p w:rsidR="004634AB" w:rsidRPr="000041EA" w:rsidRDefault="004634AB" w:rsidP="004634AB">
      <w:pPr>
        <w:tabs>
          <w:tab w:val="left" w:pos="-1440"/>
          <w:tab w:val="left" w:pos="-720"/>
        </w:tabs>
        <w:jc w:val="both"/>
        <w:rPr>
          <w:sz w:val="20"/>
          <w:szCs w:val="20"/>
          <w:lang w:val="fr-CA"/>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7"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9D36E6" w:rsidRPr="00FD0724" w:rsidRDefault="0017005E" w:rsidP="009D36E6">
      <w:pPr>
        <w:widowControl w:val="0"/>
        <w:ind w:left="720" w:hanging="720"/>
        <w:jc w:val="both"/>
        <w:rPr>
          <w:sz w:val="20"/>
          <w:szCs w:val="20"/>
        </w:rPr>
      </w:pPr>
      <w:r w:rsidRPr="00FD0724">
        <w:rPr>
          <w:b/>
          <w:sz w:val="20"/>
          <w:szCs w:val="20"/>
        </w:rPr>
        <w:lastRenderedPageBreak/>
        <w:fldChar w:fldCharType="begin"/>
      </w:r>
      <w:r w:rsidR="009D36E6" w:rsidRPr="00FD0724">
        <w:rPr>
          <w:b/>
          <w:sz w:val="20"/>
          <w:szCs w:val="20"/>
        </w:rPr>
        <w:instrText xml:space="preserve"> SEQ CHAPTER \h \r 1</w:instrText>
      </w:r>
      <w:r w:rsidRPr="00FD0724">
        <w:rPr>
          <w:b/>
          <w:sz w:val="20"/>
          <w:szCs w:val="20"/>
        </w:rPr>
        <w:fldChar w:fldCharType="end"/>
      </w:r>
      <w:r w:rsidR="009D36E6" w:rsidRPr="00FD0724">
        <w:rPr>
          <w:b/>
          <w:sz w:val="20"/>
          <w:szCs w:val="20"/>
        </w:rPr>
        <w:t>34816</w:t>
      </w:r>
      <w:r w:rsidR="009D36E6" w:rsidRPr="00FD0724">
        <w:rPr>
          <w:sz w:val="20"/>
          <w:szCs w:val="20"/>
        </w:rPr>
        <w:tab/>
      </w:r>
      <w:proofErr w:type="spellStart"/>
      <w:r w:rsidR="009D36E6" w:rsidRPr="00FD0724">
        <w:rPr>
          <w:b/>
          <w:i/>
          <w:sz w:val="20"/>
          <w:szCs w:val="20"/>
        </w:rPr>
        <w:t>Castonguay</w:t>
      </w:r>
      <w:proofErr w:type="spellEnd"/>
      <w:r w:rsidR="009D36E6" w:rsidRPr="00FD0724">
        <w:rPr>
          <w:b/>
          <w:i/>
          <w:sz w:val="20"/>
          <w:szCs w:val="20"/>
        </w:rPr>
        <w:t xml:space="preserve"> Blasting v. Her Majesty the Queen in Right of the Province of Ontario as Represented by the Minister of the Environment </w:t>
      </w:r>
    </w:p>
    <w:p w:rsidR="009D36E6" w:rsidRPr="00FD0724" w:rsidRDefault="009D36E6" w:rsidP="009D36E6">
      <w:pPr>
        <w:widowControl w:val="0"/>
        <w:jc w:val="both"/>
        <w:rPr>
          <w:sz w:val="20"/>
          <w:szCs w:val="20"/>
        </w:rPr>
      </w:pPr>
    </w:p>
    <w:p w:rsidR="009D36E6" w:rsidRPr="00FD0724" w:rsidRDefault="009D36E6" w:rsidP="009D36E6">
      <w:pPr>
        <w:widowControl w:val="0"/>
        <w:jc w:val="both"/>
        <w:rPr>
          <w:sz w:val="20"/>
          <w:szCs w:val="20"/>
        </w:rPr>
      </w:pPr>
      <w:r w:rsidRPr="00FD0724">
        <w:rPr>
          <w:sz w:val="20"/>
          <w:szCs w:val="20"/>
        </w:rPr>
        <w:t xml:space="preserve">Environmental law </w:t>
      </w:r>
      <w:r w:rsidRPr="00FD0724">
        <w:rPr>
          <w:sz w:val="20"/>
          <w:szCs w:val="20"/>
        </w:rPr>
        <w:noBreakHyphen/>
        <w:t xml:space="preserve"> Offences </w:t>
      </w:r>
      <w:r w:rsidRPr="00FD0724">
        <w:rPr>
          <w:sz w:val="20"/>
          <w:szCs w:val="20"/>
        </w:rPr>
        <w:noBreakHyphen/>
        <w:t xml:space="preserve"> Discharge of a contaminant causing adverse effect to natural environment </w:t>
      </w:r>
      <w:r w:rsidRPr="00FD0724">
        <w:rPr>
          <w:sz w:val="20"/>
          <w:szCs w:val="20"/>
        </w:rPr>
        <w:noBreakHyphen/>
        <w:t xml:space="preserve"> Duty to notify Minister of the Environment </w:t>
      </w:r>
      <w:r w:rsidRPr="00FD0724">
        <w:rPr>
          <w:sz w:val="20"/>
          <w:szCs w:val="20"/>
        </w:rPr>
        <w:noBreakHyphen/>
        <w:t xml:space="preserve"> In order for s. 15(1) of the </w:t>
      </w:r>
      <w:r w:rsidRPr="00FD0724">
        <w:rPr>
          <w:i/>
          <w:sz w:val="20"/>
          <w:szCs w:val="20"/>
        </w:rPr>
        <w:t>Environmental Protection Act</w:t>
      </w:r>
      <w:r w:rsidRPr="00FD0724">
        <w:rPr>
          <w:sz w:val="20"/>
          <w:szCs w:val="20"/>
        </w:rPr>
        <w:t>, R.S.O. 1990, c. E</w:t>
      </w:r>
      <w:r w:rsidRPr="00FD0724">
        <w:rPr>
          <w:sz w:val="20"/>
          <w:szCs w:val="20"/>
        </w:rPr>
        <w:noBreakHyphen/>
        <w:t>19, to be engaged, is it necessary that the adverse effect include significant or non</w:t>
      </w:r>
      <w:r w:rsidRPr="00FD0724">
        <w:rPr>
          <w:sz w:val="20"/>
          <w:szCs w:val="20"/>
        </w:rPr>
        <w:noBreakHyphen/>
      </w:r>
      <w:proofErr w:type="spellStart"/>
      <w:r w:rsidRPr="00FD0724">
        <w:rPr>
          <w:sz w:val="20"/>
          <w:szCs w:val="20"/>
        </w:rPr>
        <w:t>trivial</w:t>
      </w:r>
      <w:proofErr w:type="spellEnd"/>
      <w:r w:rsidRPr="00FD0724">
        <w:rPr>
          <w:sz w:val="20"/>
          <w:szCs w:val="20"/>
        </w:rPr>
        <w:t xml:space="preserve"> harm (or its likelihood) to the natural environment, in addition to non</w:t>
      </w:r>
      <w:r w:rsidRPr="00FD0724">
        <w:rPr>
          <w:sz w:val="20"/>
          <w:szCs w:val="20"/>
        </w:rPr>
        <w:noBreakHyphen/>
      </w:r>
      <w:proofErr w:type="spellStart"/>
      <w:r w:rsidRPr="00FD0724">
        <w:rPr>
          <w:sz w:val="20"/>
          <w:szCs w:val="20"/>
        </w:rPr>
        <w:t>trivial</w:t>
      </w:r>
      <w:proofErr w:type="spellEnd"/>
      <w:r w:rsidRPr="00FD0724">
        <w:rPr>
          <w:sz w:val="20"/>
          <w:szCs w:val="20"/>
        </w:rPr>
        <w:t xml:space="preserve"> harm (or its likelihood) to an actual or likely use of the natural environment?</w:t>
      </w:r>
    </w:p>
    <w:p w:rsidR="009D36E6" w:rsidRPr="00FD0724" w:rsidRDefault="009D36E6" w:rsidP="009D36E6">
      <w:pPr>
        <w:widowControl w:val="0"/>
        <w:jc w:val="both"/>
        <w:rPr>
          <w:sz w:val="20"/>
          <w:szCs w:val="20"/>
        </w:rPr>
      </w:pPr>
    </w:p>
    <w:p w:rsidR="009D36E6" w:rsidRPr="00FD0724" w:rsidRDefault="009D36E6" w:rsidP="009D36E6">
      <w:pPr>
        <w:widowControl w:val="0"/>
        <w:jc w:val="both"/>
        <w:rPr>
          <w:sz w:val="20"/>
          <w:szCs w:val="20"/>
        </w:rPr>
      </w:pPr>
      <w:r w:rsidRPr="00FD0724">
        <w:rPr>
          <w:sz w:val="20"/>
          <w:szCs w:val="20"/>
        </w:rPr>
        <w:t xml:space="preserve">The appellant, </w:t>
      </w:r>
      <w:proofErr w:type="spellStart"/>
      <w:r w:rsidRPr="00FD0724">
        <w:rPr>
          <w:sz w:val="20"/>
          <w:szCs w:val="20"/>
        </w:rPr>
        <w:t>Castonguay</w:t>
      </w:r>
      <w:proofErr w:type="spellEnd"/>
      <w:r w:rsidRPr="00FD0724">
        <w:rPr>
          <w:sz w:val="20"/>
          <w:szCs w:val="20"/>
        </w:rPr>
        <w:t xml:space="preserve"> Blasting Ltd., was working as a subcontractor for a construction project commissioned by the Ministry of Transportation of Ontario for the widening of a provincial highway, when one of its blasting operations went awry and rock fragments known as “fly</w:t>
      </w:r>
      <w:r w:rsidRPr="00FD0724">
        <w:rPr>
          <w:sz w:val="20"/>
          <w:szCs w:val="20"/>
        </w:rPr>
        <w:noBreakHyphen/>
      </w:r>
      <w:proofErr w:type="spellStart"/>
      <w:r w:rsidRPr="00FD0724">
        <w:rPr>
          <w:sz w:val="20"/>
          <w:szCs w:val="20"/>
        </w:rPr>
        <w:t>rock</w:t>
      </w:r>
      <w:proofErr w:type="spellEnd"/>
      <w:r w:rsidRPr="00FD0724">
        <w:rPr>
          <w:sz w:val="20"/>
          <w:szCs w:val="20"/>
        </w:rPr>
        <w:t>” were released into the air by an explosion.  The fly</w:t>
      </w:r>
      <w:r w:rsidRPr="00FD0724">
        <w:rPr>
          <w:sz w:val="20"/>
          <w:szCs w:val="20"/>
        </w:rPr>
        <w:noBreakHyphen/>
      </w:r>
      <w:proofErr w:type="spellStart"/>
      <w:r w:rsidRPr="00FD0724">
        <w:rPr>
          <w:sz w:val="20"/>
          <w:szCs w:val="20"/>
        </w:rPr>
        <w:t>rock</w:t>
      </w:r>
      <w:proofErr w:type="spellEnd"/>
      <w:r w:rsidRPr="00FD0724">
        <w:rPr>
          <w:sz w:val="20"/>
          <w:szCs w:val="20"/>
        </w:rPr>
        <w:t xml:space="preserve"> landed on and damaged a vehicle and a house on nearby private property, but no one was injured.  The incident was reported to the Ministry of Labour and to the Ministry of Transportation, but not to the Ministry of the Environment, which only learned of it several months later.  </w:t>
      </w:r>
      <w:proofErr w:type="spellStart"/>
      <w:r w:rsidRPr="00FD0724">
        <w:rPr>
          <w:sz w:val="20"/>
          <w:szCs w:val="20"/>
        </w:rPr>
        <w:t>Castonguay</w:t>
      </w:r>
      <w:proofErr w:type="spellEnd"/>
      <w:r w:rsidRPr="00FD0724">
        <w:rPr>
          <w:sz w:val="20"/>
          <w:szCs w:val="20"/>
        </w:rPr>
        <w:t xml:space="preserve"> Blasting was thus charged with failing to report the discharge of a contaminant into the natural environment contrary to s. 15(1) of the </w:t>
      </w:r>
      <w:r w:rsidRPr="00FD0724">
        <w:rPr>
          <w:i/>
          <w:sz w:val="20"/>
          <w:szCs w:val="20"/>
        </w:rPr>
        <w:t xml:space="preserve">Environmental Protection Act.  </w:t>
      </w:r>
      <w:r w:rsidRPr="00FD0724">
        <w:rPr>
          <w:sz w:val="20"/>
          <w:szCs w:val="20"/>
        </w:rPr>
        <w:t xml:space="preserve">The trial judge dismissed the charges on the basis that there was no justification for concluding that ss. 14 and 15 of the </w:t>
      </w:r>
      <w:r w:rsidRPr="00FD0724">
        <w:rPr>
          <w:i/>
          <w:sz w:val="20"/>
          <w:szCs w:val="20"/>
        </w:rPr>
        <w:t>Environmental Protection Act</w:t>
      </w:r>
      <w:r w:rsidRPr="00FD0724">
        <w:rPr>
          <w:sz w:val="20"/>
          <w:szCs w:val="20"/>
        </w:rPr>
        <w:t xml:space="preserve"> should apply in the circumstances and that the equities of the case lent no support to the justification for the prosecution.  The Superior Court allowed the appeal and entered a conviction.  The majority of the Court of Appeal dismissed the appeal. </w:t>
      </w:r>
    </w:p>
    <w:p w:rsidR="009D36E6" w:rsidRPr="00FD0724" w:rsidRDefault="009D36E6" w:rsidP="009D36E6">
      <w:pPr>
        <w:widowControl w:val="0"/>
        <w:jc w:val="both"/>
        <w:rPr>
          <w:sz w:val="20"/>
          <w:szCs w:val="20"/>
        </w:rPr>
      </w:pPr>
    </w:p>
    <w:p w:rsidR="009D36E6" w:rsidRPr="00FD0724" w:rsidRDefault="009D36E6" w:rsidP="009D36E6">
      <w:pPr>
        <w:widowControl w:val="0"/>
        <w:jc w:val="both"/>
        <w:rPr>
          <w:sz w:val="20"/>
          <w:szCs w:val="20"/>
        </w:rPr>
      </w:pPr>
    </w:p>
    <w:p w:rsidR="009D36E6" w:rsidRPr="00FD0724" w:rsidRDefault="009D36E6" w:rsidP="009D36E6">
      <w:pPr>
        <w:widowControl w:val="0"/>
        <w:ind w:left="2880" w:hanging="2880"/>
        <w:jc w:val="both"/>
        <w:rPr>
          <w:sz w:val="20"/>
          <w:szCs w:val="20"/>
        </w:rPr>
      </w:pPr>
      <w:r w:rsidRPr="00FD0724">
        <w:rPr>
          <w:sz w:val="20"/>
          <w:szCs w:val="20"/>
        </w:rPr>
        <w:t>Origin of the case:</w:t>
      </w:r>
      <w:r w:rsidRPr="00FD0724">
        <w:rPr>
          <w:sz w:val="20"/>
          <w:szCs w:val="20"/>
        </w:rPr>
        <w:tab/>
        <w:t>Ontario</w:t>
      </w:r>
    </w:p>
    <w:p w:rsidR="009D36E6" w:rsidRPr="00FD0724" w:rsidRDefault="009D36E6" w:rsidP="009D36E6">
      <w:pPr>
        <w:widowControl w:val="0"/>
        <w:ind w:left="2880" w:hanging="2880"/>
        <w:jc w:val="both"/>
        <w:rPr>
          <w:sz w:val="20"/>
          <w:szCs w:val="20"/>
        </w:rPr>
      </w:pPr>
    </w:p>
    <w:p w:rsidR="009D36E6" w:rsidRPr="00FD0724" w:rsidRDefault="009D36E6" w:rsidP="009D36E6">
      <w:pPr>
        <w:widowControl w:val="0"/>
        <w:ind w:left="2880" w:hanging="2880"/>
        <w:jc w:val="both"/>
        <w:rPr>
          <w:sz w:val="20"/>
          <w:szCs w:val="20"/>
        </w:rPr>
      </w:pPr>
      <w:r w:rsidRPr="00FD0724">
        <w:rPr>
          <w:sz w:val="20"/>
          <w:szCs w:val="20"/>
        </w:rPr>
        <w:t>File No.:</w:t>
      </w:r>
      <w:r w:rsidRPr="00FD0724">
        <w:rPr>
          <w:sz w:val="20"/>
          <w:szCs w:val="20"/>
        </w:rPr>
        <w:tab/>
        <w:t>34816</w:t>
      </w:r>
    </w:p>
    <w:p w:rsidR="009D36E6" w:rsidRPr="00FD0724" w:rsidRDefault="009D36E6" w:rsidP="009D36E6">
      <w:pPr>
        <w:widowControl w:val="0"/>
        <w:ind w:left="2880" w:hanging="2880"/>
        <w:jc w:val="both"/>
        <w:rPr>
          <w:sz w:val="20"/>
          <w:szCs w:val="20"/>
        </w:rPr>
      </w:pPr>
    </w:p>
    <w:p w:rsidR="009D36E6" w:rsidRPr="00FD0724" w:rsidRDefault="009D36E6" w:rsidP="009D36E6">
      <w:pPr>
        <w:widowControl w:val="0"/>
        <w:ind w:left="2880" w:hanging="2880"/>
        <w:jc w:val="both"/>
        <w:rPr>
          <w:sz w:val="20"/>
          <w:szCs w:val="20"/>
        </w:rPr>
      </w:pPr>
      <w:r w:rsidRPr="00FD0724">
        <w:rPr>
          <w:sz w:val="20"/>
          <w:szCs w:val="20"/>
        </w:rPr>
        <w:t>Judgment of the Court of Appeal:</w:t>
      </w:r>
      <w:r w:rsidRPr="00FD0724">
        <w:rPr>
          <w:sz w:val="20"/>
          <w:szCs w:val="20"/>
        </w:rPr>
        <w:tab/>
        <w:t>March 16, 2012</w:t>
      </w:r>
    </w:p>
    <w:p w:rsidR="009D36E6" w:rsidRPr="00FD0724" w:rsidRDefault="009D36E6" w:rsidP="009D36E6">
      <w:pPr>
        <w:widowControl w:val="0"/>
        <w:ind w:left="2880" w:hanging="2880"/>
        <w:jc w:val="both"/>
        <w:rPr>
          <w:sz w:val="20"/>
          <w:szCs w:val="20"/>
        </w:rPr>
      </w:pPr>
    </w:p>
    <w:p w:rsidR="009D36E6" w:rsidRPr="00FD0724" w:rsidRDefault="009D36E6" w:rsidP="009D36E6">
      <w:pPr>
        <w:widowControl w:val="0"/>
        <w:ind w:left="2880" w:hanging="2880"/>
        <w:jc w:val="both"/>
        <w:rPr>
          <w:sz w:val="20"/>
          <w:szCs w:val="20"/>
        </w:rPr>
      </w:pPr>
      <w:r w:rsidRPr="00FD0724">
        <w:rPr>
          <w:sz w:val="20"/>
          <w:szCs w:val="20"/>
        </w:rPr>
        <w:t>Counsel:</w:t>
      </w:r>
      <w:r w:rsidRPr="00FD0724">
        <w:rPr>
          <w:sz w:val="20"/>
          <w:szCs w:val="20"/>
        </w:rPr>
        <w:tab/>
        <w:t xml:space="preserve">J. Bruce </w:t>
      </w:r>
      <w:proofErr w:type="spellStart"/>
      <w:r w:rsidRPr="00FD0724">
        <w:rPr>
          <w:sz w:val="20"/>
          <w:szCs w:val="20"/>
        </w:rPr>
        <w:t>McMeekin</w:t>
      </w:r>
      <w:proofErr w:type="spellEnd"/>
      <w:r w:rsidRPr="00FD0724">
        <w:rPr>
          <w:sz w:val="20"/>
          <w:szCs w:val="20"/>
        </w:rPr>
        <w:t xml:space="preserve"> for the appellant</w:t>
      </w:r>
    </w:p>
    <w:p w:rsidR="009D36E6" w:rsidRPr="00FD0724" w:rsidRDefault="009D36E6" w:rsidP="009D36E6">
      <w:pPr>
        <w:widowControl w:val="0"/>
        <w:ind w:left="2880" w:hanging="2880"/>
        <w:jc w:val="both"/>
        <w:rPr>
          <w:sz w:val="20"/>
          <w:szCs w:val="20"/>
        </w:rPr>
      </w:pPr>
      <w:r w:rsidRPr="00FD0724">
        <w:rPr>
          <w:sz w:val="20"/>
          <w:szCs w:val="20"/>
        </w:rPr>
        <w:tab/>
        <w:t xml:space="preserve">Sara Blake, Paul McCulloch and Danielle </w:t>
      </w:r>
      <w:proofErr w:type="spellStart"/>
      <w:r w:rsidRPr="00FD0724">
        <w:rPr>
          <w:sz w:val="20"/>
          <w:szCs w:val="20"/>
        </w:rPr>
        <w:t>Meuleman</w:t>
      </w:r>
      <w:proofErr w:type="spellEnd"/>
      <w:r w:rsidRPr="00FD0724">
        <w:rPr>
          <w:sz w:val="20"/>
          <w:szCs w:val="20"/>
        </w:rPr>
        <w:t xml:space="preserve"> for the respondent</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8"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D0750D" w:rsidRPr="008139CF" w:rsidRDefault="0017005E" w:rsidP="00D0750D">
      <w:pPr>
        <w:widowControl w:val="0"/>
        <w:ind w:left="720" w:hanging="720"/>
        <w:jc w:val="both"/>
        <w:rPr>
          <w:sz w:val="20"/>
          <w:szCs w:val="20"/>
          <w:lang w:val="fr-CA"/>
        </w:rPr>
      </w:pPr>
      <w:r w:rsidRPr="008139CF">
        <w:rPr>
          <w:b/>
          <w:sz w:val="20"/>
          <w:szCs w:val="20"/>
          <w:lang w:val="fr-CA"/>
        </w:rPr>
        <w:lastRenderedPageBreak/>
        <w:fldChar w:fldCharType="begin"/>
      </w:r>
      <w:r w:rsidR="00D0750D" w:rsidRPr="008139CF">
        <w:rPr>
          <w:b/>
          <w:sz w:val="20"/>
          <w:szCs w:val="20"/>
          <w:lang w:val="fr-CA"/>
        </w:rPr>
        <w:instrText xml:space="preserve"> SEQ CHAPTER \h \r 1</w:instrText>
      </w:r>
      <w:r w:rsidRPr="008139CF">
        <w:rPr>
          <w:b/>
          <w:sz w:val="20"/>
          <w:szCs w:val="20"/>
          <w:lang w:val="fr-CA"/>
        </w:rPr>
        <w:fldChar w:fldCharType="end"/>
      </w:r>
      <w:r w:rsidR="00D0750D" w:rsidRPr="008139CF">
        <w:rPr>
          <w:b/>
          <w:sz w:val="20"/>
          <w:szCs w:val="20"/>
          <w:lang w:val="fr-CA"/>
        </w:rPr>
        <w:t>34816</w:t>
      </w:r>
      <w:r w:rsidR="00D0750D" w:rsidRPr="008139CF">
        <w:rPr>
          <w:sz w:val="20"/>
          <w:szCs w:val="20"/>
          <w:lang w:val="fr-CA"/>
        </w:rPr>
        <w:tab/>
      </w:r>
      <w:proofErr w:type="spellStart"/>
      <w:r w:rsidR="00D0750D" w:rsidRPr="008139CF">
        <w:rPr>
          <w:b/>
          <w:i/>
          <w:sz w:val="20"/>
          <w:szCs w:val="20"/>
          <w:lang w:val="fr-CA"/>
        </w:rPr>
        <w:t>Castonguay</w:t>
      </w:r>
      <w:proofErr w:type="spellEnd"/>
      <w:r w:rsidR="00D0750D" w:rsidRPr="008139CF">
        <w:rPr>
          <w:b/>
          <w:i/>
          <w:sz w:val="20"/>
          <w:szCs w:val="20"/>
          <w:lang w:val="fr-CA"/>
        </w:rPr>
        <w:t xml:space="preserve"> </w:t>
      </w:r>
      <w:proofErr w:type="spellStart"/>
      <w:r w:rsidR="00D0750D" w:rsidRPr="008139CF">
        <w:rPr>
          <w:b/>
          <w:i/>
          <w:sz w:val="20"/>
          <w:szCs w:val="20"/>
          <w:lang w:val="fr-CA"/>
        </w:rPr>
        <w:t>Blasting</w:t>
      </w:r>
      <w:proofErr w:type="spellEnd"/>
      <w:r w:rsidR="00D0750D" w:rsidRPr="008139CF">
        <w:rPr>
          <w:b/>
          <w:i/>
          <w:sz w:val="20"/>
          <w:szCs w:val="20"/>
          <w:lang w:val="fr-CA"/>
        </w:rPr>
        <w:t xml:space="preserve"> Ltd. c. Sa Majesté la Reine du chef de la province de l’Ontario, représentée par le ministre de l’Environnement</w:t>
      </w:r>
    </w:p>
    <w:p w:rsidR="00D0750D" w:rsidRPr="008139CF" w:rsidRDefault="00D0750D" w:rsidP="00D0750D">
      <w:pPr>
        <w:widowControl w:val="0"/>
        <w:jc w:val="both"/>
        <w:rPr>
          <w:sz w:val="20"/>
          <w:szCs w:val="20"/>
          <w:lang w:val="fr-CA"/>
        </w:rPr>
      </w:pPr>
    </w:p>
    <w:p w:rsidR="00D0750D" w:rsidRPr="008139CF" w:rsidRDefault="00D0750D" w:rsidP="00D0750D">
      <w:pPr>
        <w:widowControl w:val="0"/>
        <w:jc w:val="both"/>
        <w:rPr>
          <w:sz w:val="20"/>
          <w:szCs w:val="20"/>
          <w:lang w:val="fr-CA"/>
        </w:rPr>
      </w:pPr>
      <w:r w:rsidRPr="008139CF">
        <w:rPr>
          <w:sz w:val="20"/>
          <w:szCs w:val="20"/>
          <w:lang w:val="fr-CA"/>
        </w:rPr>
        <w:t xml:space="preserve">Droit de l’environnement </w:t>
      </w:r>
      <w:r w:rsidRPr="008139CF">
        <w:rPr>
          <w:sz w:val="20"/>
          <w:szCs w:val="20"/>
          <w:lang w:val="fr-CA"/>
        </w:rPr>
        <w:noBreakHyphen/>
        <w:t xml:space="preserve"> Infractions </w:t>
      </w:r>
      <w:r w:rsidRPr="008139CF">
        <w:rPr>
          <w:sz w:val="20"/>
          <w:szCs w:val="20"/>
          <w:lang w:val="fr-CA"/>
        </w:rPr>
        <w:noBreakHyphen/>
        <w:t xml:space="preserve"> Rejet d’un contaminant entraînant des conséquences préjudiciables à l’environnement naturel </w:t>
      </w:r>
      <w:r w:rsidRPr="008139CF">
        <w:rPr>
          <w:sz w:val="20"/>
          <w:szCs w:val="20"/>
          <w:lang w:val="fr-CA"/>
        </w:rPr>
        <w:noBreakHyphen/>
        <w:t xml:space="preserve"> Obligation d’aviser le ministre de l’Environnement </w:t>
      </w:r>
      <w:r w:rsidRPr="008139CF">
        <w:rPr>
          <w:sz w:val="20"/>
          <w:szCs w:val="20"/>
          <w:lang w:val="fr-CA"/>
        </w:rPr>
        <w:noBreakHyphen/>
        <w:t xml:space="preserve"> Pour qu’entre en jeu le par. 15(1) de la </w:t>
      </w:r>
      <w:r w:rsidRPr="008139CF">
        <w:rPr>
          <w:i/>
          <w:sz w:val="20"/>
          <w:szCs w:val="20"/>
          <w:lang w:val="fr-CA"/>
        </w:rPr>
        <w:t>Loi sur la protection de l’environnement</w:t>
      </w:r>
      <w:r w:rsidRPr="008139CF">
        <w:rPr>
          <w:sz w:val="20"/>
          <w:szCs w:val="20"/>
          <w:lang w:val="fr-CA"/>
        </w:rPr>
        <w:t>, L.R.O. 1990, ch. E</w:t>
      </w:r>
      <w:r w:rsidRPr="008139CF">
        <w:rPr>
          <w:sz w:val="20"/>
          <w:szCs w:val="20"/>
          <w:lang w:val="fr-CA"/>
        </w:rPr>
        <w:noBreakHyphen/>
        <w:t xml:space="preserve">19, </w:t>
      </w:r>
      <w:proofErr w:type="spellStart"/>
      <w:r w:rsidRPr="008139CF">
        <w:rPr>
          <w:sz w:val="20"/>
          <w:szCs w:val="20"/>
          <w:lang w:val="fr-CA"/>
        </w:rPr>
        <w:t>faut</w:t>
      </w:r>
      <w:r w:rsidRPr="008139CF">
        <w:rPr>
          <w:sz w:val="20"/>
          <w:szCs w:val="20"/>
          <w:lang w:val="fr-CA"/>
        </w:rPr>
        <w:noBreakHyphen/>
        <w:t>il</w:t>
      </w:r>
      <w:proofErr w:type="spellEnd"/>
      <w:r w:rsidRPr="008139CF">
        <w:rPr>
          <w:sz w:val="20"/>
          <w:szCs w:val="20"/>
          <w:lang w:val="fr-CA"/>
        </w:rPr>
        <w:t xml:space="preserve"> que les conséquences préjudiciables comprennent une atteinte importante ou non négligeable (ou la probabilité d’une telle atteinte) à l’environnement naturel, en plus d’une atteinte non négligeable (ou la probabilité d’une telle atteinte) à un usage réel ou vraisemblable de l’environnement naturel?</w:t>
      </w:r>
    </w:p>
    <w:p w:rsidR="00D0750D" w:rsidRPr="008139CF" w:rsidRDefault="00D0750D" w:rsidP="00D0750D">
      <w:pPr>
        <w:widowControl w:val="0"/>
        <w:jc w:val="both"/>
        <w:rPr>
          <w:sz w:val="20"/>
          <w:szCs w:val="20"/>
          <w:lang w:val="fr-CA"/>
        </w:rPr>
      </w:pPr>
    </w:p>
    <w:p w:rsidR="00D0750D" w:rsidRPr="008139CF" w:rsidRDefault="00D0750D" w:rsidP="00D0750D">
      <w:pPr>
        <w:widowControl w:val="0"/>
        <w:jc w:val="both"/>
        <w:rPr>
          <w:sz w:val="20"/>
          <w:szCs w:val="20"/>
          <w:lang w:val="fr-CA"/>
        </w:rPr>
      </w:pPr>
      <w:r w:rsidRPr="008139CF">
        <w:rPr>
          <w:sz w:val="20"/>
          <w:szCs w:val="20"/>
          <w:lang w:val="fr-CA"/>
        </w:rPr>
        <w:t xml:space="preserve">L’appelante, </w:t>
      </w:r>
      <w:proofErr w:type="spellStart"/>
      <w:r w:rsidRPr="008139CF">
        <w:rPr>
          <w:sz w:val="20"/>
          <w:szCs w:val="20"/>
          <w:lang w:val="fr-CA"/>
        </w:rPr>
        <w:t>Castonguay</w:t>
      </w:r>
      <w:proofErr w:type="spellEnd"/>
      <w:r w:rsidRPr="008139CF">
        <w:rPr>
          <w:sz w:val="20"/>
          <w:szCs w:val="20"/>
          <w:lang w:val="fr-CA"/>
        </w:rPr>
        <w:t xml:space="preserve"> </w:t>
      </w:r>
      <w:proofErr w:type="spellStart"/>
      <w:r w:rsidRPr="008139CF">
        <w:rPr>
          <w:sz w:val="20"/>
          <w:szCs w:val="20"/>
          <w:lang w:val="fr-CA"/>
        </w:rPr>
        <w:t>Blasting</w:t>
      </w:r>
      <w:proofErr w:type="spellEnd"/>
      <w:r w:rsidRPr="008139CF">
        <w:rPr>
          <w:sz w:val="20"/>
          <w:szCs w:val="20"/>
          <w:lang w:val="fr-CA"/>
        </w:rPr>
        <w:t xml:space="preserve"> Ltd., travaillait comme </w:t>
      </w:r>
      <w:proofErr w:type="spellStart"/>
      <w:r w:rsidRPr="008139CF">
        <w:rPr>
          <w:sz w:val="20"/>
          <w:szCs w:val="20"/>
          <w:lang w:val="fr-CA"/>
        </w:rPr>
        <w:t>sous</w:t>
      </w:r>
      <w:r w:rsidRPr="008139CF">
        <w:rPr>
          <w:sz w:val="20"/>
          <w:szCs w:val="20"/>
          <w:lang w:val="fr-CA"/>
        </w:rPr>
        <w:noBreakHyphen/>
        <w:t>traitant</w:t>
      </w:r>
      <w:proofErr w:type="spellEnd"/>
      <w:r w:rsidRPr="008139CF">
        <w:rPr>
          <w:sz w:val="20"/>
          <w:szCs w:val="20"/>
          <w:lang w:val="fr-CA"/>
        </w:rPr>
        <w:t xml:space="preserve"> dans le cadre de travaux de construction commandés par le ministère des Transports de l’Ontario en vue de l’élargissement d’une route provinciale.  Une de ses opérations de dynamitage a mal tourné lorsque des éclats de roc ont été projetés dans les airs à la suite d’une explosion.  Les éclats de roc sont retombés sur un véhicule et sur une maison situés sur une propriété privée avoisinante et les ont endommagés mais personne n’a été blessé.  L’incident a été signalé au ministère du Travail et au ministère des Transports mais pas au ministère de l’Environnement, qui n’a été mis au courant de la situation que plusieurs mois plus tard.  </w:t>
      </w:r>
      <w:proofErr w:type="spellStart"/>
      <w:r w:rsidRPr="008139CF">
        <w:rPr>
          <w:sz w:val="20"/>
          <w:szCs w:val="20"/>
          <w:lang w:val="fr-CA"/>
        </w:rPr>
        <w:t>Castonguay</w:t>
      </w:r>
      <w:proofErr w:type="spellEnd"/>
      <w:r w:rsidRPr="008139CF">
        <w:rPr>
          <w:sz w:val="20"/>
          <w:szCs w:val="20"/>
          <w:lang w:val="fr-CA"/>
        </w:rPr>
        <w:t xml:space="preserve"> </w:t>
      </w:r>
      <w:proofErr w:type="spellStart"/>
      <w:r w:rsidRPr="008139CF">
        <w:rPr>
          <w:sz w:val="20"/>
          <w:szCs w:val="20"/>
          <w:lang w:val="fr-CA"/>
        </w:rPr>
        <w:t>Blasting</w:t>
      </w:r>
      <w:proofErr w:type="spellEnd"/>
      <w:r w:rsidRPr="008139CF">
        <w:rPr>
          <w:sz w:val="20"/>
          <w:szCs w:val="20"/>
          <w:lang w:val="fr-CA"/>
        </w:rPr>
        <w:t xml:space="preserve"> a par conséquent été accusée d’avoir négligé de signaler qu’un contaminant avait été rejeté dans l’environnement naturel, contrairement au par. 15(1) de la </w:t>
      </w:r>
      <w:r w:rsidRPr="008139CF">
        <w:rPr>
          <w:i/>
          <w:sz w:val="20"/>
          <w:szCs w:val="20"/>
          <w:lang w:val="fr-CA"/>
        </w:rPr>
        <w:t>Loi sur la protection de l’environnement</w:t>
      </w:r>
      <w:r w:rsidRPr="008139CF">
        <w:rPr>
          <w:sz w:val="20"/>
          <w:szCs w:val="20"/>
          <w:lang w:val="fr-CA"/>
        </w:rPr>
        <w:t xml:space="preserve">.  Le juge de première instance a rejeté les accusations au motif que rien ne justifiait de conclure que </w:t>
      </w:r>
      <w:proofErr w:type="gramStart"/>
      <w:r w:rsidRPr="008139CF">
        <w:rPr>
          <w:sz w:val="20"/>
          <w:szCs w:val="20"/>
          <w:lang w:val="fr-CA"/>
        </w:rPr>
        <w:t>les art</w:t>
      </w:r>
      <w:proofErr w:type="gramEnd"/>
      <w:r w:rsidRPr="008139CF">
        <w:rPr>
          <w:sz w:val="20"/>
          <w:szCs w:val="20"/>
          <w:lang w:val="fr-CA"/>
        </w:rPr>
        <w:t xml:space="preserve">. 14 et 15 de la </w:t>
      </w:r>
      <w:r w:rsidRPr="008139CF">
        <w:rPr>
          <w:i/>
          <w:sz w:val="20"/>
          <w:szCs w:val="20"/>
          <w:lang w:val="fr-CA"/>
        </w:rPr>
        <w:t>Loi sur la protection de l’environnement</w:t>
      </w:r>
      <w:r w:rsidRPr="008139CF">
        <w:rPr>
          <w:sz w:val="20"/>
          <w:szCs w:val="20"/>
          <w:lang w:val="fr-CA"/>
        </w:rPr>
        <w:t xml:space="preserve"> devaient s’appliquer dans les circonstances, ajoutant que l’application des principes d’</w:t>
      </w:r>
      <w:proofErr w:type="spellStart"/>
      <w:r w:rsidRPr="008139CF">
        <w:rPr>
          <w:sz w:val="20"/>
          <w:szCs w:val="20"/>
          <w:lang w:val="fr-CA"/>
        </w:rPr>
        <w:t>equity</w:t>
      </w:r>
      <w:proofErr w:type="spellEnd"/>
      <w:r w:rsidRPr="008139CF">
        <w:rPr>
          <w:sz w:val="20"/>
          <w:szCs w:val="20"/>
          <w:lang w:val="fr-CA"/>
        </w:rPr>
        <w:t xml:space="preserve"> eu égard aux circonstances particulières de l’espèce ne justifiait pas une poursuite.  La Cour supérieure a fait </w:t>
      </w:r>
      <w:proofErr w:type="gramStart"/>
      <w:r w:rsidRPr="008139CF">
        <w:rPr>
          <w:sz w:val="20"/>
          <w:szCs w:val="20"/>
          <w:lang w:val="fr-CA"/>
        </w:rPr>
        <w:t>droit</w:t>
      </w:r>
      <w:proofErr w:type="gramEnd"/>
      <w:r w:rsidRPr="008139CF">
        <w:rPr>
          <w:sz w:val="20"/>
          <w:szCs w:val="20"/>
          <w:lang w:val="fr-CA"/>
        </w:rPr>
        <w:t xml:space="preserve"> à l’appel et a inscrit une déclaration de culpabilité.  La Cour d’appel a rejeté l’appel à la majorité. </w:t>
      </w:r>
    </w:p>
    <w:p w:rsidR="00D0750D" w:rsidRPr="008139CF" w:rsidRDefault="00D0750D" w:rsidP="00D0750D">
      <w:pPr>
        <w:widowControl w:val="0"/>
        <w:jc w:val="both"/>
        <w:rPr>
          <w:sz w:val="20"/>
          <w:szCs w:val="20"/>
          <w:lang w:val="fr-CA"/>
        </w:rPr>
      </w:pPr>
    </w:p>
    <w:p w:rsidR="00D0750D" w:rsidRPr="008139CF" w:rsidRDefault="00D0750D" w:rsidP="00D0750D">
      <w:pPr>
        <w:widowControl w:val="0"/>
        <w:jc w:val="both"/>
        <w:rPr>
          <w:sz w:val="20"/>
          <w:szCs w:val="20"/>
          <w:lang w:val="fr-CA"/>
        </w:rPr>
      </w:pPr>
    </w:p>
    <w:p w:rsidR="00D0750D" w:rsidRPr="008139CF" w:rsidRDefault="00D0750D" w:rsidP="00D0750D">
      <w:pPr>
        <w:widowControl w:val="0"/>
        <w:ind w:left="2880" w:hanging="2880"/>
        <w:jc w:val="both"/>
        <w:rPr>
          <w:sz w:val="20"/>
          <w:szCs w:val="20"/>
          <w:lang w:val="fr-CA"/>
        </w:rPr>
      </w:pPr>
      <w:r w:rsidRPr="008139CF">
        <w:rPr>
          <w:sz w:val="20"/>
          <w:szCs w:val="20"/>
          <w:lang w:val="fr-CA"/>
        </w:rPr>
        <w:t>Origine :</w:t>
      </w:r>
      <w:r w:rsidRPr="008139CF">
        <w:rPr>
          <w:sz w:val="20"/>
          <w:szCs w:val="20"/>
          <w:lang w:val="fr-CA"/>
        </w:rPr>
        <w:tab/>
        <w:t>Ontario</w:t>
      </w:r>
    </w:p>
    <w:p w:rsidR="00D0750D" w:rsidRPr="008139CF" w:rsidRDefault="00D0750D" w:rsidP="00D0750D">
      <w:pPr>
        <w:widowControl w:val="0"/>
        <w:ind w:left="2880" w:hanging="2880"/>
        <w:jc w:val="both"/>
        <w:rPr>
          <w:sz w:val="20"/>
          <w:szCs w:val="20"/>
          <w:lang w:val="fr-CA"/>
        </w:rPr>
      </w:pPr>
    </w:p>
    <w:p w:rsidR="00D0750D" w:rsidRPr="008139CF" w:rsidRDefault="00D0750D" w:rsidP="00D0750D">
      <w:pPr>
        <w:widowControl w:val="0"/>
        <w:ind w:left="2880" w:hanging="2880"/>
        <w:jc w:val="both"/>
        <w:rPr>
          <w:sz w:val="20"/>
          <w:szCs w:val="20"/>
          <w:lang w:val="fr-CA"/>
        </w:rPr>
      </w:pPr>
      <w:r w:rsidRPr="008139CF">
        <w:rPr>
          <w:sz w:val="20"/>
          <w:szCs w:val="20"/>
          <w:lang w:val="fr-CA"/>
        </w:rPr>
        <w:t>N</w:t>
      </w:r>
      <w:r w:rsidRPr="008139CF">
        <w:rPr>
          <w:sz w:val="20"/>
          <w:szCs w:val="20"/>
          <w:vertAlign w:val="superscript"/>
          <w:lang w:val="fr-CA"/>
        </w:rPr>
        <w:t>o</w:t>
      </w:r>
      <w:r w:rsidRPr="008139CF">
        <w:rPr>
          <w:sz w:val="20"/>
          <w:szCs w:val="20"/>
          <w:lang w:val="fr-CA"/>
        </w:rPr>
        <w:t xml:space="preserve"> du greffe :</w:t>
      </w:r>
      <w:r w:rsidRPr="008139CF">
        <w:rPr>
          <w:sz w:val="20"/>
          <w:szCs w:val="20"/>
          <w:lang w:val="fr-CA"/>
        </w:rPr>
        <w:tab/>
        <w:t>34816</w:t>
      </w:r>
    </w:p>
    <w:p w:rsidR="00D0750D" w:rsidRPr="008139CF" w:rsidRDefault="00D0750D" w:rsidP="00D0750D">
      <w:pPr>
        <w:widowControl w:val="0"/>
        <w:ind w:left="2880" w:hanging="2880"/>
        <w:jc w:val="both"/>
        <w:rPr>
          <w:sz w:val="20"/>
          <w:szCs w:val="20"/>
          <w:lang w:val="fr-CA"/>
        </w:rPr>
      </w:pPr>
    </w:p>
    <w:p w:rsidR="00D0750D" w:rsidRPr="008139CF" w:rsidRDefault="00D0750D" w:rsidP="00D0750D">
      <w:pPr>
        <w:widowControl w:val="0"/>
        <w:ind w:left="2880" w:hanging="2880"/>
        <w:jc w:val="both"/>
        <w:rPr>
          <w:sz w:val="20"/>
          <w:szCs w:val="20"/>
          <w:lang w:val="fr-CA"/>
        </w:rPr>
      </w:pPr>
      <w:r w:rsidRPr="008139CF">
        <w:rPr>
          <w:sz w:val="20"/>
          <w:szCs w:val="20"/>
          <w:lang w:val="fr-CA"/>
        </w:rPr>
        <w:t>Arrêt de la Cour d’appel :</w:t>
      </w:r>
      <w:r w:rsidRPr="008139CF">
        <w:rPr>
          <w:sz w:val="20"/>
          <w:szCs w:val="20"/>
          <w:lang w:val="fr-CA"/>
        </w:rPr>
        <w:tab/>
        <w:t>le 16 mars 2012</w:t>
      </w:r>
    </w:p>
    <w:p w:rsidR="00D0750D" w:rsidRPr="008139CF" w:rsidRDefault="00D0750D" w:rsidP="00D0750D">
      <w:pPr>
        <w:widowControl w:val="0"/>
        <w:ind w:left="2880" w:hanging="2880"/>
        <w:jc w:val="both"/>
        <w:rPr>
          <w:sz w:val="20"/>
          <w:szCs w:val="20"/>
          <w:lang w:val="fr-CA"/>
        </w:rPr>
      </w:pPr>
    </w:p>
    <w:p w:rsidR="00D0750D" w:rsidRPr="008139CF" w:rsidRDefault="00D0750D" w:rsidP="00D0750D">
      <w:pPr>
        <w:widowControl w:val="0"/>
        <w:ind w:left="2880" w:hanging="2880"/>
        <w:jc w:val="both"/>
        <w:rPr>
          <w:sz w:val="20"/>
          <w:szCs w:val="20"/>
          <w:lang w:val="fr-CA"/>
        </w:rPr>
      </w:pPr>
      <w:r w:rsidRPr="008139CF">
        <w:rPr>
          <w:sz w:val="20"/>
          <w:szCs w:val="20"/>
          <w:lang w:val="fr-CA"/>
        </w:rPr>
        <w:t>Avocats :</w:t>
      </w:r>
      <w:r w:rsidRPr="008139CF">
        <w:rPr>
          <w:sz w:val="20"/>
          <w:szCs w:val="20"/>
          <w:lang w:val="fr-CA"/>
        </w:rPr>
        <w:tab/>
        <w:t>J. Bruce McMeekin pour l’appelante</w:t>
      </w:r>
    </w:p>
    <w:p w:rsidR="00D0750D" w:rsidRPr="008139CF" w:rsidRDefault="00D0750D" w:rsidP="00D0750D">
      <w:pPr>
        <w:widowControl w:val="0"/>
        <w:ind w:left="2880" w:hanging="2880"/>
        <w:jc w:val="both"/>
        <w:rPr>
          <w:sz w:val="20"/>
          <w:szCs w:val="20"/>
          <w:lang w:val="fr-CA"/>
        </w:rPr>
      </w:pPr>
      <w:r w:rsidRPr="008139CF">
        <w:rPr>
          <w:sz w:val="20"/>
          <w:szCs w:val="20"/>
          <w:lang w:val="fr-CA"/>
        </w:rPr>
        <w:tab/>
        <w:t xml:space="preserve">Sara Blake, Paul </w:t>
      </w:r>
      <w:proofErr w:type="spellStart"/>
      <w:r w:rsidRPr="008139CF">
        <w:rPr>
          <w:sz w:val="20"/>
          <w:szCs w:val="20"/>
          <w:lang w:val="fr-CA"/>
        </w:rPr>
        <w:t>McCulloch</w:t>
      </w:r>
      <w:proofErr w:type="spellEnd"/>
      <w:r w:rsidRPr="008139CF">
        <w:rPr>
          <w:sz w:val="20"/>
          <w:szCs w:val="20"/>
          <w:lang w:val="fr-CA"/>
        </w:rPr>
        <w:t xml:space="preserve"> et Danielle </w:t>
      </w:r>
      <w:proofErr w:type="spellStart"/>
      <w:r w:rsidRPr="008139CF">
        <w:rPr>
          <w:sz w:val="20"/>
          <w:szCs w:val="20"/>
          <w:lang w:val="fr-CA"/>
        </w:rPr>
        <w:t>Meuleman</w:t>
      </w:r>
      <w:proofErr w:type="spellEnd"/>
      <w:r w:rsidRPr="008139CF">
        <w:rPr>
          <w:sz w:val="20"/>
          <w:szCs w:val="20"/>
          <w:lang w:val="fr-CA"/>
        </w:rPr>
        <w:t xml:space="preserve"> pour</w:t>
      </w:r>
      <w:r>
        <w:rPr>
          <w:sz w:val="20"/>
          <w:szCs w:val="20"/>
          <w:lang w:val="fr-CA"/>
        </w:rPr>
        <w:t xml:space="preserve"> </w:t>
      </w:r>
      <w:r w:rsidRPr="008139CF">
        <w:rPr>
          <w:sz w:val="20"/>
          <w:szCs w:val="20"/>
          <w:lang w:val="fr-CA"/>
        </w:rPr>
        <w:t>l’intimée</w:t>
      </w:r>
    </w:p>
    <w:p w:rsidR="004634AB" w:rsidRPr="00D0750D" w:rsidRDefault="004634AB" w:rsidP="004634AB">
      <w:pPr>
        <w:tabs>
          <w:tab w:val="left" w:pos="-1440"/>
          <w:tab w:val="left" w:pos="-720"/>
        </w:tabs>
        <w:jc w:val="both"/>
        <w:rPr>
          <w:sz w:val="20"/>
          <w:szCs w:val="20"/>
          <w:lang w:val="fr-CA"/>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099"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905D28" w:rsidRPr="0088728E" w:rsidRDefault="0017005E" w:rsidP="00905D28">
      <w:pPr>
        <w:widowControl w:val="0"/>
        <w:ind w:left="720" w:hanging="720"/>
        <w:jc w:val="both"/>
        <w:rPr>
          <w:sz w:val="20"/>
          <w:szCs w:val="20"/>
        </w:rPr>
      </w:pPr>
      <w:r w:rsidRPr="0088728E">
        <w:rPr>
          <w:b/>
          <w:sz w:val="20"/>
          <w:szCs w:val="20"/>
        </w:rPr>
        <w:lastRenderedPageBreak/>
        <w:fldChar w:fldCharType="begin"/>
      </w:r>
      <w:r w:rsidR="00905D28" w:rsidRPr="0088728E">
        <w:rPr>
          <w:b/>
          <w:sz w:val="20"/>
          <w:szCs w:val="20"/>
        </w:rPr>
        <w:instrText xml:space="preserve"> SEQ CHAPTER \h \r 1</w:instrText>
      </w:r>
      <w:r w:rsidRPr="0088728E">
        <w:rPr>
          <w:b/>
          <w:sz w:val="20"/>
          <w:szCs w:val="20"/>
        </w:rPr>
        <w:fldChar w:fldCharType="end"/>
      </w:r>
      <w:r w:rsidR="00905D28" w:rsidRPr="0088728E">
        <w:rPr>
          <w:b/>
          <w:sz w:val="20"/>
          <w:szCs w:val="20"/>
        </w:rPr>
        <w:t>34743</w:t>
      </w:r>
      <w:r w:rsidR="00905D28" w:rsidRPr="0088728E">
        <w:rPr>
          <w:sz w:val="20"/>
          <w:szCs w:val="20"/>
        </w:rPr>
        <w:tab/>
      </w:r>
      <w:r w:rsidR="00905D28" w:rsidRPr="0088728E">
        <w:rPr>
          <w:b/>
          <w:i/>
          <w:sz w:val="20"/>
          <w:szCs w:val="20"/>
        </w:rPr>
        <w:t>Her Majesty the Queen v. Stéphane McRae</w:t>
      </w:r>
    </w:p>
    <w:p w:rsidR="00905D28" w:rsidRPr="0088728E" w:rsidRDefault="00905D28" w:rsidP="00905D28">
      <w:pPr>
        <w:widowControl w:val="0"/>
        <w:jc w:val="both"/>
        <w:rPr>
          <w:sz w:val="20"/>
          <w:szCs w:val="20"/>
        </w:rPr>
      </w:pPr>
    </w:p>
    <w:p w:rsidR="00DB2039" w:rsidRPr="00DB2039" w:rsidRDefault="00DB2039" w:rsidP="00DB2039">
      <w:pPr>
        <w:widowControl w:val="0"/>
        <w:jc w:val="both"/>
        <w:rPr>
          <w:rFonts w:eastAsia="Times New Roman" w:cs="Times New Roman"/>
          <w:sz w:val="20"/>
          <w:szCs w:val="20"/>
          <w:lang w:eastAsia="en-CA"/>
        </w:rPr>
      </w:pPr>
      <w:r w:rsidRPr="00DB2039">
        <w:rPr>
          <w:rFonts w:eastAsia="Times New Roman" w:cs="Times New Roman"/>
          <w:iCs/>
          <w:color w:val="000000"/>
          <w:sz w:val="20"/>
          <w:szCs w:val="20"/>
          <w:lang w:eastAsia="en-CA"/>
        </w:rPr>
        <w:t xml:space="preserve">Criminal law </w:t>
      </w:r>
      <w:r w:rsidRPr="00DB2039">
        <w:rPr>
          <w:rFonts w:eastAsia="Times New Roman" w:cs="Times New Roman"/>
          <w:i/>
          <w:iCs/>
          <w:sz w:val="20"/>
          <w:szCs w:val="20"/>
          <w:lang w:val="en-US" w:eastAsia="en-CA"/>
        </w:rPr>
        <w:noBreakHyphen/>
      </w:r>
      <w:r w:rsidRPr="00DB2039">
        <w:rPr>
          <w:rFonts w:eastAsia="Times New Roman" w:cs="Times New Roman"/>
          <w:iCs/>
          <w:color w:val="000000"/>
          <w:sz w:val="20"/>
          <w:szCs w:val="20"/>
          <w:lang w:eastAsia="en-CA"/>
        </w:rPr>
        <w:t xml:space="preserve"> </w:t>
      </w:r>
      <w:r w:rsidRPr="00DB2039">
        <w:rPr>
          <w:rFonts w:eastAsia="Times New Roman" w:cs="Times New Roman"/>
          <w:i/>
          <w:iCs/>
          <w:color w:val="000000"/>
          <w:sz w:val="20"/>
          <w:szCs w:val="20"/>
          <w:lang w:eastAsia="en-CA"/>
        </w:rPr>
        <w:t>Criminal Code</w:t>
      </w:r>
      <w:r w:rsidRPr="00DB2039">
        <w:rPr>
          <w:rFonts w:eastAsia="Times New Roman" w:cs="Times New Roman"/>
          <w:iCs/>
          <w:color w:val="000000"/>
          <w:sz w:val="20"/>
          <w:szCs w:val="20"/>
          <w:lang w:eastAsia="en-CA"/>
        </w:rPr>
        <w:t xml:space="preserve"> offences </w:t>
      </w:r>
      <w:r w:rsidRPr="00DB2039">
        <w:rPr>
          <w:rFonts w:eastAsia="Times New Roman" w:cs="Times New Roman"/>
          <w:i/>
          <w:iCs/>
          <w:sz w:val="20"/>
          <w:szCs w:val="20"/>
          <w:lang w:val="en-US" w:eastAsia="en-CA"/>
        </w:rPr>
        <w:noBreakHyphen/>
      </w:r>
      <w:r w:rsidRPr="00DB2039">
        <w:rPr>
          <w:rFonts w:eastAsia="Times New Roman" w:cs="Times New Roman"/>
          <w:iCs/>
          <w:color w:val="000000"/>
          <w:sz w:val="20"/>
          <w:szCs w:val="20"/>
          <w:lang w:eastAsia="en-CA"/>
        </w:rPr>
        <w:t xml:space="preserve"> Offences against person and reputation </w:t>
      </w:r>
      <w:r w:rsidRPr="00DB2039">
        <w:rPr>
          <w:rFonts w:eastAsia="Times New Roman" w:cs="Times New Roman"/>
          <w:i/>
          <w:iCs/>
          <w:sz w:val="20"/>
          <w:szCs w:val="20"/>
          <w:lang w:val="en-US" w:eastAsia="en-CA"/>
        </w:rPr>
        <w:noBreakHyphen/>
      </w:r>
      <w:r w:rsidRPr="00DB2039">
        <w:rPr>
          <w:rFonts w:eastAsia="Times New Roman" w:cs="Times New Roman"/>
          <w:iCs/>
          <w:color w:val="000000"/>
          <w:sz w:val="20"/>
          <w:szCs w:val="20"/>
          <w:lang w:eastAsia="en-CA"/>
        </w:rPr>
        <w:t xml:space="preserve"> Harassment and threats </w:t>
      </w:r>
      <w:r w:rsidRPr="00DB2039">
        <w:rPr>
          <w:rFonts w:eastAsia="Times New Roman" w:cs="Times New Roman"/>
          <w:i/>
          <w:iCs/>
          <w:sz w:val="20"/>
          <w:szCs w:val="20"/>
          <w:lang w:val="en-US" w:eastAsia="en-CA"/>
        </w:rPr>
        <w:noBreakHyphen/>
      </w:r>
      <w:r w:rsidRPr="00DB2039">
        <w:rPr>
          <w:rFonts w:eastAsia="Times New Roman" w:cs="Times New Roman"/>
          <w:iCs/>
          <w:color w:val="000000"/>
          <w:sz w:val="20"/>
          <w:szCs w:val="20"/>
          <w:lang w:eastAsia="en-CA"/>
        </w:rPr>
        <w:t xml:space="preserve"> Threats to cause death or bodily harm </w:t>
      </w:r>
      <w:r w:rsidRPr="00DB2039">
        <w:rPr>
          <w:rFonts w:eastAsia="Times New Roman" w:cs="Times New Roman"/>
          <w:i/>
          <w:iCs/>
          <w:sz w:val="20"/>
          <w:szCs w:val="20"/>
          <w:lang w:val="en-US" w:eastAsia="en-CA"/>
        </w:rPr>
        <w:noBreakHyphen/>
      </w:r>
      <w:r w:rsidRPr="00DB2039">
        <w:rPr>
          <w:rFonts w:eastAsia="Times New Roman" w:cs="Times New Roman"/>
          <w:iCs/>
          <w:color w:val="000000"/>
          <w:sz w:val="20"/>
          <w:szCs w:val="20"/>
          <w:lang w:eastAsia="en-CA"/>
        </w:rPr>
        <w:t xml:space="preserve"> Whether Court of Appeal erred in introducing new legal standard or at least field of exclusion from scheme of s. </w:t>
      </w:r>
      <w:r w:rsidRPr="00DB2039">
        <w:rPr>
          <w:rFonts w:eastAsia="Times New Roman" w:cs="Times New Roman"/>
          <w:sz w:val="20"/>
          <w:szCs w:val="20"/>
          <w:lang w:eastAsia="en-CA"/>
        </w:rPr>
        <w:t xml:space="preserve">264.1 of </w:t>
      </w:r>
      <w:r w:rsidRPr="00DB2039">
        <w:rPr>
          <w:rFonts w:eastAsia="Times New Roman" w:cs="Times New Roman"/>
          <w:i/>
          <w:sz w:val="20"/>
          <w:szCs w:val="20"/>
          <w:lang w:eastAsia="en-CA"/>
        </w:rPr>
        <w:t>Criminal Code</w:t>
      </w:r>
      <w:r w:rsidRPr="00DB2039">
        <w:rPr>
          <w:rFonts w:eastAsia="Times New Roman" w:cs="Times New Roman"/>
          <w:sz w:val="20"/>
          <w:szCs w:val="20"/>
          <w:lang w:eastAsia="en-CA"/>
        </w:rPr>
        <w:t xml:space="preserve"> and in holding that threatening remarks made in circumstances where it is assumed that expectation of confidentiality may exist cannot satisfy </w:t>
      </w:r>
      <w:proofErr w:type="spellStart"/>
      <w:r w:rsidRPr="00DB2039">
        <w:rPr>
          <w:rFonts w:eastAsia="Times New Roman" w:cs="Times New Roman"/>
          <w:i/>
          <w:sz w:val="20"/>
          <w:szCs w:val="20"/>
          <w:lang w:eastAsia="en-CA"/>
        </w:rPr>
        <w:t>actus</w:t>
      </w:r>
      <w:proofErr w:type="spellEnd"/>
      <w:r w:rsidRPr="00DB2039">
        <w:rPr>
          <w:rFonts w:eastAsia="Times New Roman" w:cs="Times New Roman"/>
          <w:i/>
          <w:sz w:val="20"/>
          <w:szCs w:val="20"/>
          <w:lang w:eastAsia="en-CA"/>
        </w:rPr>
        <w:t> </w:t>
      </w:r>
      <w:proofErr w:type="spellStart"/>
      <w:r w:rsidRPr="00DB2039">
        <w:rPr>
          <w:rFonts w:eastAsia="Times New Roman" w:cs="Times New Roman"/>
          <w:i/>
          <w:sz w:val="20"/>
          <w:szCs w:val="20"/>
          <w:lang w:eastAsia="en-CA"/>
        </w:rPr>
        <w:t>reus</w:t>
      </w:r>
      <w:proofErr w:type="spellEnd"/>
      <w:r w:rsidRPr="00DB2039">
        <w:rPr>
          <w:rFonts w:eastAsia="Times New Roman" w:cs="Times New Roman"/>
          <w:sz w:val="20"/>
          <w:szCs w:val="20"/>
          <w:lang w:eastAsia="en-CA"/>
        </w:rPr>
        <w:t xml:space="preserve"> and </w:t>
      </w:r>
      <w:proofErr w:type="spellStart"/>
      <w:r w:rsidRPr="00DB2039">
        <w:rPr>
          <w:rFonts w:eastAsia="Times New Roman" w:cs="Times New Roman"/>
          <w:i/>
          <w:sz w:val="20"/>
          <w:szCs w:val="20"/>
          <w:lang w:eastAsia="en-CA"/>
        </w:rPr>
        <w:t>mens</w:t>
      </w:r>
      <w:proofErr w:type="spellEnd"/>
      <w:r w:rsidRPr="00DB2039">
        <w:rPr>
          <w:rFonts w:eastAsia="Times New Roman" w:cs="Times New Roman"/>
          <w:i/>
          <w:sz w:val="20"/>
          <w:szCs w:val="20"/>
          <w:lang w:eastAsia="en-CA"/>
        </w:rPr>
        <w:t> </w:t>
      </w:r>
      <w:proofErr w:type="spellStart"/>
      <w:r w:rsidRPr="00DB2039">
        <w:rPr>
          <w:rFonts w:eastAsia="Times New Roman" w:cs="Times New Roman"/>
          <w:i/>
          <w:sz w:val="20"/>
          <w:szCs w:val="20"/>
          <w:lang w:eastAsia="en-CA"/>
        </w:rPr>
        <w:t>rea</w:t>
      </w:r>
      <w:proofErr w:type="spellEnd"/>
      <w:r w:rsidRPr="00DB2039">
        <w:rPr>
          <w:rFonts w:eastAsia="Times New Roman" w:cs="Times New Roman"/>
          <w:sz w:val="20"/>
          <w:szCs w:val="20"/>
          <w:lang w:eastAsia="en-CA"/>
        </w:rPr>
        <w:t xml:space="preserve"> requirements for offence created in that section </w:t>
      </w:r>
      <w:r w:rsidRPr="00DB2039">
        <w:rPr>
          <w:rFonts w:eastAsia="Times New Roman" w:cs="Times New Roman"/>
          <w:iCs/>
          <w:sz w:val="20"/>
          <w:szCs w:val="20"/>
          <w:lang w:val="en-US" w:eastAsia="en-CA"/>
        </w:rPr>
        <w:noBreakHyphen/>
      </w:r>
      <w:r w:rsidRPr="00DB2039">
        <w:rPr>
          <w:rFonts w:eastAsia="Times New Roman" w:cs="Times New Roman"/>
          <w:sz w:val="20"/>
          <w:szCs w:val="20"/>
          <w:lang w:eastAsia="en-CA"/>
        </w:rPr>
        <w:t xml:space="preserve"> Whether Court of Appeal erred in law by making it defence that threats uttered because of frustration, anger or desire for revenge.</w:t>
      </w:r>
    </w:p>
    <w:p w:rsidR="00DB2039" w:rsidRPr="00DB2039" w:rsidRDefault="00DB2039" w:rsidP="00DB2039">
      <w:pPr>
        <w:widowControl w:val="0"/>
        <w:jc w:val="both"/>
        <w:rPr>
          <w:rFonts w:eastAsia="Times New Roman" w:cs="Times New Roman"/>
          <w:sz w:val="20"/>
          <w:szCs w:val="20"/>
          <w:lang w:eastAsia="en-CA"/>
        </w:rPr>
      </w:pPr>
    </w:p>
    <w:p w:rsidR="00DB2039" w:rsidRPr="00DB2039" w:rsidRDefault="00DB2039" w:rsidP="00DB2039">
      <w:pPr>
        <w:widowControl w:val="0"/>
        <w:jc w:val="both"/>
        <w:rPr>
          <w:rFonts w:eastAsia="Times New Roman" w:cs="Times New Roman"/>
          <w:sz w:val="20"/>
          <w:szCs w:val="20"/>
          <w:lang w:eastAsia="en-CA"/>
        </w:rPr>
      </w:pPr>
      <w:r w:rsidRPr="00DB2039">
        <w:rPr>
          <w:rFonts w:eastAsia="Times New Roman" w:cs="Times New Roman"/>
          <w:color w:val="000000"/>
          <w:sz w:val="20"/>
          <w:szCs w:val="20"/>
          <w:lang w:eastAsia="en-CA"/>
        </w:rPr>
        <w:t>While in prison awaiting trial for trafficking in narcotics, the respondent, Mr. McRae, and another person conspired with each other to attack the Crown prosecutor, a police investigator and four witnesses.  After finding out about this plan, the investigators decided to place a listening device on Mr. </w:t>
      </w:r>
      <w:proofErr w:type="spellStart"/>
      <w:r w:rsidRPr="00DB2039">
        <w:rPr>
          <w:rFonts w:eastAsia="Times New Roman" w:cs="Times New Roman"/>
          <w:color w:val="000000"/>
          <w:sz w:val="20"/>
          <w:szCs w:val="20"/>
          <w:lang w:eastAsia="en-CA"/>
        </w:rPr>
        <w:t>Cloutier</w:t>
      </w:r>
      <w:proofErr w:type="spellEnd"/>
      <w:r w:rsidRPr="00DB2039">
        <w:rPr>
          <w:rFonts w:eastAsia="Times New Roman" w:cs="Times New Roman"/>
          <w:color w:val="000000"/>
          <w:sz w:val="20"/>
          <w:szCs w:val="20"/>
          <w:lang w:eastAsia="en-CA"/>
        </w:rPr>
        <w:t>, another inmate.  The respondent was charged with seven counts of conveying a threat to cause death or bodily harm (s. 264.1(1</w:t>
      </w:r>
      <w:proofErr w:type="gramStart"/>
      <w:r w:rsidRPr="00DB2039">
        <w:rPr>
          <w:rFonts w:eastAsia="Times New Roman" w:cs="Times New Roman"/>
          <w:color w:val="000000"/>
          <w:sz w:val="20"/>
          <w:szCs w:val="20"/>
          <w:lang w:eastAsia="en-CA"/>
        </w:rPr>
        <w:t>)(</w:t>
      </w:r>
      <w:proofErr w:type="gramEnd"/>
      <w:r w:rsidRPr="00DB2039">
        <w:rPr>
          <w:rFonts w:eastAsia="Times New Roman" w:cs="Times New Roman"/>
          <w:i/>
          <w:color w:val="000000"/>
          <w:sz w:val="20"/>
          <w:szCs w:val="20"/>
          <w:lang w:eastAsia="en-CA"/>
        </w:rPr>
        <w:t>a</w:t>
      </w:r>
      <w:r w:rsidRPr="00DB2039">
        <w:rPr>
          <w:rFonts w:eastAsia="Times New Roman" w:cs="Times New Roman"/>
          <w:color w:val="000000"/>
          <w:sz w:val="20"/>
          <w:szCs w:val="20"/>
          <w:lang w:eastAsia="en-CA"/>
        </w:rPr>
        <w:t xml:space="preserve">) of the </w:t>
      </w:r>
      <w:r w:rsidRPr="00DB2039">
        <w:rPr>
          <w:rFonts w:eastAsia="Times New Roman" w:cs="Times New Roman"/>
          <w:i/>
          <w:color w:val="000000"/>
          <w:sz w:val="20"/>
          <w:szCs w:val="20"/>
          <w:lang w:eastAsia="en-CA"/>
        </w:rPr>
        <w:t>Criminal Code</w:t>
      </w:r>
      <w:r w:rsidRPr="00DB2039">
        <w:rPr>
          <w:rFonts w:eastAsia="Times New Roman" w:cs="Times New Roman"/>
          <w:color w:val="000000"/>
          <w:sz w:val="20"/>
          <w:szCs w:val="20"/>
          <w:lang w:eastAsia="en-CA"/>
        </w:rPr>
        <w:t>).  At trial, the Crown entered the respondent’s remarks into evidence.</w:t>
      </w:r>
    </w:p>
    <w:p w:rsidR="00905D28" w:rsidRPr="0088728E" w:rsidRDefault="00905D28" w:rsidP="00905D28">
      <w:pPr>
        <w:widowControl w:val="0"/>
        <w:jc w:val="both"/>
        <w:rPr>
          <w:sz w:val="20"/>
          <w:szCs w:val="20"/>
        </w:rPr>
      </w:pPr>
    </w:p>
    <w:p w:rsidR="00905D28" w:rsidRPr="0088728E" w:rsidRDefault="00905D28" w:rsidP="00905D28">
      <w:pPr>
        <w:widowControl w:val="0"/>
        <w:jc w:val="both"/>
        <w:rPr>
          <w:sz w:val="20"/>
          <w:szCs w:val="20"/>
        </w:rPr>
      </w:pPr>
    </w:p>
    <w:p w:rsidR="00905D28" w:rsidRPr="0088728E" w:rsidRDefault="00905D28" w:rsidP="00905D28">
      <w:pPr>
        <w:widowControl w:val="0"/>
        <w:ind w:left="2880" w:hanging="2880"/>
        <w:jc w:val="both"/>
        <w:rPr>
          <w:sz w:val="20"/>
          <w:szCs w:val="20"/>
        </w:rPr>
      </w:pPr>
      <w:r w:rsidRPr="0088728E">
        <w:rPr>
          <w:sz w:val="20"/>
          <w:szCs w:val="20"/>
        </w:rPr>
        <w:t>Origin of the case:</w:t>
      </w:r>
      <w:r w:rsidRPr="0088728E">
        <w:rPr>
          <w:sz w:val="20"/>
          <w:szCs w:val="20"/>
        </w:rPr>
        <w:tab/>
        <w:t>Quebec</w:t>
      </w:r>
    </w:p>
    <w:p w:rsidR="00905D28" w:rsidRPr="0088728E" w:rsidRDefault="00905D28" w:rsidP="00905D28">
      <w:pPr>
        <w:widowControl w:val="0"/>
        <w:ind w:left="2880" w:hanging="2880"/>
        <w:jc w:val="both"/>
        <w:rPr>
          <w:sz w:val="20"/>
          <w:szCs w:val="20"/>
        </w:rPr>
      </w:pPr>
    </w:p>
    <w:p w:rsidR="00905D28" w:rsidRPr="0088728E" w:rsidRDefault="00905D28" w:rsidP="00905D28">
      <w:pPr>
        <w:widowControl w:val="0"/>
        <w:ind w:left="2880" w:hanging="2880"/>
        <w:jc w:val="both"/>
        <w:rPr>
          <w:sz w:val="20"/>
          <w:szCs w:val="20"/>
        </w:rPr>
      </w:pPr>
      <w:r w:rsidRPr="0088728E">
        <w:rPr>
          <w:sz w:val="20"/>
          <w:szCs w:val="20"/>
        </w:rPr>
        <w:t>File No.:</w:t>
      </w:r>
      <w:r w:rsidRPr="0088728E">
        <w:rPr>
          <w:sz w:val="20"/>
          <w:szCs w:val="20"/>
        </w:rPr>
        <w:tab/>
        <w:t>34743</w:t>
      </w:r>
    </w:p>
    <w:p w:rsidR="00905D28" w:rsidRPr="0088728E" w:rsidRDefault="00905D28" w:rsidP="00905D28">
      <w:pPr>
        <w:widowControl w:val="0"/>
        <w:ind w:left="2880" w:hanging="2880"/>
        <w:jc w:val="both"/>
        <w:rPr>
          <w:sz w:val="20"/>
          <w:szCs w:val="20"/>
        </w:rPr>
      </w:pPr>
    </w:p>
    <w:p w:rsidR="00905D28" w:rsidRPr="0088728E" w:rsidRDefault="00905D28" w:rsidP="00905D28">
      <w:pPr>
        <w:widowControl w:val="0"/>
        <w:ind w:left="2880" w:hanging="2880"/>
        <w:jc w:val="both"/>
        <w:rPr>
          <w:sz w:val="20"/>
          <w:szCs w:val="20"/>
        </w:rPr>
      </w:pPr>
      <w:r w:rsidRPr="0088728E">
        <w:rPr>
          <w:sz w:val="20"/>
          <w:szCs w:val="20"/>
        </w:rPr>
        <w:t>Judgment of the Court of Appeal:</w:t>
      </w:r>
      <w:r w:rsidRPr="0088728E">
        <w:rPr>
          <w:sz w:val="20"/>
          <w:szCs w:val="20"/>
        </w:rPr>
        <w:tab/>
        <w:t>February 3, 2012</w:t>
      </w:r>
    </w:p>
    <w:p w:rsidR="00905D28" w:rsidRPr="0088728E" w:rsidRDefault="00905D28" w:rsidP="00905D28">
      <w:pPr>
        <w:widowControl w:val="0"/>
        <w:ind w:left="2880" w:hanging="2880"/>
        <w:jc w:val="both"/>
        <w:rPr>
          <w:sz w:val="20"/>
          <w:szCs w:val="20"/>
        </w:rPr>
      </w:pPr>
    </w:p>
    <w:p w:rsidR="00905D28" w:rsidRPr="0088728E" w:rsidRDefault="00905D28" w:rsidP="00905D28">
      <w:pPr>
        <w:widowControl w:val="0"/>
        <w:ind w:left="2880" w:hanging="2880"/>
        <w:jc w:val="both"/>
        <w:rPr>
          <w:sz w:val="20"/>
          <w:szCs w:val="20"/>
        </w:rPr>
      </w:pPr>
      <w:r w:rsidRPr="0088728E">
        <w:rPr>
          <w:sz w:val="20"/>
          <w:szCs w:val="20"/>
        </w:rPr>
        <w:t>Counsel:</w:t>
      </w:r>
      <w:r w:rsidRPr="0088728E">
        <w:rPr>
          <w:sz w:val="20"/>
          <w:szCs w:val="20"/>
        </w:rPr>
        <w:tab/>
        <w:t>Sébastien Bergeron</w:t>
      </w:r>
      <w:r w:rsidRPr="0088728E">
        <w:rPr>
          <w:sz w:val="20"/>
          <w:szCs w:val="20"/>
        </w:rPr>
        <w:noBreakHyphen/>
      </w:r>
      <w:proofErr w:type="spellStart"/>
      <w:r w:rsidRPr="0088728E">
        <w:rPr>
          <w:sz w:val="20"/>
          <w:szCs w:val="20"/>
        </w:rPr>
        <w:t>Guyard</w:t>
      </w:r>
      <w:proofErr w:type="spellEnd"/>
      <w:r w:rsidRPr="0088728E">
        <w:rPr>
          <w:sz w:val="20"/>
          <w:szCs w:val="20"/>
        </w:rPr>
        <w:t xml:space="preserve"> and Thomas Jacques for the appellant</w:t>
      </w:r>
    </w:p>
    <w:p w:rsidR="00905D28" w:rsidRPr="0088728E" w:rsidRDefault="00905D28" w:rsidP="00905D28">
      <w:pPr>
        <w:widowControl w:val="0"/>
        <w:ind w:left="2880" w:hanging="2880"/>
        <w:jc w:val="both"/>
        <w:rPr>
          <w:sz w:val="20"/>
          <w:szCs w:val="20"/>
        </w:rPr>
      </w:pPr>
      <w:r w:rsidRPr="0088728E">
        <w:rPr>
          <w:sz w:val="20"/>
          <w:szCs w:val="20"/>
        </w:rPr>
        <w:tab/>
      </w:r>
      <w:proofErr w:type="spellStart"/>
      <w:r w:rsidRPr="0088728E">
        <w:rPr>
          <w:sz w:val="20"/>
          <w:szCs w:val="20"/>
        </w:rPr>
        <w:t>Stéphanie</w:t>
      </w:r>
      <w:proofErr w:type="spellEnd"/>
      <w:r w:rsidRPr="0088728E">
        <w:rPr>
          <w:sz w:val="20"/>
          <w:szCs w:val="20"/>
        </w:rPr>
        <w:t xml:space="preserve"> Carrier for the respondent</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100"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6A7C9F" w:rsidRPr="004614AB" w:rsidRDefault="0017005E" w:rsidP="006A7C9F">
      <w:pPr>
        <w:widowControl w:val="0"/>
        <w:ind w:left="720" w:hanging="720"/>
        <w:jc w:val="both"/>
        <w:rPr>
          <w:sz w:val="20"/>
          <w:szCs w:val="20"/>
          <w:lang w:val="fr-CA"/>
        </w:rPr>
      </w:pPr>
      <w:r w:rsidRPr="0017005E">
        <w:rPr>
          <w:b/>
          <w:sz w:val="20"/>
          <w:szCs w:val="20"/>
          <w:lang w:val="fr-CA"/>
        </w:rPr>
        <w:lastRenderedPageBreak/>
        <w:fldChar w:fldCharType="begin"/>
      </w:r>
      <w:r w:rsidR="006A7C9F" w:rsidRPr="004614AB">
        <w:rPr>
          <w:b/>
          <w:sz w:val="20"/>
          <w:szCs w:val="20"/>
          <w:lang w:val="fr-CA"/>
        </w:rPr>
        <w:instrText xml:space="preserve"> SEQ CHAPTER \h \r 1</w:instrText>
      </w:r>
      <w:r w:rsidRPr="004614AB">
        <w:rPr>
          <w:b/>
          <w:sz w:val="20"/>
          <w:szCs w:val="20"/>
        </w:rPr>
        <w:fldChar w:fldCharType="end"/>
      </w:r>
      <w:r w:rsidR="006A7C9F" w:rsidRPr="004614AB">
        <w:rPr>
          <w:b/>
          <w:sz w:val="20"/>
          <w:szCs w:val="20"/>
          <w:lang w:val="fr-CA"/>
        </w:rPr>
        <w:t>34743</w:t>
      </w:r>
      <w:r w:rsidR="006A7C9F" w:rsidRPr="004614AB">
        <w:rPr>
          <w:sz w:val="20"/>
          <w:szCs w:val="20"/>
          <w:lang w:val="fr-CA"/>
        </w:rPr>
        <w:tab/>
      </w:r>
      <w:r w:rsidR="006A7C9F" w:rsidRPr="004614AB">
        <w:rPr>
          <w:b/>
          <w:i/>
          <w:sz w:val="20"/>
          <w:szCs w:val="20"/>
          <w:lang w:val="fr-CA"/>
        </w:rPr>
        <w:t xml:space="preserve">Sa Majesté la Reine c. Stéphane </w:t>
      </w:r>
      <w:proofErr w:type="spellStart"/>
      <w:r w:rsidR="006A7C9F" w:rsidRPr="004614AB">
        <w:rPr>
          <w:b/>
          <w:i/>
          <w:sz w:val="20"/>
          <w:szCs w:val="20"/>
          <w:lang w:val="fr-CA"/>
        </w:rPr>
        <w:t>McRae</w:t>
      </w:r>
      <w:proofErr w:type="spellEnd"/>
    </w:p>
    <w:p w:rsidR="006A7C9F" w:rsidRPr="004614AB" w:rsidRDefault="006A7C9F" w:rsidP="006A7C9F">
      <w:pPr>
        <w:widowControl w:val="0"/>
        <w:jc w:val="both"/>
        <w:rPr>
          <w:sz w:val="20"/>
          <w:szCs w:val="20"/>
          <w:lang w:val="fr-CA"/>
        </w:rPr>
      </w:pPr>
    </w:p>
    <w:p w:rsidR="00BC3BDF" w:rsidRPr="00BC3BDF" w:rsidRDefault="00BC3BDF" w:rsidP="00BC3BDF">
      <w:pPr>
        <w:widowControl w:val="0"/>
        <w:jc w:val="both"/>
        <w:rPr>
          <w:rFonts w:eastAsia="Times New Roman" w:cs="Times New Roman"/>
          <w:sz w:val="20"/>
          <w:szCs w:val="20"/>
          <w:lang w:val="fr-CA" w:eastAsia="en-CA"/>
        </w:rPr>
      </w:pPr>
      <w:r w:rsidRPr="00BC3BDF">
        <w:rPr>
          <w:rFonts w:eastAsia="Times New Roman" w:cs="Times New Roman"/>
          <w:iCs/>
          <w:sz w:val="20"/>
          <w:szCs w:val="20"/>
          <w:lang w:val="fr-CA" w:eastAsia="en-CA"/>
        </w:rPr>
        <w:t>Droit criminel</w:t>
      </w:r>
      <w:r w:rsidRPr="00BC3BDF">
        <w:rPr>
          <w:rFonts w:eastAsia="Times New Roman" w:cs="Times New Roman"/>
          <w:i/>
          <w:iCs/>
          <w:sz w:val="20"/>
          <w:szCs w:val="20"/>
          <w:lang w:val="fr-CA" w:eastAsia="en-CA"/>
        </w:rPr>
        <w:t xml:space="preserve"> </w:t>
      </w:r>
      <w:r w:rsidRPr="00BC3BDF">
        <w:rPr>
          <w:rFonts w:eastAsia="Times New Roman" w:cs="Times New Roman"/>
          <w:iCs/>
          <w:sz w:val="20"/>
          <w:szCs w:val="20"/>
          <w:lang w:val="fr-CA" w:eastAsia="en-CA"/>
        </w:rPr>
        <w:noBreakHyphen/>
        <w:t xml:space="preserve"> Infractions en vertu du </w:t>
      </w:r>
      <w:r w:rsidRPr="00BC3BDF">
        <w:rPr>
          <w:rFonts w:eastAsia="Times New Roman" w:cs="Times New Roman"/>
          <w:i/>
          <w:iCs/>
          <w:sz w:val="20"/>
          <w:szCs w:val="20"/>
          <w:lang w:val="fr-CA" w:eastAsia="en-CA"/>
        </w:rPr>
        <w:t>Code criminel</w:t>
      </w:r>
      <w:r w:rsidRPr="00BC3BDF">
        <w:rPr>
          <w:rFonts w:eastAsia="Times New Roman" w:cs="Times New Roman"/>
          <w:iCs/>
          <w:sz w:val="20"/>
          <w:szCs w:val="20"/>
          <w:lang w:val="fr-CA" w:eastAsia="en-CA"/>
        </w:rPr>
        <w:t xml:space="preserve"> </w:t>
      </w:r>
      <w:r w:rsidRPr="00BC3BDF">
        <w:rPr>
          <w:rFonts w:eastAsia="Times New Roman" w:cs="Times New Roman"/>
          <w:iCs/>
          <w:sz w:val="20"/>
          <w:szCs w:val="20"/>
          <w:lang w:val="fr-CA" w:eastAsia="en-CA"/>
        </w:rPr>
        <w:noBreakHyphen/>
        <w:t xml:space="preserve"> Infractions contre la personne et la réputation </w:t>
      </w:r>
      <w:r w:rsidRPr="00BC3BDF">
        <w:rPr>
          <w:rFonts w:eastAsia="Times New Roman" w:cs="Times New Roman"/>
          <w:iCs/>
          <w:sz w:val="20"/>
          <w:szCs w:val="20"/>
          <w:lang w:val="fr-CA" w:eastAsia="en-CA"/>
        </w:rPr>
        <w:noBreakHyphen/>
        <w:t xml:space="preserve"> Harcèlement et menaces </w:t>
      </w:r>
      <w:r w:rsidRPr="00BC3BDF">
        <w:rPr>
          <w:rFonts w:eastAsia="Times New Roman" w:cs="Times New Roman"/>
          <w:iCs/>
          <w:sz w:val="20"/>
          <w:szCs w:val="20"/>
          <w:lang w:val="fr-CA" w:eastAsia="en-CA"/>
        </w:rPr>
        <w:noBreakHyphen/>
        <w:t xml:space="preserve"> Menaces de causer la mort ou des lésions corporelles </w:t>
      </w:r>
      <w:r w:rsidRPr="00BC3BDF">
        <w:rPr>
          <w:rFonts w:eastAsia="Times New Roman" w:cs="Times New Roman"/>
          <w:iCs/>
          <w:sz w:val="20"/>
          <w:szCs w:val="20"/>
          <w:lang w:val="fr-CA" w:eastAsia="en-CA"/>
        </w:rPr>
        <w:noBreakHyphen/>
        <w:t xml:space="preserve"> </w:t>
      </w:r>
      <w:r w:rsidRPr="00BC3BDF">
        <w:rPr>
          <w:rFonts w:eastAsia="Times New Roman" w:cs="Times New Roman"/>
          <w:sz w:val="20"/>
          <w:szCs w:val="20"/>
          <w:lang w:val="fr-CA" w:eastAsia="en-CA"/>
        </w:rPr>
        <w:t xml:space="preserve">La Cour d’appel </w:t>
      </w:r>
      <w:proofErr w:type="spellStart"/>
      <w:r w:rsidRPr="00BC3BDF">
        <w:rPr>
          <w:rFonts w:eastAsia="Times New Roman" w:cs="Times New Roman"/>
          <w:sz w:val="20"/>
          <w:szCs w:val="20"/>
          <w:lang w:val="fr-CA" w:eastAsia="en-CA"/>
        </w:rPr>
        <w:t>a</w:t>
      </w:r>
      <w:r w:rsidRPr="00BC3BDF">
        <w:rPr>
          <w:rFonts w:eastAsia="Times New Roman" w:cs="Times New Roman"/>
          <w:sz w:val="20"/>
          <w:szCs w:val="20"/>
          <w:lang w:val="fr-CA" w:eastAsia="en-CA"/>
        </w:rPr>
        <w:noBreakHyphen/>
        <w:t>t</w:t>
      </w:r>
      <w:r w:rsidRPr="00BC3BDF">
        <w:rPr>
          <w:rFonts w:eastAsia="Times New Roman" w:cs="Times New Roman"/>
          <w:sz w:val="20"/>
          <w:szCs w:val="20"/>
          <w:lang w:val="fr-CA" w:eastAsia="en-CA"/>
        </w:rPr>
        <w:noBreakHyphen/>
        <w:t>elle</w:t>
      </w:r>
      <w:proofErr w:type="spellEnd"/>
      <w:r w:rsidRPr="00BC3BDF">
        <w:rPr>
          <w:rFonts w:eastAsia="Times New Roman" w:cs="Times New Roman"/>
          <w:sz w:val="20"/>
          <w:szCs w:val="20"/>
          <w:lang w:val="fr-CA" w:eastAsia="en-CA"/>
        </w:rPr>
        <w:t xml:space="preserve"> erré en introduisant une nouvelle norme juridique, ou à tout le moins un champ d’exclusion du régime de l’art. 264.1 </w:t>
      </w:r>
      <w:proofErr w:type="gramStart"/>
      <w:r w:rsidRPr="00BC3BDF">
        <w:rPr>
          <w:rFonts w:eastAsia="Times New Roman" w:cs="Times New Roman"/>
          <w:sz w:val="20"/>
          <w:szCs w:val="20"/>
          <w:lang w:val="fr-CA" w:eastAsia="en-CA"/>
        </w:rPr>
        <w:t>du</w:t>
      </w:r>
      <w:proofErr w:type="gramEnd"/>
      <w:r w:rsidRPr="00BC3BDF">
        <w:rPr>
          <w:rFonts w:eastAsia="Times New Roman" w:cs="Times New Roman"/>
          <w:sz w:val="20"/>
          <w:szCs w:val="20"/>
          <w:lang w:val="fr-CA" w:eastAsia="en-CA"/>
        </w:rPr>
        <w:t xml:space="preserve"> </w:t>
      </w:r>
      <w:r w:rsidRPr="00BC3BDF">
        <w:rPr>
          <w:rFonts w:eastAsia="Times New Roman" w:cs="Times New Roman"/>
          <w:i/>
          <w:sz w:val="20"/>
          <w:szCs w:val="20"/>
          <w:lang w:val="fr-CA" w:eastAsia="en-CA"/>
        </w:rPr>
        <w:t>Code criminel</w:t>
      </w:r>
      <w:r w:rsidRPr="00BC3BDF">
        <w:rPr>
          <w:rFonts w:eastAsia="Times New Roman" w:cs="Times New Roman"/>
          <w:sz w:val="20"/>
          <w:szCs w:val="20"/>
          <w:lang w:val="fr-CA" w:eastAsia="en-CA"/>
        </w:rPr>
        <w:t>, et en statuant que les paroles menaçantes prononcées dans des circonstances où l’on suppose qu’il pourrait exister une expectative de confidentialité ne peuvent satisfaire à l’</w:t>
      </w:r>
      <w:r w:rsidRPr="00BC3BDF">
        <w:rPr>
          <w:rFonts w:eastAsia="Times New Roman" w:cs="Times New Roman"/>
          <w:i/>
          <w:sz w:val="20"/>
          <w:szCs w:val="20"/>
          <w:lang w:val="fr-CA" w:eastAsia="en-CA"/>
        </w:rPr>
        <w:t xml:space="preserve">actus </w:t>
      </w:r>
      <w:proofErr w:type="spellStart"/>
      <w:r w:rsidRPr="00BC3BDF">
        <w:rPr>
          <w:rFonts w:eastAsia="Times New Roman" w:cs="Times New Roman"/>
          <w:i/>
          <w:sz w:val="20"/>
          <w:szCs w:val="20"/>
          <w:lang w:val="fr-CA" w:eastAsia="en-CA"/>
        </w:rPr>
        <w:t>reus</w:t>
      </w:r>
      <w:proofErr w:type="spellEnd"/>
      <w:r w:rsidRPr="00BC3BDF">
        <w:rPr>
          <w:rFonts w:eastAsia="Times New Roman" w:cs="Times New Roman"/>
          <w:i/>
          <w:sz w:val="20"/>
          <w:szCs w:val="20"/>
          <w:lang w:val="fr-CA" w:eastAsia="en-CA"/>
        </w:rPr>
        <w:t xml:space="preserve"> </w:t>
      </w:r>
      <w:r w:rsidRPr="00BC3BDF">
        <w:rPr>
          <w:rFonts w:eastAsia="Times New Roman" w:cs="Times New Roman"/>
          <w:sz w:val="20"/>
          <w:szCs w:val="20"/>
          <w:lang w:val="fr-CA" w:eastAsia="en-CA"/>
        </w:rPr>
        <w:t xml:space="preserve">et à la </w:t>
      </w:r>
      <w:r w:rsidRPr="00BC3BDF">
        <w:rPr>
          <w:rFonts w:eastAsia="Times New Roman" w:cs="Times New Roman"/>
          <w:i/>
          <w:sz w:val="20"/>
          <w:szCs w:val="20"/>
          <w:lang w:val="fr-CA" w:eastAsia="en-CA"/>
        </w:rPr>
        <w:t xml:space="preserve">mens </w:t>
      </w:r>
      <w:proofErr w:type="spellStart"/>
      <w:r w:rsidRPr="00BC3BDF">
        <w:rPr>
          <w:rFonts w:eastAsia="Times New Roman" w:cs="Times New Roman"/>
          <w:i/>
          <w:sz w:val="20"/>
          <w:szCs w:val="20"/>
          <w:lang w:val="fr-CA" w:eastAsia="en-CA"/>
        </w:rPr>
        <w:t>rea</w:t>
      </w:r>
      <w:proofErr w:type="spellEnd"/>
      <w:r w:rsidRPr="00BC3BDF">
        <w:rPr>
          <w:rFonts w:eastAsia="Times New Roman" w:cs="Times New Roman"/>
          <w:sz w:val="20"/>
          <w:szCs w:val="20"/>
          <w:lang w:val="fr-CA" w:eastAsia="en-CA"/>
        </w:rPr>
        <w:t xml:space="preserve"> de l’infraction créée à cet article? </w:t>
      </w:r>
      <w:r w:rsidRPr="00BC3BDF">
        <w:rPr>
          <w:rFonts w:eastAsia="Times New Roman" w:cs="Times New Roman"/>
          <w:sz w:val="20"/>
          <w:szCs w:val="20"/>
          <w:lang w:val="fr-CA" w:eastAsia="en-CA"/>
        </w:rPr>
        <w:noBreakHyphen/>
        <w:t xml:space="preserve"> La Cour d’appel </w:t>
      </w:r>
      <w:proofErr w:type="spellStart"/>
      <w:r w:rsidRPr="00BC3BDF">
        <w:rPr>
          <w:rFonts w:eastAsia="Times New Roman" w:cs="Times New Roman"/>
          <w:sz w:val="20"/>
          <w:szCs w:val="20"/>
          <w:lang w:val="fr-CA" w:eastAsia="en-CA"/>
        </w:rPr>
        <w:t>a</w:t>
      </w:r>
      <w:r w:rsidRPr="00BC3BDF">
        <w:rPr>
          <w:rFonts w:eastAsia="Times New Roman" w:cs="Times New Roman"/>
          <w:sz w:val="20"/>
          <w:szCs w:val="20"/>
          <w:lang w:val="fr-CA" w:eastAsia="en-CA"/>
        </w:rPr>
        <w:noBreakHyphen/>
        <w:t>t</w:t>
      </w:r>
      <w:r w:rsidRPr="00BC3BDF">
        <w:rPr>
          <w:rFonts w:eastAsia="Times New Roman" w:cs="Times New Roman"/>
          <w:sz w:val="20"/>
          <w:szCs w:val="20"/>
          <w:lang w:val="fr-CA" w:eastAsia="en-CA"/>
        </w:rPr>
        <w:noBreakHyphen/>
        <w:t>elle</w:t>
      </w:r>
      <w:proofErr w:type="spellEnd"/>
      <w:r w:rsidRPr="00BC3BDF">
        <w:rPr>
          <w:rFonts w:eastAsia="Times New Roman" w:cs="Times New Roman"/>
          <w:sz w:val="20"/>
          <w:szCs w:val="20"/>
          <w:lang w:val="fr-CA" w:eastAsia="en-CA"/>
        </w:rPr>
        <w:t xml:space="preserve"> erré en droit en érigeant au titre de moyen de défense le fait que des menaces soient proférées en raison de la frustration, de la colère ou du désir de vengeance?</w:t>
      </w:r>
    </w:p>
    <w:p w:rsidR="00BC3BDF" w:rsidRPr="00BC3BDF" w:rsidRDefault="00BC3BDF" w:rsidP="00BC3BDF">
      <w:pPr>
        <w:widowControl w:val="0"/>
        <w:jc w:val="both"/>
        <w:rPr>
          <w:rFonts w:eastAsia="Times New Roman" w:cs="Times New Roman"/>
          <w:sz w:val="20"/>
          <w:szCs w:val="20"/>
          <w:lang w:val="fr-CA" w:eastAsia="en-CA"/>
        </w:rPr>
      </w:pPr>
    </w:p>
    <w:p w:rsidR="00BC3BDF" w:rsidRPr="00BC3BDF" w:rsidRDefault="00BC3BDF" w:rsidP="00BC3BDF">
      <w:pPr>
        <w:widowControl w:val="0"/>
        <w:jc w:val="both"/>
        <w:rPr>
          <w:rFonts w:eastAsia="Times New Roman" w:cs="Times New Roman"/>
          <w:sz w:val="20"/>
          <w:szCs w:val="20"/>
          <w:lang w:val="fr-CA" w:eastAsia="en-CA"/>
        </w:rPr>
      </w:pPr>
      <w:r w:rsidRPr="00BC3BDF">
        <w:rPr>
          <w:rFonts w:eastAsia="Times New Roman" w:cs="Times New Roman"/>
          <w:sz w:val="20"/>
          <w:szCs w:val="20"/>
          <w:lang w:val="fr-CA" w:eastAsia="en-CA"/>
        </w:rPr>
        <w:t>Alors qu’ils étaient incarcérés et en attente de procès ayant trait au trafic de stupéfiants, l’intimé M. </w:t>
      </w:r>
      <w:proofErr w:type="spellStart"/>
      <w:r w:rsidRPr="00BC3BDF">
        <w:rPr>
          <w:rFonts w:eastAsia="Times New Roman" w:cs="Times New Roman"/>
          <w:sz w:val="20"/>
          <w:szCs w:val="20"/>
          <w:lang w:val="fr-CA" w:eastAsia="en-CA"/>
        </w:rPr>
        <w:t>McRae</w:t>
      </w:r>
      <w:proofErr w:type="spellEnd"/>
      <w:r w:rsidRPr="00BC3BDF">
        <w:rPr>
          <w:rFonts w:eastAsia="Times New Roman" w:cs="Times New Roman"/>
          <w:sz w:val="20"/>
          <w:szCs w:val="20"/>
          <w:lang w:val="fr-CA" w:eastAsia="en-CA"/>
        </w:rPr>
        <w:t xml:space="preserve"> et une autre personne ont comploté ensemble un projet visant à attaquer le procureur de la Couronne, un policier enquêteur et quatre témoins.  Ayant eu vent de ce projet, les enquêteurs ont décidé de poser un dispositif d'écoute sur M. Cloutier, également détenu.  L’intimé est accusé de sept chefs d'avoir transmis une menace de causer la mort ou des lésions corporelles (art. 264.1(1</w:t>
      </w:r>
      <w:proofErr w:type="gramStart"/>
      <w:r w:rsidRPr="00BC3BDF">
        <w:rPr>
          <w:rFonts w:eastAsia="Times New Roman" w:cs="Times New Roman"/>
          <w:sz w:val="20"/>
          <w:szCs w:val="20"/>
          <w:lang w:val="fr-CA" w:eastAsia="en-CA"/>
        </w:rPr>
        <w:t>)</w:t>
      </w:r>
      <w:r w:rsidRPr="00BC3BDF">
        <w:rPr>
          <w:rFonts w:eastAsia="Times New Roman" w:cs="Times New Roman"/>
          <w:i/>
          <w:sz w:val="20"/>
          <w:szCs w:val="20"/>
          <w:lang w:val="fr-CA" w:eastAsia="en-CA"/>
        </w:rPr>
        <w:t>a</w:t>
      </w:r>
      <w:proofErr w:type="gramEnd"/>
      <w:r w:rsidRPr="00BC3BDF">
        <w:rPr>
          <w:rFonts w:eastAsia="Times New Roman" w:cs="Times New Roman"/>
          <w:sz w:val="20"/>
          <w:szCs w:val="20"/>
          <w:lang w:val="fr-CA" w:eastAsia="en-CA"/>
        </w:rPr>
        <w:t xml:space="preserve">) du </w:t>
      </w:r>
      <w:r w:rsidRPr="00BC3BDF">
        <w:rPr>
          <w:rFonts w:eastAsia="Times New Roman" w:cs="Times New Roman"/>
          <w:i/>
          <w:sz w:val="20"/>
          <w:szCs w:val="20"/>
          <w:lang w:val="fr-CA" w:eastAsia="en-CA"/>
        </w:rPr>
        <w:t xml:space="preserve">Code criminel.  </w:t>
      </w:r>
      <w:r w:rsidRPr="00BC3BDF">
        <w:rPr>
          <w:rFonts w:eastAsia="Times New Roman" w:cs="Times New Roman"/>
          <w:sz w:val="20"/>
          <w:szCs w:val="20"/>
          <w:lang w:val="fr-CA" w:eastAsia="en-CA"/>
        </w:rPr>
        <w:t>Au procès, la Couronne a mis en preuve les paroles de l’intimé.</w:t>
      </w:r>
    </w:p>
    <w:p w:rsidR="006A7C9F" w:rsidRPr="004614AB" w:rsidRDefault="006A7C9F" w:rsidP="006A7C9F">
      <w:pPr>
        <w:widowControl w:val="0"/>
        <w:jc w:val="both"/>
        <w:rPr>
          <w:sz w:val="20"/>
          <w:szCs w:val="20"/>
          <w:lang w:val="fr-CA"/>
        </w:rPr>
      </w:pPr>
    </w:p>
    <w:p w:rsidR="006A7C9F" w:rsidRPr="004614AB" w:rsidRDefault="006A7C9F" w:rsidP="006A7C9F">
      <w:pPr>
        <w:widowControl w:val="0"/>
        <w:jc w:val="both"/>
        <w:rPr>
          <w:sz w:val="20"/>
          <w:szCs w:val="20"/>
          <w:lang w:val="fr-CA"/>
        </w:rPr>
      </w:pPr>
    </w:p>
    <w:p w:rsidR="006A7C9F" w:rsidRPr="004614AB" w:rsidRDefault="006A7C9F" w:rsidP="006A7C9F">
      <w:pPr>
        <w:widowControl w:val="0"/>
        <w:ind w:left="2880" w:hanging="2880"/>
        <w:jc w:val="both"/>
        <w:rPr>
          <w:sz w:val="20"/>
          <w:szCs w:val="20"/>
          <w:lang w:val="fr-CA"/>
        </w:rPr>
      </w:pPr>
      <w:r w:rsidRPr="004614AB">
        <w:rPr>
          <w:sz w:val="20"/>
          <w:szCs w:val="20"/>
          <w:lang w:val="fr-CA"/>
        </w:rPr>
        <w:t>Origine:</w:t>
      </w:r>
      <w:r w:rsidRPr="004614AB">
        <w:rPr>
          <w:sz w:val="20"/>
          <w:szCs w:val="20"/>
          <w:lang w:val="fr-CA"/>
        </w:rPr>
        <w:tab/>
        <w:t>Québec</w:t>
      </w:r>
    </w:p>
    <w:p w:rsidR="006A7C9F" w:rsidRPr="004614AB" w:rsidRDefault="006A7C9F" w:rsidP="006A7C9F">
      <w:pPr>
        <w:widowControl w:val="0"/>
        <w:ind w:left="2880" w:hanging="2880"/>
        <w:jc w:val="both"/>
        <w:rPr>
          <w:sz w:val="20"/>
          <w:szCs w:val="20"/>
          <w:lang w:val="fr-CA"/>
        </w:rPr>
      </w:pPr>
    </w:p>
    <w:p w:rsidR="006A7C9F" w:rsidRPr="004614AB" w:rsidRDefault="006A7C9F" w:rsidP="006A7C9F">
      <w:pPr>
        <w:widowControl w:val="0"/>
        <w:ind w:left="2880" w:hanging="2880"/>
        <w:jc w:val="both"/>
        <w:rPr>
          <w:sz w:val="20"/>
          <w:szCs w:val="20"/>
          <w:lang w:val="fr-CA"/>
        </w:rPr>
      </w:pPr>
      <w:r w:rsidRPr="004614AB">
        <w:rPr>
          <w:sz w:val="20"/>
          <w:szCs w:val="20"/>
          <w:lang w:val="fr-CA"/>
        </w:rPr>
        <w:t>N</w:t>
      </w:r>
      <w:r w:rsidRPr="004614AB">
        <w:rPr>
          <w:sz w:val="20"/>
          <w:szCs w:val="20"/>
          <w:vertAlign w:val="superscript"/>
          <w:lang w:val="fr-CA"/>
        </w:rPr>
        <w:t>o</w:t>
      </w:r>
      <w:r w:rsidRPr="004614AB">
        <w:rPr>
          <w:sz w:val="20"/>
          <w:szCs w:val="20"/>
          <w:lang w:val="fr-CA"/>
        </w:rPr>
        <w:t xml:space="preserve"> du greffe:</w:t>
      </w:r>
      <w:r w:rsidRPr="004614AB">
        <w:rPr>
          <w:sz w:val="20"/>
          <w:szCs w:val="20"/>
          <w:lang w:val="fr-CA"/>
        </w:rPr>
        <w:tab/>
        <w:t>34743</w:t>
      </w:r>
    </w:p>
    <w:p w:rsidR="006A7C9F" w:rsidRPr="004614AB" w:rsidRDefault="006A7C9F" w:rsidP="006A7C9F">
      <w:pPr>
        <w:widowControl w:val="0"/>
        <w:ind w:left="2880" w:hanging="2880"/>
        <w:jc w:val="both"/>
        <w:rPr>
          <w:sz w:val="20"/>
          <w:szCs w:val="20"/>
          <w:lang w:val="fr-CA"/>
        </w:rPr>
      </w:pPr>
    </w:p>
    <w:p w:rsidR="006A7C9F" w:rsidRPr="004614AB" w:rsidRDefault="006A7C9F" w:rsidP="006A7C9F">
      <w:pPr>
        <w:widowControl w:val="0"/>
        <w:ind w:left="2880" w:hanging="2880"/>
        <w:jc w:val="both"/>
        <w:rPr>
          <w:sz w:val="20"/>
          <w:szCs w:val="20"/>
          <w:lang w:val="fr-CA"/>
        </w:rPr>
      </w:pPr>
      <w:r w:rsidRPr="004614AB">
        <w:rPr>
          <w:sz w:val="20"/>
          <w:szCs w:val="20"/>
          <w:lang w:val="fr-CA"/>
        </w:rPr>
        <w:t>Arrêt de la Cour d’appel:</w:t>
      </w:r>
      <w:r w:rsidRPr="004614AB">
        <w:rPr>
          <w:sz w:val="20"/>
          <w:szCs w:val="20"/>
          <w:lang w:val="fr-CA"/>
        </w:rPr>
        <w:tab/>
        <w:t>Le 3 février 2012</w:t>
      </w:r>
    </w:p>
    <w:p w:rsidR="006A7C9F" w:rsidRPr="004614AB" w:rsidRDefault="006A7C9F" w:rsidP="006A7C9F">
      <w:pPr>
        <w:widowControl w:val="0"/>
        <w:ind w:left="2880" w:hanging="2880"/>
        <w:jc w:val="both"/>
        <w:rPr>
          <w:sz w:val="20"/>
          <w:szCs w:val="20"/>
          <w:lang w:val="fr-CA"/>
        </w:rPr>
      </w:pPr>
    </w:p>
    <w:p w:rsidR="006A7C9F" w:rsidRPr="004614AB" w:rsidRDefault="006A7C9F" w:rsidP="006A7C9F">
      <w:pPr>
        <w:widowControl w:val="0"/>
        <w:ind w:left="2880" w:hanging="2880"/>
        <w:jc w:val="both"/>
        <w:rPr>
          <w:sz w:val="20"/>
          <w:szCs w:val="20"/>
          <w:lang w:val="fr-CA"/>
        </w:rPr>
      </w:pPr>
      <w:r w:rsidRPr="004614AB">
        <w:rPr>
          <w:sz w:val="20"/>
          <w:szCs w:val="20"/>
          <w:lang w:val="fr-CA"/>
        </w:rPr>
        <w:t>Avocats:</w:t>
      </w:r>
      <w:r w:rsidRPr="004614AB">
        <w:rPr>
          <w:sz w:val="20"/>
          <w:szCs w:val="20"/>
          <w:lang w:val="fr-CA"/>
        </w:rPr>
        <w:tab/>
        <w:t xml:space="preserve">Sébastien </w:t>
      </w:r>
      <w:proofErr w:type="spellStart"/>
      <w:r w:rsidRPr="004614AB">
        <w:rPr>
          <w:sz w:val="20"/>
          <w:szCs w:val="20"/>
          <w:lang w:val="fr-CA"/>
        </w:rPr>
        <w:t>Bergeron</w:t>
      </w:r>
      <w:r w:rsidRPr="004614AB">
        <w:rPr>
          <w:sz w:val="20"/>
          <w:szCs w:val="20"/>
          <w:lang w:val="fr-CA"/>
        </w:rPr>
        <w:noBreakHyphen/>
        <w:t>Guyard</w:t>
      </w:r>
      <w:proofErr w:type="spellEnd"/>
      <w:r w:rsidRPr="004614AB">
        <w:rPr>
          <w:sz w:val="20"/>
          <w:szCs w:val="20"/>
          <w:lang w:val="fr-CA"/>
        </w:rPr>
        <w:t xml:space="preserve"> et Thomas Jacques pour l’appelante</w:t>
      </w:r>
    </w:p>
    <w:p w:rsidR="006A7C9F" w:rsidRPr="004614AB" w:rsidRDefault="006A7C9F" w:rsidP="006A7C9F">
      <w:pPr>
        <w:widowControl w:val="0"/>
        <w:ind w:left="2880" w:hanging="2880"/>
        <w:jc w:val="both"/>
        <w:rPr>
          <w:sz w:val="20"/>
          <w:szCs w:val="20"/>
          <w:lang w:val="fr-CA"/>
        </w:rPr>
      </w:pPr>
      <w:r w:rsidRPr="004614AB">
        <w:rPr>
          <w:sz w:val="20"/>
          <w:szCs w:val="20"/>
          <w:lang w:val="fr-CA"/>
        </w:rPr>
        <w:tab/>
        <w:t>Stéphanie Carrier pour l’intimé</w:t>
      </w:r>
    </w:p>
    <w:p w:rsidR="006A7C9F" w:rsidRPr="004614AB" w:rsidRDefault="006A7C9F" w:rsidP="006A7C9F">
      <w:pPr>
        <w:widowControl w:val="0"/>
        <w:jc w:val="both"/>
        <w:rPr>
          <w:sz w:val="20"/>
          <w:szCs w:val="20"/>
          <w:lang w:val="fr-CA"/>
        </w:rPr>
      </w:pP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101"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6A7C9F" w:rsidRPr="00D92A33" w:rsidRDefault="0017005E" w:rsidP="006A7C9F">
      <w:pPr>
        <w:widowControl w:val="0"/>
        <w:ind w:left="720" w:hanging="720"/>
        <w:jc w:val="both"/>
        <w:rPr>
          <w:sz w:val="20"/>
          <w:szCs w:val="20"/>
        </w:rPr>
      </w:pPr>
      <w:r w:rsidRPr="00D92A33">
        <w:rPr>
          <w:b/>
          <w:sz w:val="20"/>
          <w:szCs w:val="20"/>
        </w:rPr>
        <w:lastRenderedPageBreak/>
        <w:fldChar w:fldCharType="begin"/>
      </w:r>
      <w:r w:rsidR="006A7C9F" w:rsidRPr="00D92A33">
        <w:rPr>
          <w:b/>
          <w:sz w:val="20"/>
          <w:szCs w:val="20"/>
        </w:rPr>
        <w:instrText xml:space="preserve"> SEQ CHAPTER \h \r 1</w:instrText>
      </w:r>
      <w:r w:rsidRPr="00D92A33">
        <w:rPr>
          <w:b/>
          <w:sz w:val="20"/>
          <w:szCs w:val="20"/>
        </w:rPr>
        <w:fldChar w:fldCharType="end"/>
      </w:r>
      <w:r w:rsidR="006A7C9F" w:rsidRPr="00D92A33">
        <w:rPr>
          <w:b/>
          <w:sz w:val="20"/>
          <w:szCs w:val="20"/>
        </w:rPr>
        <w:t>34863</w:t>
      </w:r>
      <w:r w:rsidR="006A7C9F" w:rsidRPr="00D92A33">
        <w:rPr>
          <w:sz w:val="20"/>
          <w:szCs w:val="20"/>
        </w:rPr>
        <w:tab/>
      </w:r>
      <w:r w:rsidR="006A7C9F" w:rsidRPr="00D92A33">
        <w:rPr>
          <w:b/>
          <w:i/>
          <w:sz w:val="20"/>
          <w:szCs w:val="20"/>
        </w:rPr>
        <w:t xml:space="preserve">A.I. Enterprises Ltd. and Alan </w:t>
      </w:r>
      <w:proofErr w:type="spellStart"/>
      <w:r w:rsidR="006A7C9F" w:rsidRPr="00D92A33">
        <w:rPr>
          <w:b/>
          <w:i/>
          <w:sz w:val="20"/>
          <w:szCs w:val="20"/>
        </w:rPr>
        <w:t>Schelew</w:t>
      </w:r>
      <w:proofErr w:type="spellEnd"/>
      <w:r w:rsidR="006A7C9F" w:rsidRPr="00D92A33">
        <w:rPr>
          <w:b/>
          <w:i/>
          <w:sz w:val="20"/>
          <w:szCs w:val="20"/>
        </w:rPr>
        <w:t xml:space="preserve"> v. Bram Enterprises Ltd. and Jamb Enterprises Ltd. </w:t>
      </w:r>
    </w:p>
    <w:p w:rsidR="006A7C9F" w:rsidRPr="00D92A33" w:rsidRDefault="006A7C9F" w:rsidP="006A7C9F">
      <w:pPr>
        <w:widowControl w:val="0"/>
        <w:jc w:val="both"/>
        <w:rPr>
          <w:sz w:val="20"/>
          <w:szCs w:val="20"/>
        </w:rPr>
      </w:pPr>
    </w:p>
    <w:p w:rsidR="006A7C9F" w:rsidRPr="00D92A33" w:rsidRDefault="006A7C9F" w:rsidP="006A7C9F">
      <w:pPr>
        <w:widowControl w:val="0"/>
        <w:jc w:val="both"/>
        <w:rPr>
          <w:sz w:val="20"/>
          <w:szCs w:val="20"/>
        </w:rPr>
      </w:pPr>
      <w:r w:rsidRPr="00D92A33">
        <w:rPr>
          <w:sz w:val="20"/>
          <w:szCs w:val="20"/>
        </w:rPr>
        <w:t xml:space="preserve">Torts </w:t>
      </w:r>
      <w:r w:rsidRPr="00D92A33">
        <w:rPr>
          <w:sz w:val="20"/>
          <w:szCs w:val="20"/>
        </w:rPr>
        <w:noBreakHyphen/>
        <w:t xml:space="preserve"> Intentional torts </w:t>
      </w:r>
      <w:r w:rsidRPr="00D92A33">
        <w:rPr>
          <w:sz w:val="20"/>
          <w:szCs w:val="20"/>
        </w:rPr>
        <w:noBreakHyphen/>
        <w:t xml:space="preserve"> Economic tort of interfering with contractual relations by unlawful means </w:t>
      </w:r>
      <w:r w:rsidRPr="00D92A33">
        <w:rPr>
          <w:sz w:val="20"/>
          <w:szCs w:val="20"/>
        </w:rPr>
        <w:noBreakHyphen/>
        <w:t xml:space="preserve"> Whether the Court of Appeal erred in law in failing to adopt and apply a definition of unlawful means that would require that any acts committed by the appellants against </w:t>
      </w:r>
      <w:proofErr w:type="spellStart"/>
      <w:r w:rsidRPr="00D92A33">
        <w:rPr>
          <w:sz w:val="20"/>
          <w:szCs w:val="20"/>
        </w:rPr>
        <w:t>Greenarm</w:t>
      </w:r>
      <w:proofErr w:type="spellEnd"/>
      <w:r w:rsidRPr="00D92A33">
        <w:rPr>
          <w:sz w:val="20"/>
          <w:szCs w:val="20"/>
        </w:rPr>
        <w:t xml:space="preserve"> Management Ltd. count as unlawful means only if they were actionable by that third party, subject to the single qualification that they would also be unlawful means if the only reason for which they were not actionable was because the third party had suffered no loss </w:t>
      </w:r>
      <w:r w:rsidRPr="00D92A33">
        <w:rPr>
          <w:sz w:val="20"/>
          <w:szCs w:val="20"/>
        </w:rPr>
        <w:noBreakHyphen/>
        <w:t xml:space="preserve"> Whether the Court of Appeal erred in law in failing to exclude from the scope of unlawful means acts that were otherwise directly actionable by the respondents against the appellants </w:t>
      </w:r>
      <w:r w:rsidRPr="00D92A33">
        <w:rPr>
          <w:sz w:val="20"/>
          <w:szCs w:val="20"/>
        </w:rPr>
        <w:noBreakHyphen/>
        <w:t xml:space="preserve"> Whether the Court of Appeal erred in law in failing to apply the proper test to determine whether the appellants had actual knowledge or a suspicion of sufficient strength that an agreement existed coupled with a deliberate choice not to make inquiries.</w:t>
      </w:r>
    </w:p>
    <w:p w:rsidR="006A7C9F" w:rsidRPr="00D92A33" w:rsidRDefault="006A7C9F" w:rsidP="006A7C9F">
      <w:pPr>
        <w:widowControl w:val="0"/>
        <w:jc w:val="both"/>
        <w:rPr>
          <w:sz w:val="20"/>
          <w:szCs w:val="20"/>
        </w:rPr>
      </w:pPr>
    </w:p>
    <w:p w:rsidR="006A7C9F" w:rsidRPr="00D92A33" w:rsidRDefault="006A7C9F" w:rsidP="006A7C9F">
      <w:pPr>
        <w:widowControl w:val="0"/>
        <w:jc w:val="both"/>
        <w:rPr>
          <w:sz w:val="20"/>
          <w:szCs w:val="20"/>
        </w:rPr>
      </w:pPr>
      <w:r w:rsidRPr="00D92A33">
        <w:rPr>
          <w:sz w:val="20"/>
          <w:szCs w:val="20"/>
        </w:rPr>
        <w:t xml:space="preserve">Five members of a family were involved in the ownership, directorship and management of an apartment building in Moncton, N.B.  One member of the family managed the building for a fee (the appellants Alan </w:t>
      </w:r>
      <w:proofErr w:type="spellStart"/>
      <w:r w:rsidRPr="00D92A33">
        <w:rPr>
          <w:sz w:val="20"/>
          <w:szCs w:val="20"/>
        </w:rPr>
        <w:t>Schelew</w:t>
      </w:r>
      <w:proofErr w:type="spellEnd"/>
      <w:r w:rsidRPr="00D92A33">
        <w:rPr>
          <w:sz w:val="20"/>
          <w:szCs w:val="20"/>
        </w:rPr>
        <w:t xml:space="preserve"> and A.I. enterprises Ltd.).  In 2000, four members representing the majority decided to sell the building.  The relationship between the parties was regulated by a “syndication agreement”.  The syndication agreement provided that if the majority decided to sell, the minority would have the right to purchase the building at its appraised value, failing which the property could be marketed to the public.  The managing member disagreed with the sale.  From spring 2000 to fall 2002, the majority tried to sell the building to interested third parties without success.  The managing family member eventually purchased the property but the majority argued that the sale was two years later than expected and it was sold for an amount smaller that the majority could have gotten from a third party purchaser.  They argued at trial that the managing member and his company breached their obligations and acted unlawfully towards them and committed an economic interference resulting in losses and they sought damages.  The trial judge agreed, found the economic tort of interfering with contractual relations by unlawful means had been established and awarded damages to the respondents.  The Court of Appeal dismissed the appeal.</w:t>
      </w:r>
    </w:p>
    <w:p w:rsidR="006A7C9F" w:rsidRPr="00D92A33" w:rsidRDefault="006A7C9F" w:rsidP="006A7C9F">
      <w:pPr>
        <w:widowControl w:val="0"/>
        <w:jc w:val="both"/>
        <w:rPr>
          <w:sz w:val="20"/>
          <w:szCs w:val="20"/>
        </w:rPr>
      </w:pPr>
    </w:p>
    <w:p w:rsidR="006A7C9F" w:rsidRPr="00D92A33" w:rsidRDefault="006A7C9F" w:rsidP="006A7C9F">
      <w:pPr>
        <w:widowControl w:val="0"/>
        <w:jc w:val="both"/>
        <w:rPr>
          <w:sz w:val="20"/>
          <w:szCs w:val="20"/>
        </w:rPr>
      </w:pPr>
    </w:p>
    <w:p w:rsidR="006A7C9F" w:rsidRPr="00D92A33" w:rsidRDefault="006A7C9F" w:rsidP="006A7C9F">
      <w:pPr>
        <w:widowControl w:val="0"/>
        <w:ind w:left="2880" w:hanging="2880"/>
        <w:jc w:val="both"/>
        <w:rPr>
          <w:sz w:val="20"/>
          <w:szCs w:val="20"/>
        </w:rPr>
      </w:pPr>
      <w:r w:rsidRPr="00D92A33">
        <w:rPr>
          <w:sz w:val="20"/>
          <w:szCs w:val="20"/>
        </w:rPr>
        <w:t>Origin of the case:</w:t>
      </w:r>
      <w:r w:rsidRPr="00D92A33">
        <w:rPr>
          <w:sz w:val="20"/>
          <w:szCs w:val="20"/>
        </w:rPr>
        <w:tab/>
        <w:t>New Brunswick</w:t>
      </w:r>
    </w:p>
    <w:p w:rsidR="006A7C9F" w:rsidRPr="00D92A33" w:rsidRDefault="006A7C9F" w:rsidP="006A7C9F">
      <w:pPr>
        <w:widowControl w:val="0"/>
        <w:ind w:left="2880" w:hanging="2880"/>
        <w:jc w:val="both"/>
        <w:rPr>
          <w:sz w:val="20"/>
          <w:szCs w:val="20"/>
        </w:rPr>
      </w:pPr>
    </w:p>
    <w:p w:rsidR="006A7C9F" w:rsidRPr="00D92A33" w:rsidRDefault="006A7C9F" w:rsidP="006A7C9F">
      <w:pPr>
        <w:widowControl w:val="0"/>
        <w:ind w:left="2880" w:hanging="2880"/>
        <w:jc w:val="both"/>
        <w:rPr>
          <w:sz w:val="20"/>
          <w:szCs w:val="20"/>
        </w:rPr>
      </w:pPr>
      <w:r w:rsidRPr="00D92A33">
        <w:rPr>
          <w:sz w:val="20"/>
          <w:szCs w:val="20"/>
        </w:rPr>
        <w:t>File No.:</w:t>
      </w:r>
      <w:r w:rsidRPr="00D92A33">
        <w:rPr>
          <w:sz w:val="20"/>
          <w:szCs w:val="20"/>
        </w:rPr>
        <w:tab/>
        <w:t>34863</w:t>
      </w:r>
    </w:p>
    <w:p w:rsidR="006A7C9F" w:rsidRPr="00D92A33" w:rsidRDefault="006A7C9F" w:rsidP="006A7C9F">
      <w:pPr>
        <w:widowControl w:val="0"/>
        <w:ind w:left="2880" w:hanging="2880"/>
        <w:jc w:val="both"/>
        <w:rPr>
          <w:sz w:val="20"/>
          <w:szCs w:val="20"/>
        </w:rPr>
      </w:pPr>
    </w:p>
    <w:p w:rsidR="006A7C9F" w:rsidRPr="00D92A33" w:rsidRDefault="006A7C9F" w:rsidP="006A7C9F">
      <w:pPr>
        <w:widowControl w:val="0"/>
        <w:ind w:left="2880" w:hanging="2880"/>
        <w:jc w:val="both"/>
        <w:rPr>
          <w:sz w:val="20"/>
          <w:szCs w:val="20"/>
        </w:rPr>
      </w:pPr>
      <w:r w:rsidRPr="00D92A33">
        <w:rPr>
          <w:sz w:val="20"/>
          <w:szCs w:val="20"/>
        </w:rPr>
        <w:t>Judgment of the Court of Appeal:</w:t>
      </w:r>
      <w:r w:rsidRPr="00D92A33">
        <w:rPr>
          <w:sz w:val="20"/>
          <w:szCs w:val="20"/>
        </w:rPr>
        <w:tab/>
        <w:t>April 12, 2012</w:t>
      </w:r>
    </w:p>
    <w:p w:rsidR="006A7C9F" w:rsidRPr="00D92A33" w:rsidRDefault="006A7C9F" w:rsidP="006A7C9F">
      <w:pPr>
        <w:widowControl w:val="0"/>
        <w:ind w:left="2880" w:hanging="2880"/>
        <w:jc w:val="both"/>
        <w:rPr>
          <w:sz w:val="20"/>
          <w:szCs w:val="20"/>
        </w:rPr>
      </w:pPr>
    </w:p>
    <w:p w:rsidR="006A7C9F" w:rsidRPr="00D92A33" w:rsidRDefault="006A7C9F" w:rsidP="006A7C9F">
      <w:pPr>
        <w:widowControl w:val="0"/>
        <w:ind w:left="2880" w:hanging="2880"/>
        <w:jc w:val="both"/>
        <w:rPr>
          <w:sz w:val="20"/>
          <w:szCs w:val="20"/>
        </w:rPr>
      </w:pPr>
      <w:r w:rsidRPr="00D92A33">
        <w:rPr>
          <w:sz w:val="20"/>
          <w:szCs w:val="20"/>
        </w:rPr>
        <w:t>Counsel:</w:t>
      </w:r>
      <w:r w:rsidRPr="00D92A33">
        <w:rPr>
          <w:sz w:val="20"/>
          <w:szCs w:val="20"/>
        </w:rPr>
        <w:tab/>
        <w:t>Richard J. Scott, Q.C. for the appellants</w:t>
      </w:r>
    </w:p>
    <w:p w:rsidR="006A7C9F" w:rsidRPr="00D92A33" w:rsidRDefault="006A7C9F" w:rsidP="006A7C9F">
      <w:pPr>
        <w:widowControl w:val="0"/>
        <w:ind w:left="2880" w:hanging="2880"/>
        <w:jc w:val="both"/>
        <w:rPr>
          <w:sz w:val="20"/>
          <w:szCs w:val="20"/>
        </w:rPr>
      </w:pPr>
      <w:r w:rsidRPr="00D92A33">
        <w:rPr>
          <w:sz w:val="20"/>
          <w:szCs w:val="20"/>
        </w:rPr>
        <w:tab/>
        <w:t xml:space="preserve">Charles A. </w:t>
      </w:r>
      <w:proofErr w:type="spellStart"/>
      <w:r w:rsidRPr="00D92A33">
        <w:rPr>
          <w:sz w:val="20"/>
          <w:szCs w:val="20"/>
        </w:rPr>
        <w:t>LeBlond</w:t>
      </w:r>
      <w:proofErr w:type="spellEnd"/>
      <w:r w:rsidRPr="00D92A33">
        <w:rPr>
          <w:sz w:val="20"/>
          <w:szCs w:val="20"/>
        </w:rPr>
        <w:t>, Q.C. for the respondents</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102"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9D7A69" w:rsidRPr="0060351D" w:rsidRDefault="0017005E" w:rsidP="009D7A69">
      <w:pPr>
        <w:widowControl w:val="0"/>
        <w:ind w:left="720" w:hanging="720"/>
        <w:jc w:val="both"/>
        <w:rPr>
          <w:sz w:val="20"/>
          <w:szCs w:val="20"/>
          <w:lang w:val="fr-CA"/>
        </w:rPr>
      </w:pPr>
      <w:r w:rsidRPr="0060351D">
        <w:rPr>
          <w:b/>
          <w:sz w:val="20"/>
          <w:szCs w:val="20"/>
          <w:lang w:val="fr-CA"/>
        </w:rPr>
        <w:lastRenderedPageBreak/>
        <w:fldChar w:fldCharType="begin"/>
      </w:r>
      <w:r w:rsidR="009D7A69" w:rsidRPr="0060351D">
        <w:rPr>
          <w:b/>
          <w:sz w:val="20"/>
          <w:szCs w:val="20"/>
          <w:lang w:val="fr-CA"/>
        </w:rPr>
        <w:instrText xml:space="preserve"> SEQ CHAPTER \h \r 1</w:instrText>
      </w:r>
      <w:r w:rsidRPr="0060351D">
        <w:rPr>
          <w:b/>
          <w:sz w:val="20"/>
          <w:szCs w:val="20"/>
          <w:lang w:val="fr-CA"/>
        </w:rPr>
        <w:fldChar w:fldCharType="end"/>
      </w:r>
      <w:r w:rsidR="009D7A69" w:rsidRPr="0060351D">
        <w:rPr>
          <w:b/>
          <w:sz w:val="20"/>
          <w:szCs w:val="20"/>
          <w:lang w:val="fr-CA"/>
        </w:rPr>
        <w:t>34863</w:t>
      </w:r>
      <w:r w:rsidR="009D7A69" w:rsidRPr="0060351D">
        <w:rPr>
          <w:sz w:val="20"/>
          <w:szCs w:val="20"/>
          <w:lang w:val="fr-CA"/>
        </w:rPr>
        <w:tab/>
      </w:r>
      <w:r w:rsidR="009D7A69" w:rsidRPr="0060351D">
        <w:rPr>
          <w:b/>
          <w:i/>
          <w:sz w:val="20"/>
          <w:szCs w:val="20"/>
          <w:lang w:val="fr-CA"/>
        </w:rPr>
        <w:t xml:space="preserve">A.I. </w:t>
      </w:r>
      <w:proofErr w:type="spellStart"/>
      <w:r w:rsidR="009D7A69" w:rsidRPr="0060351D">
        <w:rPr>
          <w:b/>
          <w:i/>
          <w:sz w:val="20"/>
          <w:szCs w:val="20"/>
          <w:lang w:val="fr-CA"/>
        </w:rPr>
        <w:t>Enterprises</w:t>
      </w:r>
      <w:proofErr w:type="spellEnd"/>
      <w:r w:rsidR="009D7A69" w:rsidRPr="0060351D">
        <w:rPr>
          <w:b/>
          <w:i/>
          <w:sz w:val="20"/>
          <w:szCs w:val="20"/>
          <w:lang w:val="fr-CA"/>
        </w:rPr>
        <w:t xml:space="preserve"> Ltd. et Alan </w:t>
      </w:r>
      <w:proofErr w:type="spellStart"/>
      <w:r w:rsidR="009D7A69" w:rsidRPr="0060351D">
        <w:rPr>
          <w:b/>
          <w:i/>
          <w:sz w:val="20"/>
          <w:szCs w:val="20"/>
          <w:lang w:val="fr-CA"/>
        </w:rPr>
        <w:t>Schelew</w:t>
      </w:r>
      <w:proofErr w:type="spellEnd"/>
      <w:r w:rsidR="009D7A69" w:rsidRPr="0060351D">
        <w:rPr>
          <w:b/>
          <w:i/>
          <w:sz w:val="20"/>
          <w:szCs w:val="20"/>
          <w:lang w:val="fr-CA"/>
        </w:rPr>
        <w:t xml:space="preserve"> c. Bram </w:t>
      </w:r>
      <w:proofErr w:type="spellStart"/>
      <w:r w:rsidR="009D7A69" w:rsidRPr="0060351D">
        <w:rPr>
          <w:b/>
          <w:i/>
          <w:sz w:val="20"/>
          <w:szCs w:val="20"/>
          <w:lang w:val="fr-CA"/>
        </w:rPr>
        <w:t>Enterprises</w:t>
      </w:r>
      <w:proofErr w:type="spellEnd"/>
      <w:r w:rsidR="009D7A69" w:rsidRPr="0060351D">
        <w:rPr>
          <w:b/>
          <w:i/>
          <w:sz w:val="20"/>
          <w:szCs w:val="20"/>
          <w:lang w:val="fr-CA"/>
        </w:rPr>
        <w:t xml:space="preserve"> Ltd. et </w:t>
      </w:r>
      <w:proofErr w:type="spellStart"/>
      <w:r w:rsidR="009D7A69" w:rsidRPr="0060351D">
        <w:rPr>
          <w:b/>
          <w:i/>
          <w:sz w:val="20"/>
          <w:szCs w:val="20"/>
          <w:lang w:val="fr-CA"/>
        </w:rPr>
        <w:t>Jamb</w:t>
      </w:r>
      <w:proofErr w:type="spellEnd"/>
      <w:r w:rsidR="009D7A69" w:rsidRPr="0060351D">
        <w:rPr>
          <w:b/>
          <w:i/>
          <w:sz w:val="20"/>
          <w:szCs w:val="20"/>
          <w:lang w:val="fr-CA"/>
        </w:rPr>
        <w:t xml:space="preserve"> </w:t>
      </w:r>
      <w:proofErr w:type="spellStart"/>
      <w:r w:rsidR="009D7A69" w:rsidRPr="0060351D">
        <w:rPr>
          <w:b/>
          <w:i/>
          <w:sz w:val="20"/>
          <w:szCs w:val="20"/>
          <w:lang w:val="fr-CA"/>
        </w:rPr>
        <w:t>Enterprises</w:t>
      </w:r>
      <w:proofErr w:type="spellEnd"/>
      <w:r w:rsidR="009D7A69" w:rsidRPr="0060351D">
        <w:rPr>
          <w:b/>
          <w:i/>
          <w:sz w:val="20"/>
          <w:szCs w:val="20"/>
          <w:lang w:val="fr-CA"/>
        </w:rPr>
        <w:t xml:space="preserve"> Ltd. </w:t>
      </w:r>
    </w:p>
    <w:p w:rsidR="009D7A69" w:rsidRPr="0060351D" w:rsidRDefault="009D7A69" w:rsidP="009D7A69">
      <w:pPr>
        <w:widowControl w:val="0"/>
        <w:jc w:val="both"/>
        <w:rPr>
          <w:sz w:val="20"/>
          <w:szCs w:val="20"/>
          <w:lang w:val="fr-CA"/>
        </w:rPr>
      </w:pPr>
    </w:p>
    <w:p w:rsidR="009D7A69" w:rsidRPr="0060351D" w:rsidRDefault="009D7A69" w:rsidP="009D7A69">
      <w:pPr>
        <w:widowControl w:val="0"/>
        <w:jc w:val="both"/>
        <w:rPr>
          <w:sz w:val="20"/>
          <w:szCs w:val="20"/>
          <w:lang w:val="fr-CA"/>
        </w:rPr>
      </w:pPr>
      <w:r w:rsidRPr="0060351D">
        <w:rPr>
          <w:sz w:val="20"/>
          <w:szCs w:val="20"/>
          <w:lang w:val="fr-CA"/>
        </w:rPr>
        <w:t xml:space="preserve">Responsabilité délictuelle </w:t>
      </w:r>
      <w:r w:rsidRPr="0060351D">
        <w:rPr>
          <w:sz w:val="20"/>
          <w:szCs w:val="20"/>
          <w:lang w:val="fr-CA"/>
        </w:rPr>
        <w:noBreakHyphen/>
        <w:t xml:space="preserve"> Délits intentionnels </w:t>
      </w:r>
      <w:r w:rsidRPr="0060351D">
        <w:rPr>
          <w:sz w:val="20"/>
          <w:szCs w:val="20"/>
          <w:lang w:val="fr-CA"/>
        </w:rPr>
        <w:noBreakHyphen/>
        <w:t xml:space="preserve"> Délit économique d’atteinte aux rapports contractuels par un moyen illicite </w:t>
      </w:r>
      <w:r w:rsidRPr="0060351D">
        <w:rPr>
          <w:sz w:val="20"/>
          <w:szCs w:val="20"/>
          <w:lang w:val="fr-CA"/>
        </w:rPr>
        <w:noBreakHyphen/>
        <w:t xml:space="preserve"> La Cour d’appel </w:t>
      </w:r>
      <w:proofErr w:type="spellStart"/>
      <w:r w:rsidRPr="0060351D">
        <w:rPr>
          <w:sz w:val="20"/>
          <w:szCs w:val="20"/>
          <w:lang w:val="fr-CA"/>
        </w:rPr>
        <w:t>a</w:t>
      </w:r>
      <w:r w:rsidRPr="0060351D">
        <w:rPr>
          <w:sz w:val="20"/>
          <w:szCs w:val="20"/>
          <w:lang w:val="fr-CA"/>
        </w:rPr>
        <w:noBreakHyphen/>
        <w:t>t</w:t>
      </w:r>
      <w:r w:rsidRPr="0060351D">
        <w:rPr>
          <w:sz w:val="20"/>
          <w:szCs w:val="20"/>
          <w:lang w:val="fr-CA"/>
        </w:rPr>
        <w:noBreakHyphen/>
        <w:t>elle</w:t>
      </w:r>
      <w:proofErr w:type="spellEnd"/>
      <w:r w:rsidRPr="0060351D">
        <w:rPr>
          <w:sz w:val="20"/>
          <w:szCs w:val="20"/>
          <w:lang w:val="fr-CA"/>
        </w:rPr>
        <w:t xml:space="preserve"> commis une erreur de droit en n’adoptant pas et en n’appliquant pas une définition de l’expression « moyen illicite » en vertu de laquelle les actes commis par les appelants à l’égard de </w:t>
      </w:r>
      <w:proofErr w:type="spellStart"/>
      <w:r w:rsidRPr="0060351D">
        <w:rPr>
          <w:sz w:val="20"/>
          <w:szCs w:val="20"/>
          <w:lang w:val="fr-CA"/>
        </w:rPr>
        <w:t>Greenarm</w:t>
      </w:r>
      <w:proofErr w:type="spellEnd"/>
      <w:r w:rsidRPr="0060351D">
        <w:rPr>
          <w:sz w:val="20"/>
          <w:szCs w:val="20"/>
          <w:lang w:val="fr-CA"/>
        </w:rPr>
        <w:t xml:space="preserve"> Management Ltd. ne sont illicites que s’ils sont susceptibles d’action de la part de ce tiers, à une seule réserve près, à savoir que ces actes constituent également un moyen illicite si la seule raison pour laquelle ils ne sont pas susceptibles d’action est que le tiers n’a subi aucune perte? </w:t>
      </w:r>
      <w:r w:rsidRPr="0060351D">
        <w:rPr>
          <w:sz w:val="20"/>
          <w:szCs w:val="20"/>
          <w:lang w:val="fr-CA"/>
        </w:rPr>
        <w:noBreakHyphen/>
        <w:t xml:space="preserve"> La Cour d’appel </w:t>
      </w:r>
      <w:proofErr w:type="spellStart"/>
      <w:r w:rsidRPr="0060351D">
        <w:rPr>
          <w:sz w:val="20"/>
          <w:szCs w:val="20"/>
          <w:lang w:val="fr-CA"/>
        </w:rPr>
        <w:t>a</w:t>
      </w:r>
      <w:r w:rsidRPr="0060351D">
        <w:rPr>
          <w:sz w:val="20"/>
          <w:szCs w:val="20"/>
          <w:lang w:val="fr-CA"/>
        </w:rPr>
        <w:noBreakHyphen/>
        <w:t>t</w:t>
      </w:r>
      <w:r w:rsidRPr="0060351D">
        <w:rPr>
          <w:sz w:val="20"/>
          <w:szCs w:val="20"/>
          <w:lang w:val="fr-CA"/>
        </w:rPr>
        <w:noBreakHyphen/>
        <w:t>elle</w:t>
      </w:r>
      <w:proofErr w:type="spellEnd"/>
      <w:r w:rsidRPr="0060351D">
        <w:rPr>
          <w:sz w:val="20"/>
          <w:szCs w:val="20"/>
          <w:lang w:val="fr-CA"/>
        </w:rPr>
        <w:t xml:space="preserve"> commis une erreur de droit en omettant d’exclure de la portée de l’expression « moyen illicite » des actes qui étaient par ailleurs directement susceptibles d’action de la part des intimées contre les appelants? </w:t>
      </w:r>
      <w:r w:rsidRPr="0060351D">
        <w:rPr>
          <w:sz w:val="20"/>
          <w:szCs w:val="20"/>
          <w:lang w:val="fr-CA"/>
        </w:rPr>
        <w:noBreakHyphen/>
        <w:t xml:space="preserve"> La Cour d’appel </w:t>
      </w:r>
      <w:proofErr w:type="spellStart"/>
      <w:r w:rsidRPr="0060351D">
        <w:rPr>
          <w:sz w:val="20"/>
          <w:szCs w:val="20"/>
          <w:lang w:val="fr-CA"/>
        </w:rPr>
        <w:t>a</w:t>
      </w:r>
      <w:r w:rsidRPr="0060351D">
        <w:rPr>
          <w:sz w:val="20"/>
          <w:szCs w:val="20"/>
          <w:lang w:val="fr-CA"/>
        </w:rPr>
        <w:noBreakHyphen/>
        <w:t>t</w:t>
      </w:r>
      <w:r w:rsidRPr="0060351D">
        <w:rPr>
          <w:sz w:val="20"/>
          <w:szCs w:val="20"/>
          <w:lang w:val="fr-CA"/>
        </w:rPr>
        <w:noBreakHyphen/>
        <w:t>elle</w:t>
      </w:r>
      <w:proofErr w:type="spellEnd"/>
      <w:r w:rsidRPr="0060351D">
        <w:rPr>
          <w:sz w:val="20"/>
          <w:szCs w:val="20"/>
          <w:lang w:val="fr-CA"/>
        </w:rPr>
        <w:t xml:space="preserve"> commis une erreur de droit en n’appliquant pas le bon critère pour déterminer si les appelants savaient réellement ou soupçonnaient assez fortement qu’une entente existait, tout en choisissant délibérément de ne pas faire d’enquête?</w:t>
      </w:r>
    </w:p>
    <w:p w:rsidR="009D7A69" w:rsidRPr="0060351D" w:rsidRDefault="009D7A69" w:rsidP="009D7A69">
      <w:pPr>
        <w:widowControl w:val="0"/>
        <w:jc w:val="both"/>
        <w:rPr>
          <w:sz w:val="20"/>
          <w:szCs w:val="20"/>
          <w:lang w:val="fr-CA"/>
        </w:rPr>
      </w:pPr>
    </w:p>
    <w:p w:rsidR="009D7A69" w:rsidRPr="0060351D" w:rsidRDefault="009D7A69" w:rsidP="009D7A69">
      <w:pPr>
        <w:widowControl w:val="0"/>
        <w:jc w:val="both"/>
        <w:rPr>
          <w:sz w:val="20"/>
          <w:szCs w:val="20"/>
          <w:lang w:val="fr-CA"/>
        </w:rPr>
      </w:pPr>
      <w:r w:rsidRPr="0060351D">
        <w:rPr>
          <w:sz w:val="20"/>
          <w:szCs w:val="20"/>
          <w:lang w:val="fr-CA"/>
        </w:rPr>
        <w:t>Cinq membres d’une famille participaient à la propriété, à l’administration et à la gestion d’un immeuble d’habitation à Moncton (N.</w:t>
      </w:r>
      <w:r w:rsidRPr="0060351D">
        <w:rPr>
          <w:sz w:val="20"/>
          <w:szCs w:val="20"/>
          <w:lang w:val="fr-CA"/>
        </w:rPr>
        <w:noBreakHyphen/>
        <w:t xml:space="preserve">B.).  Un membre de la famille gérait l’immeuble à titre onéreux (les appelants Alan </w:t>
      </w:r>
      <w:proofErr w:type="spellStart"/>
      <w:r w:rsidRPr="0060351D">
        <w:rPr>
          <w:sz w:val="20"/>
          <w:szCs w:val="20"/>
          <w:lang w:val="fr-CA"/>
        </w:rPr>
        <w:t>Schelew</w:t>
      </w:r>
      <w:proofErr w:type="spellEnd"/>
      <w:r w:rsidRPr="0060351D">
        <w:rPr>
          <w:sz w:val="20"/>
          <w:szCs w:val="20"/>
          <w:lang w:val="fr-CA"/>
        </w:rPr>
        <w:t xml:space="preserve"> et A.I. </w:t>
      </w:r>
      <w:proofErr w:type="spellStart"/>
      <w:r w:rsidRPr="0060351D">
        <w:rPr>
          <w:sz w:val="20"/>
          <w:szCs w:val="20"/>
          <w:lang w:val="fr-CA"/>
        </w:rPr>
        <w:t>Enterprises</w:t>
      </w:r>
      <w:proofErr w:type="spellEnd"/>
      <w:r w:rsidRPr="0060351D">
        <w:rPr>
          <w:sz w:val="20"/>
          <w:szCs w:val="20"/>
          <w:lang w:val="fr-CA"/>
        </w:rPr>
        <w:t xml:space="preserve"> Ltd.).  En 2000, quatre membres représentant la majorité ont décidé de vendre l’immeuble.  Les rapports entre les parties ont été régis par une « entente de syndication ».  L’entente de syndication disposait que si la majorité décidait de vendre, la minorité aurait le droit d’acheter le bâtiment à sa valeur d’expertise, à défaut de quoi le bien pourrait être mis en vente.  Le membre chargé de la gestion de l’immeuble s’est opposé à la vente.  Du printemps 2000 à l’automne 2002, la majorité a tenté sans succès de vendre l’immeuble à des tiers intéressés.  Le membre de la famille chargé de la gestion a fini par acheter </w:t>
      </w:r>
      <w:proofErr w:type="spellStart"/>
      <w:r w:rsidRPr="0060351D">
        <w:rPr>
          <w:sz w:val="20"/>
          <w:szCs w:val="20"/>
          <w:lang w:val="fr-CA"/>
        </w:rPr>
        <w:t>celui</w:t>
      </w:r>
      <w:r w:rsidRPr="0060351D">
        <w:rPr>
          <w:sz w:val="20"/>
          <w:szCs w:val="20"/>
          <w:lang w:val="fr-CA"/>
        </w:rPr>
        <w:noBreakHyphen/>
        <w:t>ci</w:t>
      </w:r>
      <w:proofErr w:type="spellEnd"/>
      <w:r w:rsidRPr="0060351D">
        <w:rPr>
          <w:sz w:val="20"/>
          <w:szCs w:val="20"/>
          <w:lang w:val="fr-CA"/>
        </w:rPr>
        <w:t xml:space="preserve">, mais la majorité a plaidé que la vente avait eu lieu deux ans plus tard que prévu et que l’immeuble avait été vendu pour un montant inférieur à ce que la majorité aurait obtenu d’un tiers acheteur.  Au procès, ils ont plaidé que le membre chargé de la gestion et sa société avaient manqué à leurs obligations, agi illicitement à leur égard et commis une atteinte économique leur causant un préjudice pour lequel ils ont demandé des </w:t>
      </w:r>
      <w:proofErr w:type="spellStart"/>
      <w:r w:rsidRPr="0060351D">
        <w:rPr>
          <w:sz w:val="20"/>
          <w:szCs w:val="20"/>
          <w:lang w:val="fr-CA"/>
        </w:rPr>
        <w:t>dommages</w:t>
      </w:r>
      <w:r w:rsidRPr="0060351D">
        <w:rPr>
          <w:sz w:val="20"/>
          <w:szCs w:val="20"/>
          <w:lang w:val="fr-CA"/>
        </w:rPr>
        <w:noBreakHyphen/>
        <w:t>intérêts</w:t>
      </w:r>
      <w:proofErr w:type="spellEnd"/>
      <w:r w:rsidRPr="0060351D">
        <w:rPr>
          <w:sz w:val="20"/>
          <w:szCs w:val="20"/>
          <w:lang w:val="fr-CA"/>
        </w:rPr>
        <w:t xml:space="preserve">.  Le juge de première instance était d’accord; il a conclu que le délit économique d’atteinte aux rapports contractuels par un moyen illicite avait été établi et il a accordé des </w:t>
      </w:r>
      <w:proofErr w:type="spellStart"/>
      <w:r w:rsidRPr="0060351D">
        <w:rPr>
          <w:sz w:val="20"/>
          <w:szCs w:val="20"/>
          <w:lang w:val="fr-CA"/>
        </w:rPr>
        <w:t>dommages</w:t>
      </w:r>
      <w:r w:rsidRPr="0060351D">
        <w:rPr>
          <w:sz w:val="20"/>
          <w:szCs w:val="20"/>
          <w:lang w:val="fr-CA"/>
        </w:rPr>
        <w:noBreakHyphen/>
        <w:t>intérêts</w:t>
      </w:r>
      <w:proofErr w:type="spellEnd"/>
      <w:r w:rsidRPr="0060351D">
        <w:rPr>
          <w:sz w:val="20"/>
          <w:szCs w:val="20"/>
          <w:lang w:val="fr-CA"/>
        </w:rPr>
        <w:t xml:space="preserve"> aux intimées.  La Cour d’appel a rejeté l’appel.</w:t>
      </w:r>
    </w:p>
    <w:p w:rsidR="009D7A69" w:rsidRPr="0060351D" w:rsidRDefault="009D7A69" w:rsidP="009D7A69">
      <w:pPr>
        <w:widowControl w:val="0"/>
        <w:jc w:val="both"/>
        <w:rPr>
          <w:sz w:val="20"/>
          <w:szCs w:val="20"/>
          <w:lang w:val="fr-CA"/>
        </w:rPr>
      </w:pPr>
    </w:p>
    <w:p w:rsidR="009D7A69" w:rsidRPr="0060351D" w:rsidRDefault="009D7A69" w:rsidP="009D7A69">
      <w:pPr>
        <w:widowControl w:val="0"/>
        <w:jc w:val="both"/>
        <w:rPr>
          <w:sz w:val="20"/>
          <w:szCs w:val="20"/>
          <w:lang w:val="fr-CA"/>
        </w:rPr>
      </w:pPr>
    </w:p>
    <w:p w:rsidR="009D7A69" w:rsidRPr="0060351D" w:rsidRDefault="009D7A69" w:rsidP="009D7A69">
      <w:pPr>
        <w:widowControl w:val="0"/>
        <w:ind w:left="2880" w:hanging="2880"/>
        <w:jc w:val="both"/>
        <w:rPr>
          <w:sz w:val="20"/>
          <w:szCs w:val="20"/>
          <w:lang w:val="fr-CA"/>
        </w:rPr>
      </w:pPr>
      <w:r w:rsidRPr="0060351D">
        <w:rPr>
          <w:sz w:val="20"/>
          <w:szCs w:val="20"/>
          <w:lang w:val="fr-CA"/>
        </w:rPr>
        <w:t>Origine :</w:t>
      </w:r>
      <w:r w:rsidRPr="0060351D">
        <w:rPr>
          <w:sz w:val="20"/>
          <w:szCs w:val="20"/>
          <w:lang w:val="fr-CA"/>
        </w:rPr>
        <w:tab/>
      </w:r>
      <w:proofErr w:type="spellStart"/>
      <w:r w:rsidRPr="0060351D">
        <w:rPr>
          <w:sz w:val="20"/>
          <w:szCs w:val="20"/>
          <w:lang w:val="fr-CA"/>
        </w:rPr>
        <w:t>Nouveau</w:t>
      </w:r>
      <w:r w:rsidRPr="0060351D">
        <w:rPr>
          <w:sz w:val="20"/>
          <w:szCs w:val="20"/>
          <w:lang w:val="fr-CA"/>
        </w:rPr>
        <w:noBreakHyphen/>
        <w:t>Brunswick</w:t>
      </w:r>
      <w:proofErr w:type="spellEnd"/>
    </w:p>
    <w:p w:rsidR="009D7A69" w:rsidRPr="0060351D" w:rsidRDefault="009D7A69" w:rsidP="009D7A69">
      <w:pPr>
        <w:widowControl w:val="0"/>
        <w:ind w:left="2880" w:hanging="2880"/>
        <w:jc w:val="both"/>
        <w:rPr>
          <w:sz w:val="20"/>
          <w:szCs w:val="20"/>
          <w:lang w:val="fr-CA"/>
        </w:rPr>
      </w:pPr>
    </w:p>
    <w:p w:rsidR="009D7A69" w:rsidRPr="0060351D" w:rsidRDefault="009D7A69" w:rsidP="009D7A69">
      <w:pPr>
        <w:widowControl w:val="0"/>
        <w:ind w:left="2880" w:hanging="2880"/>
        <w:jc w:val="both"/>
        <w:rPr>
          <w:sz w:val="20"/>
          <w:szCs w:val="20"/>
          <w:lang w:val="fr-CA"/>
        </w:rPr>
      </w:pPr>
      <w:r w:rsidRPr="0060351D">
        <w:rPr>
          <w:sz w:val="20"/>
          <w:szCs w:val="20"/>
          <w:lang w:val="fr-CA"/>
        </w:rPr>
        <w:t>N</w:t>
      </w:r>
      <w:r w:rsidRPr="0060351D">
        <w:rPr>
          <w:sz w:val="20"/>
          <w:szCs w:val="20"/>
          <w:vertAlign w:val="superscript"/>
          <w:lang w:val="fr-CA"/>
        </w:rPr>
        <w:t>o</w:t>
      </w:r>
      <w:r w:rsidRPr="0060351D">
        <w:rPr>
          <w:sz w:val="20"/>
          <w:szCs w:val="20"/>
          <w:lang w:val="fr-CA"/>
        </w:rPr>
        <w:t xml:space="preserve"> du greffe :</w:t>
      </w:r>
      <w:r w:rsidRPr="0060351D">
        <w:rPr>
          <w:sz w:val="20"/>
          <w:szCs w:val="20"/>
          <w:lang w:val="fr-CA"/>
        </w:rPr>
        <w:tab/>
        <w:t>34863</w:t>
      </w:r>
    </w:p>
    <w:p w:rsidR="009D7A69" w:rsidRPr="0060351D" w:rsidRDefault="009D7A69" w:rsidP="009D7A69">
      <w:pPr>
        <w:widowControl w:val="0"/>
        <w:ind w:left="2880" w:hanging="2880"/>
        <w:jc w:val="both"/>
        <w:rPr>
          <w:sz w:val="20"/>
          <w:szCs w:val="20"/>
          <w:lang w:val="fr-CA"/>
        </w:rPr>
      </w:pPr>
    </w:p>
    <w:p w:rsidR="009D7A69" w:rsidRPr="0060351D" w:rsidRDefault="009D7A69" w:rsidP="009D7A69">
      <w:pPr>
        <w:widowControl w:val="0"/>
        <w:ind w:left="2880" w:hanging="2880"/>
        <w:jc w:val="both"/>
        <w:rPr>
          <w:sz w:val="20"/>
          <w:szCs w:val="20"/>
          <w:lang w:val="fr-CA"/>
        </w:rPr>
      </w:pPr>
      <w:r w:rsidRPr="0060351D">
        <w:rPr>
          <w:sz w:val="20"/>
          <w:szCs w:val="20"/>
          <w:lang w:val="fr-CA"/>
        </w:rPr>
        <w:t>Arrêt de la Cour d’appel :</w:t>
      </w:r>
      <w:r w:rsidRPr="0060351D">
        <w:rPr>
          <w:sz w:val="20"/>
          <w:szCs w:val="20"/>
          <w:lang w:val="fr-CA"/>
        </w:rPr>
        <w:tab/>
        <w:t>le 12 avril 2012</w:t>
      </w:r>
    </w:p>
    <w:p w:rsidR="009D7A69" w:rsidRPr="0060351D" w:rsidRDefault="009D7A69" w:rsidP="009D7A69">
      <w:pPr>
        <w:widowControl w:val="0"/>
        <w:ind w:left="2880" w:hanging="2880"/>
        <w:jc w:val="both"/>
        <w:rPr>
          <w:sz w:val="20"/>
          <w:szCs w:val="20"/>
          <w:lang w:val="fr-CA"/>
        </w:rPr>
      </w:pPr>
    </w:p>
    <w:p w:rsidR="009D7A69" w:rsidRPr="0060351D" w:rsidRDefault="009D7A69" w:rsidP="009D7A69">
      <w:pPr>
        <w:widowControl w:val="0"/>
        <w:ind w:left="2880" w:hanging="2880"/>
        <w:jc w:val="both"/>
        <w:rPr>
          <w:sz w:val="20"/>
          <w:szCs w:val="20"/>
          <w:lang w:val="fr-CA"/>
        </w:rPr>
      </w:pPr>
      <w:r w:rsidRPr="0060351D">
        <w:rPr>
          <w:sz w:val="20"/>
          <w:szCs w:val="20"/>
          <w:lang w:val="fr-CA"/>
        </w:rPr>
        <w:t>Avocats :</w:t>
      </w:r>
      <w:r w:rsidRPr="0060351D">
        <w:rPr>
          <w:sz w:val="20"/>
          <w:szCs w:val="20"/>
          <w:lang w:val="fr-CA"/>
        </w:rPr>
        <w:tab/>
        <w:t xml:space="preserve">Richard J. Scott, </w:t>
      </w:r>
      <w:proofErr w:type="spellStart"/>
      <w:r w:rsidRPr="0060351D">
        <w:rPr>
          <w:sz w:val="20"/>
          <w:szCs w:val="20"/>
          <w:lang w:val="fr-CA"/>
        </w:rPr>
        <w:t>c.r</w:t>
      </w:r>
      <w:proofErr w:type="spellEnd"/>
      <w:r w:rsidRPr="0060351D">
        <w:rPr>
          <w:sz w:val="20"/>
          <w:szCs w:val="20"/>
          <w:lang w:val="fr-CA"/>
        </w:rPr>
        <w:t>. pour les appelants</w:t>
      </w:r>
    </w:p>
    <w:p w:rsidR="009D7A69" w:rsidRPr="0060351D" w:rsidRDefault="009D7A69" w:rsidP="009D7A69">
      <w:pPr>
        <w:widowControl w:val="0"/>
        <w:ind w:left="2880" w:hanging="2880"/>
        <w:jc w:val="both"/>
        <w:rPr>
          <w:sz w:val="20"/>
          <w:szCs w:val="20"/>
          <w:lang w:val="fr-CA"/>
        </w:rPr>
      </w:pPr>
      <w:r w:rsidRPr="0060351D">
        <w:rPr>
          <w:sz w:val="20"/>
          <w:szCs w:val="20"/>
          <w:lang w:val="fr-CA"/>
        </w:rPr>
        <w:tab/>
        <w:t xml:space="preserve">Charles A. </w:t>
      </w:r>
      <w:proofErr w:type="spellStart"/>
      <w:r w:rsidRPr="0060351D">
        <w:rPr>
          <w:sz w:val="20"/>
          <w:szCs w:val="20"/>
          <w:lang w:val="fr-CA"/>
        </w:rPr>
        <w:t>LeBlond</w:t>
      </w:r>
      <w:proofErr w:type="spellEnd"/>
      <w:r w:rsidRPr="0060351D">
        <w:rPr>
          <w:sz w:val="20"/>
          <w:szCs w:val="20"/>
          <w:lang w:val="fr-CA"/>
        </w:rPr>
        <w:t xml:space="preserve">, </w:t>
      </w:r>
      <w:proofErr w:type="spellStart"/>
      <w:r w:rsidRPr="0060351D">
        <w:rPr>
          <w:sz w:val="20"/>
          <w:szCs w:val="20"/>
          <w:lang w:val="fr-CA"/>
        </w:rPr>
        <w:t>c.r</w:t>
      </w:r>
      <w:proofErr w:type="spellEnd"/>
      <w:r w:rsidRPr="0060351D">
        <w:rPr>
          <w:sz w:val="20"/>
          <w:szCs w:val="20"/>
          <w:lang w:val="fr-CA"/>
        </w:rPr>
        <w:t>. pour les intimées</w:t>
      </w:r>
    </w:p>
    <w:p w:rsidR="004634AB" w:rsidRPr="009D7A69" w:rsidRDefault="004634AB" w:rsidP="004634AB">
      <w:pPr>
        <w:tabs>
          <w:tab w:val="left" w:pos="-1440"/>
          <w:tab w:val="left" w:pos="-720"/>
        </w:tabs>
        <w:jc w:val="both"/>
        <w:rPr>
          <w:sz w:val="20"/>
          <w:szCs w:val="20"/>
          <w:lang w:val="fr-CA"/>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103"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E96A29" w:rsidRPr="00833A84" w:rsidRDefault="0017005E" w:rsidP="00E96A29">
      <w:pPr>
        <w:widowControl w:val="0"/>
        <w:ind w:left="720" w:hanging="720"/>
        <w:jc w:val="both"/>
        <w:rPr>
          <w:sz w:val="20"/>
          <w:szCs w:val="20"/>
        </w:rPr>
      </w:pPr>
      <w:r w:rsidRPr="00833A84">
        <w:rPr>
          <w:b/>
          <w:sz w:val="20"/>
          <w:szCs w:val="20"/>
        </w:rPr>
        <w:lastRenderedPageBreak/>
        <w:fldChar w:fldCharType="begin"/>
      </w:r>
      <w:r w:rsidR="00E96A29" w:rsidRPr="00833A84">
        <w:rPr>
          <w:b/>
          <w:sz w:val="20"/>
          <w:szCs w:val="20"/>
        </w:rPr>
        <w:instrText xml:space="preserve"> SEQ CHAPTER \h \r 1</w:instrText>
      </w:r>
      <w:r w:rsidRPr="00833A84">
        <w:rPr>
          <w:b/>
          <w:sz w:val="20"/>
          <w:szCs w:val="20"/>
        </w:rPr>
        <w:fldChar w:fldCharType="end"/>
      </w:r>
      <w:proofErr w:type="gramStart"/>
      <w:r w:rsidR="00E96A29" w:rsidRPr="00833A84">
        <w:rPr>
          <w:b/>
          <w:sz w:val="20"/>
          <w:szCs w:val="20"/>
        </w:rPr>
        <w:t>34914</w:t>
      </w:r>
      <w:r w:rsidR="00E96A29" w:rsidRPr="00833A84">
        <w:rPr>
          <w:sz w:val="20"/>
          <w:szCs w:val="20"/>
        </w:rPr>
        <w:tab/>
      </w:r>
      <w:r w:rsidR="00E96A29" w:rsidRPr="00833A84">
        <w:rPr>
          <w:b/>
          <w:i/>
          <w:sz w:val="20"/>
          <w:szCs w:val="20"/>
        </w:rPr>
        <w:t>Erin Lee MacDonald v.</w:t>
      </w:r>
      <w:proofErr w:type="gramEnd"/>
      <w:r w:rsidR="00E96A29" w:rsidRPr="00833A84">
        <w:rPr>
          <w:b/>
          <w:i/>
          <w:sz w:val="20"/>
          <w:szCs w:val="20"/>
        </w:rPr>
        <w:t xml:space="preserve"> Her Majesty the Queen </w:t>
      </w:r>
      <w:r w:rsidR="00E96A29" w:rsidRPr="00833A84">
        <w:rPr>
          <w:b/>
          <w:i/>
          <w:sz w:val="20"/>
          <w:szCs w:val="20"/>
        </w:rPr>
        <w:noBreakHyphen/>
        <w:t xml:space="preserve"> and between </w:t>
      </w:r>
      <w:r w:rsidR="00E96A29" w:rsidRPr="00833A84">
        <w:rPr>
          <w:b/>
          <w:i/>
          <w:sz w:val="20"/>
          <w:szCs w:val="20"/>
        </w:rPr>
        <w:noBreakHyphen/>
        <w:t xml:space="preserve"> Her Majesty the Queen v. Erin Lee MacDonald </w:t>
      </w:r>
    </w:p>
    <w:p w:rsidR="00E96A29" w:rsidRPr="00833A84" w:rsidRDefault="00E96A29" w:rsidP="00E96A29">
      <w:pPr>
        <w:widowControl w:val="0"/>
        <w:jc w:val="both"/>
        <w:rPr>
          <w:sz w:val="20"/>
          <w:szCs w:val="20"/>
        </w:rPr>
      </w:pPr>
    </w:p>
    <w:p w:rsidR="00BC3BDF" w:rsidRPr="00BC3BDF" w:rsidRDefault="00BC3BDF" w:rsidP="00BC3BDF">
      <w:pPr>
        <w:widowControl w:val="0"/>
        <w:jc w:val="both"/>
        <w:rPr>
          <w:rFonts w:eastAsia="Times New Roman" w:cs="Times New Roman"/>
          <w:sz w:val="20"/>
          <w:szCs w:val="20"/>
          <w:lang w:eastAsia="en-CA"/>
        </w:rPr>
      </w:pPr>
      <w:r w:rsidRPr="00BC3BDF">
        <w:rPr>
          <w:rFonts w:eastAsia="Times New Roman" w:cs="Times New Roman"/>
          <w:i/>
          <w:sz w:val="20"/>
          <w:szCs w:val="20"/>
          <w:lang w:eastAsia="en-CA"/>
        </w:rPr>
        <w:t>Canadian Charter of Rights and Freedoms</w:t>
      </w:r>
      <w:r w:rsidRPr="00BC3BDF">
        <w:rPr>
          <w:rFonts w:eastAsia="Times New Roman" w:cs="Times New Roman"/>
          <w:sz w:val="20"/>
          <w:szCs w:val="20"/>
          <w:lang w:eastAsia="en-CA"/>
        </w:rPr>
        <w:t xml:space="preserve"> </w:t>
      </w:r>
      <w:r w:rsidRPr="00BC3BDF">
        <w:rPr>
          <w:rFonts w:eastAsia="Times New Roman" w:cs="Times New Roman"/>
          <w:sz w:val="20"/>
          <w:szCs w:val="20"/>
          <w:lang w:eastAsia="en-CA"/>
        </w:rPr>
        <w:noBreakHyphen/>
        <w:t xml:space="preserve"> Criminal law </w:t>
      </w:r>
      <w:r w:rsidRPr="00BC3BDF">
        <w:rPr>
          <w:rFonts w:eastAsia="Times New Roman" w:cs="Times New Roman"/>
          <w:sz w:val="20"/>
          <w:szCs w:val="20"/>
          <w:lang w:eastAsia="en-CA"/>
        </w:rPr>
        <w:noBreakHyphen/>
        <w:t xml:space="preserve"> Weapons offences </w:t>
      </w:r>
      <w:r w:rsidRPr="00BC3BDF">
        <w:rPr>
          <w:rFonts w:eastAsia="Times New Roman" w:cs="Times New Roman"/>
          <w:sz w:val="20"/>
          <w:szCs w:val="20"/>
          <w:lang w:eastAsia="en-CA"/>
        </w:rPr>
        <w:noBreakHyphen/>
        <w:t xml:space="preserve"> Search and seizure </w:t>
      </w:r>
      <w:r w:rsidRPr="00BC3BDF">
        <w:rPr>
          <w:rFonts w:eastAsia="Times New Roman" w:cs="Times New Roman"/>
          <w:sz w:val="20"/>
          <w:szCs w:val="20"/>
          <w:lang w:eastAsia="en-CA"/>
        </w:rPr>
        <w:noBreakHyphen/>
        <w:t xml:space="preserve"> Sentencing </w:t>
      </w:r>
      <w:r w:rsidRPr="00BC3BDF">
        <w:rPr>
          <w:rFonts w:eastAsia="Times New Roman" w:cs="Times New Roman"/>
          <w:sz w:val="20"/>
          <w:szCs w:val="20"/>
          <w:lang w:eastAsia="en-CA"/>
        </w:rPr>
        <w:noBreakHyphen/>
        <w:t xml:space="preserve"> Minimum sentences </w:t>
      </w:r>
      <w:r w:rsidRPr="00BC3BDF">
        <w:rPr>
          <w:rFonts w:eastAsia="Times New Roman" w:cs="Times New Roman"/>
          <w:sz w:val="20"/>
          <w:szCs w:val="20"/>
          <w:lang w:eastAsia="en-CA"/>
        </w:rPr>
        <w:noBreakHyphen/>
        <w:t xml:space="preserve"> Whether Mr. MacDonald’s s. 8 </w:t>
      </w:r>
      <w:r w:rsidRPr="00BC3BDF">
        <w:rPr>
          <w:rFonts w:eastAsia="Times New Roman" w:cs="Times New Roman"/>
          <w:i/>
          <w:sz w:val="20"/>
          <w:szCs w:val="20"/>
          <w:lang w:eastAsia="en-CA"/>
        </w:rPr>
        <w:t>Charter</w:t>
      </w:r>
      <w:r w:rsidRPr="00BC3BDF">
        <w:rPr>
          <w:rFonts w:eastAsia="Times New Roman" w:cs="Times New Roman"/>
          <w:sz w:val="20"/>
          <w:szCs w:val="20"/>
          <w:lang w:eastAsia="en-CA"/>
        </w:rPr>
        <w:t xml:space="preserve"> rights were breached </w:t>
      </w:r>
      <w:r w:rsidRPr="00BC3BDF">
        <w:rPr>
          <w:rFonts w:eastAsia="Times New Roman" w:cs="Times New Roman"/>
          <w:sz w:val="20"/>
          <w:szCs w:val="20"/>
          <w:lang w:eastAsia="en-CA"/>
        </w:rPr>
        <w:noBreakHyphen/>
        <w:t xml:space="preserve"> Whether knowledge of illegality is an essential element of the offence of unauthorized possession of a loaded restricted firearm contrary to s. 95(1) of the </w:t>
      </w:r>
      <w:r w:rsidRPr="00BC3BDF">
        <w:rPr>
          <w:rFonts w:eastAsia="Times New Roman" w:cs="Times New Roman"/>
          <w:i/>
          <w:sz w:val="20"/>
          <w:szCs w:val="20"/>
          <w:lang w:eastAsia="en-CA"/>
        </w:rPr>
        <w:t>Criminal Code</w:t>
      </w:r>
      <w:r w:rsidRPr="00BC3BDF">
        <w:rPr>
          <w:rFonts w:eastAsia="Times New Roman" w:cs="Times New Roman"/>
          <w:sz w:val="20"/>
          <w:szCs w:val="20"/>
          <w:lang w:eastAsia="en-CA"/>
        </w:rPr>
        <w:t xml:space="preserve"> </w:t>
      </w:r>
      <w:r w:rsidRPr="00BC3BDF">
        <w:rPr>
          <w:rFonts w:eastAsia="Times New Roman" w:cs="Times New Roman"/>
          <w:sz w:val="20"/>
          <w:szCs w:val="20"/>
          <w:lang w:eastAsia="en-CA"/>
        </w:rPr>
        <w:noBreakHyphen/>
        <w:t xml:space="preserve"> Whether Mr. MacDonald’s purported mistaken belief that his authorization to transport his firearm extended to his Halifax home constituted a mistake of fact as opposed to a mistake of law, therefore providing a defence to the charge </w:t>
      </w:r>
      <w:r w:rsidRPr="00BC3BDF">
        <w:rPr>
          <w:rFonts w:eastAsia="Times New Roman" w:cs="Times New Roman"/>
          <w:sz w:val="20"/>
          <w:szCs w:val="20"/>
          <w:lang w:eastAsia="en-CA"/>
        </w:rPr>
        <w:noBreakHyphen/>
        <w:t xml:space="preserve"> Whether the Court of Appeal should have ordered a new trial on the s. 95(1) conviction, instead of entering an acquittal, because the defence of mistake of fact was not squarely before the trial judge </w:t>
      </w:r>
      <w:r w:rsidRPr="00BC3BDF">
        <w:rPr>
          <w:rFonts w:eastAsia="Times New Roman" w:cs="Times New Roman"/>
          <w:sz w:val="20"/>
          <w:szCs w:val="20"/>
          <w:lang w:eastAsia="en-CA"/>
        </w:rPr>
        <w:noBreakHyphen/>
        <w:t xml:space="preserve"> Whether the Court of Appeal erred by reducing the sentences imposed for the s. 86 and s. 88 convictions </w:t>
      </w:r>
      <w:r w:rsidRPr="00BC3BDF">
        <w:rPr>
          <w:rFonts w:eastAsia="Times New Roman" w:cs="Times New Roman"/>
          <w:sz w:val="20"/>
          <w:szCs w:val="20"/>
          <w:lang w:eastAsia="en-CA"/>
        </w:rPr>
        <w:noBreakHyphen/>
        <w:t xml:space="preserve"> Whether the mandatory minimum sentence prescribed by s. 95(2) of the </w:t>
      </w:r>
      <w:r w:rsidRPr="00BC3BDF">
        <w:rPr>
          <w:rFonts w:eastAsia="Times New Roman" w:cs="Times New Roman"/>
          <w:i/>
          <w:sz w:val="20"/>
          <w:szCs w:val="20"/>
          <w:lang w:eastAsia="en-CA"/>
        </w:rPr>
        <w:t>Criminal Code</w:t>
      </w:r>
      <w:r w:rsidRPr="00BC3BDF">
        <w:rPr>
          <w:rFonts w:eastAsia="Times New Roman" w:cs="Times New Roman"/>
          <w:sz w:val="20"/>
          <w:szCs w:val="20"/>
          <w:lang w:eastAsia="en-CA"/>
        </w:rPr>
        <w:t xml:space="preserve"> constitutes cruel and unusual punishment in violation of s. 12 of the </w:t>
      </w:r>
      <w:r w:rsidRPr="00BC3BDF">
        <w:rPr>
          <w:rFonts w:eastAsia="Times New Roman" w:cs="Times New Roman"/>
          <w:i/>
          <w:sz w:val="20"/>
          <w:szCs w:val="20"/>
          <w:lang w:eastAsia="en-CA"/>
        </w:rPr>
        <w:t>Charter</w:t>
      </w:r>
      <w:r w:rsidRPr="00BC3BDF">
        <w:rPr>
          <w:rFonts w:eastAsia="Times New Roman" w:cs="Times New Roman"/>
          <w:sz w:val="20"/>
          <w:szCs w:val="20"/>
          <w:lang w:eastAsia="en-CA"/>
        </w:rPr>
        <w:t xml:space="preserve">, and if so, whether that infringement is a reasonable limit which can be demonstrably justified in a free and democratic society under s. 1 of the </w:t>
      </w:r>
      <w:r w:rsidRPr="00BC3BDF">
        <w:rPr>
          <w:rFonts w:eastAsia="Times New Roman" w:cs="Times New Roman"/>
          <w:i/>
          <w:sz w:val="20"/>
          <w:szCs w:val="20"/>
          <w:lang w:eastAsia="en-CA"/>
        </w:rPr>
        <w:t>Charter</w:t>
      </w:r>
      <w:r w:rsidRPr="00BC3BDF">
        <w:rPr>
          <w:rFonts w:eastAsia="Times New Roman" w:cs="Times New Roman"/>
          <w:sz w:val="20"/>
          <w:szCs w:val="20"/>
          <w:lang w:eastAsia="en-CA"/>
        </w:rPr>
        <w:t xml:space="preserve">. </w:t>
      </w:r>
    </w:p>
    <w:p w:rsidR="00BC3BDF" w:rsidRPr="00BC3BDF" w:rsidRDefault="00BC3BDF" w:rsidP="00BC3BDF">
      <w:pPr>
        <w:widowControl w:val="0"/>
        <w:jc w:val="both"/>
        <w:rPr>
          <w:rFonts w:eastAsia="Times New Roman" w:cs="Times New Roman"/>
          <w:sz w:val="20"/>
          <w:szCs w:val="20"/>
          <w:lang w:eastAsia="en-CA"/>
        </w:rPr>
      </w:pPr>
    </w:p>
    <w:p w:rsidR="00BC3BDF" w:rsidRPr="00BC3BDF" w:rsidRDefault="00BC3BDF" w:rsidP="00BC3BDF">
      <w:pPr>
        <w:widowControl w:val="0"/>
        <w:jc w:val="both"/>
        <w:rPr>
          <w:rFonts w:eastAsia="Times New Roman" w:cs="Times New Roman"/>
          <w:sz w:val="20"/>
          <w:szCs w:val="20"/>
          <w:lang w:eastAsia="en-CA"/>
        </w:rPr>
      </w:pPr>
      <w:r w:rsidRPr="00BC3BDF">
        <w:rPr>
          <w:rFonts w:eastAsia="Times New Roman" w:cs="Times New Roman"/>
          <w:sz w:val="20"/>
          <w:szCs w:val="20"/>
          <w:lang w:eastAsia="en-CA"/>
        </w:rPr>
        <w:t>Mr. </w:t>
      </w:r>
      <w:proofErr w:type="gramStart"/>
      <w:r w:rsidRPr="00BC3BDF">
        <w:rPr>
          <w:rFonts w:eastAsia="Times New Roman" w:cs="Times New Roman"/>
          <w:sz w:val="20"/>
          <w:szCs w:val="20"/>
          <w:lang w:eastAsia="en-CA"/>
        </w:rPr>
        <w:t>MacDonald,</w:t>
      </w:r>
      <w:proofErr w:type="gramEnd"/>
      <w:r w:rsidRPr="00BC3BDF">
        <w:rPr>
          <w:rFonts w:eastAsia="Times New Roman" w:cs="Times New Roman"/>
          <w:sz w:val="20"/>
          <w:szCs w:val="20"/>
          <w:lang w:eastAsia="en-CA"/>
        </w:rPr>
        <w:t xml:space="preserve"> was convicted of careless handling of a firearm, possession of a weapon for a purpose dangerous to the public peace and possession without authorization of a loaded restricted firearm, contrary to ss. 86, 88 and 95 of the </w:t>
      </w:r>
      <w:r w:rsidRPr="00BC3BDF">
        <w:rPr>
          <w:rFonts w:eastAsia="Times New Roman" w:cs="Times New Roman"/>
          <w:i/>
          <w:sz w:val="20"/>
          <w:szCs w:val="20"/>
          <w:lang w:eastAsia="en-CA"/>
        </w:rPr>
        <w:t>Criminal Code</w:t>
      </w:r>
      <w:r w:rsidRPr="00BC3BDF">
        <w:rPr>
          <w:rFonts w:eastAsia="Times New Roman" w:cs="Times New Roman"/>
          <w:sz w:val="20"/>
          <w:szCs w:val="20"/>
          <w:lang w:eastAsia="en-CA"/>
        </w:rPr>
        <w:t xml:space="preserve"> respectively.  At trial, the judge essentially accepted the scenario presented by the Crown according to which a rude and intoxicated Mr. MacDonald, while entertaining some friends at his condo in downtown Halifax, was politely and repeatedly asked to turn down the volume of his music, only to finally respond to police at the door by opening it while carrying a loaded restricted firearm.  A police struggle over the weapon ensued.  On appeal, Mr. MacDonald argued that the police conduct that evening constituted an unlawful search contrary to s. 8 of the </w:t>
      </w:r>
      <w:r w:rsidRPr="00BC3BDF">
        <w:rPr>
          <w:rFonts w:eastAsia="Times New Roman" w:cs="Times New Roman"/>
          <w:i/>
          <w:sz w:val="20"/>
          <w:szCs w:val="20"/>
          <w:lang w:eastAsia="en-CA"/>
        </w:rPr>
        <w:t>Canadian Charter of Rights and Freedoms</w:t>
      </w:r>
      <w:r w:rsidRPr="00BC3BDF">
        <w:rPr>
          <w:rFonts w:eastAsia="Times New Roman" w:cs="Times New Roman"/>
          <w:sz w:val="20"/>
          <w:szCs w:val="20"/>
          <w:lang w:eastAsia="en-CA"/>
        </w:rPr>
        <w:t xml:space="preserve">, and that the trial judge erred in concluding that the police action was justified in the interests of officer safety.  He also challenged his conviction under s. 95 on the basis that his firearm was registered in Alberta and that that authorization extended to his Halifax home and thus, his possession was authorized.  Alternatively, he submitted that even if he had not been authorized to possess it in Halifax, he mistakenly and therefore innocently thought he was.  The majority of Court of Appeal set aside the s. 95 conviction and entered an acquittal, and allowed Mr. MacDonald’s appeals against sentence.  However, it found no s. 8 </w:t>
      </w:r>
      <w:r w:rsidRPr="00BC3BDF">
        <w:rPr>
          <w:rFonts w:eastAsia="Times New Roman" w:cs="Times New Roman"/>
          <w:i/>
          <w:sz w:val="20"/>
          <w:szCs w:val="20"/>
          <w:lang w:eastAsia="en-CA"/>
        </w:rPr>
        <w:t>Charter</w:t>
      </w:r>
      <w:r w:rsidRPr="00BC3BDF">
        <w:rPr>
          <w:rFonts w:eastAsia="Times New Roman" w:cs="Times New Roman"/>
          <w:sz w:val="20"/>
          <w:szCs w:val="20"/>
          <w:lang w:eastAsia="en-CA"/>
        </w:rPr>
        <w:t xml:space="preserve"> breach and dismissed that part of the appeal.  </w:t>
      </w:r>
      <w:proofErr w:type="spellStart"/>
      <w:r w:rsidRPr="00BC3BDF">
        <w:rPr>
          <w:rFonts w:eastAsia="Times New Roman" w:cs="Times New Roman"/>
          <w:sz w:val="20"/>
          <w:szCs w:val="20"/>
          <w:lang w:eastAsia="en-CA"/>
        </w:rPr>
        <w:t>Beveridge</w:t>
      </w:r>
      <w:proofErr w:type="spellEnd"/>
      <w:r w:rsidRPr="00BC3BDF">
        <w:rPr>
          <w:rFonts w:eastAsia="Times New Roman" w:cs="Times New Roman"/>
          <w:sz w:val="20"/>
          <w:szCs w:val="20"/>
          <w:lang w:eastAsia="en-CA"/>
        </w:rPr>
        <w:t xml:space="preserve"> J.A., dissenting, would have allowed the appeal, quashed the convictions and directed acquittals on all charges.  In his view, the police conduct constituted a very serious breach of Mr. MacDonald’s rights and, despite the reliability of the evidence obtained and the state’s interest in a trial on the merits, the admission of the evidence would bring the administration of justice into disrepute. </w:t>
      </w:r>
    </w:p>
    <w:p w:rsidR="00E96A29" w:rsidRPr="00833A84" w:rsidRDefault="00E96A29" w:rsidP="00E96A29">
      <w:pPr>
        <w:widowControl w:val="0"/>
        <w:jc w:val="both"/>
        <w:rPr>
          <w:sz w:val="20"/>
          <w:szCs w:val="20"/>
        </w:rPr>
      </w:pPr>
    </w:p>
    <w:p w:rsidR="00E96A29" w:rsidRPr="00833A84" w:rsidRDefault="00E96A29" w:rsidP="00E96A29">
      <w:pPr>
        <w:widowControl w:val="0"/>
        <w:jc w:val="both"/>
        <w:rPr>
          <w:sz w:val="20"/>
          <w:szCs w:val="20"/>
        </w:rPr>
      </w:pPr>
    </w:p>
    <w:p w:rsidR="00E96A29" w:rsidRPr="00833A84" w:rsidRDefault="00E96A29" w:rsidP="00E96A29">
      <w:pPr>
        <w:widowControl w:val="0"/>
        <w:ind w:left="2880" w:hanging="2880"/>
        <w:jc w:val="both"/>
        <w:rPr>
          <w:sz w:val="20"/>
          <w:szCs w:val="20"/>
        </w:rPr>
      </w:pPr>
      <w:r w:rsidRPr="00833A84">
        <w:rPr>
          <w:sz w:val="20"/>
          <w:szCs w:val="20"/>
        </w:rPr>
        <w:t>Origin of the case:</w:t>
      </w:r>
      <w:r w:rsidRPr="00833A84">
        <w:rPr>
          <w:sz w:val="20"/>
          <w:szCs w:val="20"/>
        </w:rPr>
        <w:tab/>
        <w:t>Nova Scotia</w:t>
      </w:r>
    </w:p>
    <w:p w:rsidR="00E96A29" w:rsidRPr="00833A84" w:rsidRDefault="00E96A29" w:rsidP="00E96A29">
      <w:pPr>
        <w:widowControl w:val="0"/>
        <w:ind w:left="2880" w:hanging="2880"/>
        <w:jc w:val="both"/>
        <w:rPr>
          <w:sz w:val="20"/>
          <w:szCs w:val="20"/>
        </w:rPr>
      </w:pPr>
    </w:p>
    <w:p w:rsidR="00E96A29" w:rsidRPr="00833A84" w:rsidRDefault="00E96A29" w:rsidP="00E96A29">
      <w:pPr>
        <w:widowControl w:val="0"/>
        <w:ind w:left="2880" w:hanging="2880"/>
        <w:jc w:val="both"/>
        <w:rPr>
          <w:sz w:val="20"/>
          <w:szCs w:val="20"/>
        </w:rPr>
      </w:pPr>
      <w:r w:rsidRPr="00833A84">
        <w:rPr>
          <w:sz w:val="20"/>
          <w:szCs w:val="20"/>
        </w:rPr>
        <w:t>File No.:</w:t>
      </w:r>
      <w:r w:rsidRPr="00833A84">
        <w:rPr>
          <w:sz w:val="20"/>
          <w:szCs w:val="20"/>
        </w:rPr>
        <w:tab/>
        <w:t>34914</w:t>
      </w:r>
    </w:p>
    <w:p w:rsidR="00E96A29" w:rsidRPr="00833A84" w:rsidRDefault="00E96A29" w:rsidP="00E96A29">
      <w:pPr>
        <w:widowControl w:val="0"/>
        <w:ind w:left="2880" w:hanging="2880"/>
        <w:jc w:val="both"/>
        <w:rPr>
          <w:sz w:val="20"/>
          <w:szCs w:val="20"/>
        </w:rPr>
      </w:pPr>
    </w:p>
    <w:p w:rsidR="00E96A29" w:rsidRPr="00833A84" w:rsidRDefault="00E96A29" w:rsidP="00E96A29">
      <w:pPr>
        <w:widowControl w:val="0"/>
        <w:ind w:left="2880" w:hanging="2880"/>
        <w:jc w:val="both"/>
        <w:rPr>
          <w:sz w:val="20"/>
          <w:szCs w:val="20"/>
        </w:rPr>
      </w:pPr>
      <w:r w:rsidRPr="00833A84">
        <w:rPr>
          <w:sz w:val="20"/>
          <w:szCs w:val="20"/>
        </w:rPr>
        <w:t>Judgment of the Court of Appeal:</w:t>
      </w:r>
      <w:r w:rsidRPr="00833A84">
        <w:rPr>
          <w:sz w:val="20"/>
          <w:szCs w:val="20"/>
        </w:rPr>
        <w:tab/>
        <w:t>May 11, 2012</w:t>
      </w:r>
    </w:p>
    <w:p w:rsidR="00E96A29" w:rsidRPr="00833A84" w:rsidRDefault="00E96A29" w:rsidP="00E96A29">
      <w:pPr>
        <w:widowControl w:val="0"/>
        <w:ind w:left="2880" w:hanging="2880"/>
        <w:jc w:val="both"/>
        <w:rPr>
          <w:sz w:val="20"/>
          <w:szCs w:val="20"/>
        </w:rPr>
      </w:pPr>
    </w:p>
    <w:p w:rsidR="00E96A29" w:rsidRPr="00833A84" w:rsidRDefault="00E96A29" w:rsidP="00E96A29">
      <w:pPr>
        <w:widowControl w:val="0"/>
        <w:ind w:left="2880" w:hanging="2880"/>
        <w:jc w:val="both"/>
        <w:rPr>
          <w:sz w:val="20"/>
          <w:szCs w:val="20"/>
        </w:rPr>
      </w:pPr>
      <w:r w:rsidRPr="00833A84">
        <w:rPr>
          <w:sz w:val="20"/>
          <w:szCs w:val="20"/>
        </w:rPr>
        <w:t>Counsel:</w:t>
      </w:r>
      <w:r w:rsidRPr="00833A84">
        <w:rPr>
          <w:sz w:val="20"/>
          <w:szCs w:val="20"/>
        </w:rPr>
        <w:tab/>
      </w:r>
      <w:proofErr w:type="spellStart"/>
      <w:r w:rsidRPr="00833A84">
        <w:rPr>
          <w:sz w:val="20"/>
          <w:szCs w:val="20"/>
        </w:rPr>
        <w:t>Hersh</w:t>
      </w:r>
      <w:proofErr w:type="spellEnd"/>
      <w:r w:rsidRPr="00833A84">
        <w:rPr>
          <w:sz w:val="20"/>
          <w:szCs w:val="20"/>
        </w:rPr>
        <w:t xml:space="preserve"> </w:t>
      </w:r>
      <w:proofErr w:type="spellStart"/>
      <w:r w:rsidRPr="00833A84">
        <w:rPr>
          <w:sz w:val="20"/>
          <w:szCs w:val="20"/>
        </w:rPr>
        <w:t>Wolch</w:t>
      </w:r>
      <w:proofErr w:type="spellEnd"/>
      <w:r w:rsidRPr="00833A84">
        <w:rPr>
          <w:sz w:val="20"/>
          <w:szCs w:val="20"/>
        </w:rPr>
        <w:t>, Q.C. for the appellant/respondent Erin Lee MacDonald</w:t>
      </w:r>
    </w:p>
    <w:p w:rsidR="00E96A29" w:rsidRPr="00833A84" w:rsidRDefault="00E96A29" w:rsidP="00E96A29">
      <w:pPr>
        <w:widowControl w:val="0"/>
        <w:ind w:left="2880" w:hanging="2880"/>
        <w:jc w:val="both"/>
        <w:rPr>
          <w:sz w:val="20"/>
          <w:szCs w:val="20"/>
        </w:rPr>
      </w:pPr>
      <w:r w:rsidRPr="00833A84">
        <w:rPr>
          <w:sz w:val="20"/>
          <w:szCs w:val="20"/>
        </w:rPr>
        <w:tab/>
        <w:t xml:space="preserve">William D. Delaney, Q.C. and Jennifer A. </w:t>
      </w:r>
      <w:proofErr w:type="spellStart"/>
      <w:r w:rsidRPr="00833A84">
        <w:rPr>
          <w:sz w:val="20"/>
          <w:szCs w:val="20"/>
        </w:rPr>
        <w:t>MacLellan</w:t>
      </w:r>
      <w:proofErr w:type="spellEnd"/>
      <w:r w:rsidRPr="00833A84">
        <w:rPr>
          <w:sz w:val="20"/>
          <w:szCs w:val="20"/>
        </w:rPr>
        <w:t xml:space="preserve"> for the respondent/appellant Her Majesty the Queen</w:t>
      </w:r>
    </w:p>
    <w:p w:rsidR="004634AB" w:rsidRPr="004634AB" w:rsidRDefault="004634AB" w:rsidP="004634AB">
      <w:pPr>
        <w:tabs>
          <w:tab w:val="left" w:pos="-1440"/>
          <w:tab w:val="left" w:pos="-720"/>
        </w:tabs>
        <w:jc w:val="both"/>
        <w:rPr>
          <w:sz w:val="20"/>
          <w:szCs w:val="20"/>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104"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pPr>
        <w:rPr>
          <w:sz w:val="20"/>
          <w:szCs w:val="20"/>
          <w:lang w:val="fr-CA"/>
        </w:rPr>
      </w:pPr>
      <w:r>
        <w:rPr>
          <w:sz w:val="20"/>
          <w:szCs w:val="20"/>
          <w:lang w:val="fr-CA"/>
        </w:rPr>
        <w:br w:type="page"/>
      </w:r>
    </w:p>
    <w:p w:rsidR="00DE6AF9" w:rsidRPr="00EC3022" w:rsidRDefault="0017005E" w:rsidP="00DE6AF9">
      <w:pPr>
        <w:widowControl w:val="0"/>
        <w:ind w:left="720" w:hanging="720"/>
        <w:jc w:val="both"/>
        <w:rPr>
          <w:sz w:val="20"/>
          <w:szCs w:val="20"/>
          <w:lang w:val="fr-CA"/>
        </w:rPr>
      </w:pPr>
      <w:r w:rsidRPr="00EC3022">
        <w:rPr>
          <w:b/>
          <w:sz w:val="20"/>
          <w:szCs w:val="20"/>
          <w:lang w:val="fr-CA"/>
        </w:rPr>
        <w:lastRenderedPageBreak/>
        <w:fldChar w:fldCharType="begin"/>
      </w:r>
      <w:r w:rsidR="00DE6AF9" w:rsidRPr="00EC3022">
        <w:rPr>
          <w:b/>
          <w:sz w:val="20"/>
          <w:szCs w:val="20"/>
          <w:lang w:val="fr-CA"/>
        </w:rPr>
        <w:instrText xml:space="preserve"> SEQ CHAPTER \h \r 1</w:instrText>
      </w:r>
      <w:r w:rsidRPr="00EC3022">
        <w:rPr>
          <w:b/>
          <w:sz w:val="20"/>
          <w:szCs w:val="20"/>
          <w:lang w:val="fr-CA"/>
        </w:rPr>
        <w:fldChar w:fldCharType="end"/>
      </w:r>
      <w:r w:rsidR="00DE6AF9" w:rsidRPr="00EC3022">
        <w:rPr>
          <w:b/>
          <w:sz w:val="20"/>
          <w:szCs w:val="20"/>
          <w:lang w:val="fr-CA"/>
        </w:rPr>
        <w:t>34914</w:t>
      </w:r>
      <w:r w:rsidR="00DE6AF9" w:rsidRPr="00EC3022">
        <w:rPr>
          <w:sz w:val="20"/>
          <w:szCs w:val="20"/>
          <w:lang w:val="fr-CA"/>
        </w:rPr>
        <w:tab/>
      </w:r>
      <w:r w:rsidR="00DE6AF9" w:rsidRPr="00EC3022">
        <w:rPr>
          <w:b/>
          <w:i/>
          <w:sz w:val="20"/>
          <w:szCs w:val="20"/>
          <w:lang w:val="fr-CA"/>
        </w:rPr>
        <w:t xml:space="preserve">Erin Lee </w:t>
      </w:r>
      <w:proofErr w:type="spellStart"/>
      <w:r w:rsidR="00DE6AF9" w:rsidRPr="00EC3022">
        <w:rPr>
          <w:b/>
          <w:i/>
          <w:sz w:val="20"/>
          <w:szCs w:val="20"/>
          <w:lang w:val="fr-CA"/>
        </w:rPr>
        <w:t>MacDonald</w:t>
      </w:r>
      <w:proofErr w:type="spellEnd"/>
      <w:r w:rsidR="00DE6AF9" w:rsidRPr="00EC3022">
        <w:rPr>
          <w:b/>
          <w:i/>
          <w:sz w:val="20"/>
          <w:szCs w:val="20"/>
          <w:lang w:val="fr-CA"/>
        </w:rPr>
        <w:t xml:space="preserve"> c. Sa Majesté la Reine </w:t>
      </w:r>
      <w:r w:rsidR="00DE6AF9" w:rsidRPr="00EC3022">
        <w:rPr>
          <w:b/>
          <w:i/>
          <w:sz w:val="20"/>
          <w:szCs w:val="20"/>
          <w:lang w:val="fr-CA"/>
        </w:rPr>
        <w:noBreakHyphen/>
        <w:t xml:space="preserve"> et entre </w:t>
      </w:r>
      <w:r w:rsidR="00DE6AF9" w:rsidRPr="00EC3022">
        <w:rPr>
          <w:b/>
          <w:i/>
          <w:sz w:val="20"/>
          <w:szCs w:val="20"/>
          <w:lang w:val="fr-CA"/>
        </w:rPr>
        <w:noBreakHyphen/>
        <w:t xml:space="preserve"> Sa Majesté la Reine c. Erin Lee </w:t>
      </w:r>
      <w:proofErr w:type="spellStart"/>
      <w:r w:rsidR="00DE6AF9" w:rsidRPr="00EC3022">
        <w:rPr>
          <w:b/>
          <w:i/>
          <w:sz w:val="20"/>
          <w:szCs w:val="20"/>
          <w:lang w:val="fr-CA"/>
        </w:rPr>
        <w:t>MacDonald</w:t>
      </w:r>
      <w:proofErr w:type="spellEnd"/>
      <w:r w:rsidR="00DE6AF9" w:rsidRPr="00EC3022">
        <w:rPr>
          <w:b/>
          <w:i/>
          <w:sz w:val="20"/>
          <w:szCs w:val="20"/>
          <w:lang w:val="fr-CA"/>
        </w:rPr>
        <w:t xml:space="preserve"> </w:t>
      </w:r>
    </w:p>
    <w:p w:rsidR="00DE6AF9" w:rsidRPr="00EC3022" w:rsidRDefault="00DE6AF9" w:rsidP="00DE6AF9">
      <w:pPr>
        <w:widowControl w:val="0"/>
        <w:jc w:val="both"/>
        <w:rPr>
          <w:sz w:val="20"/>
          <w:szCs w:val="20"/>
          <w:lang w:val="fr-CA"/>
        </w:rPr>
      </w:pPr>
    </w:p>
    <w:p w:rsidR="00435989" w:rsidRPr="00435989" w:rsidRDefault="00435989" w:rsidP="00435989">
      <w:pPr>
        <w:widowControl w:val="0"/>
        <w:jc w:val="both"/>
        <w:rPr>
          <w:rFonts w:eastAsia="Times New Roman" w:cs="Times New Roman"/>
          <w:sz w:val="20"/>
          <w:szCs w:val="20"/>
          <w:lang w:val="fr-CA" w:eastAsia="en-CA"/>
        </w:rPr>
      </w:pPr>
      <w:r w:rsidRPr="00435989">
        <w:rPr>
          <w:rFonts w:eastAsia="Times New Roman" w:cs="Times New Roman"/>
          <w:i/>
          <w:sz w:val="20"/>
          <w:szCs w:val="20"/>
          <w:lang w:val="fr-CA" w:eastAsia="en-CA"/>
        </w:rPr>
        <w:t xml:space="preserve">Charte canadienne des droits et libertés </w:t>
      </w:r>
      <w:r w:rsidRPr="00435989">
        <w:rPr>
          <w:rFonts w:eastAsia="Times New Roman" w:cs="Times New Roman"/>
          <w:sz w:val="20"/>
          <w:szCs w:val="20"/>
          <w:lang w:val="fr-CA" w:eastAsia="en-CA"/>
        </w:rPr>
        <w:noBreakHyphen/>
        <w:t xml:space="preserve"> Droit criminel </w:t>
      </w:r>
      <w:r w:rsidRPr="00435989">
        <w:rPr>
          <w:rFonts w:eastAsia="Times New Roman" w:cs="Times New Roman"/>
          <w:sz w:val="20"/>
          <w:szCs w:val="20"/>
          <w:lang w:val="fr-CA" w:eastAsia="en-CA"/>
        </w:rPr>
        <w:noBreakHyphen/>
        <w:t xml:space="preserve"> Infractions relatives aux armes </w:t>
      </w:r>
      <w:r w:rsidRPr="00435989">
        <w:rPr>
          <w:rFonts w:eastAsia="Times New Roman" w:cs="Times New Roman"/>
          <w:sz w:val="20"/>
          <w:szCs w:val="20"/>
          <w:lang w:val="fr-CA" w:eastAsia="en-CA"/>
        </w:rPr>
        <w:noBreakHyphen/>
        <w:t xml:space="preserve"> Fouilles, perquisitions et saisies </w:t>
      </w:r>
      <w:r w:rsidRPr="00435989">
        <w:rPr>
          <w:rFonts w:eastAsia="Times New Roman" w:cs="Times New Roman"/>
          <w:sz w:val="20"/>
          <w:szCs w:val="20"/>
          <w:lang w:val="fr-CA" w:eastAsia="en-CA"/>
        </w:rPr>
        <w:noBreakHyphen/>
        <w:t xml:space="preserve"> Détermination de la peine </w:t>
      </w:r>
      <w:r w:rsidRPr="00435989">
        <w:rPr>
          <w:rFonts w:eastAsia="Times New Roman" w:cs="Times New Roman"/>
          <w:sz w:val="20"/>
          <w:szCs w:val="20"/>
          <w:lang w:val="fr-CA" w:eastAsia="en-CA"/>
        </w:rPr>
        <w:noBreakHyphen/>
        <w:t xml:space="preserve"> Peines minimales </w:t>
      </w:r>
      <w:r w:rsidRPr="00435989">
        <w:rPr>
          <w:rFonts w:eastAsia="Times New Roman" w:cs="Times New Roman"/>
          <w:sz w:val="20"/>
          <w:szCs w:val="20"/>
          <w:lang w:val="fr-CA" w:eastAsia="en-CA"/>
        </w:rPr>
        <w:noBreakHyphen/>
        <w:t xml:space="preserve"> Les droits de M. </w:t>
      </w:r>
      <w:proofErr w:type="spellStart"/>
      <w:r w:rsidRPr="00435989">
        <w:rPr>
          <w:rFonts w:eastAsia="Times New Roman" w:cs="Times New Roman"/>
          <w:sz w:val="20"/>
          <w:szCs w:val="20"/>
          <w:lang w:val="fr-CA" w:eastAsia="en-CA"/>
        </w:rPr>
        <w:t>MacDonald</w:t>
      </w:r>
      <w:proofErr w:type="spellEnd"/>
      <w:r w:rsidRPr="00435989">
        <w:rPr>
          <w:rFonts w:eastAsia="Times New Roman" w:cs="Times New Roman"/>
          <w:sz w:val="20"/>
          <w:szCs w:val="20"/>
          <w:lang w:val="fr-CA" w:eastAsia="en-CA"/>
        </w:rPr>
        <w:t xml:space="preserve"> garantis par l’art. 8 de la </w:t>
      </w:r>
      <w:r w:rsidRPr="00435989">
        <w:rPr>
          <w:rFonts w:eastAsia="Times New Roman" w:cs="Times New Roman"/>
          <w:i/>
          <w:sz w:val="20"/>
          <w:szCs w:val="20"/>
          <w:lang w:val="fr-CA" w:eastAsia="en-CA"/>
        </w:rPr>
        <w:t>Charte</w:t>
      </w:r>
      <w:r w:rsidRPr="00435989">
        <w:rPr>
          <w:rFonts w:eastAsia="Times New Roman" w:cs="Times New Roman"/>
          <w:sz w:val="20"/>
          <w:szCs w:val="20"/>
          <w:lang w:val="fr-CA" w:eastAsia="en-CA"/>
        </w:rPr>
        <w:t xml:space="preserve"> </w:t>
      </w:r>
      <w:proofErr w:type="spellStart"/>
      <w:r w:rsidRPr="00435989">
        <w:rPr>
          <w:rFonts w:eastAsia="Times New Roman" w:cs="Times New Roman"/>
          <w:sz w:val="20"/>
          <w:szCs w:val="20"/>
          <w:lang w:val="fr-CA" w:eastAsia="en-CA"/>
        </w:rPr>
        <w:t>ont</w:t>
      </w:r>
      <w:r w:rsidRPr="00435989">
        <w:rPr>
          <w:rFonts w:eastAsia="Times New Roman" w:cs="Times New Roman"/>
          <w:sz w:val="20"/>
          <w:szCs w:val="20"/>
          <w:lang w:val="fr-CA" w:eastAsia="en-CA"/>
        </w:rPr>
        <w:noBreakHyphen/>
        <w:t>ils</w:t>
      </w:r>
      <w:proofErr w:type="spellEnd"/>
      <w:r w:rsidRPr="00435989">
        <w:rPr>
          <w:rFonts w:eastAsia="Times New Roman" w:cs="Times New Roman"/>
          <w:sz w:val="20"/>
          <w:szCs w:val="20"/>
          <w:lang w:val="fr-CA" w:eastAsia="en-CA"/>
        </w:rPr>
        <w:t xml:space="preserve"> été violés? </w:t>
      </w:r>
      <w:r w:rsidRPr="00435989">
        <w:rPr>
          <w:rFonts w:eastAsia="Times New Roman" w:cs="Times New Roman"/>
          <w:sz w:val="20"/>
          <w:szCs w:val="20"/>
          <w:lang w:val="fr-CA" w:eastAsia="en-CA"/>
        </w:rPr>
        <w:noBreakHyphen/>
        <w:t xml:space="preserve"> La connaissance de l’illégalité </w:t>
      </w:r>
      <w:proofErr w:type="spellStart"/>
      <w:r w:rsidRPr="00435989">
        <w:rPr>
          <w:rFonts w:eastAsia="Times New Roman" w:cs="Times New Roman"/>
          <w:sz w:val="20"/>
          <w:szCs w:val="20"/>
          <w:lang w:val="fr-CA" w:eastAsia="en-CA"/>
        </w:rPr>
        <w:t>est</w:t>
      </w:r>
      <w:r w:rsidRPr="00435989">
        <w:rPr>
          <w:rFonts w:eastAsia="Times New Roman" w:cs="Times New Roman"/>
          <w:sz w:val="20"/>
          <w:szCs w:val="20"/>
          <w:lang w:val="fr-CA" w:eastAsia="en-CA"/>
        </w:rPr>
        <w:noBreakHyphen/>
        <w:t>elle</w:t>
      </w:r>
      <w:proofErr w:type="spellEnd"/>
      <w:r w:rsidRPr="00435989">
        <w:rPr>
          <w:rFonts w:eastAsia="Times New Roman" w:cs="Times New Roman"/>
          <w:sz w:val="20"/>
          <w:szCs w:val="20"/>
          <w:lang w:val="fr-CA" w:eastAsia="en-CA"/>
        </w:rPr>
        <w:t xml:space="preserve"> un élément essentiel de l’infraction de possession non autorisée d’une arme à feu à autorisation restreinte chargée, contraire au par. 95(1) du</w:t>
      </w:r>
      <w:r w:rsidRPr="00435989">
        <w:rPr>
          <w:rFonts w:eastAsia="Times New Roman" w:cs="Times New Roman"/>
          <w:i/>
          <w:sz w:val="20"/>
          <w:szCs w:val="20"/>
          <w:lang w:val="fr-CA" w:eastAsia="en-CA"/>
        </w:rPr>
        <w:t xml:space="preserve"> Code criminel</w:t>
      </w:r>
      <w:r w:rsidRPr="00435989">
        <w:rPr>
          <w:rFonts w:eastAsia="Times New Roman" w:cs="Times New Roman"/>
          <w:sz w:val="20"/>
          <w:szCs w:val="20"/>
          <w:lang w:val="fr-CA" w:eastAsia="en-CA"/>
        </w:rPr>
        <w:t>?</w:t>
      </w:r>
      <w:r w:rsidRPr="00435989">
        <w:rPr>
          <w:rFonts w:eastAsia="Times New Roman" w:cs="Times New Roman"/>
          <w:i/>
          <w:sz w:val="20"/>
          <w:szCs w:val="20"/>
          <w:lang w:val="fr-CA" w:eastAsia="en-CA"/>
        </w:rPr>
        <w:t xml:space="preserve"> </w:t>
      </w:r>
      <w:r w:rsidRPr="00435989">
        <w:rPr>
          <w:rFonts w:eastAsia="Times New Roman" w:cs="Times New Roman"/>
          <w:sz w:val="20"/>
          <w:szCs w:val="20"/>
          <w:lang w:val="fr-CA" w:eastAsia="en-CA"/>
        </w:rPr>
        <w:noBreakHyphen/>
        <w:t xml:space="preserve"> La prétendue croyance erronée de M. </w:t>
      </w:r>
      <w:proofErr w:type="spellStart"/>
      <w:r w:rsidRPr="00435989">
        <w:rPr>
          <w:rFonts w:eastAsia="Times New Roman" w:cs="Times New Roman"/>
          <w:sz w:val="20"/>
          <w:szCs w:val="20"/>
          <w:lang w:val="fr-CA" w:eastAsia="en-CA"/>
        </w:rPr>
        <w:t>MacDonald</w:t>
      </w:r>
      <w:proofErr w:type="spellEnd"/>
      <w:r w:rsidRPr="00435989">
        <w:rPr>
          <w:rFonts w:eastAsia="Times New Roman" w:cs="Times New Roman"/>
          <w:sz w:val="20"/>
          <w:szCs w:val="20"/>
          <w:lang w:val="fr-CA" w:eastAsia="en-CA"/>
        </w:rPr>
        <w:t xml:space="preserve"> selon laquelle son autorisation de transporter son arme à feu s’étendait à son domicile à Halifax </w:t>
      </w:r>
      <w:proofErr w:type="spellStart"/>
      <w:r w:rsidRPr="00435989">
        <w:rPr>
          <w:rFonts w:eastAsia="Times New Roman" w:cs="Times New Roman"/>
          <w:sz w:val="20"/>
          <w:szCs w:val="20"/>
          <w:lang w:val="fr-CA" w:eastAsia="en-CA"/>
        </w:rPr>
        <w:t>constituait</w:t>
      </w:r>
      <w:r w:rsidRPr="00435989">
        <w:rPr>
          <w:rFonts w:eastAsia="Times New Roman" w:cs="Times New Roman"/>
          <w:sz w:val="20"/>
          <w:szCs w:val="20"/>
          <w:lang w:val="fr-CA" w:eastAsia="en-CA"/>
        </w:rPr>
        <w:noBreakHyphen/>
        <w:t>elle</w:t>
      </w:r>
      <w:proofErr w:type="spellEnd"/>
      <w:r w:rsidRPr="00435989">
        <w:rPr>
          <w:rFonts w:eastAsia="Times New Roman" w:cs="Times New Roman"/>
          <w:sz w:val="20"/>
          <w:szCs w:val="20"/>
          <w:lang w:val="fr-CA" w:eastAsia="en-CA"/>
        </w:rPr>
        <w:t xml:space="preserve"> une erreur de fait, par opposition à une erreur de droit, fournissant ainsi un moyen de défense à l’accusation? </w:t>
      </w:r>
      <w:r w:rsidRPr="00435989">
        <w:rPr>
          <w:rFonts w:eastAsia="Times New Roman" w:cs="Times New Roman"/>
          <w:sz w:val="20"/>
          <w:szCs w:val="20"/>
          <w:lang w:val="fr-CA" w:eastAsia="en-CA"/>
        </w:rPr>
        <w:noBreakHyphen/>
        <w:t xml:space="preserve"> La Cour d’appel </w:t>
      </w:r>
      <w:proofErr w:type="spellStart"/>
      <w:r w:rsidRPr="00435989">
        <w:rPr>
          <w:rFonts w:eastAsia="Times New Roman" w:cs="Times New Roman"/>
          <w:sz w:val="20"/>
          <w:szCs w:val="20"/>
          <w:lang w:val="fr-CA" w:eastAsia="en-CA"/>
        </w:rPr>
        <w:t>aurait</w:t>
      </w:r>
      <w:r w:rsidRPr="00435989">
        <w:rPr>
          <w:rFonts w:eastAsia="Times New Roman" w:cs="Times New Roman"/>
          <w:sz w:val="20"/>
          <w:szCs w:val="20"/>
          <w:lang w:val="fr-CA" w:eastAsia="en-CA"/>
        </w:rPr>
        <w:noBreakHyphen/>
        <w:t>elle</w:t>
      </w:r>
      <w:proofErr w:type="spellEnd"/>
      <w:r w:rsidRPr="00435989">
        <w:rPr>
          <w:rFonts w:eastAsia="Times New Roman" w:cs="Times New Roman"/>
          <w:sz w:val="20"/>
          <w:szCs w:val="20"/>
          <w:lang w:val="fr-CA" w:eastAsia="en-CA"/>
        </w:rPr>
        <w:t xml:space="preserve"> dû ordonner un nouveau procès relativement à la déclaration de culpabilité en vertu du par. 95(1), plutôt que d’inscrire un acquittement, puisque le moyen de défense d’erreur de fait n’avait pas été clairement soumis au juge du procès? </w:t>
      </w:r>
      <w:r w:rsidRPr="00435989">
        <w:rPr>
          <w:rFonts w:eastAsia="Times New Roman" w:cs="Times New Roman"/>
          <w:sz w:val="20"/>
          <w:szCs w:val="20"/>
          <w:lang w:val="fr-CA" w:eastAsia="en-CA"/>
        </w:rPr>
        <w:noBreakHyphen/>
        <w:t xml:space="preserve"> La Cour d’appel </w:t>
      </w:r>
      <w:proofErr w:type="spellStart"/>
      <w:r w:rsidRPr="00435989">
        <w:rPr>
          <w:rFonts w:eastAsia="Times New Roman" w:cs="Times New Roman"/>
          <w:sz w:val="20"/>
          <w:szCs w:val="20"/>
          <w:lang w:val="fr-CA" w:eastAsia="en-CA"/>
        </w:rPr>
        <w:t>a</w:t>
      </w:r>
      <w:r w:rsidRPr="00435989">
        <w:rPr>
          <w:rFonts w:eastAsia="Times New Roman" w:cs="Times New Roman"/>
          <w:sz w:val="20"/>
          <w:szCs w:val="20"/>
          <w:lang w:val="fr-CA" w:eastAsia="en-CA"/>
        </w:rPr>
        <w:noBreakHyphen/>
        <w:t>t</w:t>
      </w:r>
      <w:r w:rsidRPr="00435989">
        <w:rPr>
          <w:rFonts w:eastAsia="Times New Roman" w:cs="Times New Roman"/>
          <w:sz w:val="20"/>
          <w:szCs w:val="20"/>
          <w:lang w:val="fr-CA" w:eastAsia="en-CA"/>
        </w:rPr>
        <w:noBreakHyphen/>
        <w:t>elle</w:t>
      </w:r>
      <w:proofErr w:type="spellEnd"/>
      <w:r w:rsidRPr="00435989">
        <w:rPr>
          <w:rFonts w:eastAsia="Times New Roman" w:cs="Times New Roman"/>
          <w:sz w:val="20"/>
          <w:szCs w:val="20"/>
          <w:lang w:val="fr-CA" w:eastAsia="en-CA"/>
        </w:rPr>
        <w:t xml:space="preserve"> eu tort de réduire les peines imposées relativement aux déclarations de culpabilité en vertu </w:t>
      </w:r>
      <w:proofErr w:type="gramStart"/>
      <w:r w:rsidRPr="00435989">
        <w:rPr>
          <w:rFonts w:eastAsia="Times New Roman" w:cs="Times New Roman"/>
          <w:sz w:val="20"/>
          <w:szCs w:val="20"/>
          <w:lang w:val="fr-CA" w:eastAsia="en-CA"/>
        </w:rPr>
        <w:t>des art</w:t>
      </w:r>
      <w:proofErr w:type="gramEnd"/>
      <w:r w:rsidRPr="00435989">
        <w:rPr>
          <w:rFonts w:eastAsia="Times New Roman" w:cs="Times New Roman"/>
          <w:sz w:val="20"/>
          <w:szCs w:val="20"/>
          <w:lang w:val="fr-CA" w:eastAsia="en-CA"/>
        </w:rPr>
        <w:t xml:space="preserve">. 86 et 88? </w:t>
      </w:r>
      <w:r w:rsidRPr="00435989">
        <w:rPr>
          <w:rFonts w:eastAsia="Times New Roman" w:cs="Times New Roman"/>
          <w:sz w:val="20"/>
          <w:szCs w:val="20"/>
          <w:lang w:val="fr-CA" w:eastAsia="en-CA"/>
        </w:rPr>
        <w:noBreakHyphen/>
        <w:t xml:space="preserve"> La peine minimale obligatoire prescrite au par. 95(2) du</w:t>
      </w:r>
      <w:r w:rsidRPr="00435989">
        <w:rPr>
          <w:rFonts w:eastAsia="Times New Roman" w:cs="Times New Roman"/>
          <w:i/>
          <w:sz w:val="20"/>
          <w:szCs w:val="20"/>
          <w:lang w:val="fr-CA" w:eastAsia="en-CA"/>
        </w:rPr>
        <w:t xml:space="preserve"> Code criminel</w:t>
      </w:r>
      <w:r w:rsidRPr="00435989">
        <w:rPr>
          <w:rFonts w:eastAsia="Times New Roman" w:cs="Times New Roman"/>
          <w:sz w:val="20"/>
          <w:szCs w:val="20"/>
          <w:lang w:val="fr-CA" w:eastAsia="en-CA"/>
        </w:rPr>
        <w:t xml:space="preserve"> </w:t>
      </w:r>
      <w:proofErr w:type="spellStart"/>
      <w:r w:rsidRPr="00435989">
        <w:rPr>
          <w:rFonts w:eastAsia="Times New Roman" w:cs="Times New Roman"/>
          <w:sz w:val="20"/>
          <w:szCs w:val="20"/>
          <w:lang w:val="fr-CA" w:eastAsia="en-CA"/>
        </w:rPr>
        <w:t>constitue</w:t>
      </w:r>
      <w:r w:rsidRPr="00435989">
        <w:rPr>
          <w:rFonts w:eastAsia="Times New Roman" w:cs="Times New Roman"/>
          <w:sz w:val="20"/>
          <w:szCs w:val="20"/>
          <w:lang w:val="fr-CA" w:eastAsia="en-CA"/>
        </w:rPr>
        <w:noBreakHyphen/>
        <w:t>t</w:t>
      </w:r>
      <w:r w:rsidRPr="00435989">
        <w:rPr>
          <w:rFonts w:eastAsia="Times New Roman" w:cs="Times New Roman"/>
          <w:sz w:val="20"/>
          <w:szCs w:val="20"/>
          <w:lang w:val="fr-CA" w:eastAsia="en-CA"/>
        </w:rPr>
        <w:noBreakHyphen/>
        <w:t>elle</w:t>
      </w:r>
      <w:proofErr w:type="spellEnd"/>
      <w:r w:rsidRPr="00435989">
        <w:rPr>
          <w:rFonts w:eastAsia="Times New Roman" w:cs="Times New Roman"/>
          <w:sz w:val="20"/>
          <w:szCs w:val="20"/>
          <w:lang w:val="fr-CA" w:eastAsia="en-CA"/>
        </w:rPr>
        <w:t xml:space="preserve"> une peine cruelle et inusitée qui viole l’art. 12 de la </w:t>
      </w:r>
      <w:r w:rsidRPr="00435989">
        <w:rPr>
          <w:rFonts w:eastAsia="Times New Roman" w:cs="Times New Roman"/>
          <w:i/>
          <w:sz w:val="20"/>
          <w:szCs w:val="20"/>
          <w:lang w:val="fr-CA" w:eastAsia="en-CA"/>
        </w:rPr>
        <w:t>Charte</w:t>
      </w:r>
      <w:r w:rsidRPr="00435989">
        <w:rPr>
          <w:rFonts w:eastAsia="Times New Roman" w:cs="Times New Roman"/>
          <w:sz w:val="20"/>
          <w:szCs w:val="20"/>
          <w:lang w:val="fr-CA" w:eastAsia="en-CA"/>
        </w:rPr>
        <w:t xml:space="preserve"> et, dans l’affirmative, l’atteinte </w:t>
      </w:r>
      <w:proofErr w:type="spellStart"/>
      <w:r w:rsidRPr="00435989">
        <w:rPr>
          <w:rFonts w:eastAsia="Times New Roman" w:cs="Times New Roman"/>
          <w:sz w:val="20"/>
          <w:szCs w:val="20"/>
          <w:lang w:val="fr-CA" w:eastAsia="en-CA"/>
        </w:rPr>
        <w:t>constitue</w:t>
      </w:r>
      <w:r w:rsidRPr="00435989">
        <w:rPr>
          <w:rFonts w:eastAsia="Times New Roman" w:cs="Times New Roman"/>
          <w:sz w:val="20"/>
          <w:szCs w:val="20"/>
          <w:lang w:val="fr-CA" w:eastAsia="en-CA"/>
        </w:rPr>
        <w:noBreakHyphen/>
        <w:t>t</w:t>
      </w:r>
      <w:r w:rsidRPr="00435989">
        <w:rPr>
          <w:rFonts w:eastAsia="Times New Roman" w:cs="Times New Roman"/>
          <w:sz w:val="20"/>
          <w:szCs w:val="20"/>
          <w:lang w:val="fr-CA" w:eastAsia="en-CA"/>
        </w:rPr>
        <w:noBreakHyphen/>
        <w:t>elle</w:t>
      </w:r>
      <w:proofErr w:type="spellEnd"/>
      <w:r w:rsidRPr="00435989">
        <w:rPr>
          <w:rFonts w:eastAsia="Times New Roman" w:cs="Times New Roman"/>
          <w:sz w:val="20"/>
          <w:szCs w:val="20"/>
          <w:lang w:val="fr-CA" w:eastAsia="en-CA"/>
        </w:rPr>
        <w:t xml:space="preserve"> une limite raisonnable dont la justification peut se démontrer dans le cadre d’une société libre et démocratique, au sens de l’article premier de la </w:t>
      </w:r>
      <w:r w:rsidRPr="00435989">
        <w:rPr>
          <w:rFonts w:eastAsia="Times New Roman" w:cs="Times New Roman"/>
          <w:i/>
          <w:sz w:val="20"/>
          <w:szCs w:val="20"/>
          <w:lang w:val="fr-CA" w:eastAsia="en-CA"/>
        </w:rPr>
        <w:t>Charte</w:t>
      </w:r>
      <w:r w:rsidRPr="00435989">
        <w:rPr>
          <w:rFonts w:eastAsia="Times New Roman" w:cs="Times New Roman"/>
          <w:sz w:val="20"/>
          <w:szCs w:val="20"/>
          <w:lang w:val="fr-CA" w:eastAsia="en-CA"/>
        </w:rPr>
        <w:t xml:space="preserve">? </w:t>
      </w:r>
    </w:p>
    <w:p w:rsidR="00435989" w:rsidRPr="00435989" w:rsidRDefault="00435989" w:rsidP="00435989">
      <w:pPr>
        <w:widowControl w:val="0"/>
        <w:jc w:val="both"/>
        <w:rPr>
          <w:rFonts w:eastAsia="Times New Roman" w:cs="Times New Roman"/>
          <w:sz w:val="20"/>
          <w:szCs w:val="20"/>
          <w:lang w:val="fr-CA" w:eastAsia="en-CA"/>
        </w:rPr>
      </w:pPr>
    </w:p>
    <w:p w:rsidR="00435989" w:rsidRPr="00435989" w:rsidRDefault="00435989" w:rsidP="00435989">
      <w:pPr>
        <w:widowControl w:val="0"/>
        <w:jc w:val="both"/>
        <w:rPr>
          <w:rFonts w:eastAsia="Times New Roman" w:cs="Times New Roman"/>
          <w:sz w:val="20"/>
          <w:szCs w:val="20"/>
          <w:lang w:val="fr-CA" w:eastAsia="en-CA"/>
        </w:rPr>
      </w:pPr>
      <w:r w:rsidRPr="00435989">
        <w:rPr>
          <w:rFonts w:eastAsia="Times New Roman" w:cs="Times New Roman"/>
          <w:sz w:val="20"/>
          <w:szCs w:val="20"/>
          <w:lang w:val="fr-CA" w:eastAsia="en-CA"/>
        </w:rPr>
        <w:t xml:space="preserve">Monsieur </w:t>
      </w:r>
      <w:proofErr w:type="spellStart"/>
      <w:r w:rsidRPr="00435989">
        <w:rPr>
          <w:rFonts w:eastAsia="Times New Roman" w:cs="Times New Roman"/>
          <w:sz w:val="20"/>
          <w:szCs w:val="20"/>
          <w:lang w:val="fr-CA" w:eastAsia="en-CA"/>
        </w:rPr>
        <w:t>MacDonald</w:t>
      </w:r>
      <w:proofErr w:type="spellEnd"/>
      <w:r w:rsidRPr="00435989">
        <w:rPr>
          <w:rFonts w:eastAsia="Times New Roman" w:cs="Times New Roman"/>
          <w:sz w:val="20"/>
          <w:szCs w:val="20"/>
          <w:lang w:val="fr-CA" w:eastAsia="en-CA"/>
        </w:rPr>
        <w:t xml:space="preserve"> a été déclaré coupable de manipulation négligente d’une arme à feu, de possession d’une arme à feu dans un dessein dangereux pour la paix publique et de possession sans autorisation d’une arme à feu à autorisation restreinte chargée, des infractions prévues aux art. 86, 88 et 95 du</w:t>
      </w:r>
      <w:r w:rsidRPr="00435989">
        <w:rPr>
          <w:rFonts w:eastAsia="Times New Roman" w:cs="Times New Roman"/>
          <w:i/>
          <w:sz w:val="20"/>
          <w:szCs w:val="20"/>
          <w:lang w:val="fr-CA" w:eastAsia="en-CA"/>
        </w:rPr>
        <w:t xml:space="preserve"> Code criminel,</w:t>
      </w:r>
      <w:r w:rsidRPr="00435989">
        <w:rPr>
          <w:rFonts w:eastAsia="Times New Roman" w:cs="Times New Roman"/>
          <w:sz w:val="20"/>
          <w:szCs w:val="20"/>
          <w:lang w:val="fr-CA" w:eastAsia="en-CA"/>
        </w:rPr>
        <w:t xml:space="preserve"> respectivement.  Au procès, le juge a essentiellement accepté le scénario présenté par le ministère public selon lequel M. </w:t>
      </w:r>
      <w:proofErr w:type="spellStart"/>
      <w:r w:rsidRPr="00435989">
        <w:rPr>
          <w:rFonts w:eastAsia="Times New Roman" w:cs="Times New Roman"/>
          <w:sz w:val="20"/>
          <w:szCs w:val="20"/>
          <w:lang w:val="fr-CA" w:eastAsia="en-CA"/>
        </w:rPr>
        <w:t>MacDonald</w:t>
      </w:r>
      <w:proofErr w:type="spellEnd"/>
      <w:r w:rsidRPr="00435989">
        <w:rPr>
          <w:rFonts w:eastAsia="Times New Roman" w:cs="Times New Roman"/>
          <w:sz w:val="20"/>
          <w:szCs w:val="20"/>
          <w:lang w:val="fr-CA" w:eastAsia="en-CA"/>
        </w:rPr>
        <w:t xml:space="preserve">, grossier et en état d’ébriété alors qu’il recevait quelques amis à son condo au </w:t>
      </w:r>
      <w:proofErr w:type="spellStart"/>
      <w:r w:rsidRPr="00435989">
        <w:rPr>
          <w:rFonts w:eastAsia="Times New Roman" w:cs="Times New Roman"/>
          <w:sz w:val="20"/>
          <w:szCs w:val="20"/>
          <w:lang w:val="fr-CA" w:eastAsia="en-CA"/>
        </w:rPr>
        <w:t>centre</w:t>
      </w:r>
      <w:r w:rsidRPr="00435989">
        <w:rPr>
          <w:rFonts w:eastAsia="Times New Roman" w:cs="Times New Roman"/>
          <w:sz w:val="20"/>
          <w:szCs w:val="20"/>
          <w:lang w:val="fr-CA" w:eastAsia="en-CA"/>
        </w:rPr>
        <w:noBreakHyphen/>
        <w:t>ville</w:t>
      </w:r>
      <w:proofErr w:type="spellEnd"/>
      <w:r w:rsidRPr="00435989">
        <w:rPr>
          <w:rFonts w:eastAsia="Times New Roman" w:cs="Times New Roman"/>
          <w:sz w:val="20"/>
          <w:szCs w:val="20"/>
          <w:lang w:val="fr-CA" w:eastAsia="en-CA"/>
        </w:rPr>
        <w:t xml:space="preserve"> d’Halifax, s’était fait demander poliment et à plusieurs reprises de baisser le volume de sa musique, et a fini par ouvrir la porte aux policiers en portant une arme à feu à autorisation restreinte chargée.  Une bagarre pour le fusil avec les policiers s’en est ensuivie.  En appel, M. </w:t>
      </w:r>
      <w:proofErr w:type="spellStart"/>
      <w:r w:rsidRPr="00435989">
        <w:rPr>
          <w:rFonts w:eastAsia="Times New Roman" w:cs="Times New Roman"/>
          <w:sz w:val="20"/>
          <w:szCs w:val="20"/>
          <w:lang w:val="fr-CA" w:eastAsia="en-CA"/>
        </w:rPr>
        <w:t>MacDonald</w:t>
      </w:r>
      <w:proofErr w:type="spellEnd"/>
      <w:r w:rsidRPr="00435989">
        <w:rPr>
          <w:rFonts w:eastAsia="Times New Roman" w:cs="Times New Roman"/>
          <w:sz w:val="20"/>
          <w:szCs w:val="20"/>
          <w:lang w:val="fr-CA" w:eastAsia="en-CA"/>
        </w:rPr>
        <w:t xml:space="preserve"> a plaidé que la conduite des policiers ce </w:t>
      </w:r>
      <w:proofErr w:type="spellStart"/>
      <w:r w:rsidRPr="00435989">
        <w:rPr>
          <w:rFonts w:eastAsia="Times New Roman" w:cs="Times New Roman"/>
          <w:sz w:val="20"/>
          <w:szCs w:val="20"/>
          <w:lang w:val="fr-CA" w:eastAsia="en-CA"/>
        </w:rPr>
        <w:t>soir</w:t>
      </w:r>
      <w:r w:rsidRPr="00435989">
        <w:rPr>
          <w:rFonts w:eastAsia="Times New Roman" w:cs="Times New Roman"/>
          <w:sz w:val="20"/>
          <w:szCs w:val="20"/>
          <w:lang w:val="fr-CA" w:eastAsia="en-CA"/>
        </w:rPr>
        <w:noBreakHyphen/>
        <w:t>là</w:t>
      </w:r>
      <w:proofErr w:type="spellEnd"/>
      <w:r w:rsidRPr="00435989">
        <w:rPr>
          <w:rFonts w:eastAsia="Times New Roman" w:cs="Times New Roman"/>
          <w:sz w:val="20"/>
          <w:szCs w:val="20"/>
          <w:lang w:val="fr-CA" w:eastAsia="en-CA"/>
        </w:rPr>
        <w:t xml:space="preserve"> constituait une perquisition illégale contraire à l’art. 8 de la</w:t>
      </w:r>
      <w:r w:rsidRPr="00435989">
        <w:rPr>
          <w:rFonts w:eastAsia="Times New Roman" w:cs="Times New Roman"/>
          <w:i/>
          <w:sz w:val="20"/>
          <w:szCs w:val="20"/>
          <w:lang w:val="fr-CA" w:eastAsia="en-CA"/>
        </w:rPr>
        <w:t xml:space="preserve"> Charte canadienne des droits et libertés</w:t>
      </w:r>
      <w:r w:rsidRPr="00435989">
        <w:rPr>
          <w:rFonts w:eastAsia="Times New Roman" w:cs="Times New Roman"/>
          <w:sz w:val="20"/>
          <w:szCs w:val="20"/>
          <w:lang w:val="fr-CA" w:eastAsia="en-CA"/>
        </w:rPr>
        <w:t xml:space="preserve"> et que le juge du procès avait eu tort de conclure que l’action policière était justifiée dans l’intérêt de la sécurité des agents.  Il a également contesté sa déclaration de culpabilité en vertu de l’art. 95, plaidant que son arme à feu avait été enregistrée en Alberta et que cette autorisation s’étendait jusqu’à son domicile à Halifax, si bien qu’il était autorisé à posséder cette arme.  Subsidiairement, il a plaidé que même s’il n’avait pas été autorisé à posséder l’arme à Halifax, il avait cru à tort — et donc innocemment — qu’il l’était.  Les juges majoritaires de la Cour d’appel ont annulé la déclaration de culpabilité en vertu de l’art. 95 et inscrit un acquittement, et ils ont accueilli les appels de la peine interjetés par M. </w:t>
      </w:r>
      <w:proofErr w:type="spellStart"/>
      <w:r w:rsidRPr="00435989">
        <w:rPr>
          <w:rFonts w:eastAsia="Times New Roman" w:cs="Times New Roman"/>
          <w:sz w:val="20"/>
          <w:szCs w:val="20"/>
          <w:lang w:val="fr-CA" w:eastAsia="en-CA"/>
        </w:rPr>
        <w:t>MacDonald</w:t>
      </w:r>
      <w:proofErr w:type="spellEnd"/>
      <w:r w:rsidRPr="00435989">
        <w:rPr>
          <w:rFonts w:eastAsia="Times New Roman" w:cs="Times New Roman"/>
          <w:sz w:val="20"/>
          <w:szCs w:val="20"/>
          <w:lang w:val="fr-CA" w:eastAsia="en-CA"/>
        </w:rPr>
        <w:t xml:space="preserve">.  Toutefois, la Cour a conclu qu’il n’y pas eu d’atteinte à l’art. 8 de la </w:t>
      </w:r>
      <w:r w:rsidRPr="00435989">
        <w:rPr>
          <w:rFonts w:eastAsia="Times New Roman" w:cs="Times New Roman"/>
          <w:i/>
          <w:sz w:val="20"/>
          <w:szCs w:val="20"/>
          <w:lang w:val="fr-CA" w:eastAsia="en-CA"/>
        </w:rPr>
        <w:t>Charte</w:t>
      </w:r>
      <w:r w:rsidRPr="00435989">
        <w:rPr>
          <w:rFonts w:eastAsia="Times New Roman" w:cs="Times New Roman"/>
          <w:sz w:val="20"/>
          <w:szCs w:val="20"/>
          <w:lang w:val="fr-CA" w:eastAsia="en-CA"/>
        </w:rPr>
        <w:t xml:space="preserve"> et elle a rejeté cette partie de l’appel.  Le juge Beveridge, dissident, aurait accueilli l’appel, annulé les déclarations de culpabilité et ordonnée des acquittements relativement à toutes les accusations.  À son avis, la conduite des policiers constituait une atteinte très grave aux droits de M. </w:t>
      </w:r>
      <w:proofErr w:type="spellStart"/>
      <w:r w:rsidRPr="00435989">
        <w:rPr>
          <w:rFonts w:eastAsia="Times New Roman" w:cs="Times New Roman"/>
          <w:sz w:val="20"/>
          <w:szCs w:val="20"/>
          <w:lang w:val="fr-CA" w:eastAsia="en-CA"/>
        </w:rPr>
        <w:t>MacDonald</w:t>
      </w:r>
      <w:proofErr w:type="spellEnd"/>
      <w:r w:rsidRPr="00435989">
        <w:rPr>
          <w:rFonts w:eastAsia="Times New Roman" w:cs="Times New Roman"/>
          <w:sz w:val="20"/>
          <w:szCs w:val="20"/>
          <w:lang w:val="fr-CA" w:eastAsia="en-CA"/>
        </w:rPr>
        <w:t xml:space="preserve"> et, malgré la fiabilité de la preuve obtenue et l’intérêt de l’État à ce qu’il y ait un procès sur le fond, l’admission de la preuve aurait pour effet de déconsidérer l’administration de la justice. </w:t>
      </w:r>
    </w:p>
    <w:p w:rsidR="00DE6AF9" w:rsidRPr="00EC3022" w:rsidRDefault="00DE6AF9" w:rsidP="00DE6AF9">
      <w:pPr>
        <w:widowControl w:val="0"/>
        <w:jc w:val="both"/>
        <w:rPr>
          <w:sz w:val="20"/>
          <w:szCs w:val="20"/>
          <w:lang w:val="fr-CA"/>
        </w:rPr>
      </w:pPr>
    </w:p>
    <w:p w:rsidR="00DE6AF9" w:rsidRPr="00EC3022" w:rsidRDefault="00DE6AF9" w:rsidP="00DE6AF9">
      <w:pPr>
        <w:widowControl w:val="0"/>
        <w:jc w:val="both"/>
        <w:rPr>
          <w:sz w:val="20"/>
          <w:szCs w:val="20"/>
          <w:lang w:val="fr-CA"/>
        </w:rPr>
      </w:pPr>
    </w:p>
    <w:p w:rsidR="00DE6AF9" w:rsidRPr="00EC3022" w:rsidRDefault="00DE6AF9" w:rsidP="00DE6AF9">
      <w:pPr>
        <w:widowControl w:val="0"/>
        <w:ind w:left="2880" w:hanging="2880"/>
        <w:jc w:val="both"/>
        <w:rPr>
          <w:sz w:val="20"/>
          <w:szCs w:val="20"/>
          <w:lang w:val="fr-CA"/>
        </w:rPr>
      </w:pPr>
      <w:r w:rsidRPr="00EC3022">
        <w:rPr>
          <w:sz w:val="20"/>
          <w:szCs w:val="20"/>
          <w:lang w:val="fr-CA"/>
        </w:rPr>
        <w:t>Origine :</w:t>
      </w:r>
      <w:r w:rsidRPr="00EC3022">
        <w:rPr>
          <w:sz w:val="20"/>
          <w:szCs w:val="20"/>
          <w:lang w:val="fr-CA"/>
        </w:rPr>
        <w:tab/>
      </w:r>
      <w:proofErr w:type="spellStart"/>
      <w:r w:rsidRPr="00EC3022">
        <w:rPr>
          <w:sz w:val="20"/>
          <w:szCs w:val="20"/>
          <w:lang w:val="fr-CA"/>
        </w:rPr>
        <w:t>Nouvelle</w:t>
      </w:r>
      <w:r w:rsidRPr="00EC3022">
        <w:rPr>
          <w:sz w:val="20"/>
          <w:szCs w:val="20"/>
          <w:lang w:val="fr-CA"/>
        </w:rPr>
        <w:noBreakHyphen/>
        <w:t>Écosse</w:t>
      </w:r>
      <w:proofErr w:type="spellEnd"/>
    </w:p>
    <w:p w:rsidR="00DE6AF9" w:rsidRPr="00EC3022" w:rsidRDefault="00DE6AF9" w:rsidP="00DE6AF9">
      <w:pPr>
        <w:widowControl w:val="0"/>
        <w:ind w:left="2880" w:hanging="2880"/>
        <w:jc w:val="both"/>
        <w:rPr>
          <w:sz w:val="20"/>
          <w:szCs w:val="20"/>
          <w:lang w:val="fr-CA"/>
        </w:rPr>
      </w:pPr>
    </w:p>
    <w:p w:rsidR="00DE6AF9" w:rsidRPr="00EC3022" w:rsidRDefault="00DE6AF9" w:rsidP="00DE6AF9">
      <w:pPr>
        <w:widowControl w:val="0"/>
        <w:ind w:left="2880" w:hanging="2880"/>
        <w:jc w:val="both"/>
        <w:rPr>
          <w:sz w:val="20"/>
          <w:szCs w:val="20"/>
          <w:lang w:val="fr-CA"/>
        </w:rPr>
      </w:pPr>
      <w:r w:rsidRPr="00EC3022">
        <w:rPr>
          <w:sz w:val="20"/>
          <w:szCs w:val="20"/>
          <w:lang w:val="fr-CA"/>
        </w:rPr>
        <w:t>N</w:t>
      </w:r>
      <w:r w:rsidRPr="00EC3022">
        <w:rPr>
          <w:sz w:val="20"/>
          <w:szCs w:val="20"/>
          <w:vertAlign w:val="superscript"/>
          <w:lang w:val="fr-CA"/>
        </w:rPr>
        <w:t>o</w:t>
      </w:r>
      <w:r w:rsidRPr="00EC3022">
        <w:rPr>
          <w:sz w:val="20"/>
          <w:szCs w:val="20"/>
          <w:lang w:val="fr-CA"/>
        </w:rPr>
        <w:t xml:space="preserve"> du greffe :</w:t>
      </w:r>
      <w:r w:rsidRPr="00EC3022">
        <w:rPr>
          <w:sz w:val="20"/>
          <w:szCs w:val="20"/>
          <w:lang w:val="fr-CA"/>
        </w:rPr>
        <w:tab/>
        <w:t>34914</w:t>
      </w:r>
    </w:p>
    <w:p w:rsidR="00DE6AF9" w:rsidRPr="00EC3022" w:rsidRDefault="00DE6AF9" w:rsidP="00DE6AF9">
      <w:pPr>
        <w:widowControl w:val="0"/>
        <w:ind w:left="2880" w:hanging="2880"/>
        <w:jc w:val="both"/>
        <w:rPr>
          <w:sz w:val="20"/>
          <w:szCs w:val="20"/>
          <w:lang w:val="fr-CA"/>
        </w:rPr>
      </w:pPr>
    </w:p>
    <w:p w:rsidR="00DE6AF9" w:rsidRPr="00EC3022" w:rsidRDefault="00DE6AF9" w:rsidP="00DE6AF9">
      <w:pPr>
        <w:widowControl w:val="0"/>
        <w:ind w:left="2880" w:hanging="2880"/>
        <w:jc w:val="both"/>
        <w:rPr>
          <w:sz w:val="20"/>
          <w:szCs w:val="20"/>
          <w:lang w:val="fr-CA"/>
        </w:rPr>
      </w:pPr>
      <w:r w:rsidRPr="00EC3022">
        <w:rPr>
          <w:sz w:val="20"/>
          <w:szCs w:val="20"/>
          <w:lang w:val="fr-CA"/>
        </w:rPr>
        <w:t>Arrêt de la Cour d’appel :</w:t>
      </w:r>
      <w:r w:rsidRPr="00EC3022">
        <w:rPr>
          <w:sz w:val="20"/>
          <w:szCs w:val="20"/>
          <w:lang w:val="fr-CA"/>
        </w:rPr>
        <w:tab/>
        <w:t>le 11 mai 2012</w:t>
      </w:r>
    </w:p>
    <w:p w:rsidR="00DE6AF9" w:rsidRPr="00EC3022" w:rsidRDefault="00DE6AF9" w:rsidP="00DE6AF9">
      <w:pPr>
        <w:widowControl w:val="0"/>
        <w:ind w:left="2880" w:hanging="2880"/>
        <w:jc w:val="both"/>
        <w:rPr>
          <w:sz w:val="20"/>
          <w:szCs w:val="20"/>
          <w:lang w:val="fr-CA"/>
        </w:rPr>
      </w:pPr>
    </w:p>
    <w:p w:rsidR="00DE6AF9" w:rsidRPr="00EC3022" w:rsidRDefault="00DE6AF9" w:rsidP="00DE6AF9">
      <w:pPr>
        <w:widowControl w:val="0"/>
        <w:ind w:left="2880" w:hanging="2880"/>
        <w:jc w:val="both"/>
        <w:rPr>
          <w:sz w:val="20"/>
          <w:szCs w:val="20"/>
          <w:lang w:val="fr-CA"/>
        </w:rPr>
      </w:pPr>
      <w:r w:rsidRPr="00EC3022">
        <w:rPr>
          <w:sz w:val="20"/>
          <w:szCs w:val="20"/>
          <w:lang w:val="fr-CA"/>
        </w:rPr>
        <w:t>Avocats :</w:t>
      </w:r>
      <w:r w:rsidRPr="00EC3022">
        <w:rPr>
          <w:sz w:val="20"/>
          <w:szCs w:val="20"/>
          <w:lang w:val="fr-CA"/>
        </w:rPr>
        <w:tab/>
        <w:t xml:space="preserve">Hersh </w:t>
      </w:r>
      <w:proofErr w:type="spellStart"/>
      <w:r w:rsidRPr="00EC3022">
        <w:rPr>
          <w:sz w:val="20"/>
          <w:szCs w:val="20"/>
          <w:lang w:val="fr-CA"/>
        </w:rPr>
        <w:t>Wolch</w:t>
      </w:r>
      <w:proofErr w:type="spellEnd"/>
      <w:r w:rsidRPr="00EC3022">
        <w:rPr>
          <w:sz w:val="20"/>
          <w:szCs w:val="20"/>
          <w:lang w:val="fr-CA"/>
        </w:rPr>
        <w:t xml:space="preserve">, </w:t>
      </w:r>
      <w:proofErr w:type="spellStart"/>
      <w:r w:rsidRPr="00EC3022">
        <w:rPr>
          <w:sz w:val="20"/>
          <w:szCs w:val="20"/>
          <w:lang w:val="fr-CA"/>
        </w:rPr>
        <w:t>c.r</w:t>
      </w:r>
      <w:proofErr w:type="spellEnd"/>
      <w:r w:rsidRPr="00EC3022">
        <w:rPr>
          <w:sz w:val="20"/>
          <w:szCs w:val="20"/>
          <w:lang w:val="fr-CA"/>
        </w:rPr>
        <w:t xml:space="preserve">. pour l’appelant/intimé Erin Lee </w:t>
      </w:r>
      <w:proofErr w:type="spellStart"/>
      <w:r w:rsidRPr="00EC3022">
        <w:rPr>
          <w:sz w:val="20"/>
          <w:szCs w:val="20"/>
          <w:lang w:val="fr-CA"/>
        </w:rPr>
        <w:t>MacDonald</w:t>
      </w:r>
      <w:proofErr w:type="spellEnd"/>
    </w:p>
    <w:p w:rsidR="00DE6AF9" w:rsidRPr="00EC3022" w:rsidRDefault="00DE6AF9" w:rsidP="00DE6AF9">
      <w:pPr>
        <w:widowControl w:val="0"/>
        <w:ind w:left="2880" w:hanging="2880"/>
        <w:jc w:val="both"/>
        <w:rPr>
          <w:sz w:val="20"/>
          <w:szCs w:val="20"/>
          <w:lang w:val="fr-CA"/>
        </w:rPr>
      </w:pPr>
      <w:r w:rsidRPr="00EC3022">
        <w:rPr>
          <w:sz w:val="20"/>
          <w:szCs w:val="20"/>
          <w:lang w:val="fr-CA"/>
        </w:rPr>
        <w:tab/>
        <w:t xml:space="preserve">William D. Delaney, </w:t>
      </w:r>
      <w:proofErr w:type="spellStart"/>
      <w:r w:rsidRPr="00EC3022">
        <w:rPr>
          <w:sz w:val="20"/>
          <w:szCs w:val="20"/>
          <w:lang w:val="fr-CA"/>
        </w:rPr>
        <w:t>c.r</w:t>
      </w:r>
      <w:proofErr w:type="spellEnd"/>
      <w:r w:rsidRPr="00EC3022">
        <w:rPr>
          <w:sz w:val="20"/>
          <w:szCs w:val="20"/>
          <w:lang w:val="fr-CA"/>
        </w:rPr>
        <w:t xml:space="preserve">. et Jennifer A. </w:t>
      </w:r>
      <w:proofErr w:type="spellStart"/>
      <w:r w:rsidRPr="00EC3022">
        <w:rPr>
          <w:sz w:val="20"/>
          <w:szCs w:val="20"/>
          <w:lang w:val="fr-CA"/>
        </w:rPr>
        <w:t>MacLellan</w:t>
      </w:r>
      <w:proofErr w:type="spellEnd"/>
      <w:r w:rsidRPr="00EC3022">
        <w:rPr>
          <w:sz w:val="20"/>
          <w:szCs w:val="20"/>
          <w:lang w:val="fr-CA"/>
        </w:rPr>
        <w:t xml:space="preserve"> pour l’intimée/appelante Sa Majesté la Reine</w:t>
      </w:r>
    </w:p>
    <w:p w:rsidR="004634AB" w:rsidRPr="00DE6AF9" w:rsidRDefault="004634AB" w:rsidP="004634AB">
      <w:pPr>
        <w:tabs>
          <w:tab w:val="left" w:pos="-1440"/>
          <w:tab w:val="left" w:pos="-720"/>
        </w:tabs>
        <w:jc w:val="both"/>
        <w:rPr>
          <w:sz w:val="20"/>
          <w:szCs w:val="20"/>
          <w:lang w:val="fr-CA"/>
        </w:rPr>
      </w:pPr>
    </w:p>
    <w:p w:rsidR="004634AB" w:rsidRDefault="0017005E" w:rsidP="004634AB">
      <w:pPr>
        <w:tabs>
          <w:tab w:val="left" w:pos="-1440"/>
          <w:tab w:val="left" w:pos="-720"/>
        </w:tabs>
        <w:jc w:val="both"/>
        <w:rPr>
          <w:sz w:val="20"/>
          <w:szCs w:val="20"/>
          <w:lang w:val="fr-CA"/>
        </w:rPr>
      </w:pPr>
      <w:r w:rsidRPr="0017005E">
        <w:rPr>
          <w:sz w:val="20"/>
          <w:szCs w:val="20"/>
          <w:lang w:val="fr-CA"/>
        </w:rPr>
        <w:pict>
          <v:rect id="_x0000_i1105" style="width:2in;height:1pt" o:hrpct="0" o:hralign="center" o:hrstd="t" o:hrnoshade="t" o:hr="t" fillcolor="black [3213]" stroked="f"/>
        </w:pict>
      </w:r>
    </w:p>
    <w:p w:rsidR="004634AB" w:rsidRDefault="004634AB" w:rsidP="004634AB">
      <w:pPr>
        <w:tabs>
          <w:tab w:val="left" w:pos="-1440"/>
          <w:tab w:val="left" w:pos="-720"/>
        </w:tabs>
        <w:jc w:val="both"/>
        <w:rPr>
          <w:sz w:val="20"/>
          <w:szCs w:val="20"/>
          <w:lang w:val="fr-CA"/>
        </w:rPr>
      </w:pPr>
    </w:p>
    <w:p w:rsidR="004634AB" w:rsidRDefault="004634AB" w:rsidP="000B3C9A">
      <w:pPr>
        <w:tabs>
          <w:tab w:val="left" w:pos="-1440"/>
          <w:tab w:val="left" w:pos="-720"/>
        </w:tabs>
        <w:jc w:val="both"/>
        <w:rPr>
          <w:sz w:val="20"/>
          <w:szCs w:val="20"/>
          <w:lang w:val="fr-CA"/>
        </w:rPr>
      </w:pPr>
    </w:p>
    <w:p w:rsidR="004634AB" w:rsidRPr="00DD0B49" w:rsidRDefault="004634AB"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091FA6" w:rsidRPr="002E0C7E" w:rsidRDefault="0017005E"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15028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50281">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50281">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DECEMBER - DÉCEMBRE</w:t>
            </w:r>
          </w:p>
        </w:tc>
      </w:tr>
      <w:tr w:rsidR="00091FA6" w:rsidRPr="002E0C7E" w:rsidTr="0015028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r>
      <w:tr w:rsidR="00091FA6" w:rsidRPr="002E0C7E" w:rsidTr="0015028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w:t>
            </w:r>
          </w:p>
        </w:tc>
      </w:tr>
      <w:tr w:rsidR="00091FA6" w:rsidRPr="002E0C7E" w:rsidTr="00150281">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150281">
            <w:pPr>
              <w:widowControl w:val="0"/>
              <w:jc w:val="center"/>
              <w:rPr>
                <w:rFonts w:ascii="Arial" w:hAnsi="Arial"/>
                <w:b/>
                <w:sz w:val="14"/>
              </w:rPr>
            </w:pPr>
            <w:r w:rsidRPr="000C583B">
              <w:rPr>
                <w:rFonts w:ascii="Arial" w:hAnsi="Arial"/>
                <w:b/>
                <w:sz w:val="14"/>
              </w:rPr>
              <w:t>H</w:t>
            </w:r>
          </w:p>
          <w:p w:rsidR="00091FA6" w:rsidRPr="002E0C7E" w:rsidRDefault="00091FA6" w:rsidP="00150281">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150281">
            <w:pPr>
              <w:widowControl w:val="0"/>
              <w:jc w:val="center"/>
              <w:rPr>
                <w:rFonts w:ascii="Arial" w:hAnsi="Arial"/>
                <w:b/>
                <w:sz w:val="14"/>
              </w:rPr>
            </w:pPr>
            <w:r w:rsidRPr="000C583B">
              <w:rPr>
                <w:rFonts w:ascii="Arial" w:hAnsi="Arial"/>
                <w:b/>
                <w:sz w:val="14"/>
              </w:rPr>
              <w:t>M</w:t>
            </w:r>
          </w:p>
          <w:p w:rsidR="00091FA6" w:rsidRPr="002E0C7E" w:rsidRDefault="00091FA6" w:rsidP="00150281">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M</w:t>
            </w:r>
          </w:p>
          <w:p w:rsidR="00091FA6" w:rsidRPr="002E0C7E" w:rsidRDefault="00091FA6" w:rsidP="00150281">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M</w:t>
            </w:r>
          </w:p>
          <w:p w:rsidR="00091FA6" w:rsidRPr="002E0C7E" w:rsidRDefault="00091FA6" w:rsidP="00150281">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8</w:t>
            </w:r>
          </w:p>
        </w:tc>
      </w:tr>
      <w:tr w:rsidR="00091FA6" w:rsidRPr="002E0C7E" w:rsidTr="0015028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150281">
            <w:pPr>
              <w:widowControl w:val="0"/>
              <w:jc w:val="center"/>
              <w:rPr>
                <w:rFonts w:ascii="Arial" w:hAnsi="Arial"/>
                <w:b/>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150281">
            <w:pPr>
              <w:widowControl w:val="0"/>
              <w:jc w:val="center"/>
              <w:rPr>
                <w:rFonts w:ascii="Arial" w:hAnsi="Arial"/>
                <w:sz w:val="14"/>
              </w:rPr>
            </w:pPr>
            <w:r>
              <w:rPr>
                <w:rFonts w:ascii="Arial" w:hAnsi="Arial"/>
                <w:b/>
                <w:sz w:val="14"/>
              </w:rPr>
              <w:t>H</w:t>
            </w: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5028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50281">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Pr>
                <w:rFonts w:ascii="Arial" w:hAnsi="Arial"/>
                <w:sz w:val="14"/>
              </w:rPr>
              <w:t>23</w:t>
            </w:r>
          </w:p>
          <w:p w:rsidR="00091FA6" w:rsidRPr="002E0C7E" w:rsidRDefault="00091FA6" w:rsidP="00150281">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Pr>
                <w:rFonts w:ascii="Arial" w:hAnsi="Arial"/>
                <w:sz w:val="14"/>
              </w:rPr>
              <w:t>24</w:t>
            </w:r>
          </w:p>
          <w:p w:rsidR="00091FA6" w:rsidRPr="002E0C7E" w:rsidRDefault="00091FA6" w:rsidP="00150281">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H</w:t>
            </w: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15028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50281">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50281">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MARCH - MARS</w:t>
            </w:r>
          </w:p>
        </w:tc>
      </w:tr>
      <w:tr w:rsidR="00091FA6" w:rsidRPr="002E0C7E" w:rsidTr="00150281">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r>
      <w:tr w:rsidR="00091FA6" w:rsidRPr="002E0C7E" w:rsidTr="0015028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150281">
            <w:pPr>
              <w:widowControl w:val="0"/>
              <w:jc w:val="center"/>
              <w:rPr>
                <w:rFonts w:ascii="Arial" w:hAnsi="Arial"/>
                <w:b/>
                <w:sz w:val="14"/>
              </w:rPr>
            </w:pPr>
            <w:r>
              <w:rPr>
                <w:rFonts w:ascii="Arial" w:hAnsi="Arial"/>
                <w:b/>
                <w:sz w:val="14"/>
              </w:rPr>
              <w:t>H</w:t>
            </w:r>
          </w:p>
          <w:p w:rsidR="00091FA6" w:rsidRPr="002E0C7E" w:rsidRDefault="00091FA6" w:rsidP="00150281">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r>
      <w:tr w:rsidR="00091FA6" w:rsidRPr="002E0C7E" w:rsidTr="0015028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r>
      <w:tr w:rsidR="00091FA6" w:rsidRPr="002E0C7E" w:rsidTr="00150281">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150281">
            <w:pPr>
              <w:widowControl w:val="0"/>
              <w:jc w:val="center"/>
              <w:rPr>
                <w:rFonts w:ascii="Arial" w:hAnsi="Arial"/>
                <w:b/>
                <w:sz w:val="14"/>
              </w:rPr>
            </w:pPr>
            <w:r>
              <w:rPr>
                <w:rFonts w:ascii="Arial" w:hAnsi="Arial"/>
                <w:b/>
                <w:sz w:val="14"/>
              </w:rPr>
              <w:t>M</w:t>
            </w: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150281">
            <w:pPr>
              <w:widowControl w:val="0"/>
              <w:jc w:val="center"/>
              <w:rPr>
                <w:rFonts w:ascii="Arial" w:hAnsi="Arial"/>
                <w:b/>
                <w:sz w:val="14"/>
              </w:rPr>
            </w:pPr>
            <w:r>
              <w:rPr>
                <w:rFonts w:ascii="Arial" w:hAnsi="Arial"/>
                <w:b/>
                <w:sz w:val="14"/>
              </w:rPr>
              <w:t>M</w:t>
            </w: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15028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150281">
            <w:pPr>
              <w:widowControl w:val="0"/>
              <w:jc w:val="center"/>
              <w:rPr>
                <w:rFonts w:ascii="Arial" w:hAnsi="Arial"/>
                <w:b/>
                <w:sz w:val="14"/>
              </w:rPr>
            </w:pPr>
            <w:r>
              <w:rPr>
                <w:rFonts w:ascii="Arial" w:hAnsi="Arial"/>
                <w:b/>
                <w:sz w:val="14"/>
              </w:rPr>
              <w:t>M</w:t>
            </w: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150281">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Pr>
                <w:rFonts w:ascii="Arial" w:hAnsi="Arial"/>
                <w:sz w:val="14"/>
              </w:rPr>
              <w:t>24</w:t>
            </w:r>
          </w:p>
          <w:p w:rsidR="00091FA6" w:rsidRPr="002E0C7E" w:rsidRDefault="00091FA6" w:rsidP="00150281">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150281">
            <w:pPr>
              <w:widowControl w:val="0"/>
              <w:jc w:val="center"/>
              <w:rPr>
                <w:rFonts w:ascii="Arial" w:hAnsi="Arial"/>
                <w:b/>
                <w:sz w:val="14"/>
              </w:rPr>
            </w:pPr>
            <w:r w:rsidRPr="00261B35">
              <w:rPr>
                <w:rFonts w:ascii="Arial" w:hAnsi="Arial"/>
                <w:b/>
                <w:sz w:val="14"/>
              </w:rPr>
              <w:t>H</w:t>
            </w:r>
          </w:p>
          <w:p w:rsidR="00091FA6" w:rsidRPr="002E0C7E" w:rsidRDefault="00091FA6" w:rsidP="00150281">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15028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50281">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50281">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50281">
            <w:pPr>
              <w:widowControl w:val="0"/>
              <w:jc w:val="center"/>
              <w:rPr>
                <w:rFonts w:ascii="Arial" w:hAnsi="Arial"/>
                <w:sz w:val="14"/>
              </w:rPr>
            </w:pPr>
            <w:r w:rsidRPr="002E0C7E">
              <w:rPr>
                <w:rFonts w:ascii="Arial" w:hAnsi="Arial"/>
                <w:b/>
                <w:sz w:val="14"/>
              </w:rPr>
              <w:t>JUNE - JUIN</w:t>
            </w:r>
          </w:p>
        </w:tc>
      </w:tr>
      <w:tr w:rsidR="00091FA6" w:rsidRPr="002E0C7E" w:rsidTr="00150281">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M</w:t>
            </w:r>
          </w:p>
          <w:p w:rsidR="00091FA6" w:rsidRPr="002E0C7E" w:rsidRDefault="00091FA6" w:rsidP="00150281">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W</w:t>
            </w:r>
          </w:p>
          <w:p w:rsidR="00091FA6" w:rsidRPr="002E0C7E" w:rsidRDefault="00091FA6" w:rsidP="0015028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T</w:t>
            </w:r>
          </w:p>
          <w:p w:rsidR="00091FA6" w:rsidRPr="002E0C7E" w:rsidRDefault="00091FA6" w:rsidP="0015028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F</w:t>
            </w:r>
          </w:p>
          <w:p w:rsidR="00091FA6" w:rsidRPr="002E0C7E" w:rsidRDefault="00091FA6" w:rsidP="0015028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sidRPr="002E0C7E">
              <w:rPr>
                <w:rFonts w:ascii="Arial" w:hAnsi="Arial"/>
                <w:sz w:val="14"/>
              </w:rPr>
              <w:t>s</w:t>
            </w:r>
          </w:p>
          <w:p w:rsidR="00091FA6" w:rsidRPr="002E0C7E" w:rsidRDefault="00091FA6" w:rsidP="00150281">
            <w:pPr>
              <w:widowControl w:val="0"/>
              <w:jc w:val="center"/>
              <w:rPr>
                <w:rFonts w:ascii="Arial" w:hAnsi="Arial"/>
                <w:sz w:val="14"/>
              </w:rPr>
            </w:pPr>
            <w:r w:rsidRPr="002E0C7E">
              <w:rPr>
                <w:rFonts w:ascii="Arial" w:hAnsi="Arial"/>
                <w:sz w:val="14"/>
              </w:rPr>
              <w:t>s</w:t>
            </w:r>
          </w:p>
        </w:tc>
      </w:tr>
      <w:tr w:rsidR="00091FA6" w:rsidRPr="002E0C7E" w:rsidTr="00150281">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150281">
            <w:pPr>
              <w:widowControl w:val="0"/>
              <w:jc w:val="center"/>
              <w:rPr>
                <w:rFonts w:ascii="Arial" w:hAnsi="Arial"/>
                <w:b/>
                <w:sz w:val="14"/>
              </w:rPr>
            </w:pPr>
            <w:r w:rsidRPr="002453E3">
              <w:rPr>
                <w:rFonts w:ascii="Arial" w:hAnsi="Arial"/>
                <w:b/>
                <w:sz w:val="14"/>
              </w:rPr>
              <w:t>H</w:t>
            </w:r>
          </w:p>
          <w:p w:rsidR="00091FA6" w:rsidRPr="002E0C7E" w:rsidRDefault="00091FA6" w:rsidP="00150281">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b/>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w:t>
            </w:r>
          </w:p>
        </w:tc>
      </w:tr>
      <w:tr w:rsidR="00091FA6" w:rsidRPr="002E0C7E" w:rsidTr="0015028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150281">
            <w:pPr>
              <w:widowControl w:val="0"/>
              <w:jc w:val="center"/>
              <w:rPr>
                <w:rFonts w:ascii="Arial" w:hAnsi="Arial"/>
                <w:b/>
                <w:sz w:val="14"/>
              </w:rPr>
            </w:pPr>
          </w:p>
          <w:p w:rsidR="00091FA6" w:rsidRPr="002E0C7E" w:rsidRDefault="00091FA6" w:rsidP="0015028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8</w:t>
            </w:r>
          </w:p>
        </w:tc>
      </w:tr>
      <w:tr w:rsidR="00091FA6" w:rsidRPr="002E0C7E" w:rsidTr="00150281">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150281">
            <w:pPr>
              <w:widowControl w:val="0"/>
              <w:jc w:val="center"/>
              <w:rPr>
                <w:rFonts w:ascii="Arial" w:hAnsi="Arial"/>
                <w:b/>
                <w:sz w:val="14"/>
              </w:rPr>
            </w:pPr>
            <w:r w:rsidRPr="00DB5777">
              <w:rPr>
                <w:rFonts w:ascii="Arial" w:hAnsi="Arial"/>
                <w:b/>
                <w:sz w:val="14"/>
              </w:rPr>
              <w:t>M</w:t>
            </w: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150281">
            <w:pPr>
              <w:widowControl w:val="0"/>
              <w:jc w:val="center"/>
              <w:rPr>
                <w:rFonts w:ascii="Arial" w:hAnsi="Arial"/>
                <w:b/>
                <w:sz w:val="14"/>
              </w:rPr>
            </w:pPr>
            <w:r w:rsidRPr="002453E3">
              <w:rPr>
                <w:rFonts w:ascii="Arial" w:hAnsi="Arial"/>
                <w:b/>
                <w:sz w:val="14"/>
              </w:rPr>
              <w:t>M</w:t>
            </w: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150281">
            <w:pPr>
              <w:widowControl w:val="0"/>
              <w:jc w:val="center"/>
              <w:rPr>
                <w:rFonts w:ascii="Arial" w:hAnsi="Arial"/>
                <w:b/>
                <w:sz w:val="14"/>
              </w:rPr>
            </w:pPr>
            <w:r w:rsidRPr="006A1E8D">
              <w:rPr>
                <w:rFonts w:ascii="Arial" w:hAnsi="Arial"/>
                <w:b/>
                <w:sz w:val="14"/>
              </w:rPr>
              <w:t>M</w:t>
            </w: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5028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150281">
            <w:pPr>
              <w:widowControl w:val="0"/>
              <w:jc w:val="center"/>
              <w:rPr>
                <w:rFonts w:ascii="Arial" w:hAnsi="Arial"/>
                <w:b/>
                <w:sz w:val="14"/>
              </w:rPr>
            </w:pPr>
            <w:r>
              <w:rPr>
                <w:rFonts w:ascii="Arial" w:hAnsi="Arial"/>
                <w:b/>
                <w:sz w:val="14"/>
              </w:rPr>
              <w:t>H</w:t>
            </w: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50281">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r>
              <w:rPr>
                <w:rFonts w:ascii="Arial" w:hAnsi="Arial"/>
                <w:sz w:val="14"/>
              </w:rPr>
              <w:t>23</w:t>
            </w:r>
          </w:p>
          <w:p w:rsidR="00091FA6" w:rsidRPr="002E0C7E" w:rsidRDefault="00091FA6" w:rsidP="00150281">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50281">
            <w:pPr>
              <w:widowControl w:val="0"/>
              <w:jc w:val="center"/>
              <w:rPr>
                <w:rFonts w:ascii="Arial" w:hAnsi="Arial"/>
                <w:sz w:val="14"/>
              </w:rPr>
            </w:pPr>
          </w:p>
          <w:p w:rsidR="00091FA6" w:rsidRPr="002E0C7E" w:rsidRDefault="00091FA6" w:rsidP="00150281">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150281">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150281">
            <w:pPr>
              <w:widowControl w:val="0"/>
              <w:rPr>
                <w:rFonts w:ascii="Arial" w:hAnsi="Arial"/>
                <w:sz w:val="16"/>
              </w:rPr>
            </w:pPr>
            <w:r w:rsidRPr="002E0C7E">
              <w:rPr>
                <w:rFonts w:ascii="Arial" w:hAnsi="Arial"/>
                <w:sz w:val="16"/>
              </w:rPr>
              <w:t>Sittings of the court:</w:t>
            </w:r>
          </w:p>
          <w:p w:rsidR="00091FA6" w:rsidRPr="002E0C7E" w:rsidRDefault="00091FA6" w:rsidP="00150281">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150281">
            <w:pPr>
              <w:widowControl w:val="0"/>
              <w:rPr>
                <w:rFonts w:ascii="Arial" w:hAnsi="Arial"/>
                <w:sz w:val="16"/>
              </w:rPr>
            </w:pPr>
          </w:p>
          <w:p w:rsidR="00091FA6" w:rsidRPr="002E0C7E" w:rsidRDefault="00091FA6" w:rsidP="00150281">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5028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5028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150281">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502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9"/>
      <w:footerReference w:type="default" r:id="rId7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23" w:rsidRDefault="00A22C23" w:rsidP="00A87207">
      <w:r>
        <w:separator/>
      </w:r>
    </w:p>
  </w:endnote>
  <w:endnote w:type="continuationSeparator" w:id="0">
    <w:p w:rsidR="00A22C23" w:rsidRDefault="00A22C2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6D" w:rsidRDefault="001C376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pPr>
      <w:pStyle w:val="Footer"/>
      <w:rPr>
        <w:lang w:val="fr-CA"/>
      </w:rPr>
    </w:pPr>
    <w:r w:rsidRPr="0017005E">
      <w:rPr>
        <w:lang w:val="fr-CA"/>
      </w:rPr>
      <w:pict>
        <v:rect id="_x0000_i1053" style="width:480.95pt;height:1pt" o:hralign="center" o:hrstd="t" o:hrnoshade="t" o:hr="t" fillcolor="black [3213]" stroked="f"/>
      </w:pict>
    </w:r>
  </w:p>
  <w:p w:rsidR="00A22C23" w:rsidRDefault="00A22C23" w:rsidP="00245129">
    <w:pPr>
      <w:tabs>
        <w:tab w:val="center" w:pos="4680"/>
      </w:tabs>
    </w:pPr>
    <w:r>
      <w:tab/>
    </w:r>
    <w:r w:rsidRPr="0009648D">
      <w:t xml:space="preserve">- </w:t>
    </w:r>
    <w:fldSimple w:instr=" PAGE   \* MERGEFORMAT ">
      <w:r w:rsidR="005C0D71">
        <w:rPr>
          <w:noProof/>
        </w:rPr>
        <w:t>784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2C23" w:rsidRDefault="00A22C2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755F22">
    <w:pPr>
      <w:tabs>
        <w:tab w:val="left" w:pos="-1440"/>
        <w:tab w:val="left" w:pos="-720"/>
      </w:tabs>
    </w:pPr>
    <w:r>
      <w:pict>
        <v:rect id="_x0000_i1061" style="width:480.95pt;height:1pt" o:hralign="center" o:hrstd="t" o:hrnoshade="t" o:hr="t" fillcolor="black [3213]" stroked="f"/>
      </w:pict>
    </w:r>
  </w:p>
  <w:p w:rsidR="00A22C23" w:rsidRDefault="00A22C23" w:rsidP="00EB2B90">
    <w:pPr>
      <w:tabs>
        <w:tab w:val="center" w:pos="4680"/>
      </w:tabs>
    </w:pPr>
    <w:r>
      <w:tab/>
      <w:t xml:space="preserve">- </w:t>
    </w:r>
    <w:fldSimple w:instr=" PAGE   \* MERGEFORMAT ">
      <w:r w:rsidR="005C0D71">
        <w:rPr>
          <w:noProof/>
        </w:rPr>
        <w:t>800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EB2B90">
    <w:pPr>
      <w:tabs>
        <w:tab w:val="center" w:pos="4680"/>
      </w:tabs>
    </w:pPr>
    <w:r>
      <w:pict>
        <v:rect id="_x0000_i1062" style="width:480.95pt;height:1pt" o:hralign="center" o:hrstd="t" o:hrnoshade="t" o:hr="t" fillcolor="black [3213]" stroked="f"/>
      </w:pict>
    </w:r>
  </w:p>
  <w:p w:rsidR="00A22C23" w:rsidRPr="0031432F" w:rsidRDefault="00A22C23" w:rsidP="00EB2B90">
    <w:pPr>
      <w:tabs>
        <w:tab w:val="center" w:pos="4680"/>
      </w:tabs>
    </w:pPr>
    <w:r>
      <w:tab/>
      <w:t xml:space="preserve">- </w:t>
    </w:r>
    <w:fldSimple w:instr=" PAGE   \* MERGEFORMAT ">
      <w:r w:rsidR="005C0D71">
        <w:rPr>
          <w:noProof/>
        </w:rPr>
        <w:t>795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2C23" w:rsidRDefault="00A22C23">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7005E">
      <w:rPr>
        <w:lang w:val="fr-CA"/>
      </w:rPr>
      <w:pict>
        <v:rect id="_x0000_i1064" style="width:480.95pt;height:1pt" o:hralign="center" o:hrstd="t" o:hrnoshade="t" o:hr="t" fillcolor="black [3213]" stroked="f"/>
      </w:pict>
    </w:r>
  </w:p>
  <w:p w:rsidR="00A22C23" w:rsidRDefault="00A22C23"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pPr>
      <w:pStyle w:val="Footer"/>
      <w:rPr>
        <w:lang w:val="fr-CA"/>
      </w:rPr>
    </w:pPr>
    <w:r w:rsidRPr="0017005E">
      <w:rPr>
        <w:lang w:val="fr-CA"/>
      </w:rPr>
      <w:pict>
        <v:rect id="_x0000_i1065" style="width:480.95pt;height:1pt" o:hralign="center" o:hrstd="t" o:hrnoshade="t" o:hr="t" fillcolor="black [3213]" stroked="f"/>
      </w:pict>
    </w:r>
  </w:p>
  <w:p w:rsidR="00A22C23" w:rsidRDefault="00A22C23" w:rsidP="00EB2B90">
    <w:pPr>
      <w:tabs>
        <w:tab w:val="center" w:pos="4680"/>
      </w:tabs>
    </w:pPr>
    <w:r>
      <w:tab/>
      <w:t xml:space="preserve">- </w:t>
    </w:r>
    <w:fldSimple w:instr=" PAGE   \* MERGEFORMAT ">
      <w:r w:rsidR="005C0D71">
        <w:rPr>
          <w:noProof/>
        </w:rPr>
        <w:t>801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2C23" w:rsidRDefault="00A22C23">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732DB7">
    <w:r>
      <w:pict>
        <v:rect id="_x0000_i1069" style="width:480.95pt;height:1pt" o:hralign="center" o:hrstd="t" o:hrnoshade="t" o:hr="t" fillcolor="black" stroked="f"/>
      </w:pict>
    </w:r>
  </w:p>
  <w:p w:rsidR="00A22C23" w:rsidRDefault="00A22C23">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pPr>
      <w:pStyle w:val="Footer"/>
    </w:pPr>
    <w:r>
      <w:pict>
        <v:rect id="_x0000_i1070" style="width:480.95pt;height:1pt" o:hralign="center" o:hrstd="t" o:hrnoshade="t" o:hr="t" fillcolor="black" stroked="f"/>
      </w:pict>
    </w:r>
  </w:p>
  <w:p w:rsidR="00A22C23" w:rsidRPr="00283C52" w:rsidRDefault="00A22C23">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6D" w:rsidRDefault="001C376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2C23" w:rsidRDefault="00A22C2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732DB7">
    <w:r>
      <w:pict>
        <v:rect id="_x0000_i1072" style="width:480.95pt;height:1pt" o:hralign="center" o:hrstd="t" o:hrnoshade="t" o:hr="t" fillcolor="black" stroked="f"/>
      </w:pict>
    </w:r>
  </w:p>
  <w:p w:rsidR="00A22C23" w:rsidRDefault="00A22C23">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pPr>
      <w:pStyle w:val="Footer"/>
    </w:pPr>
    <w:r>
      <w:pict>
        <v:rect id="_x0000_i1073" style="width:480.95pt;height:1pt" o:hralign="center" o:hrstd="t" o:hrnoshade="t" o:hr="t" fillcolor="black [3213]" stroked="f"/>
      </w:pict>
    </w:r>
  </w:p>
  <w:p w:rsidR="00A22C23" w:rsidRPr="003C2C0F" w:rsidRDefault="00A22C23" w:rsidP="00697C62">
    <w:pPr>
      <w:tabs>
        <w:tab w:val="center" w:pos="4680"/>
      </w:tabs>
    </w:pPr>
    <w:r>
      <w:tab/>
      <w:t xml:space="preserve">- </w:t>
    </w:r>
    <w:fldSimple w:instr=" PAGE   \* MERGEFORMAT ">
      <w:r w:rsidR="005C0D71">
        <w:rPr>
          <w:noProof/>
        </w:rPr>
        <w:t>804</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2C23" w:rsidRDefault="00A22C23">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2C23" w:rsidRDefault="00170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6" style="width:480.95pt;height:1pt" o:hralign="center" o:hrstd="t" o:hrnoshade="t" o:hr="t" fillcolor="black [3213]" stroked="f"/>
      </w:pict>
    </w:r>
  </w:p>
  <w:p w:rsidR="00A22C23" w:rsidRDefault="00A22C23" w:rsidP="00782AE4">
    <w:pPr>
      <w:tabs>
        <w:tab w:val="center" w:pos="4680"/>
      </w:tabs>
    </w:pPr>
    <w:r>
      <w:tab/>
      <w:t xml:space="preserve">- </w:t>
    </w:r>
    <w:r w:rsidR="0017005E" w:rsidRPr="001775C1">
      <w:rPr>
        <w:szCs w:val="24"/>
      </w:rPr>
      <w:fldChar w:fldCharType="begin"/>
    </w:r>
    <w:r w:rsidRPr="001775C1">
      <w:rPr>
        <w:szCs w:val="24"/>
      </w:rPr>
      <w:instrText xml:space="preserve"> PAGE   \* MERGEFORMAT </w:instrText>
    </w:r>
    <w:r w:rsidR="0017005E" w:rsidRPr="001775C1">
      <w:rPr>
        <w:szCs w:val="24"/>
      </w:rPr>
      <w:fldChar w:fldCharType="separate"/>
    </w:r>
    <w:r w:rsidR="005C0D71">
      <w:rPr>
        <w:noProof/>
        <w:szCs w:val="24"/>
      </w:rPr>
      <w:t>808</w:t>
    </w:r>
    <w:r w:rsidR="0017005E"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782AE4">
    <w:pPr>
      <w:tabs>
        <w:tab w:val="center" w:pos="4680"/>
      </w:tabs>
    </w:pPr>
    <w:r>
      <w:pict>
        <v:rect id="_x0000_i1077" style="width:480.95pt;height:1pt" o:hralign="center" o:hrstd="t" o:hrnoshade="t" o:hr="t" fillcolor="black [3213]" stroked="f"/>
      </w:pict>
    </w:r>
  </w:p>
  <w:p w:rsidR="00A22C23" w:rsidRDefault="00A22C23" w:rsidP="00782AE4">
    <w:pPr>
      <w:tabs>
        <w:tab w:val="center" w:pos="4680"/>
      </w:tabs>
    </w:pPr>
    <w:r>
      <w:tab/>
      <w:t xml:space="preserve">- </w:t>
    </w:r>
    <w:r w:rsidR="0017005E" w:rsidRPr="001775C1">
      <w:rPr>
        <w:szCs w:val="24"/>
      </w:rPr>
      <w:fldChar w:fldCharType="begin"/>
    </w:r>
    <w:r w:rsidRPr="001775C1">
      <w:rPr>
        <w:szCs w:val="24"/>
      </w:rPr>
      <w:instrText xml:space="preserve"> PAGE   \* MERGEFORMAT </w:instrText>
    </w:r>
    <w:r w:rsidR="0017005E" w:rsidRPr="001775C1">
      <w:rPr>
        <w:szCs w:val="24"/>
      </w:rPr>
      <w:fldChar w:fldCharType="separate"/>
    </w:r>
    <w:r w:rsidR="005C0D71">
      <w:rPr>
        <w:noProof/>
        <w:szCs w:val="24"/>
      </w:rPr>
      <w:t>805</w:t>
    </w:r>
    <w:r w:rsidR="0017005E"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22C23" w:rsidRDefault="00A22C2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22C23" w:rsidRDefault="00A22C23">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22323B">
    <w:r>
      <w:pict>
        <v:rect id="_x0000_i1080" style="width:480.95pt;height:1pt" o:hralign="center" o:hrstd="t" o:hrnoshade="t" o:hr="t" fillcolor="black [3213]" stroked="f"/>
      </w:pict>
    </w:r>
  </w:p>
  <w:p w:rsidR="00A22C23" w:rsidRDefault="00A22C23">
    <w:pPr>
      <w:tabs>
        <w:tab w:val="center" w:pos="4740"/>
      </w:tabs>
      <w:spacing w:line="0" w:lineRule="atLeast"/>
    </w:pPr>
    <w:r>
      <w:tab/>
      <w:t xml:space="preserve">- </w:t>
    </w:r>
    <w:fldSimple w:instr=" PAGE   \* MERGEFORMAT ">
      <w:r w:rsidR="005C0D71">
        <w:rPr>
          <w:noProof/>
        </w:rPr>
        <w:t>810</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22323B">
    <w:r>
      <w:pict>
        <v:rect id="_x0000_i1081" style="width:480.95pt;height:1pt" o:hralign="center" o:hrstd="t" o:hrnoshade="t" o:hr="t" fillcolor="black [3213]" stroked="f"/>
      </w:pict>
    </w:r>
  </w:p>
  <w:p w:rsidR="00A22C23" w:rsidRDefault="00A22C23" w:rsidP="0022323B">
    <w:pPr>
      <w:tabs>
        <w:tab w:val="center" w:pos="4740"/>
      </w:tabs>
      <w:spacing w:line="0" w:lineRule="atLeast"/>
    </w:pPr>
    <w:r>
      <w:tab/>
      <w:t xml:space="preserve">- </w:t>
    </w:r>
    <w:fldSimple w:instr=" PAGE   \* MERGEFORMAT ">
      <w:r w:rsidR="005C0D71">
        <w:rPr>
          <w:noProof/>
        </w:rPr>
        <w:t>809</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22323B">
    <w:r>
      <w:pict>
        <v:rect id="_x0000_i1106" style="width:480.95pt;height:1pt" o:hralign="center" o:hrstd="t" o:hrnoshade="t" o:hr="t" fillcolor="black [3213]" stroked="f"/>
      </w:pict>
    </w:r>
  </w:p>
  <w:p w:rsidR="00A22C23" w:rsidRDefault="00A22C23">
    <w:pPr>
      <w:tabs>
        <w:tab w:val="center" w:pos="4740"/>
      </w:tabs>
      <w:spacing w:line="0" w:lineRule="atLeast"/>
    </w:pPr>
    <w:r>
      <w:tab/>
      <w:t xml:space="preserve">- </w:t>
    </w:r>
    <w:fldSimple w:instr=" PAGE   \* MERGEFORMAT ">
      <w:r w:rsidR="005C0D71">
        <w:rPr>
          <w:noProof/>
        </w:rPr>
        <w:t>830</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6D" w:rsidRDefault="001C376D">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22323B">
    <w:r>
      <w:pict>
        <v:rect id="_x0000_i1107" style="width:480.95pt;height:1pt" o:hralign="center" o:hrstd="t" o:hrnoshade="t" o:hr="t" fillcolor="black [3213]" stroked="f"/>
      </w:pict>
    </w:r>
  </w:p>
  <w:p w:rsidR="00A22C23" w:rsidRDefault="00A22C23" w:rsidP="0022323B">
    <w:pPr>
      <w:tabs>
        <w:tab w:val="center" w:pos="4740"/>
      </w:tabs>
      <w:spacing w:line="0" w:lineRule="atLeast"/>
    </w:pPr>
    <w:r>
      <w:tab/>
      <w:t xml:space="preserve">- </w:t>
    </w:r>
    <w:fldSimple w:instr=" PAGE   \* MERGEFORMAT ">
      <w:r w:rsidR="005C0D71">
        <w:rPr>
          <w:noProof/>
        </w:rPr>
        <w:t>811</w:t>
      </w:r>
    </w:fldSimple>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Pr="00924065" w:rsidRDefault="00A22C23"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A87207">
    <w:pPr>
      <w:pStyle w:val="Footer"/>
    </w:pPr>
    <w:r>
      <w:pict>
        <v:rect id="_x0000_i1035" style="width:480.95pt;height:1pt" o:hralign="center" o:hrstd="t" o:hrnoshade="t" o:hr="t" fillcolor="black [3213]" stroked="f"/>
      </w:pict>
    </w:r>
  </w:p>
  <w:p w:rsidR="00A22C23" w:rsidRPr="00B7374B" w:rsidRDefault="00A22C23" w:rsidP="00B7374B">
    <w:pPr>
      <w:tabs>
        <w:tab w:val="center" w:pos="4680"/>
      </w:tabs>
      <w:rPr>
        <w:szCs w:val="24"/>
      </w:rPr>
    </w:pPr>
    <w:r w:rsidRPr="00954D22">
      <w:rPr>
        <w:szCs w:val="24"/>
      </w:rPr>
      <w:tab/>
      <w:t xml:space="preserve">- </w:t>
    </w:r>
    <w:r w:rsidR="0017005E" w:rsidRPr="00954D22">
      <w:rPr>
        <w:szCs w:val="24"/>
      </w:rPr>
      <w:fldChar w:fldCharType="begin"/>
    </w:r>
    <w:r w:rsidRPr="00954D22">
      <w:rPr>
        <w:szCs w:val="24"/>
      </w:rPr>
      <w:instrText xml:space="preserve"> PAGE   \* MERGEFORMAT </w:instrText>
    </w:r>
    <w:r w:rsidR="0017005E" w:rsidRPr="00954D22">
      <w:rPr>
        <w:szCs w:val="24"/>
      </w:rPr>
      <w:fldChar w:fldCharType="separate"/>
    </w:r>
    <w:r w:rsidR="005C0D71">
      <w:rPr>
        <w:noProof/>
        <w:szCs w:val="24"/>
      </w:rPr>
      <w:t>782</w:t>
    </w:r>
    <w:r w:rsidR="0017005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755F22">
    <w:pPr>
      <w:tabs>
        <w:tab w:val="left" w:pos="-1440"/>
        <w:tab w:val="left" w:pos="-720"/>
      </w:tabs>
    </w:pPr>
    <w:r>
      <w:pict>
        <v:rect id="_x0000_i1036" style="width:480.95pt;height:1pt" o:hralign="center" o:hrstd="t" o:hrnoshade="t" o:hr="t" fillcolor="black [3213]" stroked="f"/>
      </w:pict>
    </w:r>
  </w:p>
  <w:p w:rsidR="00A22C23" w:rsidRPr="00954D22" w:rsidRDefault="00A22C23" w:rsidP="00B7374B">
    <w:pPr>
      <w:tabs>
        <w:tab w:val="center" w:pos="4680"/>
      </w:tabs>
      <w:rPr>
        <w:szCs w:val="24"/>
      </w:rPr>
    </w:pPr>
    <w:r w:rsidRPr="00954D22">
      <w:rPr>
        <w:szCs w:val="24"/>
      </w:rPr>
      <w:tab/>
      <w:t xml:space="preserve">- </w:t>
    </w:r>
    <w:r w:rsidR="0017005E">
      <w:rPr>
        <w:szCs w:val="24"/>
      </w:rPr>
      <w:fldChar w:fldCharType="begin"/>
    </w:r>
    <w:r>
      <w:rPr>
        <w:szCs w:val="24"/>
      </w:rPr>
      <w:instrText xml:space="preserve"> PAGE   \* MERGEFORMAT </w:instrText>
    </w:r>
    <w:r w:rsidR="0017005E">
      <w:rPr>
        <w:szCs w:val="24"/>
      </w:rPr>
      <w:fldChar w:fldCharType="separate"/>
    </w:r>
    <w:r w:rsidR="005C0D71">
      <w:rPr>
        <w:noProof/>
        <w:szCs w:val="24"/>
      </w:rPr>
      <w:t>781</w:t>
    </w:r>
    <w:r w:rsidR="0017005E">
      <w:rPr>
        <w:szCs w:val="24"/>
      </w:rPr>
      <w:fldChar w:fldCharType="end"/>
    </w:r>
    <w:r w:rsidRPr="00954D22">
      <w:rPr>
        <w:szCs w:val="24"/>
      </w:rPr>
      <w:t xml:space="preserve"> -</w:t>
    </w:r>
  </w:p>
  <w:p w:rsidR="00A22C23" w:rsidRDefault="00A22C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A87207">
    <w:pPr>
      <w:pStyle w:val="Footer"/>
    </w:pPr>
    <w:r>
      <w:pict>
        <v:rect id="_x0000_i1038" style="width:480.95pt;height:1pt" o:hralign="center" o:hrstd="t" o:hrnoshade="t" o:hr="t" fillcolor="black [3213]" stroked="f"/>
      </w:pict>
    </w:r>
  </w:p>
  <w:p w:rsidR="00A22C23" w:rsidRPr="00B7374B" w:rsidRDefault="00A22C23" w:rsidP="00B7374B">
    <w:pPr>
      <w:tabs>
        <w:tab w:val="center" w:pos="4680"/>
      </w:tabs>
      <w:rPr>
        <w:szCs w:val="24"/>
      </w:rPr>
    </w:pPr>
    <w:r w:rsidRPr="00954D22">
      <w:rPr>
        <w:szCs w:val="24"/>
      </w:rPr>
      <w:tab/>
      <w:t xml:space="preserve">- </w:t>
    </w:r>
    <w:r w:rsidR="0017005E" w:rsidRPr="00954D22">
      <w:rPr>
        <w:szCs w:val="24"/>
      </w:rPr>
      <w:fldChar w:fldCharType="begin"/>
    </w:r>
    <w:r w:rsidRPr="00954D22">
      <w:rPr>
        <w:szCs w:val="24"/>
      </w:rPr>
      <w:instrText xml:space="preserve"> PAGE   \* MERGEFORMAT </w:instrText>
    </w:r>
    <w:r w:rsidR="0017005E" w:rsidRPr="00954D22">
      <w:rPr>
        <w:szCs w:val="24"/>
      </w:rPr>
      <w:fldChar w:fldCharType="separate"/>
    </w:r>
    <w:r>
      <w:rPr>
        <w:noProof/>
        <w:szCs w:val="24"/>
      </w:rPr>
      <w:t>784</w:t>
    </w:r>
    <w:r w:rsidR="0017005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A22C23" w:rsidRPr="00954D22" w:rsidRDefault="00A22C23" w:rsidP="00B7374B">
    <w:pPr>
      <w:tabs>
        <w:tab w:val="center" w:pos="4680"/>
      </w:tabs>
      <w:rPr>
        <w:szCs w:val="24"/>
      </w:rPr>
    </w:pPr>
    <w:r w:rsidRPr="00954D22">
      <w:rPr>
        <w:szCs w:val="24"/>
      </w:rPr>
      <w:tab/>
      <w:t xml:space="preserve">- </w:t>
    </w:r>
    <w:r w:rsidR="0017005E" w:rsidRPr="00954D22">
      <w:rPr>
        <w:szCs w:val="24"/>
      </w:rPr>
      <w:fldChar w:fldCharType="begin"/>
    </w:r>
    <w:r w:rsidRPr="00954D22">
      <w:rPr>
        <w:szCs w:val="24"/>
      </w:rPr>
      <w:instrText xml:space="preserve"> PAGE   \* MERGEFORMAT </w:instrText>
    </w:r>
    <w:r w:rsidR="0017005E" w:rsidRPr="00954D22">
      <w:rPr>
        <w:szCs w:val="24"/>
      </w:rPr>
      <w:fldChar w:fldCharType="separate"/>
    </w:r>
    <w:r w:rsidR="005C0D71">
      <w:rPr>
        <w:noProof/>
        <w:szCs w:val="24"/>
      </w:rPr>
      <w:t>783</w:t>
    </w:r>
    <w:r w:rsidR="0017005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2C23" w:rsidRDefault="00A22C23">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170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7005E">
      <w:rPr>
        <w:lang w:val="fr-CA"/>
      </w:rPr>
      <w:pict>
        <v:rect id="_x0000_i1052" style="width:480.95pt;height:1pt" o:hralign="center" o:hrstd="t" o:hrnoshade="t" o:hr="t" fillcolor="black [3213]" stroked="f"/>
      </w:pict>
    </w:r>
  </w:p>
  <w:p w:rsidR="00A22C23" w:rsidRPr="0009648D" w:rsidRDefault="00A22C23" w:rsidP="00ED7E83">
    <w:pPr>
      <w:tabs>
        <w:tab w:val="center" w:pos="4680"/>
      </w:tabs>
    </w:pPr>
    <w:r>
      <w:tab/>
    </w:r>
    <w:r w:rsidRPr="0009648D">
      <w:t xml:space="preserve">- </w:t>
    </w:r>
    <w:fldSimple w:instr=" PAGE   \* MERGEFORMAT ">
      <w:r w:rsidR="005C0D71">
        <w:rPr>
          <w:noProof/>
        </w:rPr>
        <w:t>794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23" w:rsidRDefault="00A22C23" w:rsidP="00A87207">
      <w:r>
        <w:separator/>
      </w:r>
    </w:p>
  </w:footnote>
  <w:footnote w:type="continuationSeparator" w:id="0">
    <w:p w:rsidR="00A22C23" w:rsidRDefault="00A22C2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6D" w:rsidRDefault="001C376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22C23">
      <w:tc>
        <w:tcPr>
          <w:tcW w:w="423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22C23"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2C23"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22C23">
      <w:trPr>
        <w:gridAfter w:val="2"/>
        <w:wAfter w:w="5250" w:type="dxa"/>
      </w:trPr>
      <w:tc>
        <w:tcPr>
          <w:tcW w:w="4230" w:type="dxa"/>
          <w:tcMar>
            <w:left w:w="0" w:type="dxa"/>
            <w:right w:w="0" w:type="dxa"/>
          </w:tcMar>
        </w:tcPr>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22C23" w:rsidRPr="00755F22" w:rsidTr="00245129">
      <w:tc>
        <w:tcPr>
          <w:tcW w:w="4230" w:type="dxa"/>
          <w:tcMar>
            <w:left w:w="0" w:type="dxa"/>
            <w:right w:w="0" w:type="dxa"/>
          </w:tcMar>
        </w:tcPr>
        <w:p w:rsidR="00A22C23" w:rsidRPr="00755F22" w:rsidRDefault="00A22C23" w:rsidP="00831CA9">
          <w:pPr>
            <w:keepNext/>
            <w:keepLines/>
            <w:rPr>
              <w:sz w:val="20"/>
              <w:szCs w:val="20"/>
            </w:rPr>
          </w:pPr>
          <w:r w:rsidRPr="00755F22">
            <w:rPr>
              <w:sz w:val="20"/>
              <w:szCs w:val="20"/>
            </w:rPr>
            <w:t>MOTIONS</w:t>
          </w:r>
        </w:p>
      </w:tc>
      <w:tc>
        <w:tcPr>
          <w:tcW w:w="1170" w:type="dxa"/>
          <w:tcMar>
            <w:left w:w="0" w:type="dxa"/>
            <w:right w:w="0" w:type="dxa"/>
          </w:tcMar>
        </w:tcPr>
        <w:p w:rsidR="00A22C23" w:rsidRPr="00755F22" w:rsidRDefault="00A22C23" w:rsidP="00831CA9">
          <w:pPr>
            <w:keepLines/>
            <w:jc w:val="center"/>
            <w:rPr>
              <w:sz w:val="20"/>
              <w:szCs w:val="20"/>
            </w:rPr>
          </w:pPr>
        </w:p>
        <w:p w:rsidR="00A22C23" w:rsidRPr="00755F22" w:rsidRDefault="00A22C23" w:rsidP="00831CA9">
          <w:pPr>
            <w:keepLines/>
            <w:tabs>
              <w:tab w:val="left" w:pos="-1440"/>
              <w:tab w:val="left" w:pos="-720"/>
            </w:tabs>
            <w:jc w:val="center"/>
            <w:rPr>
              <w:sz w:val="20"/>
              <w:szCs w:val="20"/>
            </w:rPr>
          </w:pPr>
        </w:p>
      </w:tc>
      <w:tc>
        <w:tcPr>
          <w:tcW w:w="4080" w:type="dxa"/>
          <w:tcMar>
            <w:left w:w="0" w:type="dxa"/>
            <w:right w:w="0" w:type="dxa"/>
          </w:tcMar>
        </w:tcPr>
        <w:p w:rsidR="00A22C23" w:rsidRPr="00BA6468" w:rsidRDefault="00A22C23" w:rsidP="00BA6468">
          <w:pPr>
            <w:keepLines/>
            <w:rPr>
              <w:sz w:val="20"/>
              <w:szCs w:val="20"/>
              <w:lang w:val="fr-CA"/>
            </w:rPr>
          </w:pPr>
          <w:r w:rsidRPr="00BA6468">
            <w:rPr>
              <w:sz w:val="20"/>
              <w:szCs w:val="20"/>
              <w:lang w:val="fr-CA"/>
            </w:rPr>
            <w:t>REQUÊTES</w:t>
          </w:r>
        </w:p>
      </w:tc>
    </w:tr>
  </w:tbl>
  <w:p w:rsidR="00A22C23" w:rsidRDefault="00A22C23"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22C23" w:rsidRPr="005C0D71">
      <w:tc>
        <w:tcPr>
          <w:tcW w:w="420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2C23" w:rsidRPr="00B01A03"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22C23" w:rsidRPr="00B01A0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22C23" w:rsidRPr="00B01A0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22C23" w:rsidRPr="005C0D71" w:rsidTr="00245129">
      <w:tc>
        <w:tcPr>
          <w:tcW w:w="4200" w:type="dxa"/>
          <w:tcMar>
            <w:left w:w="0" w:type="dxa"/>
            <w:right w:w="0" w:type="dxa"/>
          </w:tcMar>
        </w:tcPr>
        <w:p w:rsidR="00A22C23" w:rsidRPr="00F40249" w:rsidRDefault="00A22C2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22C23" w:rsidRDefault="00A22C23" w:rsidP="00102926">
          <w:pPr>
            <w:keepNext/>
            <w:keepLines/>
            <w:tabs>
              <w:tab w:val="left" w:pos="-1440"/>
              <w:tab w:val="left" w:pos="-720"/>
            </w:tabs>
            <w:jc w:val="center"/>
            <w:rPr>
              <w:sz w:val="20"/>
              <w:szCs w:val="20"/>
            </w:rPr>
          </w:pPr>
        </w:p>
        <w:p w:rsidR="00A22C23" w:rsidRDefault="00A22C23" w:rsidP="00102926">
          <w:pPr>
            <w:keepNext/>
            <w:keepLines/>
            <w:tabs>
              <w:tab w:val="left" w:pos="-1440"/>
              <w:tab w:val="left" w:pos="-720"/>
            </w:tabs>
            <w:jc w:val="center"/>
            <w:rPr>
              <w:sz w:val="20"/>
              <w:szCs w:val="20"/>
            </w:rPr>
          </w:pPr>
        </w:p>
        <w:p w:rsidR="00A22C23" w:rsidRPr="00F40249" w:rsidRDefault="00A22C23" w:rsidP="00102926">
          <w:pPr>
            <w:keepNext/>
            <w:keepLines/>
            <w:tabs>
              <w:tab w:val="left" w:pos="-1440"/>
              <w:tab w:val="left" w:pos="-720"/>
            </w:tabs>
            <w:jc w:val="center"/>
            <w:rPr>
              <w:sz w:val="20"/>
              <w:szCs w:val="20"/>
            </w:rPr>
          </w:pPr>
        </w:p>
      </w:tc>
      <w:tc>
        <w:tcPr>
          <w:tcW w:w="4230" w:type="dxa"/>
          <w:tcMar>
            <w:left w:w="0" w:type="dxa"/>
            <w:right w:w="0" w:type="dxa"/>
          </w:tcMar>
        </w:tcPr>
        <w:p w:rsidR="00A22C23" w:rsidRPr="00F40249" w:rsidRDefault="00A22C2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22C23" w:rsidRPr="00B01A03" w:rsidRDefault="00A22C2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22C23" w:rsidRPr="005C0D71">
      <w:tc>
        <w:tcPr>
          <w:tcW w:w="420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2C23" w:rsidRPr="00283C52"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22C23" w:rsidRPr="00283C52"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22C23" w:rsidRPr="00283C52"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22C23" w:rsidRPr="005C0D71" w:rsidTr="00245129">
      <w:tc>
        <w:tcPr>
          <w:tcW w:w="4200" w:type="dxa"/>
          <w:tcMar>
            <w:left w:w="0" w:type="dxa"/>
            <w:right w:w="0" w:type="dxa"/>
          </w:tcMar>
        </w:tcPr>
        <w:p w:rsidR="00A22C23" w:rsidRPr="00732DB7" w:rsidRDefault="00A22C2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22C23" w:rsidRPr="00732DB7" w:rsidRDefault="00A22C23" w:rsidP="00732DB7">
          <w:pPr>
            <w:keepNext/>
            <w:keepLines/>
            <w:tabs>
              <w:tab w:val="left" w:pos="-1440"/>
              <w:tab w:val="left" w:pos="-720"/>
            </w:tabs>
            <w:jc w:val="center"/>
            <w:rPr>
              <w:sz w:val="20"/>
              <w:szCs w:val="20"/>
            </w:rPr>
          </w:pPr>
        </w:p>
        <w:p w:rsidR="00A22C23" w:rsidRPr="00732DB7" w:rsidRDefault="00A22C23" w:rsidP="00732DB7">
          <w:pPr>
            <w:keepNext/>
            <w:keepLines/>
            <w:tabs>
              <w:tab w:val="left" w:pos="-1440"/>
              <w:tab w:val="left" w:pos="-720"/>
            </w:tabs>
            <w:jc w:val="center"/>
            <w:rPr>
              <w:sz w:val="20"/>
              <w:szCs w:val="20"/>
            </w:rPr>
          </w:pPr>
        </w:p>
        <w:p w:rsidR="00A22C23" w:rsidRPr="00732DB7" w:rsidRDefault="00A22C23" w:rsidP="00732DB7">
          <w:pPr>
            <w:keepNext/>
            <w:keepLines/>
            <w:tabs>
              <w:tab w:val="left" w:pos="-1440"/>
              <w:tab w:val="left" w:pos="-720"/>
            </w:tabs>
            <w:jc w:val="center"/>
            <w:rPr>
              <w:sz w:val="20"/>
              <w:szCs w:val="20"/>
            </w:rPr>
          </w:pPr>
        </w:p>
      </w:tc>
      <w:tc>
        <w:tcPr>
          <w:tcW w:w="4080" w:type="dxa"/>
          <w:tcMar>
            <w:left w:w="0" w:type="dxa"/>
            <w:right w:w="0" w:type="dxa"/>
          </w:tcMar>
        </w:tcPr>
        <w:p w:rsidR="00A22C23" w:rsidRPr="00732DB7" w:rsidRDefault="00A22C2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22C23" w:rsidRPr="00283C52" w:rsidRDefault="00A22C2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6D" w:rsidRDefault="001C376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22C23" w:rsidRPr="005C0D71">
      <w:tc>
        <w:tcPr>
          <w:tcW w:w="420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22C23" w:rsidRPr="003C2C0F"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22C23" w:rsidRPr="003C2C0F"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22C23" w:rsidRPr="003C2C0F"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22C23" w:rsidRPr="005C0D71" w:rsidTr="00245129">
      <w:tc>
        <w:tcPr>
          <w:tcW w:w="4200" w:type="dxa"/>
          <w:tcMar>
            <w:left w:w="0" w:type="dxa"/>
            <w:right w:w="0" w:type="dxa"/>
          </w:tcMar>
        </w:tcPr>
        <w:p w:rsidR="00A22C23" w:rsidRPr="00FF6EEC" w:rsidRDefault="00A22C23" w:rsidP="00FF6EEC">
          <w:pPr>
            <w:rPr>
              <w:sz w:val="20"/>
              <w:szCs w:val="20"/>
            </w:rPr>
          </w:pPr>
          <w:r w:rsidRPr="00FF6EEC">
            <w:rPr>
              <w:sz w:val="20"/>
              <w:szCs w:val="20"/>
            </w:rPr>
            <w:t>PRONOUNCEMENTS OF APPEALS RESERVED</w:t>
          </w:r>
        </w:p>
      </w:tc>
      <w:tc>
        <w:tcPr>
          <w:tcW w:w="1200" w:type="dxa"/>
          <w:tcMar>
            <w:left w:w="0" w:type="dxa"/>
            <w:right w:w="0" w:type="dxa"/>
          </w:tcMar>
        </w:tcPr>
        <w:p w:rsidR="00A22C23" w:rsidRPr="00FF6EEC" w:rsidRDefault="00A22C23" w:rsidP="00FF6EEC">
          <w:pPr>
            <w:jc w:val="center"/>
            <w:rPr>
              <w:sz w:val="20"/>
              <w:szCs w:val="20"/>
            </w:rPr>
          </w:pPr>
        </w:p>
        <w:p w:rsidR="00A22C23" w:rsidRPr="00FF6EEC" w:rsidRDefault="00A22C23" w:rsidP="00FF6EEC">
          <w:pPr>
            <w:jc w:val="center"/>
            <w:rPr>
              <w:sz w:val="20"/>
              <w:szCs w:val="20"/>
            </w:rPr>
          </w:pPr>
        </w:p>
        <w:p w:rsidR="00A22C23" w:rsidRPr="00FF6EEC" w:rsidRDefault="00A22C23" w:rsidP="00FF6EEC">
          <w:pPr>
            <w:jc w:val="center"/>
            <w:rPr>
              <w:sz w:val="20"/>
              <w:szCs w:val="20"/>
            </w:rPr>
          </w:pPr>
        </w:p>
      </w:tc>
      <w:tc>
        <w:tcPr>
          <w:tcW w:w="4080" w:type="dxa"/>
          <w:tcMar>
            <w:left w:w="0" w:type="dxa"/>
            <w:right w:w="0" w:type="dxa"/>
          </w:tcMar>
        </w:tcPr>
        <w:p w:rsidR="00A22C23" w:rsidRPr="00FF6EEC" w:rsidRDefault="00A22C23" w:rsidP="00FF6EEC">
          <w:pPr>
            <w:rPr>
              <w:sz w:val="20"/>
              <w:szCs w:val="20"/>
              <w:lang w:val="fr-CA"/>
            </w:rPr>
          </w:pPr>
          <w:r w:rsidRPr="00FF6EEC">
            <w:rPr>
              <w:sz w:val="20"/>
              <w:szCs w:val="20"/>
              <w:lang w:val="fr-CA"/>
            </w:rPr>
            <w:t>JUGEMENTS RENDUS SUR LES APPELS EN DÉLIBÉRÉ</w:t>
          </w:r>
        </w:p>
      </w:tc>
    </w:tr>
  </w:tbl>
  <w:p w:rsidR="00A22C23" w:rsidRPr="003C2C0F" w:rsidRDefault="00A22C2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22C23">
      <w:tc>
        <w:tcPr>
          <w:tcW w:w="423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22C23"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22C23"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22C23" w:rsidRPr="00782AE4" w:rsidTr="00245129">
      <w:tc>
        <w:tcPr>
          <w:tcW w:w="4230" w:type="dxa"/>
          <w:tcMar>
            <w:left w:w="0" w:type="dxa"/>
            <w:right w:w="0" w:type="dxa"/>
          </w:tcMar>
        </w:tcPr>
        <w:p w:rsidR="00A22C23" w:rsidRPr="00782AE4" w:rsidRDefault="00A22C23" w:rsidP="00102926">
          <w:pPr>
            <w:keepNext/>
            <w:keepLines/>
            <w:tabs>
              <w:tab w:val="left" w:pos="-1440"/>
              <w:tab w:val="left" w:pos="-720"/>
            </w:tabs>
            <w:rPr>
              <w:sz w:val="20"/>
              <w:szCs w:val="20"/>
            </w:rPr>
          </w:pPr>
          <w:r w:rsidRPr="00782AE4">
            <w:rPr>
              <w:sz w:val="20"/>
              <w:szCs w:val="20"/>
            </w:rPr>
            <w:t xml:space="preserve">HEADNOTES OF RECENT </w:t>
          </w:r>
        </w:p>
        <w:p w:rsidR="00A22C23" w:rsidRPr="00782AE4"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22C23" w:rsidRDefault="00A22C23" w:rsidP="00102926">
          <w:pPr>
            <w:keepNext/>
            <w:keepLines/>
            <w:tabs>
              <w:tab w:val="left" w:pos="-1440"/>
              <w:tab w:val="left" w:pos="-720"/>
            </w:tabs>
            <w:jc w:val="center"/>
            <w:rPr>
              <w:sz w:val="20"/>
              <w:szCs w:val="20"/>
            </w:rPr>
          </w:pPr>
        </w:p>
        <w:p w:rsidR="00A22C23" w:rsidRDefault="00A22C23" w:rsidP="00102926">
          <w:pPr>
            <w:keepNext/>
            <w:keepLines/>
            <w:tabs>
              <w:tab w:val="left" w:pos="-1440"/>
              <w:tab w:val="left" w:pos="-720"/>
            </w:tabs>
            <w:jc w:val="center"/>
            <w:rPr>
              <w:sz w:val="20"/>
              <w:szCs w:val="20"/>
            </w:rPr>
          </w:pPr>
        </w:p>
        <w:p w:rsidR="00A22C23" w:rsidRPr="00782AE4" w:rsidRDefault="00A22C23" w:rsidP="00102926">
          <w:pPr>
            <w:keepNext/>
            <w:keepLines/>
            <w:tabs>
              <w:tab w:val="left" w:pos="-1440"/>
              <w:tab w:val="left" w:pos="-720"/>
            </w:tabs>
            <w:jc w:val="center"/>
            <w:rPr>
              <w:sz w:val="20"/>
              <w:szCs w:val="20"/>
            </w:rPr>
          </w:pPr>
        </w:p>
      </w:tc>
      <w:tc>
        <w:tcPr>
          <w:tcW w:w="4080" w:type="dxa"/>
          <w:tcMar>
            <w:left w:w="0" w:type="dxa"/>
            <w:right w:w="0" w:type="dxa"/>
          </w:tcMar>
        </w:tcPr>
        <w:p w:rsidR="00A22C23" w:rsidRPr="00102926"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22C23" w:rsidRPr="00782AE4" w:rsidRDefault="00A22C23" w:rsidP="00102926">
          <w:pPr>
            <w:keepLines/>
            <w:tabs>
              <w:tab w:val="left" w:pos="-1440"/>
              <w:tab w:val="left" w:pos="-720"/>
            </w:tabs>
            <w:rPr>
              <w:sz w:val="20"/>
              <w:szCs w:val="20"/>
            </w:rPr>
          </w:pPr>
          <w:r w:rsidRPr="00102926">
            <w:rPr>
              <w:sz w:val="20"/>
              <w:szCs w:val="20"/>
              <w:lang w:val="fr-CA"/>
            </w:rPr>
            <w:t>RÉCENTS</w:t>
          </w:r>
        </w:p>
      </w:tc>
    </w:tr>
  </w:tbl>
  <w:p w:rsidR="00A22C23" w:rsidRDefault="00A22C2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22C23">
      <w:tc>
        <w:tcPr>
          <w:tcW w:w="4200" w:type="dxa"/>
          <w:tcMar>
            <w:left w:w="0" w:type="dxa"/>
            <w:right w:w="0" w:type="dxa"/>
          </w:tcMar>
        </w:tcPr>
        <w:p w:rsidR="00A22C23" w:rsidRDefault="00A22C2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22C23" w:rsidRDefault="00A22C2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22C23" w:rsidRDefault="00A22C2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22C23" w:rsidRDefault="00A22C2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22C23" w:rsidRDefault="00A22C2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22C23" w:rsidRDefault="00A22C2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22C23" w:rsidRPr="00C50A5C" w:rsidTr="00245129">
      <w:tc>
        <w:tcPr>
          <w:tcW w:w="4200" w:type="dxa"/>
          <w:tcMar>
            <w:left w:w="0" w:type="dxa"/>
            <w:right w:w="0" w:type="dxa"/>
          </w:tcMar>
        </w:tcPr>
        <w:p w:rsidR="00A22C23" w:rsidRPr="00C50A5C" w:rsidRDefault="00A22C23" w:rsidP="00A22C2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M</w:t>
          </w:r>
          <w:r w:rsidRPr="00C50A5C">
            <w:rPr>
              <w:sz w:val="20"/>
              <w:szCs w:val="20"/>
            </w:rPr>
            <w:t>A</w:t>
          </w:r>
          <w:r>
            <w:rPr>
              <w:sz w:val="20"/>
              <w:szCs w:val="20"/>
            </w:rPr>
            <w:t>Y 2013</w:t>
          </w:r>
        </w:p>
      </w:tc>
      <w:tc>
        <w:tcPr>
          <w:tcW w:w="1200" w:type="dxa"/>
          <w:tcMar>
            <w:left w:w="0" w:type="dxa"/>
            <w:right w:w="0" w:type="dxa"/>
          </w:tcMar>
        </w:tcPr>
        <w:p w:rsidR="00A22C23" w:rsidRPr="00C50A5C" w:rsidRDefault="00A22C2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22C23" w:rsidRPr="00C50A5C" w:rsidRDefault="00A22C2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22C23" w:rsidRPr="00C50A5C" w:rsidRDefault="00A22C23" w:rsidP="00A22C2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Pr>
              <w:sz w:val="20"/>
              <w:szCs w:val="20"/>
              <w:lang w:val="fr-CA"/>
            </w:rPr>
            <w:t>M</w:t>
          </w:r>
          <w:r w:rsidRPr="00C50A5C">
            <w:rPr>
              <w:sz w:val="20"/>
              <w:szCs w:val="20"/>
              <w:lang w:val="fr-CA"/>
            </w:rPr>
            <w:t>A</w:t>
          </w:r>
          <w:r>
            <w:rPr>
              <w:sz w:val="20"/>
              <w:szCs w:val="20"/>
              <w:lang w:val="fr-CA"/>
            </w:rPr>
            <w:t>I 2013</w:t>
          </w:r>
        </w:p>
      </w:tc>
    </w:tr>
  </w:tbl>
  <w:p w:rsidR="00A22C23" w:rsidRDefault="00A22C2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22C23" w:rsidRPr="005F263E" w:rsidTr="00245129">
      <w:tc>
        <w:tcPr>
          <w:tcW w:w="4200" w:type="dxa"/>
          <w:tcMar>
            <w:left w:w="0" w:type="dxa"/>
            <w:right w:w="0" w:type="dxa"/>
          </w:tcMar>
        </w:tcPr>
        <w:p w:rsidR="00A22C23" w:rsidRPr="005F263E" w:rsidRDefault="00A22C23"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A22C23" w:rsidRPr="005F263E" w:rsidRDefault="00A22C23" w:rsidP="00245129">
          <w:pPr>
            <w:keepNext/>
            <w:keepLines/>
            <w:tabs>
              <w:tab w:val="left" w:pos="-1440"/>
              <w:tab w:val="left" w:pos="-720"/>
            </w:tabs>
            <w:jc w:val="center"/>
            <w:rPr>
              <w:sz w:val="20"/>
              <w:szCs w:val="20"/>
            </w:rPr>
          </w:pPr>
        </w:p>
        <w:p w:rsidR="00A22C23" w:rsidRPr="005F263E" w:rsidRDefault="00A22C23" w:rsidP="00245129">
          <w:pPr>
            <w:keepNext/>
            <w:keepLines/>
            <w:tabs>
              <w:tab w:val="left" w:pos="-1440"/>
              <w:tab w:val="left" w:pos="-720"/>
            </w:tabs>
            <w:jc w:val="center"/>
            <w:rPr>
              <w:sz w:val="20"/>
              <w:szCs w:val="20"/>
            </w:rPr>
          </w:pPr>
        </w:p>
      </w:tc>
      <w:tc>
        <w:tcPr>
          <w:tcW w:w="4080" w:type="dxa"/>
          <w:tcMar>
            <w:left w:w="0" w:type="dxa"/>
            <w:right w:w="0" w:type="dxa"/>
          </w:tcMar>
        </w:tcPr>
        <w:p w:rsidR="00A22C23" w:rsidRPr="005F263E" w:rsidRDefault="00A22C23" w:rsidP="00245129">
          <w:pPr>
            <w:keepLines/>
            <w:tabs>
              <w:tab w:val="left" w:pos="-1440"/>
              <w:tab w:val="left" w:pos="-720"/>
            </w:tabs>
            <w:rPr>
              <w:sz w:val="20"/>
              <w:szCs w:val="20"/>
            </w:rPr>
          </w:pPr>
          <w:r w:rsidRPr="005F263E">
            <w:rPr>
              <w:sz w:val="20"/>
              <w:szCs w:val="20"/>
            </w:rPr>
            <w:t>RÉSUMÉS DES AFFAIRES</w:t>
          </w:r>
        </w:p>
      </w:tc>
    </w:tr>
  </w:tbl>
  <w:p w:rsidR="00A22C23" w:rsidRDefault="00A22C23" w:rsidP="005F26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6D" w:rsidRDefault="001C376D">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22C23" w:rsidRPr="0044776A" w:rsidTr="00245129">
      <w:tc>
        <w:tcPr>
          <w:tcW w:w="4290" w:type="dxa"/>
          <w:tcMar>
            <w:left w:w="0" w:type="dxa"/>
            <w:right w:w="0" w:type="dxa"/>
          </w:tcMar>
        </w:tcPr>
        <w:p w:rsidR="00A22C23" w:rsidRPr="0044776A" w:rsidRDefault="00A22C2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22C23" w:rsidRPr="0044776A" w:rsidRDefault="00A22C23" w:rsidP="002E2327">
          <w:pPr>
            <w:keepNext/>
            <w:keepLines/>
            <w:tabs>
              <w:tab w:val="left" w:pos="-1440"/>
              <w:tab w:val="left" w:pos="-720"/>
            </w:tabs>
            <w:jc w:val="center"/>
            <w:rPr>
              <w:sz w:val="20"/>
              <w:szCs w:val="20"/>
            </w:rPr>
          </w:pPr>
        </w:p>
        <w:p w:rsidR="00A22C23" w:rsidRPr="0044776A" w:rsidRDefault="00A22C23" w:rsidP="002E2327">
          <w:pPr>
            <w:keepNext/>
            <w:keepLines/>
            <w:tabs>
              <w:tab w:val="left" w:pos="-1440"/>
              <w:tab w:val="left" w:pos="-720"/>
            </w:tabs>
            <w:jc w:val="center"/>
            <w:rPr>
              <w:sz w:val="20"/>
              <w:szCs w:val="20"/>
            </w:rPr>
          </w:pPr>
        </w:p>
        <w:p w:rsidR="00A22C23" w:rsidRPr="0044776A" w:rsidRDefault="00A22C23" w:rsidP="002E2327">
          <w:pPr>
            <w:keepNext/>
            <w:keepLines/>
            <w:tabs>
              <w:tab w:val="left" w:pos="-1440"/>
              <w:tab w:val="left" w:pos="-720"/>
            </w:tabs>
            <w:jc w:val="center"/>
            <w:rPr>
              <w:sz w:val="20"/>
              <w:szCs w:val="20"/>
            </w:rPr>
          </w:pPr>
        </w:p>
      </w:tc>
      <w:tc>
        <w:tcPr>
          <w:tcW w:w="4320" w:type="dxa"/>
          <w:tcMar>
            <w:left w:w="0" w:type="dxa"/>
            <w:right w:w="0" w:type="dxa"/>
          </w:tcMar>
        </w:tcPr>
        <w:p w:rsidR="00A22C23" w:rsidRPr="0044776A" w:rsidRDefault="00A22C23" w:rsidP="002E2327">
          <w:pPr>
            <w:keepLines/>
            <w:rPr>
              <w:sz w:val="20"/>
              <w:szCs w:val="20"/>
              <w:lang w:val="fr-CA"/>
            </w:rPr>
          </w:pPr>
          <w:r w:rsidRPr="0044776A">
            <w:rPr>
              <w:sz w:val="20"/>
              <w:szCs w:val="20"/>
              <w:lang w:val="fr-CA"/>
            </w:rPr>
            <w:t>DEMANDES D'AUTORISATION D'APPEL DÉPOSÉES</w:t>
          </w:r>
        </w:p>
      </w:tc>
    </w:tr>
  </w:tbl>
  <w:p w:rsidR="00A22C23" w:rsidRDefault="00A22C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22C23" w:rsidRPr="005C0D71" w:rsidTr="00245129">
      <w:tc>
        <w:tcPr>
          <w:tcW w:w="4200" w:type="dxa"/>
          <w:tcMar>
            <w:left w:w="0" w:type="dxa"/>
            <w:right w:w="0" w:type="dxa"/>
          </w:tcMar>
        </w:tcPr>
        <w:p w:rsidR="00A22C23" w:rsidRPr="0044776A" w:rsidRDefault="00A22C23" w:rsidP="0044776A">
          <w:pPr>
            <w:keepNext/>
            <w:keepLines/>
            <w:widowControl w:val="0"/>
            <w:rPr>
              <w:sz w:val="20"/>
              <w:szCs w:val="20"/>
            </w:rPr>
          </w:pPr>
          <w:r>
            <w:rPr>
              <w:sz w:val="20"/>
              <w:szCs w:val="20"/>
            </w:rPr>
            <w:t>APPLICATIONS FOR LEAVE</w:t>
          </w:r>
        </w:p>
        <w:p w:rsidR="00A22C23" w:rsidRPr="0044776A" w:rsidRDefault="00A22C2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22C23" w:rsidRPr="0044776A" w:rsidRDefault="00A22C23" w:rsidP="0044776A">
          <w:pPr>
            <w:keepNext/>
            <w:keepLines/>
            <w:widowControl w:val="0"/>
            <w:jc w:val="center"/>
            <w:rPr>
              <w:sz w:val="20"/>
              <w:szCs w:val="20"/>
            </w:rPr>
          </w:pPr>
        </w:p>
        <w:p w:rsidR="00A22C23" w:rsidRPr="0044776A" w:rsidRDefault="00A22C23" w:rsidP="0044776A">
          <w:pPr>
            <w:keepNext/>
            <w:keepLines/>
            <w:widowControl w:val="0"/>
            <w:jc w:val="center"/>
            <w:rPr>
              <w:sz w:val="20"/>
              <w:szCs w:val="20"/>
            </w:rPr>
          </w:pPr>
        </w:p>
        <w:p w:rsidR="00A22C23" w:rsidRPr="0044776A" w:rsidRDefault="00A22C23" w:rsidP="0044776A">
          <w:pPr>
            <w:keepNext/>
            <w:keepLines/>
            <w:widowControl w:val="0"/>
            <w:jc w:val="center"/>
            <w:rPr>
              <w:sz w:val="20"/>
              <w:szCs w:val="20"/>
            </w:rPr>
          </w:pPr>
        </w:p>
      </w:tc>
      <w:tc>
        <w:tcPr>
          <w:tcW w:w="4080" w:type="dxa"/>
          <w:tcMar>
            <w:left w:w="0" w:type="dxa"/>
            <w:right w:w="0" w:type="dxa"/>
          </w:tcMar>
        </w:tcPr>
        <w:p w:rsidR="00A22C23" w:rsidRPr="0044776A" w:rsidRDefault="00A22C23" w:rsidP="0044776A">
          <w:pPr>
            <w:keepLines/>
            <w:widowControl w:val="0"/>
            <w:rPr>
              <w:sz w:val="20"/>
              <w:szCs w:val="20"/>
              <w:lang w:val="fr-CA"/>
            </w:rPr>
          </w:pPr>
          <w:r w:rsidRPr="0044776A">
            <w:rPr>
              <w:sz w:val="20"/>
              <w:szCs w:val="20"/>
              <w:lang w:val="fr-CA"/>
            </w:rPr>
            <w:t>DEMANDES SOUMISES À LA COUR DEPUIS LA DERNIÈRE PARUTION</w:t>
          </w:r>
        </w:p>
        <w:p w:rsidR="00A22C23" w:rsidRPr="0044776A" w:rsidRDefault="00A22C23" w:rsidP="0044776A">
          <w:pPr>
            <w:widowControl w:val="0"/>
            <w:rPr>
              <w:sz w:val="20"/>
              <w:szCs w:val="20"/>
              <w:lang w:val="fr-CA"/>
            </w:rPr>
          </w:pPr>
        </w:p>
      </w:tc>
    </w:tr>
  </w:tbl>
  <w:p w:rsidR="00A22C23" w:rsidRPr="002E2327" w:rsidRDefault="00A22C2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3" w:rsidRDefault="00A22C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22C23" w:rsidRPr="005C0D71">
      <w:tc>
        <w:tcPr>
          <w:tcW w:w="4200" w:type="dxa"/>
          <w:tcMar>
            <w:left w:w="0" w:type="dxa"/>
            <w:right w:w="0" w:type="dxa"/>
          </w:tcMar>
        </w:tcPr>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22C23"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22C23"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2C23" w:rsidRPr="00FF6BA5"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22C23" w:rsidRPr="00FF6BA5"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22C23" w:rsidRPr="00FF6BA5"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22C23" w:rsidRPr="00FF6BA5" w:rsidRDefault="00A22C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22C23" w:rsidRPr="005C0D71" w:rsidTr="00245129">
      <w:tc>
        <w:tcPr>
          <w:tcW w:w="4200" w:type="dxa"/>
          <w:tcMar>
            <w:left w:w="0" w:type="dxa"/>
            <w:right w:w="0" w:type="dxa"/>
          </w:tcMar>
        </w:tcPr>
        <w:p w:rsidR="00A22C23" w:rsidRPr="00755F22"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22C23" w:rsidRPr="00755F22" w:rsidRDefault="00A22C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22C23" w:rsidRPr="00755F22" w:rsidRDefault="00A22C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22C23" w:rsidRPr="00755F22" w:rsidRDefault="00A22C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22C23" w:rsidRPr="00755F22" w:rsidRDefault="00A22C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22C23" w:rsidRPr="00755F22" w:rsidRDefault="00A22C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22C23" w:rsidRPr="00FF6BA5" w:rsidRDefault="00A22C23"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23F1"/>
    <w:multiLevelType w:val="hybridMultilevel"/>
    <w:tmpl w:val="1C705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C7D3659"/>
    <w:multiLevelType w:val="hybridMultilevel"/>
    <w:tmpl w:val="86726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6341"/>
  </w:hdrShapeDefaults>
  <w:footnotePr>
    <w:footnote w:id="-1"/>
    <w:footnote w:id="0"/>
  </w:footnotePr>
  <w:endnotePr>
    <w:endnote w:id="-1"/>
    <w:endnote w:id="0"/>
  </w:endnotePr>
  <w:compat/>
  <w:rsids>
    <w:rsidRoot w:val="004F0C01"/>
    <w:rsid w:val="000041EA"/>
    <w:rsid w:val="00006ACA"/>
    <w:rsid w:val="00022D0A"/>
    <w:rsid w:val="0003223B"/>
    <w:rsid w:val="000327B2"/>
    <w:rsid w:val="00045D92"/>
    <w:rsid w:val="00091FA6"/>
    <w:rsid w:val="00096BD9"/>
    <w:rsid w:val="00097985"/>
    <w:rsid w:val="000A35BD"/>
    <w:rsid w:val="000B3C9A"/>
    <w:rsid w:val="000B40A2"/>
    <w:rsid w:val="000B4624"/>
    <w:rsid w:val="000C0ACD"/>
    <w:rsid w:val="00102123"/>
    <w:rsid w:val="00102926"/>
    <w:rsid w:val="001033CD"/>
    <w:rsid w:val="001056EA"/>
    <w:rsid w:val="0010587F"/>
    <w:rsid w:val="001116BA"/>
    <w:rsid w:val="00111C6B"/>
    <w:rsid w:val="0012102B"/>
    <w:rsid w:val="00121A98"/>
    <w:rsid w:val="00127BB3"/>
    <w:rsid w:val="0013369E"/>
    <w:rsid w:val="00150281"/>
    <w:rsid w:val="00164E6D"/>
    <w:rsid w:val="0017005E"/>
    <w:rsid w:val="00190B17"/>
    <w:rsid w:val="001B157C"/>
    <w:rsid w:val="001B5C23"/>
    <w:rsid w:val="001B6662"/>
    <w:rsid w:val="001C376D"/>
    <w:rsid w:val="001D0D5F"/>
    <w:rsid w:val="001D2DF7"/>
    <w:rsid w:val="001D6B8C"/>
    <w:rsid w:val="001F10B2"/>
    <w:rsid w:val="001F1F83"/>
    <w:rsid w:val="002021A9"/>
    <w:rsid w:val="002139A7"/>
    <w:rsid w:val="00215F7C"/>
    <w:rsid w:val="0022323B"/>
    <w:rsid w:val="00230162"/>
    <w:rsid w:val="002410B8"/>
    <w:rsid w:val="00242AEE"/>
    <w:rsid w:val="00245129"/>
    <w:rsid w:val="00245879"/>
    <w:rsid w:val="00267FD5"/>
    <w:rsid w:val="00274D34"/>
    <w:rsid w:val="002868D0"/>
    <w:rsid w:val="002A27D1"/>
    <w:rsid w:val="002A4AFA"/>
    <w:rsid w:val="002B516C"/>
    <w:rsid w:val="002D72EB"/>
    <w:rsid w:val="002E2327"/>
    <w:rsid w:val="002E3583"/>
    <w:rsid w:val="002E5576"/>
    <w:rsid w:val="00331B52"/>
    <w:rsid w:val="0033320F"/>
    <w:rsid w:val="003359D3"/>
    <w:rsid w:val="00353BD0"/>
    <w:rsid w:val="00355967"/>
    <w:rsid w:val="00363469"/>
    <w:rsid w:val="00377472"/>
    <w:rsid w:val="00382C47"/>
    <w:rsid w:val="00384384"/>
    <w:rsid w:val="003866AE"/>
    <w:rsid w:val="0039552E"/>
    <w:rsid w:val="003A05D5"/>
    <w:rsid w:val="003B2531"/>
    <w:rsid w:val="003B3977"/>
    <w:rsid w:val="003B7537"/>
    <w:rsid w:val="003F642A"/>
    <w:rsid w:val="0040529B"/>
    <w:rsid w:val="00407B97"/>
    <w:rsid w:val="00432989"/>
    <w:rsid w:val="00435989"/>
    <w:rsid w:val="00440E24"/>
    <w:rsid w:val="0044776A"/>
    <w:rsid w:val="00460AFC"/>
    <w:rsid w:val="004634AB"/>
    <w:rsid w:val="00464A9E"/>
    <w:rsid w:val="0047471F"/>
    <w:rsid w:val="00486901"/>
    <w:rsid w:val="004B1933"/>
    <w:rsid w:val="004B195E"/>
    <w:rsid w:val="004B66B4"/>
    <w:rsid w:val="004B7F60"/>
    <w:rsid w:val="004C1AAC"/>
    <w:rsid w:val="004E1E0A"/>
    <w:rsid w:val="004F090E"/>
    <w:rsid w:val="004F0C01"/>
    <w:rsid w:val="004F7821"/>
    <w:rsid w:val="00527CC7"/>
    <w:rsid w:val="005577A5"/>
    <w:rsid w:val="00571CA4"/>
    <w:rsid w:val="0057610A"/>
    <w:rsid w:val="00582136"/>
    <w:rsid w:val="005A776C"/>
    <w:rsid w:val="005A7919"/>
    <w:rsid w:val="005C0D71"/>
    <w:rsid w:val="005C1405"/>
    <w:rsid w:val="005C43A0"/>
    <w:rsid w:val="005C6840"/>
    <w:rsid w:val="005F263E"/>
    <w:rsid w:val="00600252"/>
    <w:rsid w:val="00612A40"/>
    <w:rsid w:val="0062714A"/>
    <w:rsid w:val="006434C3"/>
    <w:rsid w:val="00645CFD"/>
    <w:rsid w:val="0065762F"/>
    <w:rsid w:val="00675479"/>
    <w:rsid w:val="00680709"/>
    <w:rsid w:val="00694D53"/>
    <w:rsid w:val="00696BF9"/>
    <w:rsid w:val="00697C62"/>
    <w:rsid w:val="006A329B"/>
    <w:rsid w:val="006A7C9F"/>
    <w:rsid w:val="006A7EB8"/>
    <w:rsid w:val="006B6926"/>
    <w:rsid w:val="006C3F47"/>
    <w:rsid w:val="006C5F7A"/>
    <w:rsid w:val="006D6624"/>
    <w:rsid w:val="006E06AF"/>
    <w:rsid w:val="006F350F"/>
    <w:rsid w:val="006F36CC"/>
    <w:rsid w:val="00730925"/>
    <w:rsid w:val="00732DB7"/>
    <w:rsid w:val="0073459B"/>
    <w:rsid w:val="0074238B"/>
    <w:rsid w:val="00745EF7"/>
    <w:rsid w:val="00755F22"/>
    <w:rsid w:val="00765CCE"/>
    <w:rsid w:val="00766E4A"/>
    <w:rsid w:val="007820CE"/>
    <w:rsid w:val="00782AE4"/>
    <w:rsid w:val="0079724F"/>
    <w:rsid w:val="007A3EAE"/>
    <w:rsid w:val="007B526F"/>
    <w:rsid w:val="007C04FC"/>
    <w:rsid w:val="007D3E0F"/>
    <w:rsid w:val="007E4282"/>
    <w:rsid w:val="007F387B"/>
    <w:rsid w:val="00802863"/>
    <w:rsid w:val="00815B3C"/>
    <w:rsid w:val="0082783A"/>
    <w:rsid w:val="00831CA9"/>
    <w:rsid w:val="00850E1F"/>
    <w:rsid w:val="0085476B"/>
    <w:rsid w:val="00862101"/>
    <w:rsid w:val="008824C1"/>
    <w:rsid w:val="00890FEB"/>
    <w:rsid w:val="008D292F"/>
    <w:rsid w:val="008E03DC"/>
    <w:rsid w:val="008E3015"/>
    <w:rsid w:val="00905D28"/>
    <w:rsid w:val="00911585"/>
    <w:rsid w:val="00924065"/>
    <w:rsid w:val="00926490"/>
    <w:rsid w:val="00930D68"/>
    <w:rsid w:val="00932DB4"/>
    <w:rsid w:val="00941A4B"/>
    <w:rsid w:val="00946242"/>
    <w:rsid w:val="009472E8"/>
    <w:rsid w:val="0095096B"/>
    <w:rsid w:val="00970CD3"/>
    <w:rsid w:val="009723FA"/>
    <w:rsid w:val="00984546"/>
    <w:rsid w:val="00996510"/>
    <w:rsid w:val="00997D57"/>
    <w:rsid w:val="009A251D"/>
    <w:rsid w:val="009B323E"/>
    <w:rsid w:val="009D1F15"/>
    <w:rsid w:val="009D36E6"/>
    <w:rsid w:val="009D555E"/>
    <w:rsid w:val="009D7A69"/>
    <w:rsid w:val="009F3024"/>
    <w:rsid w:val="00A0355E"/>
    <w:rsid w:val="00A22C23"/>
    <w:rsid w:val="00A33544"/>
    <w:rsid w:val="00A375D1"/>
    <w:rsid w:val="00A4026D"/>
    <w:rsid w:val="00A51D10"/>
    <w:rsid w:val="00A52A83"/>
    <w:rsid w:val="00A6552C"/>
    <w:rsid w:val="00A87207"/>
    <w:rsid w:val="00A935AA"/>
    <w:rsid w:val="00A97B62"/>
    <w:rsid w:val="00A97C0C"/>
    <w:rsid w:val="00AA4128"/>
    <w:rsid w:val="00AB2201"/>
    <w:rsid w:val="00AD3259"/>
    <w:rsid w:val="00AE0B7C"/>
    <w:rsid w:val="00AF1715"/>
    <w:rsid w:val="00AF3904"/>
    <w:rsid w:val="00AF5620"/>
    <w:rsid w:val="00B010C0"/>
    <w:rsid w:val="00B41132"/>
    <w:rsid w:val="00B4740D"/>
    <w:rsid w:val="00B61629"/>
    <w:rsid w:val="00B7374B"/>
    <w:rsid w:val="00B90DC0"/>
    <w:rsid w:val="00B9709A"/>
    <w:rsid w:val="00BA116A"/>
    <w:rsid w:val="00BA5582"/>
    <w:rsid w:val="00BA6468"/>
    <w:rsid w:val="00BB1D44"/>
    <w:rsid w:val="00BB7091"/>
    <w:rsid w:val="00BC3BDF"/>
    <w:rsid w:val="00BD050B"/>
    <w:rsid w:val="00BD06DA"/>
    <w:rsid w:val="00BD1A4C"/>
    <w:rsid w:val="00BD4217"/>
    <w:rsid w:val="00BF25F3"/>
    <w:rsid w:val="00C1697B"/>
    <w:rsid w:val="00C21CB5"/>
    <w:rsid w:val="00C50A5C"/>
    <w:rsid w:val="00C50FDF"/>
    <w:rsid w:val="00C63381"/>
    <w:rsid w:val="00C63DBF"/>
    <w:rsid w:val="00C73D06"/>
    <w:rsid w:val="00C73E1B"/>
    <w:rsid w:val="00C759B4"/>
    <w:rsid w:val="00C77713"/>
    <w:rsid w:val="00C85BB7"/>
    <w:rsid w:val="00CB43D5"/>
    <w:rsid w:val="00CC4D84"/>
    <w:rsid w:val="00CE198A"/>
    <w:rsid w:val="00CE567E"/>
    <w:rsid w:val="00D0750D"/>
    <w:rsid w:val="00D113B1"/>
    <w:rsid w:val="00D2734F"/>
    <w:rsid w:val="00D51C77"/>
    <w:rsid w:val="00D57C32"/>
    <w:rsid w:val="00D632EB"/>
    <w:rsid w:val="00D64901"/>
    <w:rsid w:val="00D723D3"/>
    <w:rsid w:val="00D74923"/>
    <w:rsid w:val="00D76BDF"/>
    <w:rsid w:val="00D862C1"/>
    <w:rsid w:val="00D93B50"/>
    <w:rsid w:val="00D94670"/>
    <w:rsid w:val="00DA46F6"/>
    <w:rsid w:val="00DB2039"/>
    <w:rsid w:val="00DD0B49"/>
    <w:rsid w:val="00DE0502"/>
    <w:rsid w:val="00DE6AF9"/>
    <w:rsid w:val="00DF0FED"/>
    <w:rsid w:val="00E06DFA"/>
    <w:rsid w:val="00E20278"/>
    <w:rsid w:val="00E20A0A"/>
    <w:rsid w:val="00E20DA0"/>
    <w:rsid w:val="00E34F5F"/>
    <w:rsid w:val="00E356C7"/>
    <w:rsid w:val="00E45FE4"/>
    <w:rsid w:val="00E554F3"/>
    <w:rsid w:val="00E64FA7"/>
    <w:rsid w:val="00E72D6D"/>
    <w:rsid w:val="00E770CB"/>
    <w:rsid w:val="00E903A1"/>
    <w:rsid w:val="00E940EB"/>
    <w:rsid w:val="00E96A29"/>
    <w:rsid w:val="00E9703F"/>
    <w:rsid w:val="00EA167C"/>
    <w:rsid w:val="00EB0D45"/>
    <w:rsid w:val="00EB2B90"/>
    <w:rsid w:val="00ED7E83"/>
    <w:rsid w:val="00EE091F"/>
    <w:rsid w:val="00EF4B63"/>
    <w:rsid w:val="00F0068D"/>
    <w:rsid w:val="00F0576D"/>
    <w:rsid w:val="00F14E6D"/>
    <w:rsid w:val="00F15EA8"/>
    <w:rsid w:val="00F16C8D"/>
    <w:rsid w:val="00F21219"/>
    <w:rsid w:val="00F26C61"/>
    <w:rsid w:val="00F33CCE"/>
    <w:rsid w:val="00F40249"/>
    <w:rsid w:val="00F526C8"/>
    <w:rsid w:val="00F53576"/>
    <w:rsid w:val="00F55AA9"/>
    <w:rsid w:val="00F761A3"/>
    <w:rsid w:val="00F9272D"/>
    <w:rsid w:val="00F9518C"/>
    <w:rsid w:val="00FA316E"/>
    <w:rsid w:val="00FA59EF"/>
    <w:rsid w:val="00FB19A2"/>
    <w:rsid w:val="00FE1A8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3A05D5"/>
    <w:pPr>
      <w:jc w:val="both"/>
    </w:pPr>
    <w:rPr>
      <w:b/>
    </w:rPr>
  </w:style>
  <w:style w:type="character" w:customStyle="1" w:styleId="SCCLsocPartyChar">
    <w:name w:val="SCC.Lsoc.Party Char"/>
    <w:basedOn w:val="DefaultParagraphFont"/>
    <w:link w:val="SCCLsocParty"/>
    <w:rsid w:val="003A05D5"/>
    <w:rPr>
      <w:b/>
      <w:lang w:val="en-CA"/>
    </w:rPr>
  </w:style>
  <w:style w:type="character" w:customStyle="1" w:styleId="italic1">
    <w:name w:val="italic1"/>
    <w:basedOn w:val="DefaultParagraphFont"/>
    <w:rsid w:val="00905D28"/>
    <w:rPr>
      <w:i/>
      <w:iCs/>
    </w:rPr>
  </w:style>
  <w:style w:type="paragraph" w:customStyle="1" w:styleId="SCCLowerCourtNameLowercase">
    <w:name w:val="SCC.LowerCourtNameLowercase"/>
    <w:basedOn w:val="SCCNormalDoubleSpacing"/>
    <w:next w:val="SCCNormalDoubleSpacing"/>
    <w:rsid w:val="00E34F5F"/>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68" Type="http://schemas.openxmlformats.org/officeDocument/2006/relationships/footer" Target="footer30.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8" Type="http://schemas.openxmlformats.org/officeDocument/2006/relationships/hyperlink" Target="http://www.scc-csc.gc.ca" TargetMode="External"/><Relationship Id="rId51" Type="http://schemas.openxmlformats.org/officeDocument/2006/relationships/header" Target="header22.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 Id="rId70"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18931</Words>
  <Characters>107911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2013-05-03T17:45:00Z</dcterms:created>
  <dcterms:modified xsi:type="dcterms:W3CDTF">2013-05-03T17:45:00Z</dcterms:modified>
</cp:coreProperties>
</file>