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B97980"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9798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41BF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D41BF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41BFD" w:rsidTr="002E5576">
        <w:tc>
          <w:tcPr>
            <w:tcW w:w="4518" w:type="dxa"/>
          </w:tcPr>
          <w:p w:rsidR="00BF25F3" w:rsidRPr="002E2327" w:rsidRDefault="00B3404D"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3404D"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41BFD"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D41BFD"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Ju</w:t>
      </w:r>
      <w:r w:rsidR="00853739">
        <w:rPr>
          <w:lang w:val="fr-CA"/>
        </w:rPr>
        <w:t>ne</w:t>
      </w:r>
      <w:r w:rsidR="00440E24" w:rsidRPr="00675479">
        <w:rPr>
          <w:lang w:val="fr-CA"/>
        </w:rPr>
        <w:t xml:space="preserve"> </w:t>
      </w:r>
      <w:r w:rsidR="00853739">
        <w:rPr>
          <w:lang w:val="fr-CA"/>
        </w:rPr>
        <w:t>1</w:t>
      </w:r>
      <w:r w:rsidR="00F761A3">
        <w:rPr>
          <w:lang w:val="fr-CA"/>
        </w:rPr>
        <w:t>4</w:t>
      </w:r>
      <w:r w:rsidR="00440E24" w:rsidRPr="00675479">
        <w:rPr>
          <w:lang w:val="fr-CA"/>
        </w:rPr>
        <w:t>, 201</w:t>
      </w:r>
      <w:r w:rsidR="00F761A3">
        <w:rPr>
          <w:lang w:val="fr-CA"/>
        </w:rPr>
        <w:t>3</w:t>
      </w:r>
      <w:r w:rsidR="00F0068D" w:rsidRPr="00675479">
        <w:rPr>
          <w:lang w:val="fr-CA"/>
        </w:rPr>
        <w:tab/>
        <w:t>1</w:t>
      </w:r>
      <w:r w:rsidR="00853739">
        <w:rPr>
          <w:lang w:val="fr-CA"/>
        </w:rPr>
        <w:t>04</w:t>
      </w:r>
      <w:r w:rsidR="00D41BFD">
        <w:rPr>
          <w:lang w:val="fr-CA"/>
        </w:rPr>
        <w:t>4</w:t>
      </w:r>
      <w:r w:rsidR="00F0068D" w:rsidRPr="00675479">
        <w:rPr>
          <w:lang w:val="fr-CA"/>
        </w:rPr>
        <w:t xml:space="preserve"> - </w:t>
      </w:r>
      <w:r w:rsidR="003B3294">
        <w:rPr>
          <w:lang w:val="fr-CA"/>
        </w:rPr>
        <w:t>112</w:t>
      </w:r>
      <w:r w:rsidR="00D41BFD">
        <w:rPr>
          <w:lang w:val="fr-CA"/>
        </w:rPr>
        <w:t>4</w:t>
      </w:r>
      <w:r w:rsidR="00440E24" w:rsidRPr="00675479">
        <w:rPr>
          <w:lang w:val="fr-CA"/>
        </w:rPr>
        <w:tab/>
      </w:r>
      <w:r w:rsidR="00440E24" w:rsidRPr="002E2327">
        <w:rPr>
          <w:lang w:val="fr-CA"/>
        </w:rPr>
        <w:t>Le</w:t>
      </w:r>
      <w:r>
        <w:rPr>
          <w:lang w:val="fr-CA"/>
        </w:rPr>
        <w:t xml:space="preserve"> </w:t>
      </w:r>
      <w:r w:rsidR="00853739">
        <w:rPr>
          <w:lang w:val="fr-CA"/>
        </w:rPr>
        <w:t>1</w:t>
      </w:r>
      <w:r w:rsidR="00F761A3">
        <w:rPr>
          <w:lang w:val="fr-CA"/>
        </w:rPr>
        <w:t>4</w:t>
      </w:r>
      <w:r>
        <w:rPr>
          <w:lang w:val="fr-CA"/>
        </w:rPr>
        <w:t xml:space="preserve"> j</w:t>
      </w:r>
      <w:r w:rsidR="00853739">
        <w:rPr>
          <w:lang w:val="fr-CA"/>
        </w:rPr>
        <w:t>ui</w:t>
      </w:r>
      <w:r>
        <w:rPr>
          <w:lang w:val="fr-CA"/>
        </w:rPr>
        <w:t>n</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853739" w:rsidRDefault="00440E24" w:rsidP="00440E24">
      <w:pPr>
        <w:pBdr>
          <w:bottom w:val="single" w:sz="6" w:space="1" w:color="auto"/>
        </w:pBdr>
        <w:tabs>
          <w:tab w:val="right" w:pos="9360"/>
        </w:tabs>
        <w:rPr>
          <w:sz w:val="18"/>
          <w:szCs w:val="18"/>
          <w:lang w:val="fr-CA"/>
        </w:rPr>
      </w:pPr>
      <w:r w:rsidRPr="00853739">
        <w:rPr>
          <w:sz w:val="18"/>
          <w:szCs w:val="18"/>
          <w:lang w:val="fr-CA"/>
        </w:rPr>
        <w:t>© Supreme Court of Canada (201</w:t>
      </w:r>
      <w:r w:rsidR="00F761A3" w:rsidRPr="00853739">
        <w:rPr>
          <w:sz w:val="18"/>
          <w:szCs w:val="18"/>
          <w:lang w:val="fr-CA"/>
        </w:rPr>
        <w:t>3</w:t>
      </w:r>
      <w:r w:rsidRPr="00853739">
        <w:rPr>
          <w:sz w:val="18"/>
          <w:szCs w:val="18"/>
          <w:lang w:val="fr-CA"/>
        </w:rPr>
        <w:t>)</w:t>
      </w:r>
      <w:r w:rsidRPr="00853739">
        <w:rPr>
          <w:sz w:val="18"/>
          <w:szCs w:val="18"/>
          <w:lang w:val="fr-CA"/>
        </w:rPr>
        <w:tab/>
        <w:t>© Cour suprême du Canada (201</w:t>
      </w:r>
      <w:r w:rsidR="00F761A3" w:rsidRPr="00853739">
        <w:rPr>
          <w:sz w:val="18"/>
          <w:szCs w:val="18"/>
          <w:lang w:val="fr-CA"/>
        </w:rPr>
        <w:t>3</w:t>
      </w:r>
      <w:r w:rsidRPr="0085373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E16126"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Oral hearing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leave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5C6D0B">
            <w:pPr>
              <w:tabs>
                <w:tab w:val="right" w:pos="9360"/>
              </w:tabs>
              <w:rPr>
                <w:rFonts w:cs="Times New Roman"/>
                <w:sz w:val="20"/>
                <w:szCs w:val="20"/>
              </w:rPr>
            </w:pPr>
          </w:p>
        </w:tc>
        <w:tc>
          <w:tcPr>
            <w:tcW w:w="1980" w:type="dxa"/>
          </w:tcPr>
          <w:p w:rsidR="0095096B" w:rsidRPr="002E2327" w:rsidRDefault="00C05792" w:rsidP="0095096B">
            <w:pPr>
              <w:jc w:val="center"/>
              <w:rPr>
                <w:rFonts w:cs="Times New Roman"/>
                <w:sz w:val="20"/>
                <w:szCs w:val="20"/>
              </w:rPr>
            </w:pPr>
            <w:r>
              <w:rPr>
                <w:rFonts w:cs="Times New Roman"/>
                <w:sz w:val="20"/>
                <w:szCs w:val="20"/>
              </w:rPr>
              <w:t>104</w:t>
            </w:r>
            <w:r w:rsidR="00600FB0">
              <w:rPr>
                <w:rFonts w:cs="Times New Roman"/>
                <w:sz w:val="20"/>
                <w:szCs w:val="20"/>
              </w:rPr>
              <w:t>4</w:t>
            </w:r>
            <w:r w:rsidR="00B3404D" w:rsidRPr="002E2327">
              <w:rPr>
                <w:rFonts w:cs="Times New Roman"/>
                <w:sz w:val="20"/>
                <w:szCs w:val="20"/>
              </w:rPr>
              <w:fldChar w:fldCharType="begin"/>
            </w:r>
            <w:r w:rsidR="0095096B" w:rsidRPr="002E2327">
              <w:rPr>
                <w:rFonts w:cs="Times New Roman"/>
                <w:sz w:val="20"/>
                <w:szCs w:val="20"/>
              </w:rPr>
              <w:instrText xml:space="preserve"> SEQ CHAPTER \h \r 1</w:instrText>
            </w:r>
            <w:r w:rsidR="00B3404D"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05792" w:rsidP="0095096B">
            <w:pPr>
              <w:jc w:val="center"/>
              <w:rPr>
                <w:rFonts w:cs="Times New Roman"/>
                <w:sz w:val="20"/>
                <w:szCs w:val="20"/>
              </w:rPr>
            </w:pPr>
            <w:r>
              <w:rPr>
                <w:rFonts w:cs="Times New Roman"/>
                <w:sz w:val="20"/>
                <w:szCs w:val="20"/>
              </w:rPr>
              <w:t>104</w:t>
            </w:r>
            <w:r w:rsidR="00600FB0">
              <w:rPr>
                <w:rFonts w:cs="Times New Roman"/>
                <w:sz w:val="20"/>
                <w:szCs w:val="20"/>
              </w:rPr>
              <w:t>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0100F" w:rsidP="0095096B">
            <w:pPr>
              <w:jc w:val="center"/>
              <w:rPr>
                <w:rFonts w:cs="Times New Roman"/>
                <w:sz w:val="20"/>
                <w:szCs w:val="20"/>
              </w:rPr>
            </w:pPr>
            <w:r>
              <w:rPr>
                <w:rFonts w:cs="Times New Roman"/>
                <w:sz w:val="20"/>
                <w:szCs w:val="20"/>
              </w:rPr>
              <w:t>104</w:t>
            </w:r>
            <w:r w:rsidR="00600FB0">
              <w:rPr>
                <w:rFonts w:cs="Times New Roman"/>
                <w:sz w:val="20"/>
                <w:szCs w:val="20"/>
              </w:rPr>
              <w:t>6</w:t>
            </w:r>
          </w:p>
          <w:p w:rsidR="0095096B" w:rsidRDefault="0095096B" w:rsidP="0095096B">
            <w:pPr>
              <w:jc w:val="center"/>
              <w:rPr>
                <w:rFonts w:cs="Times New Roman"/>
                <w:sz w:val="20"/>
                <w:szCs w:val="20"/>
              </w:rPr>
            </w:pPr>
          </w:p>
          <w:p w:rsidR="00C0100F" w:rsidRPr="002E2327" w:rsidRDefault="00C0100F" w:rsidP="0095096B">
            <w:pPr>
              <w:jc w:val="center"/>
              <w:rPr>
                <w:rFonts w:cs="Times New Roman"/>
                <w:sz w:val="20"/>
                <w:szCs w:val="20"/>
              </w:rPr>
            </w:pPr>
          </w:p>
          <w:p w:rsidR="0095096B" w:rsidRPr="002E2327" w:rsidRDefault="00C0100F" w:rsidP="0095096B">
            <w:pPr>
              <w:jc w:val="center"/>
              <w:rPr>
                <w:rFonts w:cs="Times New Roman"/>
                <w:sz w:val="20"/>
                <w:szCs w:val="20"/>
              </w:rPr>
            </w:pPr>
            <w:r>
              <w:rPr>
                <w:rFonts w:cs="Times New Roman"/>
                <w:sz w:val="20"/>
                <w:szCs w:val="20"/>
              </w:rPr>
              <w:t>104</w:t>
            </w:r>
            <w:r w:rsidR="00600FB0">
              <w:rPr>
                <w:rFonts w:cs="Times New Roman"/>
                <w:sz w:val="20"/>
                <w:szCs w:val="20"/>
              </w:rPr>
              <w:t>7</w:t>
            </w:r>
            <w:r>
              <w:rPr>
                <w:rFonts w:cs="Times New Roman"/>
                <w:sz w:val="20"/>
                <w:szCs w:val="20"/>
              </w:rPr>
              <w:t xml:space="preserve"> </w:t>
            </w:r>
            <w:r w:rsidR="0095096B" w:rsidRPr="002E2327">
              <w:rPr>
                <w:rFonts w:cs="Times New Roman"/>
                <w:sz w:val="20"/>
                <w:szCs w:val="20"/>
              </w:rPr>
              <w:t>-</w:t>
            </w:r>
            <w:r w:rsidR="005C6D0B">
              <w:rPr>
                <w:rFonts w:cs="Times New Roman"/>
                <w:sz w:val="20"/>
                <w:szCs w:val="20"/>
              </w:rPr>
              <w:t xml:space="preserve"> 109</w:t>
            </w:r>
            <w:r w:rsidR="00600FB0">
              <w:rPr>
                <w:rFonts w:cs="Times New Roman"/>
                <w:sz w:val="20"/>
                <w:szCs w:val="20"/>
              </w:rPr>
              <w:t>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C6D0B" w:rsidP="0095096B">
            <w:pPr>
              <w:jc w:val="center"/>
              <w:rPr>
                <w:rFonts w:cs="Times New Roman"/>
                <w:sz w:val="20"/>
                <w:szCs w:val="20"/>
              </w:rPr>
            </w:pPr>
            <w:r>
              <w:rPr>
                <w:rFonts w:cs="Times New Roman"/>
                <w:sz w:val="20"/>
                <w:szCs w:val="20"/>
              </w:rPr>
              <w:t>109</w:t>
            </w:r>
            <w:r w:rsidR="00600FB0">
              <w:rPr>
                <w:rFonts w:cs="Times New Roman"/>
                <w:sz w:val="20"/>
                <w:szCs w:val="20"/>
              </w:rPr>
              <w:t>8</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110</w:t>
            </w:r>
            <w:r w:rsidR="00600FB0">
              <w:rPr>
                <w:rFonts w:cs="Times New Roman"/>
                <w:sz w:val="20"/>
                <w:szCs w:val="20"/>
              </w:rPr>
              <w:t>8</w:t>
            </w:r>
          </w:p>
          <w:p w:rsidR="0095096B" w:rsidRPr="002E2327" w:rsidRDefault="0095096B" w:rsidP="0095096B">
            <w:pPr>
              <w:jc w:val="center"/>
              <w:rPr>
                <w:rFonts w:cs="Times New Roman"/>
                <w:sz w:val="20"/>
                <w:szCs w:val="20"/>
              </w:rPr>
            </w:pPr>
          </w:p>
          <w:p w:rsidR="0095096B" w:rsidRPr="002E2327" w:rsidRDefault="005C6D0B" w:rsidP="0095096B">
            <w:pPr>
              <w:jc w:val="center"/>
              <w:rPr>
                <w:rFonts w:cs="Times New Roman"/>
                <w:sz w:val="20"/>
                <w:szCs w:val="20"/>
              </w:rPr>
            </w:pPr>
            <w:r>
              <w:rPr>
                <w:rFonts w:cs="Times New Roman"/>
                <w:sz w:val="20"/>
                <w:szCs w:val="20"/>
              </w:rPr>
              <w:t>110</w:t>
            </w:r>
            <w:r w:rsidR="00600FB0">
              <w:rPr>
                <w:rFonts w:cs="Times New Roman"/>
                <w:sz w:val="20"/>
                <w:szCs w:val="20"/>
              </w:rPr>
              <w:t>9</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w:t>
            </w:r>
            <w:r w:rsidR="003B3294">
              <w:rPr>
                <w:rFonts w:cs="Times New Roman"/>
                <w:sz w:val="20"/>
                <w:szCs w:val="20"/>
              </w:rPr>
              <w:t>11</w:t>
            </w:r>
            <w:r w:rsidR="005D5387">
              <w:rPr>
                <w:rFonts w:cs="Times New Roman"/>
                <w:sz w:val="20"/>
                <w:szCs w:val="20"/>
              </w:rPr>
              <w:t>1</w:t>
            </w:r>
            <w:r w:rsidR="00600FB0">
              <w:rPr>
                <w:rFonts w:cs="Times New Roman"/>
                <w:sz w:val="20"/>
                <w:szCs w:val="20"/>
              </w:rPr>
              <w:t>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B3294" w:rsidP="0095096B">
            <w:pPr>
              <w:jc w:val="center"/>
              <w:rPr>
                <w:rFonts w:cs="Times New Roman"/>
                <w:sz w:val="20"/>
                <w:szCs w:val="20"/>
              </w:rPr>
            </w:pPr>
            <w:r>
              <w:rPr>
                <w:rFonts w:cs="Times New Roman"/>
                <w:sz w:val="20"/>
                <w:szCs w:val="20"/>
              </w:rPr>
              <w:t>111</w:t>
            </w:r>
            <w:r w:rsidR="00600FB0">
              <w:rPr>
                <w:rFonts w:cs="Times New Roman"/>
                <w:sz w:val="20"/>
                <w:szCs w:val="20"/>
              </w:rPr>
              <w:t>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B3294" w:rsidP="0095096B">
            <w:pPr>
              <w:jc w:val="center"/>
              <w:rPr>
                <w:rFonts w:cs="Times New Roman"/>
                <w:sz w:val="20"/>
                <w:szCs w:val="20"/>
              </w:rPr>
            </w:pPr>
            <w:r>
              <w:rPr>
                <w:rFonts w:cs="Times New Roman"/>
                <w:sz w:val="20"/>
                <w:szCs w:val="20"/>
              </w:rPr>
              <w:t>111</w:t>
            </w:r>
            <w:r w:rsidR="00600FB0">
              <w:rPr>
                <w:rFonts w:cs="Times New Roman"/>
                <w:sz w:val="20"/>
                <w:szCs w:val="20"/>
              </w:rPr>
              <w:t>4</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112</w:t>
            </w:r>
            <w:r w:rsidR="00600FB0">
              <w:rPr>
                <w:rFonts w:cs="Times New Roman"/>
                <w:sz w:val="20"/>
                <w:szCs w:val="20"/>
              </w:rPr>
              <w:t>4</w:t>
            </w:r>
          </w:p>
          <w:p w:rsidR="00A87207" w:rsidRPr="002E2327" w:rsidRDefault="00A87207" w:rsidP="00606CD5">
            <w:pPr>
              <w:jc w:val="center"/>
              <w:rPr>
                <w:rFonts w:cs="Times New Roman"/>
                <w:sz w:val="20"/>
                <w:szCs w:val="20"/>
              </w:rPr>
            </w:pPr>
          </w:p>
        </w:tc>
        <w:tc>
          <w:tcPr>
            <w:tcW w:w="3888" w:type="dxa"/>
          </w:tcPr>
          <w:p w:rsidR="0095096B" w:rsidRPr="002E2327" w:rsidRDefault="00B3404D"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sur les demandes 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5C6D0B">
            <w:pPr>
              <w:rPr>
                <w:rFonts w:cs="Times New Roman"/>
                <w:sz w:val="20"/>
                <w:szCs w:val="20"/>
                <w:lang w:val="fr-CA"/>
              </w:rPr>
            </w:pPr>
          </w:p>
        </w:tc>
      </w:tr>
    </w:tbl>
    <w:p w:rsidR="0095096B" w:rsidRPr="00E16126" w:rsidRDefault="0095096B" w:rsidP="0095096B">
      <w:pPr>
        <w:tabs>
          <w:tab w:val="right" w:pos="9360"/>
        </w:tabs>
        <w:rPr>
          <w:lang w:val="fr-CA"/>
        </w:rPr>
      </w:pPr>
    </w:p>
    <w:p w:rsidR="00C0100F" w:rsidRPr="00E16126" w:rsidRDefault="00C0100F" w:rsidP="0095096B">
      <w:pPr>
        <w:tabs>
          <w:tab w:val="right" w:pos="9360"/>
        </w:tabs>
        <w:rPr>
          <w:lang w:val="fr-CA"/>
        </w:rPr>
      </w:pPr>
    </w:p>
    <w:p w:rsidR="00C0100F" w:rsidRPr="00E16126" w:rsidRDefault="00C0100F" w:rsidP="0095096B">
      <w:pPr>
        <w:tabs>
          <w:tab w:val="right" w:pos="9360"/>
        </w:tabs>
        <w:rPr>
          <w:lang w:val="fr-CA"/>
        </w:rPr>
      </w:pPr>
    </w:p>
    <w:p w:rsidR="00C0100F" w:rsidRPr="00E16126" w:rsidRDefault="00C0100F" w:rsidP="0095096B">
      <w:pPr>
        <w:tabs>
          <w:tab w:val="right" w:pos="9360"/>
        </w:tabs>
        <w:rPr>
          <w:lang w:val="fr-CA"/>
        </w:rPr>
      </w:pPr>
    </w:p>
    <w:p w:rsidR="00C0100F" w:rsidRPr="00E16126" w:rsidRDefault="00C0100F" w:rsidP="0095096B">
      <w:pPr>
        <w:tabs>
          <w:tab w:val="right" w:pos="9360"/>
        </w:tabs>
        <w:rPr>
          <w:lang w:val="fr-CA"/>
        </w:rPr>
      </w:pPr>
    </w:p>
    <w:tbl>
      <w:tblPr>
        <w:tblStyle w:val="TableGrid"/>
        <w:tblW w:w="0" w:type="auto"/>
        <w:tblLook w:val="04A0"/>
      </w:tblPr>
      <w:tblGrid>
        <w:gridCol w:w="9576"/>
      </w:tblGrid>
      <w:tr w:rsidR="0079724F" w:rsidRPr="00D41BF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8C1992" w:rsidRDefault="00C05792" w:rsidP="003B3977">
            <w:pPr>
              <w:rPr>
                <w:b/>
                <w:sz w:val="20"/>
                <w:szCs w:val="20"/>
                <w:lang w:val="fr-CA"/>
              </w:rPr>
            </w:pPr>
            <w:r w:rsidRPr="008C1992">
              <w:rPr>
                <w:b/>
                <w:sz w:val="20"/>
                <w:szCs w:val="20"/>
                <w:lang w:val="fr-CA"/>
              </w:rPr>
              <w:t>Gilles Patenaude</w:t>
            </w:r>
          </w:p>
          <w:p w:rsidR="00242AEE" w:rsidRPr="008C1992" w:rsidRDefault="00242AEE" w:rsidP="003B3977">
            <w:pPr>
              <w:tabs>
                <w:tab w:val="left" w:pos="-1440"/>
                <w:tab w:val="left" w:pos="-720"/>
              </w:tabs>
              <w:rPr>
                <w:sz w:val="20"/>
                <w:szCs w:val="20"/>
                <w:lang w:val="fr-CA"/>
              </w:rPr>
            </w:pPr>
            <w:r w:rsidRPr="008C1992">
              <w:rPr>
                <w:sz w:val="20"/>
                <w:szCs w:val="20"/>
                <w:lang w:val="fr-CA"/>
              </w:rPr>
              <w:tab/>
            </w:r>
            <w:r w:rsidR="00C05792" w:rsidRPr="008C1992">
              <w:rPr>
                <w:sz w:val="20"/>
                <w:szCs w:val="20"/>
                <w:lang w:val="fr-CA"/>
              </w:rPr>
              <w:t>Gilles Patenaude</w:t>
            </w:r>
          </w:p>
          <w:p w:rsidR="00242AEE" w:rsidRPr="008C1992" w:rsidRDefault="00242AEE" w:rsidP="003B3977">
            <w:pPr>
              <w:tabs>
                <w:tab w:val="left" w:pos="-1440"/>
                <w:tab w:val="left" w:pos="-720"/>
              </w:tabs>
              <w:rPr>
                <w:sz w:val="20"/>
                <w:szCs w:val="20"/>
                <w:lang w:val="fr-CA"/>
              </w:rPr>
            </w:pPr>
          </w:p>
          <w:p w:rsidR="00242AEE" w:rsidRPr="008C1992" w:rsidRDefault="00242AEE" w:rsidP="003B3977">
            <w:pPr>
              <w:tabs>
                <w:tab w:val="left" w:pos="-1440"/>
                <w:tab w:val="left" w:pos="-720"/>
              </w:tabs>
              <w:rPr>
                <w:sz w:val="20"/>
                <w:szCs w:val="20"/>
                <w:lang w:val="fr-CA"/>
              </w:rPr>
            </w:pPr>
            <w:r w:rsidRPr="008C1992">
              <w:rPr>
                <w:sz w:val="20"/>
                <w:szCs w:val="20"/>
                <w:lang w:val="fr-CA"/>
              </w:rPr>
              <w:tab/>
            </w:r>
            <w:r w:rsidR="00C05792" w:rsidRPr="008C1992">
              <w:rPr>
                <w:sz w:val="20"/>
                <w:szCs w:val="20"/>
                <w:lang w:val="fr-CA"/>
              </w:rPr>
              <w:t>c</w:t>
            </w:r>
            <w:r w:rsidRPr="008C1992">
              <w:rPr>
                <w:sz w:val="20"/>
                <w:szCs w:val="20"/>
                <w:lang w:val="fr-CA"/>
              </w:rPr>
              <w:t>. (3</w:t>
            </w:r>
            <w:r w:rsidR="00853739" w:rsidRPr="008C1992">
              <w:rPr>
                <w:sz w:val="20"/>
                <w:szCs w:val="20"/>
                <w:lang w:val="fr-CA"/>
              </w:rPr>
              <w:t>5</w:t>
            </w:r>
            <w:r w:rsidR="00C05792" w:rsidRPr="008C1992">
              <w:rPr>
                <w:sz w:val="20"/>
                <w:szCs w:val="20"/>
                <w:lang w:val="fr-CA"/>
              </w:rPr>
              <w:t>382</w:t>
            </w:r>
            <w:r w:rsidRPr="008C1992">
              <w:rPr>
                <w:sz w:val="20"/>
                <w:szCs w:val="20"/>
                <w:lang w:val="fr-CA"/>
              </w:rPr>
              <w:t>)</w:t>
            </w:r>
          </w:p>
          <w:p w:rsidR="00242AEE" w:rsidRPr="008C1992" w:rsidRDefault="00242AEE" w:rsidP="003B3977">
            <w:pPr>
              <w:tabs>
                <w:tab w:val="left" w:pos="-1440"/>
                <w:tab w:val="left" w:pos="-720"/>
              </w:tabs>
              <w:rPr>
                <w:sz w:val="20"/>
                <w:szCs w:val="20"/>
                <w:lang w:val="fr-CA"/>
              </w:rPr>
            </w:pPr>
          </w:p>
          <w:p w:rsidR="00242AEE" w:rsidRPr="008C1992" w:rsidRDefault="008C1992" w:rsidP="003B3977">
            <w:pPr>
              <w:tabs>
                <w:tab w:val="left" w:pos="-1440"/>
                <w:tab w:val="left" w:pos="-720"/>
              </w:tabs>
              <w:rPr>
                <w:b/>
                <w:sz w:val="20"/>
                <w:szCs w:val="20"/>
                <w:lang w:val="fr-CA"/>
              </w:rPr>
            </w:pPr>
            <w:r w:rsidRPr="008C1992">
              <w:rPr>
                <w:b/>
                <w:sz w:val="20"/>
                <w:szCs w:val="20"/>
                <w:lang w:val="fr-CA"/>
              </w:rPr>
              <w:t xml:space="preserve">Ville de Longueuil et autre </w:t>
            </w:r>
            <w:r w:rsidR="00242AEE" w:rsidRPr="008C1992">
              <w:rPr>
                <w:b/>
                <w:sz w:val="20"/>
                <w:szCs w:val="20"/>
                <w:lang w:val="fr-CA"/>
              </w:rPr>
              <w:t>(</w:t>
            </w:r>
            <w:r w:rsidRPr="008C1992">
              <w:rPr>
                <w:b/>
                <w:sz w:val="20"/>
                <w:szCs w:val="20"/>
                <w:lang w:val="fr-CA"/>
              </w:rPr>
              <w:t>Qc</w:t>
            </w:r>
            <w:r w:rsidR="00242AEE" w:rsidRPr="008C1992">
              <w:rPr>
                <w:b/>
                <w:sz w:val="20"/>
                <w:szCs w:val="20"/>
                <w:lang w:val="fr-CA"/>
              </w:rPr>
              <w:t>)</w:t>
            </w:r>
          </w:p>
          <w:p w:rsidR="00242AEE" w:rsidRPr="008C1992" w:rsidRDefault="00242AEE" w:rsidP="003B3977">
            <w:pPr>
              <w:tabs>
                <w:tab w:val="left" w:pos="-1440"/>
                <w:tab w:val="left" w:pos="-720"/>
              </w:tabs>
              <w:rPr>
                <w:sz w:val="20"/>
                <w:szCs w:val="20"/>
                <w:lang w:val="fr-CA"/>
              </w:rPr>
            </w:pPr>
            <w:r w:rsidRPr="008C1992">
              <w:rPr>
                <w:sz w:val="20"/>
                <w:szCs w:val="20"/>
                <w:lang w:val="fr-CA"/>
              </w:rPr>
              <w:tab/>
            </w:r>
            <w:r w:rsidR="008C1992">
              <w:rPr>
                <w:sz w:val="20"/>
                <w:szCs w:val="20"/>
                <w:lang w:val="fr-CA"/>
              </w:rPr>
              <w:t>Isabelle Montpetit</w:t>
            </w:r>
          </w:p>
          <w:p w:rsidR="00242AEE" w:rsidRPr="008C1992" w:rsidRDefault="00242AEE" w:rsidP="003B3977">
            <w:pPr>
              <w:tabs>
                <w:tab w:val="left" w:pos="-1440"/>
                <w:tab w:val="left" w:pos="-720"/>
              </w:tabs>
              <w:rPr>
                <w:sz w:val="20"/>
                <w:szCs w:val="20"/>
                <w:lang w:val="fr-CA"/>
              </w:rPr>
            </w:pPr>
            <w:r w:rsidRPr="008C1992">
              <w:rPr>
                <w:sz w:val="20"/>
                <w:szCs w:val="20"/>
                <w:lang w:val="fr-CA"/>
              </w:rPr>
              <w:tab/>
            </w:r>
            <w:r w:rsidR="008C1992">
              <w:rPr>
                <w:sz w:val="20"/>
                <w:szCs w:val="20"/>
                <w:lang w:val="fr-CA"/>
              </w:rPr>
              <w:t>Ville de Longueuil</w:t>
            </w:r>
          </w:p>
          <w:p w:rsidR="00242AEE" w:rsidRPr="008C1992" w:rsidRDefault="00242AEE" w:rsidP="003B3977">
            <w:pPr>
              <w:tabs>
                <w:tab w:val="left" w:pos="-1440"/>
                <w:tab w:val="left" w:pos="-720"/>
              </w:tabs>
              <w:rPr>
                <w:sz w:val="20"/>
                <w:szCs w:val="20"/>
                <w:lang w:val="fr-CA"/>
              </w:rPr>
            </w:pPr>
          </w:p>
          <w:p w:rsidR="00242AEE" w:rsidRPr="008C1992" w:rsidRDefault="00242AEE" w:rsidP="003B3977">
            <w:pPr>
              <w:rPr>
                <w:sz w:val="20"/>
                <w:szCs w:val="20"/>
                <w:lang w:val="fr-CA"/>
              </w:rPr>
            </w:pPr>
            <w:r w:rsidRPr="008C1992">
              <w:rPr>
                <w:sz w:val="20"/>
                <w:szCs w:val="20"/>
                <w:lang w:val="fr-CA"/>
              </w:rPr>
              <w:t>DATE</w:t>
            </w:r>
            <w:r w:rsidR="008C1992" w:rsidRPr="008C1992">
              <w:rPr>
                <w:sz w:val="20"/>
                <w:szCs w:val="20"/>
                <w:lang w:val="fr-CA"/>
              </w:rPr>
              <w:t xml:space="preserve"> DE PRODUCTION </w:t>
            </w:r>
            <w:r w:rsidRPr="008C1992">
              <w:rPr>
                <w:sz w:val="20"/>
                <w:szCs w:val="20"/>
                <w:lang w:val="fr-CA"/>
              </w:rPr>
              <w:t>: 2</w:t>
            </w:r>
            <w:r w:rsidR="00867BA6">
              <w:rPr>
                <w:sz w:val="20"/>
                <w:szCs w:val="20"/>
                <w:lang w:val="fr-CA"/>
              </w:rPr>
              <w:t>6</w:t>
            </w:r>
            <w:r w:rsidRPr="008C1992">
              <w:rPr>
                <w:sz w:val="20"/>
                <w:szCs w:val="20"/>
                <w:lang w:val="fr-CA"/>
              </w:rPr>
              <w:t>.0</w:t>
            </w:r>
            <w:r w:rsidR="00867BA6">
              <w:rPr>
                <w:sz w:val="20"/>
                <w:szCs w:val="20"/>
                <w:lang w:val="fr-CA"/>
              </w:rPr>
              <w:t>4</w:t>
            </w:r>
            <w:r w:rsidRPr="008C1992">
              <w:rPr>
                <w:sz w:val="20"/>
                <w:szCs w:val="20"/>
                <w:lang w:val="fr-CA"/>
              </w:rPr>
              <w:t>.201</w:t>
            </w:r>
            <w:r w:rsidR="00853739" w:rsidRPr="008C1992">
              <w:rPr>
                <w:sz w:val="20"/>
                <w:szCs w:val="20"/>
                <w:lang w:val="fr-CA"/>
              </w:rPr>
              <w:t>3</w:t>
            </w:r>
          </w:p>
          <w:p w:rsidR="00242AEE" w:rsidRPr="00A935AA" w:rsidRDefault="00B3404D" w:rsidP="003B3977">
            <w:pPr>
              <w:rPr>
                <w:sz w:val="20"/>
                <w:szCs w:val="20"/>
              </w:rPr>
            </w:pPr>
            <w:r w:rsidRPr="00B3404D">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8C1992" w:rsidP="003B3977">
            <w:pPr>
              <w:keepNext/>
              <w:keepLines/>
              <w:tabs>
                <w:tab w:val="left" w:pos="-1440"/>
                <w:tab w:val="left" w:pos="-720"/>
              </w:tabs>
              <w:rPr>
                <w:b/>
                <w:sz w:val="20"/>
                <w:szCs w:val="20"/>
              </w:rPr>
            </w:pPr>
            <w:r>
              <w:rPr>
                <w:b/>
                <w:sz w:val="20"/>
                <w:szCs w:val="20"/>
              </w:rPr>
              <w:t>Victoria Douglass</w:t>
            </w:r>
          </w:p>
          <w:p w:rsidR="00242AEE" w:rsidRPr="00A935AA" w:rsidRDefault="00242AEE" w:rsidP="003B3977">
            <w:pPr>
              <w:keepNext/>
              <w:keepLines/>
              <w:tabs>
                <w:tab w:val="left" w:pos="-1440"/>
                <w:tab w:val="left" w:pos="-720"/>
              </w:tabs>
              <w:rPr>
                <w:sz w:val="20"/>
                <w:szCs w:val="20"/>
              </w:rPr>
            </w:pPr>
            <w:r w:rsidRPr="00A935AA">
              <w:rPr>
                <w:sz w:val="20"/>
                <w:szCs w:val="20"/>
              </w:rPr>
              <w:tab/>
            </w:r>
            <w:r w:rsidR="008C1992">
              <w:rPr>
                <w:sz w:val="20"/>
                <w:szCs w:val="20"/>
              </w:rPr>
              <w:t>Victoria Douglass</w:t>
            </w:r>
          </w:p>
          <w:p w:rsidR="00242AEE" w:rsidRPr="00A935AA" w:rsidRDefault="00242AEE" w:rsidP="003B3977">
            <w:pPr>
              <w:keepNext/>
              <w:keepLines/>
              <w:tabs>
                <w:tab w:val="left" w:pos="-1440"/>
                <w:tab w:val="left" w:pos="-720"/>
              </w:tabs>
              <w:rPr>
                <w:sz w:val="20"/>
                <w:szCs w:val="20"/>
              </w:rPr>
            </w:pPr>
          </w:p>
          <w:p w:rsidR="00242AEE" w:rsidRPr="0035691B" w:rsidRDefault="00242AEE" w:rsidP="003B3977">
            <w:pPr>
              <w:keepNext/>
              <w:keepLines/>
              <w:tabs>
                <w:tab w:val="left" w:pos="-1440"/>
                <w:tab w:val="left" w:pos="-720"/>
              </w:tabs>
              <w:rPr>
                <w:sz w:val="20"/>
                <w:szCs w:val="20"/>
              </w:rPr>
            </w:pPr>
            <w:r w:rsidRPr="00A935AA">
              <w:rPr>
                <w:sz w:val="20"/>
                <w:szCs w:val="20"/>
              </w:rPr>
              <w:tab/>
            </w:r>
            <w:r w:rsidRPr="0035691B">
              <w:rPr>
                <w:sz w:val="20"/>
                <w:szCs w:val="20"/>
              </w:rPr>
              <w:t>v. (3</w:t>
            </w:r>
            <w:r w:rsidR="00853739" w:rsidRPr="0035691B">
              <w:rPr>
                <w:sz w:val="20"/>
                <w:szCs w:val="20"/>
              </w:rPr>
              <w:t>5</w:t>
            </w:r>
            <w:r w:rsidR="008C1992" w:rsidRPr="0035691B">
              <w:rPr>
                <w:sz w:val="20"/>
                <w:szCs w:val="20"/>
              </w:rPr>
              <w:t>396</w:t>
            </w:r>
            <w:r w:rsidRPr="0035691B">
              <w:rPr>
                <w:sz w:val="20"/>
                <w:szCs w:val="20"/>
              </w:rPr>
              <w:t>)</w:t>
            </w:r>
          </w:p>
          <w:p w:rsidR="00242AEE" w:rsidRPr="0035691B" w:rsidRDefault="00242AEE" w:rsidP="003B3977">
            <w:pPr>
              <w:keepNext/>
              <w:keepLines/>
              <w:tabs>
                <w:tab w:val="left" w:pos="-1440"/>
                <w:tab w:val="left" w:pos="-720"/>
              </w:tabs>
              <w:rPr>
                <w:sz w:val="20"/>
                <w:szCs w:val="20"/>
              </w:rPr>
            </w:pPr>
          </w:p>
          <w:p w:rsidR="00242AEE" w:rsidRPr="008C1992" w:rsidRDefault="008C1992" w:rsidP="003B3977">
            <w:pPr>
              <w:keepNext/>
              <w:keepLines/>
              <w:tabs>
                <w:tab w:val="left" w:pos="-1440"/>
                <w:tab w:val="left" w:pos="-720"/>
              </w:tabs>
              <w:rPr>
                <w:b/>
                <w:sz w:val="20"/>
                <w:szCs w:val="20"/>
              </w:rPr>
            </w:pPr>
            <w:r w:rsidRPr="0035691B">
              <w:rPr>
                <w:b/>
                <w:sz w:val="20"/>
                <w:szCs w:val="20"/>
              </w:rPr>
              <w:t xml:space="preserve">Warren Milne et al. </w:t>
            </w:r>
            <w:r w:rsidR="00242AEE" w:rsidRPr="008C1992">
              <w:rPr>
                <w:b/>
                <w:sz w:val="20"/>
                <w:szCs w:val="20"/>
              </w:rPr>
              <w:t>(Ont.)</w:t>
            </w:r>
          </w:p>
          <w:p w:rsidR="00242AEE" w:rsidRPr="008C1992" w:rsidRDefault="00242AEE" w:rsidP="003B3977">
            <w:pPr>
              <w:keepNext/>
              <w:keepLines/>
              <w:tabs>
                <w:tab w:val="left" w:pos="-1440"/>
                <w:tab w:val="left" w:pos="-720"/>
              </w:tabs>
              <w:rPr>
                <w:sz w:val="20"/>
                <w:szCs w:val="20"/>
              </w:rPr>
            </w:pPr>
            <w:r w:rsidRPr="008C1992">
              <w:rPr>
                <w:sz w:val="20"/>
                <w:szCs w:val="20"/>
              </w:rPr>
              <w:tab/>
            </w:r>
            <w:r w:rsidR="008C1992" w:rsidRPr="008C1992">
              <w:rPr>
                <w:sz w:val="20"/>
                <w:szCs w:val="20"/>
              </w:rPr>
              <w:t xml:space="preserve">Keith L. </w:t>
            </w:r>
            <w:r w:rsidR="008C1992">
              <w:rPr>
                <w:sz w:val="20"/>
                <w:szCs w:val="20"/>
              </w:rPr>
              <w:t xml:space="preserve">Geurts </w:t>
            </w:r>
          </w:p>
          <w:p w:rsidR="00242AEE" w:rsidRPr="008C1992" w:rsidRDefault="00242AEE" w:rsidP="003B3977">
            <w:pPr>
              <w:keepNext/>
              <w:keepLines/>
              <w:tabs>
                <w:tab w:val="left" w:pos="-1440"/>
                <w:tab w:val="left" w:pos="-720"/>
              </w:tabs>
              <w:rPr>
                <w:sz w:val="20"/>
                <w:szCs w:val="20"/>
              </w:rPr>
            </w:pPr>
            <w:r w:rsidRPr="008C1992">
              <w:rPr>
                <w:sz w:val="20"/>
                <w:szCs w:val="20"/>
              </w:rPr>
              <w:tab/>
            </w:r>
            <w:r w:rsidR="008C1992">
              <w:rPr>
                <w:sz w:val="20"/>
                <w:szCs w:val="20"/>
              </w:rPr>
              <w:t>Clyde &amp; Company Canada LLP</w:t>
            </w:r>
          </w:p>
          <w:p w:rsidR="00242AEE" w:rsidRPr="008C1992" w:rsidRDefault="00242AEE" w:rsidP="003B3977">
            <w:pPr>
              <w:keepNext/>
              <w:keepLines/>
              <w:tabs>
                <w:tab w:val="left" w:pos="-1440"/>
                <w:tab w:val="left" w:pos="-720"/>
              </w:tabs>
              <w:rPr>
                <w:sz w:val="20"/>
                <w:szCs w:val="20"/>
              </w:rPr>
            </w:pPr>
          </w:p>
          <w:p w:rsidR="00242AEE" w:rsidRPr="00A935AA" w:rsidRDefault="00242AEE" w:rsidP="008C1992">
            <w:pPr>
              <w:rPr>
                <w:sz w:val="20"/>
                <w:szCs w:val="20"/>
              </w:rPr>
            </w:pPr>
            <w:r w:rsidRPr="00A935AA">
              <w:rPr>
                <w:sz w:val="20"/>
                <w:szCs w:val="20"/>
              </w:rPr>
              <w:t>FILING DATE: 2</w:t>
            </w:r>
            <w:r w:rsidR="008C1992">
              <w:rPr>
                <w:sz w:val="20"/>
                <w:szCs w:val="20"/>
              </w:rPr>
              <w:t>3</w:t>
            </w:r>
            <w:r w:rsidRPr="00A935AA">
              <w:rPr>
                <w:sz w:val="20"/>
                <w:szCs w:val="20"/>
              </w:rPr>
              <w:t>.0</w:t>
            </w:r>
            <w:r w:rsidR="00853739">
              <w:rPr>
                <w:sz w:val="20"/>
                <w:szCs w:val="20"/>
              </w:rPr>
              <w:t>5</w:t>
            </w:r>
            <w:r w:rsidRPr="00A935AA">
              <w:rPr>
                <w:sz w:val="20"/>
                <w:szCs w:val="20"/>
              </w:rPr>
              <w:t>.201</w:t>
            </w:r>
            <w:r w:rsidR="00853739">
              <w:rPr>
                <w:sz w:val="20"/>
                <w:szCs w:val="20"/>
              </w:rPr>
              <w:t>3</w:t>
            </w:r>
            <w:r w:rsidR="00B3404D" w:rsidRPr="00B3404D">
              <w:rPr>
                <w:sz w:val="20"/>
                <w:szCs w:val="20"/>
                <w:lang w:val="fr-CA"/>
              </w:rPr>
              <w:pict>
                <v:rect id="_x0000_i1026" style="width:108pt;height:1pt" o:hrpct="0" o:hralign="center" o:hrstd="t" o:hrnoshade="t" o:hr="t" fillcolor="black [3213]" stroked="f"/>
              </w:pict>
            </w:r>
          </w:p>
        </w:tc>
      </w:tr>
      <w:tr w:rsidR="00853739" w:rsidRPr="00A935AA" w:rsidTr="003B3977">
        <w:tc>
          <w:tcPr>
            <w:tcW w:w="4320" w:type="dxa"/>
            <w:shd w:val="clear" w:color="auto" w:fill="auto"/>
          </w:tcPr>
          <w:p w:rsidR="00853739" w:rsidRPr="00A935AA" w:rsidRDefault="008C1992" w:rsidP="00C05792">
            <w:pPr>
              <w:rPr>
                <w:b/>
                <w:sz w:val="20"/>
                <w:szCs w:val="20"/>
              </w:rPr>
            </w:pPr>
            <w:r>
              <w:rPr>
                <w:b/>
                <w:sz w:val="20"/>
                <w:szCs w:val="20"/>
              </w:rPr>
              <w:t>Richard Robert Baxter</w:t>
            </w:r>
          </w:p>
          <w:p w:rsidR="00853739" w:rsidRPr="00A935AA" w:rsidRDefault="00853739" w:rsidP="00C05792">
            <w:pPr>
              <w:tabs>
                <w:tab w:val="left" w:pos="-1440"/>
                <w:tab w:val="left" w:pos="-720"/>
              </w:tabs>
              <w:rPr>
                <w:sz w:val="20"/>
                <w:szCs w:val="20"/>
              </w:rPr>
            </w:pPr>
            <w:r w:rsidRPr="00A935AA">
              <w:rPr>
                <w:sz w:val="20"/>
                <w:szCs w:val="20"/>
              </w:rPr>
              <w:tab/>
            </w:r>
            <w:r w:rsidR="008C1992">
              <w:rPr>
                <w:sz w:val="20"/>
                <w:szCs w:val="20"/>
              </w:rPr>
              <w:t>Bob P. Hrycan</w:t>
            </w:r>
          </w:p>
          <w:p w:rsidR="00853739" w:rsidRPr="00A935AA" w:rsidRDefault="00853739" w:rsidP="00C05792">
            <w:pPr>
              <w:tabs>
                <w:tab w:val="left" w:pos="-1440"/>
                <w:tab w:val="left" w:pos="-720"/>
              </w:tabs>
              <w:rPr>
                <w:sz w:val="20"/>
                <w:szCs w:val="20"/>
              </w:rPr>
            </w:pPr>
            <w:r>
              <w:rPr>
                <w:sz w:val="20"/>
                <w:szCs w:val="20"/>
              </w:rPr>
              <w:tab/>
            </w:r>
            <w:r w:rsidR="008C1992">
              <w:rPr>
                <w:sz w:val="20"/>
                <w:szCs w:val="20"/>
              </w:rPr>
              <w:t>Hrycan Law Firm</w:t>
            </w:r>
          </w:p>
          <w:p w:rsidR="00853739" w:rsidRPr="00A935AA" w:rsidRDefault="00853739" w:rsidP="00C05792">
            <w:pPr>
              <w:tabs>
                <w:tab w:val="left" w:pos="-1440"/>
                <w:tab w:val="left" w:pos="-720"/>
              </w:tabs>
              <w:rPr>
                <w:sz w:val="20"/>
                <w:szCs w:val="20"/>
              </w:rPr>
            </w:pPr>
          </w:p>
          <w:p w:rsidR="00853739" w:rsidRPr="00A935AA" w:rsidRDefault="00853739" w:rsidP="00C05792">
            <w:pPr>
              <w:tabs>
                <w:tab w:val="left" w:pos="-1440"/>
                <w:tab w:val="left" w:pos="-720"/>
              </w:tabs>
              <w:rPr>
                <w:sz w:val="20"/>
                <w:szCs w:val="20"/>
              </w:rPr>
            </w:pPr>
            <w:r w:rsidRPr="00A935AA">
              <w:rPr>
                <w:sz w:val="20"/>
                <w:szCs w:val="20"/>
              </w:rPr>
              <w:tab/>
              <w:t>v. (3</w:t>
            </w:r>
            <w:r>
              <w:rPr>
                <w:sz w:val="20"/>
                <w:szCs w:val="20"/>
              </w:rPr>
              <w:t>5</w:t>
            </w:r>
            <w:r w:rsidR="008C1992">
              <w:rPr>
                <w:sz w:val="20"/>
                <w:szCs w:val="20"/>
              </w:rPr>
              <w:t>391</w:t>
            </w:r>
            <w:r w:rsidRPr="00A935AA">
              <w:rPr>
                <w:sz w:val="20"/>
                <w:szCs w:val="20"/>
              </w:rPr>
              <w:t>)</w:t>
            </w:r>
          </w:p>
          <w:p w:rsidR="00853739" w:rsidRPr="00A935AA" w:rsidRDefault="00853739" w:rsidP="00C05792">
            <w:pPr>
              <w:tabs>
                <w:tab w:val="left" w:pos="-1440"/>
                <w:tab w:val="left" w:pos="-720"/>
              </w:tabs>
              <w:rPr>
                <w:sz w:val="20"/>
                <w:szCs w:val="20"/>
              </w:rPr>
            </w:pPr>
          </w:p>
          <w:p w:rsidR="00853739" w:rsidRPr="00A935AA" w:rsidRDefault="008C1992" w:rsidP="00C05792">
            <w:pPr>
              <w:tabs>
                <w:tab w:val="left" w:pos="-1440"/>
                <w:tab w:val="left" w:pos="-720"/>
              </w:tabs>
              <w:rPr>
                <w:b/>
                <w:sz w:val="20"/>
                <w:szCs w:val="20"/>
              </w:rPr>
            </w:pPr>
            <w:r>
              <w:rPr>
                <w:b/>
                <w:sz w:val="20"/>
                <w:szCs w:val="20"/>
              </w:rPr>
              <w:t xml:space="preserve">Her Majesty the Queen </w:t>
            </w:r>
            <w:r w:rsidR="00853739" w:rsidRPr="00A935AA">
              <w:rPr>
                <w:b/>
                <w:sz w:val="20"/>
                <w:szCs w:val="20"/>
              </w:rPr>
              <w:t>(</w:t>
            </w:r>
            <w:r>
              <w:rPr>
                <w:b/>
                <w:sz w:val="20"/>
                <w:szCs w:val="20"/>
              </w:rPr>
              <w:t>Sask</w:t>
            </w:r>
            <w:r w:rsidR="00853739" w:rsidRPr="00A935AA">
              <w:rPr>
                <w:b/>
                <w:sz w:val="20"/>
                <w:szCs w:val="20"/>
              </w:rPr>
              <w:t>.)</w:t>
            </w:r>
          </w:p>
          <w:p w:rsidR="00853739" w:rsidRPr="00A935AA" w:rsidRDefault="00853739" w:rsidP="00C05792">
            <w:pPr>
              <w:tabs>
                <w:tab w:val="left" w:pos="-1440"/>
                <w:tab w:val="left" w:pos="-720"/>
              </w:tabs>
              <w:rPr>
                <w:sz w:val="20"/>
                <w:szCs w:val="20"/>
              </w:rPr>
            </w:pPr>
            <w:r w:rsidRPr="00A935AA">
              <w:rPr>
                <w:sz w:val="20"/>
                <w:szCs w:val="20"/>
              </w:rPr>
              <w:tab/>
            </w:r>
            <w:r w:rsidR="008C1992">
              <w:rPr>
                <w:sz w:val="20"/>
                <w:szCs w:val="20"/>
              </w:rPr>
              <w:t>Anthony B. Gerein</w:t>
            </w:r>
          </w:p>
          <w:p w:rsidR="00853739" w:rsidRPr="00A935AA" w:rsidRDefault="00853739" w:rsidP="00C05792">
            <w:pPr>
              <w:tabs>
                <w:tab w:val="left" w:pos="-1440"/>
                <w:tab w:val="left" w:pos="-720"/>
              </w:tabs>
              <w:rPr>
                <w:sz w:val="20"/>
                <w:szCs w:val="20"/>
              </w:rPr>
            </w:pPr>
            <w:r w:rsidRPr="00A935AA">
              <w:rPr>
                <w:sz w:val="20"/>
                <w:szCs w:val="20"/>
              </w:rPr>
              <w:tab/>
            </w:r>
            <w:r w:rsidR="008C1992">
              <w:rPr>
                <w:sz w:val="20"/>
                <w:szCs w:val="20"/>
              </w:rPr>
              <w:t>A.G. of Saskatchewan</w:t>
            </w:r>
          </w:p>
          <w:p w:rsidR="00853739" w:rsidRPr="00A935AA" w:rsidRDefault="00853739" w:rsidP="00C05792">
            <w:pPr>
              <w:tabs>
                <w:tab w:val="left" w:pos="-1440"/>
                <w:tab w:val="left" w:pos="-720"/>
              </w:tabs>
              <w:rPr>
                <w:sz w:val="20"/>
                <w:szCs w:val="20"/>
              </w:rPr>
            </w:pPr>
          </w:p>
          <w:p w:rsidR="00853739" w:rsidRPr="00A935AA" w:rsidRDefault="00853739" w:rsidP="00C05792">
            <w:pPr>
              <w:rPr>
                <w:sz w:val="20"/>
                <w:szCs w:val="20"/>
              </w:rPr>
            </w:pPr>
            <w:r w:rsidRPr="00A935AA">
              <w:rPr>
                <w:sz w:val="20"/>
                <w:szCs w:val="20"/>
              </w:rPr>
              <w:t>FILING DATE: 2</w:t>
            </w:r>
            <w:r w:rsidR="008C1992">
              <w:rPr>
                <w:sz w:val="20"/>
                <w:szCs w:val="20"/>
              </w:rPr>
              <w:t>2</w:t>
            </w:r>
            <w:r w:rsidRPr="00A935AA">
              <w:rPr>
                <w:sz w:val="20"/>
                <w:szCs w:val="20"/>
              </w:rPr>
              <w:t>.0</w:t>
            </w:r>
            <w:r>
              <w:rPr>
                <w:sz w:val="20"/>
                <w:szCs w:val="20"/>
              </w:rPr>
              <w:t>5</w:t>
            </w:r>
            <w:r w:rsidRPr="00A935AA">
              <w:rPr>
                <w:sz w:val="20"/>
                <w:szCs w:val="20"/>
              </w:rPr>
              <w:t>.201</w:t>
            </w:r>
            <w:r>
              <w:rPr>
                <w:sz w:val="20"/>
                <w:szCs w:val="20"/>
              </w:rPr>
              <w:t>3</w:t>
            </w:r>
          </w:p>
          <w:p w:rsidR="00853739" w:rsidRPr="00A935AA" w:rsidRDefault="00B3404D" w:rsidP="00C05792">
            <w:pPr>
              <w:rPr>
                <w:sz w:val="20"/>
                <w:szCs w:val="20"/>
              </w:rPr>
            </w:pPr>
            <w:r w:rsidRPr="00B3404D">
              <w:rPr>
                <w:sz w:val="20"/>
                <w:szCs w:val="20"/>
                <w:lang w:val="fr-CA"/>
              </w:rPr>
              <w:pict>
                <v:rect id="_x0000_i1027" style="width:108pt;height:1pt" o:hrpct="0" o:hralign="center" o:hrstd="t" o:hrnoshade="t" o:hr="t" fillcolor="black [3213]" stroked="f"/>
              </w:pict>
            </w:r>
          </w:p>
        </w:tc>
        <w:tc>
          <w:tcPr>
            <w:tcW w:w="1181" w:type="dxa"/>
            <w:shd w:val="clear" w:color="auto" w:fill="auto"/>
          </w:tcPr>
          <w:p w:rsidR="00853739" w:rsidRPr="00A935AA" w:rsidRDefault="00853739" w:rsidP="00242AEE">
            <w:pPr>
              <w:jc w:val="center"/>
              <w:rPr>
                <w:sz w:val="20"/>
                <w:szCs w:val="20"/>
              </w:rPr>
            </w:pPr>
          </w:p>
          <w:p w:rsidR="00853739" w:rsidRPr="00A935AA" w:rsidRDefault="00853739" w:rsidP="00242AEE">
            <w:pPr>
              <w:jc w:val="center"/>
              <w:rPr>
                <w:sz w:val="20"/>
                <w:szCs w:val="20"/>
              </w:rPr>
            </w:pPr>
          </w:p>
          <w:p w:rsidR="00853739" w:rsidRPr="00A935AA" w:rsidRDefault="00853739" w:rsidP="00242AEE">
            <w:pPr>
              <w:jc w:val="center"/>
              <w:rPr>
                <w:sz w:val="20"/>
                <w:szCs w:val="20"/>
              </w:rPr>
            </w:pPr>
          </w:p>
          <w:p w:rsidR="00853739" w:rsidRPr="00A935AA" w:rsidRDefault="00853739" w:rsidP="00242AEE">
            <w:pPr>
              <w:jc w:val="center"/>
              <w:rPr>
                <w:sz w:val="20"/>
                <w:szCs w:val="20"/>
              </w:rPr>
            </w:pPr>
          </w:p>
          <w:p w:rsidR="00853739" w:rsidRPr="00A935AA" w:rsidRDefault="00853739" w:rsidP="00242AEE">
            <w:pPr>
              <w:jc w:val="center"/>
              <w:rPr>
                <w:sz w:val="20"/>
                <w:szCs w:val="20"/>
              </w:rPr>
            </w:pPr>
          </w:p>
          <w:p w:rsidR="00853739" w:rsidRPr="00A935AA" w:rsidRDefault="00853739" w:rsidP="00242AEE">
            <w:pPr>
              <w:jc w:val="center"/>
              <w:rPr>
                <w:sz w:val="20"/>
                <w:szCs w:val="20"/>
              </w:rPr>
            </w:pPr>
          </w:p>
          <w:p w:rsidR="00853739" w:rsidRPr="00A935AA" w:rsidRDefault="00853739" w:rsidP="00242AEE">
            <w:pPr>
              <w:jc w:val="center"/>
              <w:rPr>
                <w:sz w:val="20"/>
                <w:szCs w:val="20"/>
              </w:rPr>
            </w:pPr>
          </w:p>
          <w:p w:rsidR="00853739" w:rsidRPr="00A935AA" w:rsidRDefault="00853739" w:rsidP="00242AEE">
            <w:pPr>
              <w:jc w:val="center"/>
              <w:rPr>
                <w:sz w:val="20"/>
                <w:szCs w:val="20"/>
              </w:rPr>
            </w:pPr>
          </w:p>
          <w:p w:rsidR="00853739" w:rsidRPr="00A935AA" w:rsidRDefault="00853739" w:rsidP="00242AEE">
            <w:pPr>
              <w:jc w:val="center"/>
              <w:rPr>
                <w:sz w:val="20"/>
                <w:szCs w:val="20"/>
              </w:rPr>
            </w:pPr>
          </w:p>
          <w:p w:rsidR="00853739" w:rsidRPr="00A935AA" w:rsidRDefault="00853739" w:rsidP="00242AEE">
            <w:pPr>
              <w:jc w:val="center"/>
              <w:rPr>
                <w:sz w:val="20"/>
                <w:szCs w:val="20"/>
              </w:rPr>
            </w:pPr>
          </w:p>
          <w:p w:rsidR="00853739" w:rsidRPr="00A935AA" w:rsidRDefault="00853739" w:rsidP="00242AEE">
            <w:pPr>
              <w:jc w:val="center"/>
              <w:rPr>
                <w:sz w:val="20"/>
                <w:szCs w:val="20"/>
              </w:rPr>
            </w:pPr>
          </w:p>
          <w:p w:rsidR="00853739" w:rsidRPr="00A935AA" w:rsidRDefault="00853739" w:rsidP="00242AEE">
            <w:pPr>
              <w:jc w:val="center"/>
              <w:rPr>
                <w:sz w:val="20"/>
                <w:szCs w:val="20"/>
              </w:rPr>
            </w:pPr>
          </w:p>
          <w:p w:rsidR="00853739" w:rsidRPr="00A935AA" w:rsidRDefault="00853739" w:rsidP="00242AEE">
            <w:pPr>
              <w:jc w:val="center"/>
              <w:rPr>
                <w:sz w:val="20"/>
                <w:szCs w:val="20"/>
              </w:rPr>
            </w:pPr>
          </w:p>
        </w:tc>
        <w:tc>
          <w:tcPr>
            <w:tcW w:w="4320" w:type="dxa"/>
            <w:shd w:val="clear" w:color="auto" w:fill="auto"/>
          </w:tcPr>
          <w:p w:rsidR="00853739" w:rsidRPr="0035691B" w:rsidRDefault="008C1992" w:rsidP="00C05792">
            <w:pPr>
              <w:keepNext/>
              <w:keepLines/>
              <w:tabs>
                <w:tab w:val="left" w:pos="-1440"/>
                <w:tab w:val="left" w:pos="-720"/>
              </w:tabs>
              <w:rPr>
                <w:b/>
                <w:sz w:val="20"/>
                <w:szCs w:val="20"/>
                <w:lang w:val="fr-CA"/>
              </w:rPr>
            </w:pPr>
            <w:r w:rsidRPr="0035691B">
              <w:rPr>
                <w:b/>
                <w:sz w:val="20"/>
                <w:szCs w:val="20"/>
                <w:lang w:val="fr-CA"/>
              </w:rPr>
              <w:t xml:space="preserve">Elie Malka et al. </w:t>
            </w:r>
          </w:p>
          <w:p w:rsidR="00853739" w:rsidRPr="0035691B" w:rsidRDefault="00853739" w:rsidP="00C05792">
            <w:pPr>
              <w:keepNext/>
              <w:keepLines/>
              <w:tabs>
                <w:tab w:val="left" w:pos="-1440"/>
                <w:tab w:val="left" w:pos="-720"/>
              </w:tabs>
              <w:rPr>
                <w:sz w:val="20"/>
                <w:szCs w:val="20"/>
                <w:lang w:val="fr-CA"/>
              </w:rPr>
            </w:pPr>
            <w:r w:rsidRPr="0035691B">
              <w:rPr>
                <w:sz w:val="20"/>
                <w:szCs w:val="20"/>
                <w:lang w:val="fr-CA"/>
              </w:rPr>
              <w:tab/>
            </w:r>
            <w:r w:rsidR="008C1992" w:rsidRPr="0035691B">
              <w:rPr>
                <w:sz w:val="20"/>
                <w:szCs w:val="20"/>
                <w:lang w:val="fr-CA"/>
              </w:rPr>
              <w:t>Andrew Stein</w:t>
            </w:r>
          </w:p>
          <w:p w:rsidR="00853739" w:rsidRPr="0035691B" w:rsidRDefault="00853739" w:rsidP="00C05792">
            <w:pPr>
              <w:keepNext/>
              <w:keepLines/>
              <w:tabs>
                <w:tab w:val="left" w:pos="-1440"/>
                <w:tab w:val="left" w:pos="-720"/>
              </w:tabs>
              <w:rPr>
                <w:sz w:val="20"/>
                <w:szCs w:val="20"/>
                <w:lang w:val="fr-CA"/>
              </w:rPr>
            </w:pPr>
          </w:p>
          <w:p w:rsidR="00853739" w:rsidRPr="008C1992" w:rsidRDefault="00853739" w:rsidP="00C05792">
            <w:pPr>
              <w:keepNext/>
              <w:keepLines/>
              <w:tabs>
                <w:tab w:val="left" w:pos="-1440"/>
                <w:tab w:val="left" w:pos="-720"/>
              </w:tabs>
              <w:rPr>
                <w:sz w:val="20"/>
                <w:szCs w:val="20"/>
                <w:lang w:val="fr-CA"/>
              </w:rPr>
            </w:pPr>
            <w:r w:rsidRPr="0035691B">
              <w:rPr>
                <w:sz w:val="20"/>
                <w:szCs w:val="20"/>
                <w:lang w:val="fr-CA"/>
              </w:rPr>
              <w:tab/>
            </w:r>
            <w:r w:rsidRPr="008C1992">
              <w:rPr>
                <w:sz w:val="20"/>
                <w:szCs w:val="20"/>
                <w:lang w:val="fr-CA"/>
              </w:rPr>
              <w:t>v. (35</w:t>
            </w:r>
            <w:r w:rsidR="008C1992" w:rsidRPr="008C1992">
              <w:rPr>
                <w:sz w:val="20"/>
                <w:szCs w:val="20"/>
                <w:lang w:val="fr-CA"/>
              </w:rPr>
              <w:t>395</w:t>
            </w:r>
            <w:r w:rsidRPr="008C1992">
              <w:rPr>
                <w:sz w:val="20"/>
                <w:szCs w:val="20"/>
                <w:lang w:val="fr-CA"/>
              </w:rPr>
              <w:t>)</w:t>
            </w:r>
          </w:p>
          <w:p w:rsidR="00853739" w:rsidRPr="008C1992" w:rsidRDefault="00853739" w:rsidP="00C05792">
            <w:pPr>
              <w:keepNext/>
              <w:keepLines/>
              <w:tabs>
                <w:tab w:val="left" w:pos="-1440"/>
                <w:tab w:val="left" w:pos="-720"/>
              </w:tabs>
              <w:rPr>
                <w:sz w:val="20"/>
                <w:szCs w:val="20"/>
                <w:lang w:val="fr-CA"/>
              </w:rPr>
            </w:pPr>
          </w:p>
          <w:p w:rsidR="00853739" w:rsidRPr="008C1992" w:rsidRDefault="008C1992" w:rsidP="00C05792">
            <w:pPr>
              <w:keepNext/>
              <w:keepLines/>
              <w:tabs>
                <w:tab w:val="left" w:pos="-1440"/>
                <w:tab w:val="left" w:pos="-720"/>
              </w:tabs>
              <w:rPr>
                <w:b/>
                <w:sz w:val="20"/>
                <w:szCs w:val="20"/>
              </w:rPr>
            </w:pPr>
            <w:r w:rsidRPr="008C1992">
              <w:rPr>
                <w:b/>
                <w:sz w:val="20"/>
                <w:szCs w:val="20"/>
                <w:lang w:val="fr-CA"/>
              </w:rPr>
              <w:t xml:space="preserve">Larry Vasiliadis et al. </w:t>
            </w:r>
            <w:r w:rsidR="00853739" w:rsidRPr="008C1992">
              <w:rPr>
                <w:b/>
                <w:sz w:val="20"/>
                <w:szCs w:val="20"/>
              </w:rPr>
              <w:t>(Ont.)</w:t>
            </w:r>
          </w:p>
          <w:p w:rsidR="00853739" w:rsidRPr="008C1992" w:rsidRDefault="00853739" w:rsidP="00C05792">
            <w:pPr>
              <w:keepNext/>
              <w:keepLines/>
              <w:tabs>
                <w:tab w:val="left" w:pos="-1440"/>
                <w:tab w:val="left" w:pos="-720"/>
              </w:tabs>
              <w:rPr>
                <w:sz w:val="20"/>
                <w:szCs w:val="20"/>
              </w:rPr>
            </w:pPr>
            <w:r w:rsidRPr="008C1992">
              <w:rPr>
                <w:sz w:val="20"/>
                <w:szCs w:val="20"/>
              </w:rPr>
              <w:tab/>
            </w:r>
            <w:r w:rsidR="008C1992">
              <w:rPr>
                <w:sz w:val="20"/>
                <w:szCs w:val="20"/>
              </w:rPr>
              <w:t>Stephen Schwartz</w:t>
            </w:r>
          </w:p>
          <w:p w:rsidR="00853739" w:rsidRPr="008C1992" w:rsidRDefault="00853739" w:rsidP="00C05792">
            <w:pPr>
              <w:keepNext/>
              <w:keepLines/>
              <w:tabs>
                <w:tab w:val="left" w:pos="-1440"/>
                <w:tab w:val="left" w:pos="-720"/>
              </w:tabs>
              <w:rPr>
                <w:sz w:val="20"/>
                <w:szCs w:val="20"/>
              </w:rPr>
            </w:pPr>
            <w:r w:rsidRPr="008C1992">
              <w:rPr>
                <w:sz w:val="20"/>
                <w:szCs w:val="20"/>
              </w:rPr>
              <w:tab/>
            </w:r>
            <w:r w:rsidR="008C1992">
              <w:rPr>
                <w:sz w:val="20"/>
                <w:szCs w:val="20"/>
              </w:rPr>
              <w:t>Chaitons LLP</w:t>
            </w:r>
          </w:p>
          <w:p w:rsidR="00853739" w:rsidRPr="008C1992" w:rsidRDefault="00853739" w:rsidP="00C05792">
            <w:pPr>
              <w:keepNext/>
              <w:keepLines/>
              <w:tabs>
                <w:tab w:val="left" w:pos="-1440"/>
                <w:tab w:val="left" w:pos="-720"/>
              </w:tabs>
              <w:rPr>
                <w:sz w:val="20"/>
                <w:szCs w:val="20"/>
              </w:rPr>
            </w:pPr>
          </w:p>
          <w:p w:rsidR="00853739" w:rsidRPr="00A935AA" w:rsidRDefault="00853739" w:rsidP="00DC5C61">
            <w:pPr>
              <w:rPr>
                <w:sz w:val="20"/>
                <w:szCs w:val="20"/>
              </w:rPr>
            </w:pPr>
            <w:r w:rsidRPr="00A935AA">
              <w:rPr>
                <w:sz w:val="20"/>
                <w:szCs w:val="20"/>
              </w:rPr>
              <w:t>FILING DATE: 2</w:t>
            </w:r>
            <w:r w:rsidR="00DC5C61">
              <w:rPr>
                <w:sz w:val="20"/>
                <w:szCs w:val="20"/>
              </w:rPr>
              <w:t>7</w:t>
            </w:r>
            <w:r w:rsidRPr="00A935AA">
              <w:rPr>
                <w:sz w:val="20"/>
                <w:szCs w:val="20"/>
              </w:rPr>
              <w:t>.0</w:t>
            </w:r>
            <w:r>
              <w:rPr>
                <w:sz w:val="20"/>
                <w:szCs w:val="20"/>
              </w:rPr>
              <w:t>5</w:t>
            </w:r>
            <w:r w:rsidRPr="00A935AA">
              <w:rPr>
                <w:sz w:val="20"/>
                <w:szCs w:val="20"/>
              </w:rPr>
              <w:t>.201</w:t>
            </w:r>
            <w:r>
              <w:rPr>
                <w:sz w:val="20"/>
                <w:szCs w:val="20"/>
              </w:rPr>
              <w:t>3</w:t>
            </w:r>
            <w:r w:rsidR="00B3404D" w:rsidRPr="00B3404D">
              <w:rPr>
                <w:sz w:val="20"/>
                <w:szCs w:val="20"/>
                <w:lang w:val="fr-CA"/>
              </w:rPr>
              <w:pict>
                <v:rect id="_x0000_i1028" style="width:108pt;height:1pt" o:hrpct="0" o:hralign="center" o:hrstd="t" o:hrnoshade="t" o:hr="t" fillcolor="black [3213]" stroked="f"/>
              </w:pict>
            </w:r>
          </w:p>
        </w:tc>
      </w:tr>
      <w:tr w:rsidR="00853739" w:rsidRPr="00A935AA" w:rsidTr="003B3977">
        <w:tc>
          <w:tcPr>
            <w:tcW w:w="4320" w:type="dxa"/>
            <w:shd w:val="clear" w:color="auto" w:fill="auto"/>
          </w:tcPr>
          <w:p w:rsidR="00853739" w:rsidRPr="00A935AA" w:rsidRDefault="00DC5C61" w:rsidP="00C05792">
            <w:pPr>
              <w:rPr>
                <w:b/>
                <w:sz w:val="20"/>
                <w:szCs w:val="20"/>
              </w:rPr>
            </w:pPr>
            <w:r>
              <w:rPr>
                <w:b/>
                <w:sz w:val="20"/>
                <w:szCs w:val="20"/>
              </w:rPr>
              <w:t>Maria Cornelia Erdmann</w:t>
            </w:r>
          </w:p>
          <w:p w:rsidR="00853739" w:rsidRPr="00A935AA" w:rsidRDefault="00853739" w:rsidP="00C05792">
            <w:pPr>
              <w:tabs>
                <w:tab w:val="left" w:pos="-1440"/>
                <w:tab w:val="left" w:pos="-720"/>
              </w:tabs>
              <w:rPr>
                <w:sz w:val="20"/>
                <w:szCs w:val="20"/>
              </w:rPr>
            </w:pPr>
            <w:r w:rsidRPr="00A935AA">
              <w:rPr>
                <w:sz w:val="20"/>
                <w:szCs w:val="20"/>
              </w:rPr>
              <w:tab/>
            </w:r>
            <w:r w:rsidR="00DC5C61">
              <w:rPr>
                <w:sz w:val="20"/>
                <w:szCs w:val="20"/>
              </w:rPr>
              <w:t>Maria Cornelia Erdmann</w:t>
            </w:r>
          </w:p>
          <w:p w:rsidR="00853739" w:rsidRPr="00A935AA" w:rsidRDefault="00853739" w:rsidP="00C05792">
            <w:pPr>
              <w:tabs>
                <w:tab w:val="left" w:pos="-1440"/>
                <w:tab w:val="left" w:pos="-720"/>
              </w:tabs>
              <w:rPr>
                <w:sz w:val="20"/>
                <w:szCs w:val="20"/>
              </w:rPr>
            </w:pPr>
          </w:p>
          <w:p w:rsidR="00853739" w:rsidRPr="00A935AA" w:rsidRDefault="00853739" w:rsidP="00C05792">
            <w:pPr>
              <w:tabs>
                <w:tab w:val="left" w:pos="-1440"/>
                <w:tab w:val="left" w:pos="-720"/>
              </w:tabs>
              <w:rPr>
                <w:sz w:val="20"/>
                <w:szCs w:val="20"/>
              </w:rPr>
            </w:pPr>
            <w:r w:rsidRPr="00A935AA">
              <w:rPr>
                <w:sz w:val="20"/>
                <w:szCs w:val="20"/>
              </w:rPr>
              <w:tab/>
              <w:t>v. (3</w:t>
            </w:r>
            <w:r>
              <w:rPr>
                <w:sz w:val="20"/>
                <w:szCs w:val="20"/>
              </w:rPr>
              <w:t>5</w:t>
            </w:r>
            <w:r w:rsidR="00DC5C61">
              <w:rPr>
                <w:sz w:val="20"/>
                <w:szCs w:val="20"/>
              </w:rPr>
              <w:t>403</w:t>
            </w:r>
            <w:r w:rsidRPr="00A935AA">
              <w:rPr>
                <w:sz w:val="20"/>
                <w:szCs w:val="20"/>
              </w:rPr>
              <w:t>)</w:t>
            </w:r>
          </w:p>
          <w:p w:rsidR="00853739" w:rsidRPr="00A935AA" w:rsidRDefault="00853739" w:rsidP="00C05792">
            <w:pPr>
              <w:tabs>
                <w:tab w:val="left" w:pos="-1440"/>
                <w:tab w:val="left" w:pos="-720"/>
              </w:tabs>
              <w:rPr>
                <w:sz w:val="20"/>
                <w:szCs w:val="20"/>
              </w:rPr>
            </w:pPr>
          </w:p>
          <w:p w:rsidR="00853739" w:rsidRPr="00A935AA" w:rsidRDefault="00DC5C61" w:rsidP="00C05792">
            <w:pPr>
              <w:tabs>
                <w:tab w:val="left" w:pos="-1440"/>
                <w:tab w:val="left" w:pos="-720"/>
              </w:tabs>
              <w:rPr>
                <w:b/>
                <w:sz w:val="20"/>
                <w:szCs w:val="20"/>
              </w:rPr>
            </w:pPr>
            <w:r>
              <w:rPr>
                <w:b/>
                <w:sz w:val="20"/>
                <w:szCs w:val="20"/>
              </w:rPr>
              <w:t xml:space="preserve">Complaints Inquiry Committee of the Institute of Chartered Accountants of Alberta </w:t>
            </w:r>
            <w:r w:rsidR="00853739" w:rsidRPr="00A935AA">
              <w:rPr>
                <w:b/>
                <w:sz w:val="20"/>
                <w:szCs w:val="20"/>
              </w:rPr>
              <w:t>(</w:t>
            </w:r>
            <w:r w:rsidR="00867BA6">
              <w:rPr>
                <w:b/>
                <w:sz w:val="20"/>
                <w:szCs w:val="20"/>
              </w:rPr>
              <w:t>Alta</w:t>
            </w:r>
            <w:r w:rsidR="00853739" w:rsidRPr="00A935AA">
              <w:rPr>
                <w:b/>
                <w:sz w:val="20"/>
                <w:szCs w:val="20"/>
              </w:rPr>
              <w:t>.)</w:t>
            </w:r>
          </w:p>
          <w:p w:rsidR="00853739" w:rsidRPr="00A935AA" w:rsidRDefault="00853739" w:rsidP="00C05792">
            <w:pPr>
              <w:tabs>
                <w:tab w:val="left" w:pos="-1440"/>
                <w:tab w:val="left" w:pos="-720"/>
              </w:tabs>
              <w:rPr>
                <w:sz w:val="20"/>
                <w:szCs w:val="20"/>
              </w:rPr>
            </w:pPr>
            <w:r w:rsidRPr="00A935AA">
              <w:rPr>
                <w:sz w:val="20"/>
                <w:szCs w:val="20"/>
              </w:rPr>
              <w:tab/>
            </w:r>
            <w:r w:rsidR="00DC5C61">
              <w:rPr>
                <w:sz w:val="20"/>
                <w:szCs w:val="20"/>
              </w:rPr>
              <w:t xml:space="preserve">Gordon R. McKenzie </w:t>
            </w:r>
          </w:p>
          <w:p w:rsidR="00853739" w:rsidRPr="00A935AA" w:rsidRDefault="00853739" w:rsidP="00C05792">
            <w:pPr>
              <w:tabs>
                <w:tab w:val="left" w:pos="-1440"/>
                <w:tab w:val="left" w:pos="-720"/>
              </w:tabs>
              <w:rPr>
                <w:sz w:val="20"/>
                <w:szCs w:val="20"/>
              </w:rPr>
            </w:pPr>
            <w:r w:rsidRPr="00A935AA">
              <w:rPr>
                <w:sz w:val="20"/>
                <w:szCs w:val="20"/>
              </w:rPr>
              <w:tab/>
            </w:r>
            <w:r w:rsidR="00DC5C61">
              <w:rPr>
                <w:sz w:val="20"/>
                <w:szCs w:val="20"/>
              </w:rPr>
              <w:t>Bishop McKenzie LLP</w:t>
            </w:r>
          </w:p>
          <w:p w:rsidR="00853739" w:rsidRPr="00A935AA" w:rsidRDefault="00853739" w:rsidP="00C05792">
            <w:pPr>
              <w:tabs>
                <w:tab w:val="left" w:pos="-1440"/>
                <w:tab w:val="left" w:pos="-720"/>
              </w:tabs>
              <w:rPr>
                <w:sz w:val="20"/>
                <w:szCs w:val="20"/>
              </w:rPr>
            </w:pPr>
          </w:p>
          <w:p w:rsidR="00853739" w:rsidRPr="00A935AA" w:rsidRDefault="00853739" w:rsidP="00C05792">
            <w:pPr>
              <w:rPr>
                <w:sz w:val="20"/>
                <w:szCs w:val="20"/>
              </w:rPr>
            </w:pPr>
            <w:r w:rsidRPr="00A935AA">
              <w:rPr>
                <w:sz w:val="20"/>
                <w:szCs w:val="20"/>
              </w:rPr>
              <w:t>FILING DATE: 2</w:t>
            </w:r>
            <w:r w:rsidR="00DC5C61">
              <w:rPr>
                <w:sz w:val="20"/>
                <w:szCs w:val="20"/>
              </w:rPr>
              <w:t>9</w:t>
            </w:r>
            <w:r w:rsidRPr="00A935AA">
              <w:rPr>
                <w:sz w:val="20"/>
                <w:szCs w:val="20"/>
              </w:rPr>
              <w:t>.0</w:t>
            </w:r>
            <w:r>
              <w:rPr>
                <w:sz w:val="20"/>
                <w:szCs w:val="20"/>
              </w:rPr>
              <w:t>5</w:t>
            </w:r>
            <w:r w:rsidRPr="00A935AA">
              <w:rPr>
                <w:sz w:val="20"/>
                <w:szCs w:val="20"/>
              </w:rPr>
              <w:t>.201</w:t>
            </w:r>
            <w:r>
              <w:rPr>
                <w:sz w:val="20"/>
                <w:szCs w:val="20"/>
              </w:rPr>
              <w:t>3</w:t>
            </w:r>
          </w:p>
          <w:p w:rsidR="00853739" w:rsidRPr="00A935AA" w:rsidRDefault="00B3404D" w:rsidP="00C05792">
            <w:pPr>
              <w:rPr>
                <w:sz w:val="20"/>
                <w:szCs w:val="20"/>
              </w:rPr>
            </w:pPr>
            <w:r w:rsidRPr="00B3404D">
              <w:rPr>
                <w:sz w:val="20"/>
                <w:szCs w:val="20"/>
                <w:lang w:val="fr-CA"/>
              </w:rPr>
              <w:pict>
                <v:rect id="_x0000_i1029" style="width:108pt;height:1pt" o:hrpct="0" o:hralign="center" o:hrstd="t" o:hrnoshade="t" o:hr="t" fillcolor="black [3213]" stroked="f"/>
              </w:pict>
            </w:r>
          </w:p>
        </w:tc>
        <w:tc>
          <w:tcPr>
            <w:tcW w:w="1181" w:type="dxa"/>
            <w:shd w:val="clear" w:color="auto" w:fill="auto"/>
          </w:tcPr>
          <w:p w:rsidR="00853739" w:rsidRPr="00A935AA" w:rsidRDefault="00853739" w:rsidP="00242AEE">
            <w:pPr>
              <w:jc w:val="center"/>
              <w:rPr>
                <w:sz w:val="20"/>
                <w:szCs w:val="20"/>
              </w:rPr>
            </w:pPr>
          </w:p>
          <w:p w:rsidR="00853739" w:rsidRPr="00A935AA" w:rsidRDefault="00853739" w:rsidP="00242AEE">
            <w:pPr>
              <w:jc w:val="center"/>
              <w:rPr>
                <w:sz w:val="20"/>
                <w:szCs w:val="20"/>
              </w:rPr>
            </w:pPr>
          </w:p>
          <w:p w:rsidR="00853739" w:rsidRPr="00A935AA" w:rsidRDefault="00853739" w:rsidP="00242AEE">
            <w:pPr>
              <w:jc w:val="center"/>
              <w:rPr>
                <w:sz w:val="20"/>
                <w:szCs w:val="20"/>
              </w:rPr>
            </w:pPr>
          </w:p>
          <w:p w:rsidR="00853739" w:rsidRPr="00A935AA" w:rsidRDefault="00853739" w:rsidP="00242AEE">
            <w:pPr>
              <w:jc w:val="center"/>
              <w:rPr>
                <w:sz w:val="20"/>
                <w:szCs w:val="20"/>
              </w:rPr>
            </w:pPr>
          </w:p>
          <w:p w:rsidR="00853739" w:rsidRPr="00A935AA" w:rsidRDefault="00853739" w:rsidP="00242AEE">
            <w:pPr>
              <w:jc w:val="center"/>
              <w:rPr>
                <w:sz w:val="20"/>
                <w:szCs w:val="20"/>
              </w:rPr>
            </w:pPr>
          </w:p>
          <w:p w:rsidR="00853739" w:rsidRPr="00A935AA" w:rsidRDefault="00853739" w:rsidP="00242AEE">
            <w:pPr>
              <w:jc w:val="center"/>
              <w:rPr>
                <w:sz w:val="20"/>
                <w:szCs w:val="20"/>
              </w:rPr>
            </w:pPr>
          </w:p>
          <w:p w:rsidR="00853739" w:rsidRPr="00A935AA" w:rsidRDefault="00853739" w:rsidP="00242AEE">
            <w:pPr>
              <w:jc w:val="center"/>
              <w:rPr>
                <w:sz w:val="20"/>
                <w:szCs w:val="20"/>
              </w:rPr>
            </w:pPr>
          </w:p>
          <w:p w:rsidR="00853739" w:rsidRPr="00A935AA" w:rsidRDefault="00853739" w:rsidP="00242AEE">
            <w:pPr>
              <w:jc w:val="center"/>
              <w:rPr>
                <w:sz w:val="20"/>
                <w:szCs w:val="20"/>
              </w:rPr>
            </w:pPr>
          </w:p>
          <w:p w:rsidR="00853739" w:rsidRPr="00A935AA" w:rsidRDefault="00853739" w:rsidP="00242AEE">
            <w:pPr>
              <w:jc w:val="center"/>
              <w:rPr>
                <w:sz w:val="20"/>
                <w:szCs w:val="20"/>
              </w:rPr>
            </w:pPr>
          </w:p>
          <w:p w:rsidR="00853739" w:rsidRPr="00A935AA" w:rsidRDefault="00853739" w:rsidP="00242AEE">
            <w:pPr>
              <w:jc w:val="center"/>
              <w:rPr>
                <w:sz w:val="20"/>
                <w:szCs w:val="20"/>
              </w:rPr>
            </w:pPr>
          </w:p>
          <w:p w:rsidR="00853739" w:rsidRDefault="00853739" w:rsidP="00242AEE">
            <w:pPr>
              <w:jc w:val="center"/>
              <w:rPr>
                <w:sz w:val="20"/>
                <w:szCs w:val="20"/>
              </w:rPr>
            </w:pPr>
          </w:p>
          <w:p w:rsidR="00853739" w:rsidRDefault="00853739" w:rsidP="00242AEE">
            <w:pPr>
              <w:jc w:val="center"/>
              <w:rPr>
                <w:sz w:val="20"/>
                <w:szCs w:val="20"/>
              </w:rPr>
            </w:pPr>
          </w:p>
          <w:p w:rsidR="00853739" w:rsidRPr="00A935AA" w:rsidRDefault="00853739" w:rsidP="00242AEE">
            <w:pPr>
              <w:jc w:val="center"/>
              <w:rPr>
                <w:sz w:val="20"/>
                <w:szCs w:val="20"/>
              </w:rPr>
            </w:pPr>
          </w:p>
        </w:tc>
        <w:tc>
          <w:tcPr>
            <w:tcW w:w="4320" w:type="dxa"/>
            <w:shd w:val="clear" w:color="auto" w:fill="auto"/>
          </w:tcPr>
          <w:p w:rsidR="00853739" w:rsidRPr="00A935AA" w:rsidRDefault="00853739" w:rsidP="00C05792">
            <w:pPr>
              <w:rPr>
                <w:sz w:val="20"/>
                <w:szCs w:val="20"/>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D41BFD">
          <w:headerReference w:type="default" r:id="rId16"/>
          <w:footerReference w:type="default" r:id="rId17"/>
          <w:headerReference w:type="first" r:id="rId18"/>
          <w:footerReference w:type="first" r:id="rId19"/>
          <w:pgSz w:w="12240" w:h="15840"/>
          <w:pgMar w:top="720" w:right="965" w:bottom="1080" w:left="1656" w:header="706" w:footer="706" w:gutter="0"/>
          <w:pgNumType w:start="1044"/>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D41BFD"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F761A3" w:rsidP="004B7F60">
      <w:pPr>
        <w:widowControl w:val="0"/>
        <w:rPr>
          <w:b/>
          <w:sz w:val="20"/>
          <w:szCs w:val="20"/>
        </w:rPr>
      </w:pPr>
      <w:r>
        <w:rPr>
          <w:b/>
          <w:sz w:val="20"/>
          <w:szCs w:val="20"/>
        </w:rPr>
        <w:t>JU</w:t>
      </w:r>
      <w:r w:rsidR="00AA605C">
        <w:rPr>
          <w:b/>
          <w:sz w:val="20"/>
          <w:szCs w:val="20"/>
        </w:rPr>
        <w:t>NE</w:t>
      </w:r>
      <w:r>
        <w:rPr>
          <w:b/>
          <w:sz w:val="20"/>
          <w:szCs w:val="20"/>
        </w:rPr>
        <w:t xml:space="preserve"> </w:t>
      </w:r>
      <w:r w:rsidR="00AA605C">
        <w:rPr>
          <w:b/>
          <w:sz w:val="20"/>
          <w:szCs w:val="20"/>
        </w:rPr>
        <w:t>10</w:t>
      </w:r>
      <w:r w:rsidR="004B7F60" w:rsidRPr="00C50A5C">
        <w:rPr>
          <w:b/>
          <w:sz w:val="20"/>
          <w:szCs w:val="20"/>
        </w:rPr>
        <w:t>, 201</w:t>
      </w:r>
      <w:r>
        <w:rPr>
          <w:b/>
          <w:sz w:val="20"/>
          <w:szCs w:val="20"/>
        </w:rPr>
        <w:t>3</w:t>
      </w:r>
      <w:r w:rsidR="004B7F60" w:rsidRPr="00C50A5C">
        <w:rPr>
          <w:b/>
          <w:sz w:val="20"/>
          <w:szCs w:val="20"/>
        </w:rPr>
        <w:t xml:space="preserve"> / LE </w:t>
      </w:r>
      <w:r w:rsidR="00DB73D7">
        <w:rPr>
          <w:b/>
          <w:sz w:val="20"/>
          <w:szCs w:val="20"/>
        </w:rPr>
        <w:t>10</w:t>
      </w:r>
      <w:r w:rsidR="004B7F60">
        <w:rPr>
          <w:b/>
          <w:sz w:val="20"/>
          <w:szCs w:val="20"/>
        </w:rPr>
        <w:t xml:space="preserve"> </w:t>
      </w:r>
      <w:r>
        <w:rPr>
          <w:b/>
          <w:sz w:val="20"/>
          <w:szCs w:val="20"/>
        </w:rPr>
        <w:t>J</w:t>
      </w:r>
      <w:r w:rsidR="00AA605C">
        <w:rPr>
          <w:b/>
          <w:sz w:val="20"/>
          <w:szCs w:val="20"/>
        </w:rPr>
        <w:t>U</w:t>
      </w:r>
      <w:r>
        <w:rPr>
          <w:b/>
          <w:sz w:val="20"/>
          <w:szCs w:val="20"/>
        </w:rPr>
        <w:t>I</w:t>
      </w:r>
      <w:r w:rsidR="00AA605C">
        <w:rPr>
          <w:b/>
          <w:sz w:val="20"/>
          <w:szCs w:val="20"/>
        </w:rPr>
        <w:t>N</w:t>
      </w:r>
      <w:r w:rsidR="004B7F60" w:rsidRPr="00C50A5C">
        <w:rPr>
          <w:b/>
          <w:sz w:val="20"/>
          <w:szCs w:val="20"/>
        </w:rPr>
        <w:t xml:space="preserve"> 201</w:t>
      </w:r>
      <w:r>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62714A">
        <w:rPr>
          <w:b/>
          <w:sz w:val="20"/>
          <w:szCs w:val="20"/>
        </w:rPr>
        <w:t>Abella</w:t>
      </w:r>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AE0560" w:rsidP="004B7F60">
      <w:pPr>
        <w:pStyle w:val="ListParagraph"/>
        <w:widowControl w:val="0"/>
        <w:numPr>
          <w:ilvl w:val="0"/>
          <w:numId w:val="1"/>
        </w:numPr>
        <w:ind w:hanging="720"/>
        <w:jc w:val="both"/>
        <w:rPr>
          <w:sz w:val="20"/>
          <w:szCs w:val="20"/>
        </w:rPr>
      </w:pPr>
      <w:r w:rsidRPr="00AE0560">
        <w:rPr>
          <w:i/>
          <w:sz w:val="20"/>
          <w:szCs w:val="20"/>
        </w:rPr>
        <w:t>J.K.L. v. Her Majesty the Queen</w:t>
      </w:r>
      <w:r w:rsidRPr="00AE0560">
        <w:rPr>
          <w:sz w:val="20"/>
          <w:szCs w:val="20"/>
        </w:rPr>
        <w:t xml:space="preserve"> (Ont.) </w:t>
      </w:r>
      <w:r w:rsidRPr="00AE0560">
        <w:rPr>
          <w:sz w:val="20"/>
          <w:szCs w:val="20"/>
          <w:lang w:val="fr-CA"/>
        </w:rPr>
        <w:t xml:space="preserve">(Crim.) </w:t>
      </w:r>
      <w:r w:rsidRPr="00AE0560">
        <w:rPr>
          <w:sz w:val="20"/>
          <w:szCs w:val="20"/>
        </w:rPr>
        <w:t>(By Leave)</w:t>
      </w:r>
      <w:r w:rsidRPr="00C50A5C">
        <w:rPr>
          <w:sz w:val="20"/>
          <w:szCs w:val="20"/>
        </w:rPr>
        <w:t xml:space="preserve"> </w:t>
      </w:r>
      <w:r w:rsidR="004B7F60" w:rsidRPr="00C50A5C">
        <w:rPr>
          <w:sz w:val="20"/>
          <w:szCs w:val="20"/>
        </w:rPr>
        <w:t>(3</w:t>
      </w:r>
      <w:r w:rsidR="00AA605C">
        <w:rPr>
          <w:sz w:val="20"/>
          <w:szCs w:val="20"/>
        </w:rPr>
        <w:t>5</w:t>
      </w:r>
      <w:r>
        <w:rPr>
          <w:sz w:val="20"/>
          <w:szCs w:val="20"/>
        </w:rPr>
        <w:t>272</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AE0560" w:rsidP="004B7F60">
      <w:pPr>
        <w:pStyle w:val="ListParagraph"/>
        <w:widowControl w:val="0"/>
        <w:numPr>
          <w:ilvl w:val="0"/>
          <w:numId w:val="1"/>
        </w:numPr>
        <w:ind w:hanging="720"/>
        <w:jc w:val="both"/>
        <w:rPr>
          <w:sz w:val="20"/>
          <w:szCs w:val="20"/>
        </w:rPr>
      </w:pPr>
      <w:r w:rsidRPr="00AE0560">
        <w:rPr>
          <w:i/>
          <w:sz w:val="20"/>
          <w:szCs w:val="20"/>
        </w:rPr>
        <w:t>Estate of Majencio Camaso, deceased et al. v. Corporation of the District of Saanich et al.</w:t>
      </w:r>
      <w:r w:rsidRPr="00AE0560">
        <w:rPr>
          <w:sz w:val="20"/>
          <w:szCs w:val="20"/>
        </w:rPr>
        <w:t xml:space="preserve"> (B.C.) (Civil) (By Leave)</w:t>
      </w:r>
      <w:r w:rsidRPr="00C612D0">
        <w:rPr>
          <w:sz w:val="20"/>
          <w:szCs w:val="20"/>
        </w:rPr>
        <w:t xml:space="preserve"> </w:t>
      </w:r>
      <w:r w:rsidR="004B7F60" w:rsidRPr="00C612D0">
        <w:rPr>
          <w:sz w:val="20"/>
          <w:szCs w:val="20"/>
        </w:rPr>
        <w:t>(3</w:t>
      </w:r>
      <w:r w:rsidR="00AA605C">
        <w:rPr>
          <w:sz w:val="20"/>
          <w:szCs w:val="20"/>
        </w:rPr>
        <w:t>5</w:t>
      </w:r>
      <w:r>
        <w:rPr>
          <w:sz w:val="20"/>
          <w:szCs w:val="20"/>
        </w:rPr>
        <w:t>256</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AE0560" w:rsidP="004B7F60">
      <w:pPr>
        <w:pStyle w:val="ListParagraph"/>
        <w:widowControl w:val="0"/>
        <w:numPr>
          <w:ilvl w:val="0"/>
          <w:numId w:val="1"/>
        </w:numPr>
        <w:ind w:hanging="720"/>
        <w:jc w:val="both"/>
        <w:rPr>
          <w:sz w:val="20"/>
          <w:szCs w:val="20"/>
        </w:rPr>
      </w:pPr>
      <w:r w:rsidRPr="00AE0560">
        <w:rPr>
          <w:i/>
          <w:sz w:val="20"/>
          <w:szCs w:val="20"/>
        </w:rPr>
        <w:t>Alexander Lenard Quaccoo Chapman v. Jack Anthony King</w:t>
      </w:r>
      <w:r w:rsidRPr="00AE0560">
        <w:rPr>
          <w:sz w:val="20"/>
          <w:szCs w:val="20"/>
        </w:rPr>
        <w:t xml:space="preserve"> (Man.) (Civil) (By Leave)</w:t>
      </w:r>
      <w:r w:rsidRPr="00940CAD">
        <w:rPr>
          <w:sz w:val="20"/>
          <w:szCs w:val="20"/>
        </w:rPr>
        <w:t xml:space="preserve"> </w:t>
      </w:r>
      <w:r w:rsidR="004B7F60" w:rsidRPr="00940CAD">
        <w:rPr>
          <w:sz w:val="20"/>
          <w:szCs w:val="20"/>
        </w:rPr>
        <w:t>(3</w:t>
      </w:r>
      <w:r w:rsidR="00AA605C">
        <w:rPr>
          <w:sz w:val="20"/>
          <w:szCs w:val="20"/>
        </w:rPr>
        <w:t>5</w:t>
      </w:r>
      <w:r>
        <w:rPr>
          <w:sz w:val="20"/>
          <w:szCs w:val="20"/>
        </w:rPr>
        <w:t>300</w:t>
      </w:r>
      <w:r w:rsidR="004B7F60" w:rsidRPr="00940CAD">
        <w:rPr>
          <w:sz w:val="20"/>
          <w:szCs w:val="20"/>
        </w:rPr>
        <w:t>)</w:t>
      </w:r>
    </w:p>
    <w:p w:rsidR="004B7F60" w:rsidRPr="00C50A5C" w:rsidRDefault="004B7F60" w:rsidP="004B7F60">
      <w:pPr>
        <w:widowControl w:val="0"/>
        <w:rPr>
          <w:sz w:val="20"/>
          <w:szCs w:val="20"/>
        </w:rPr>
      </w:pPr>
    </w:p>
    <w:p w:rsidR="004B7F60" w:rsidRPr="00C50A5C" w:rsidRDefault="00AE0560" w:rsidP="004B7F60">
      <w:pPr>
        <w:pStyle w:val="ListParagraph"/>
        <w:widowControl w:val="0"/>
        <w:numPr>
          <w:ilvl w:val="0"/>
          <w:numId w:val="1"/>
        </w:numPr>
        <w:ind w:hanging="720"/>
        <w:jc w:val="both"/>
        <w:rPr>
          <w:sz w:val="20"/>
          <w:szCs w:val="20"/>
        </w:rPr>
      </w:pPr>
      <w:r w:rsidRPr="00AE0560">
        <w:rPr>
          <w:i/>
          <w:sz w:val="20"/>
          <w:szCs w:val="20"/>
        </w:rPr>
        <w:t>Lance Hogarth et al. v. Roger Simonson</w:t>
      </w:r>
      <w:r w:rsidRPr="00AE0560">
        <w:rPr>
          <w:sz w:val="20"/>
          <w:szCs w:val="20"/>
        </w:rPr>
        <w:t xml:space="preserve"> (Alta.) (Civil) (By Leave)</w:t>
      </w:r>
      <w:r w:rsidRPr="00C50A5C">
        <w:rPr>
          <w:sz w:val="20"/>
          <w:szCs w:val="20"/>
        </w:rPr>
        <w:t xml:space="preserve"> </w:t>
      </w:r>
      <w:r w:rsidR="004B7F60" w:rsidRPr="00C50A5C">
        <w:rPr>
          <w:sz w:val="20"/>
          <w:szCs w:val="20"/>
        </w:rPr>
        <w:t>(</w:t>
      </w:r>
      <w:r w:rsidR="00AA605C">
        <w:rPr>
          <w:sz w:val="20"/>
          <w:szCs w:val="20"/>
        </w:rPr>
        <w:t>35</w:t>
      </w:r>
      <w:r>
        <w:rPr>
          <w:sz w:val="20"/>
          <w:szCs w:val="20"/>
        </w:rPr>
        <w:t>321</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sidR="0062714A">
        <w:rPr>
          <w:b/>
          <w:sz w:val="20"/>
          <w:szCs w:val="20"/>
          <w:lang w:val="fr-CA"/>
        </w:rPr>
        <w:t>K</w:t>
      </w:r>
      <w:r>
        <w:rPr>
          <w:b/>
          <w:sz w:val="20"/>
          <w:szCs w:val="20"/>
          <w:lang w:val="fr-CA"/>
        </w:rPr>
        <w:t>a</w:t>
      </w:r>
      <w:r w:rsidR="0062714A">
        <w:rPr>
          <w:b/>
          <w:sz w:val="20"/>
          <w:szCs w:val="20"/>
          <w:lang w:val="fr-CA"/>
        </w:rPr>
        <w:t>rakatsanis</w:t>
      </w:r>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AE0560" w:rsidRDefault="00AE0560" w:rsidP="004B7F60">
      <w:pPr>
        <w:pStyle w:val="ListParagraph"/>
        <w:widowControl w:val="0"/>
        <w:numPr>
          <w:ilvl w:val="0"/>
          <w:numId w:val="1"/>
        </w:numPr>
        <w:ind w:hanging="720"/>
        <w:jc w:val="both"/>
        <w:rPr>
          <w:sz w:val="20"/>
          <w:szCs w:val="20"/>
        </w:rPr>
      </w:pPr>
      <w:r w:rsidRPr="00AE0560">
        <w:rPr>
          <w:i/>
          <w:sz w:val="20"/>
          <w:szCs w:val="20"/>
        </w:rPr>
        <w:t>Kevin Fearon v. Her Majesty the Queen</w:t>
      </w:r>
      <w:r w:rsidRPr="00AE0560">
        <w:rPr>
          <w:sz w:val="20"/>
          <w:szCs w:val="20"/>
        </w:rPr>
        <w:t xml:space="preserve"> (Ont.) (Crim.) (By Leave) </w:t>
      </w:r>
      <w:r w:rsidR="004B7F60" w:rsidRPr="00AE0560">
        <w:rPr>
          <w:sz w:val="20"/>
          <w:szCs w:val="20"/>
        </w:rPr>
        <w:t>(3</w:t>
      </w:r>
      <w:r w:rsidR="00AA605C" w:rsidRPr="00AE0560">
        <w:rPr>
          <w:sz w:val="20"/>
          <w:szCs w:val="20"/>
        </w:rPr>
        <w:t>5</w:t>
      </w:r>
      <w:r w:rsidRPr="00AE0560">
        <w:rPr>
          <w:sz w:val="20"/>
          <w:szCs w:val="20"/>
        </w:rPr>
        <w:t>298</w:t>
      </w:r>
      <w:r w:rsidR="004B7F60" w:rsidRPr="00AE0560">
        <w:rPr>
          <w:sz w:val="20"/>
          <w:szCs w:val="20"/>
        </w:rPr>
        <w:t>)</w:t>
      </w:r>
    </w:p>
    <w:p w:rsidR="004B7F60" w:rsidRPr="00AE0560" w:rsidRDefault="004B7F60" w:rsidP="004B7F60">
      <w:pPr>
        <w:widowControl w:val="0"/>
        <w:rPr>
          <w:sz w:val="20"/>
          <w:szCs w:val="20"/>
        </w:rPr>
      </w:pPr>
    </w:p>
    <w:p w:rsidR="004B7F60" w:rsidRPr="00AE0560" w:rsidRDefault="00AE0560" w:rsidP="004B7F60">
      <w:pPr>
        <w:pStyle w:val="ListParagraph"/>
        <w:widowControl w:val="0"/>
        <w:numPr>
          <w:ilvl w:val="0"/>
          <w:numId w:val="1"/>
        </w:numPr>
        <w:ind w:hanging="720"/>
        <w:jc w:val="both"/>
        <w:rPr>
          <w:sz w:val="20"/>
          <w:szCs w:val="20"/>
        </w:rPr>
      </w:pPr>
      <w:r w:rsidRPr="00AE0560">
        <w:rPr>
          <w:i/>
          <w:sz w:val="20"/>
          <w:szCs w:val="20"/>
        </w:rPr>
        <w:t>K.S. v. CAS of the Regional Municipality of Waterloo et al.</w:t>
      </w:r>
      <w:r w:rsidRPr="00AE0560">
        <w:rPr>
          <w:sz w:val="20"/>
          <w:szCs w:val="20"/>
        </w:rPr>
        <w:t xml:space="preserve"> (Ont.) (Civil) (By Leave) </w:t>
      </w:r>
      <w:r w:rsidR="004B7F60" w:rsidRPr="00AE0560">
        <w:rPr>
          <w:sz w:val="20"/>
          <w:szCs w:val="20"/>
        </w:rPr>
        <w:t>(35</w:t>
      </w:r>
      <w:r w:rsidRPr="00AE0560">
        <w:rPr>
          <w:sz w:val="20"/>
          <w:szCs w:val="20"/>
        </w:rPr>
        <w:t>356</w:t>
      </w:r>
      <w:r w:rsidR="004B7F60" w:rsidRPr="00AE0560">
        <w:rPr>
          <w:sz w:val="20"/>
          <w:szCs w:val="20"/>
        </w:rPr>
        <w:t>)</w:t>
      </w:r>
    </w:p>
    <w:p w:rsidR="004B7F60" w:rsidRPr="00AE0560" w:rsidRDefault="004B7F60" w:rsidP="004B7F60">
      <w:pPr>
        <w:widowControl w:val="0"/>
        <w:jc w:val="both"/>
        <w:rPr>
          <w:sz w:val="20"/>
          <w:szCs w:val="20"/>
        </w:rPr>
      </w:pPr>
    </w:p>
    <w:p w:rsidR="004B7F60" w:rsidRPr="00AE0560" w:rsidRDefault="00AE0560" w:rsidP="004B7F60">
      <w:pPr>
        <w:pStyle w:val="ListParagraph"/>
        <w:widowControl w:val="0"/>
        <w:numPr>
          <w:ilvl w:val="0"/>
          <w:numId w:val="1"/>
        </w:numPr>
        <w:ind w:hanging="720"/>
        <w:jc w:val="both"/>
        <w:rPr>
          <w:sz w:val="20"/>
          <w:szCs w:val="20"/>
        </w:rPr>
      </w:pPr>
      <w:r w:rsidRPr="00AE0560">
        <w:rPr>
          <w:i/>
          <w:sz w:val="20"/>
          <w:szCs w:val="20"/>
        </w:rPr>
        <w:t>Hagwilneghl, also known as Ron Mitchell et al. v. Canadian Forest Products Ltd. et al.</w:t>
      </w:r>
      <w:r w:rsidRPr="00AE0560">
        <w:rPr>
          <w:sz w:val="20"/>
          <w:szCs w:val="20"/>
        </w:rPr>
        <w:t xml:space="preserve"> (B.C.) (Civil) (By Leave) </w:t>
      </w:r>
      <w:r w:rsidR="004B7F60" w:rsidRPr="00AE0560">
        <w:rPr>
          <w:sz w:val="20"/>
          <w:szCs w:val="20"/>
        </w:rPr>
        <w:t>(35</w:t>
      </w:r>
      <w:r w:rsidRPr="00AE0560">
        <w:rPr>
          <w:sz w:val="20"/>
          <w:szCs w:val="20"/>
        </w:rPr>
        <w:t>309</w:t>
      </w:r>
      <w:r w:rsidR="004B7F60" w:rsidRPr="00AE0560">
        <w:rPr>
          <w:sz w:val="20"/>
          <w:szCs w:val="20"/>
        </w:rPr>
        <w:t>)</w:t>
      </w:r>
    </w:p>
    <w:p w:rsidR="004B7F60" w:rsidRPr="00AE0560" w:rsidRDefault="004B7F60" w:rsidP="004B7F60">
      <w:pPr>
        <w:widowControl w:val="0"/>
        <w:jc w:val="both"/>
        <w:rPr>
          <w:sz w:val="20"/>
          <w:szCs w:val="20"/>
        </w:rPr>
      </w:pPr>
    </w:p>
    <w:p w:rsidR="004B7F60" w:rsidRPr="00C50A5C" w:rsidRDefault="00AE0560" w:rsidP="004B7F60">
      <w:pPr>
        <w:pStyle w:val="ListParagraph"/>
        <w:widowControl w:val="0"/>
        <w:numPr>
          <w:ilvl w:val="0"/>
          <w:numId w:val="1"/>
        </w:numPr>
        <w:ind w:hanging="720"/>
        <w:jc w:val="both"/>
        <w:rPr>
          <w:sz w:val="20"/>
          <w:szCs w:val="20"/>
          <w:lang w:val="fr-CA"/>
        </w:rPr>
      </w:pPr>
      <w:r w:rsidRPr="00AE0560">
        <w:rPr>
          <w:i/>
          <w:sz w:val="20"/>
          <w:szCs w:val="20"/>
          <w:lang w:val="fr-CA"/>
        </w:rPr>
        <w:t>Immeubles Jacques Robitaille Inc. c. Ville de Québec</w:t>
      </w:r>
      <w:r w:rsidRPr="00AE0560">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sidR="00AA605C">
        <w:rPr>
          <w:sz w:val="20"/>
          <w:szCs w:val="20"/>
          <w:lang w:val="fr-CA"/>
        </w:rPr>
        <w:t>5</w:t>
      </w:r>
      <w:r>
        <w:rPr>
          <w:sz w:val="20"/>
          <w:szCs w:val="20"/>
          <w:lang w:val="fr-CA"/>
        </w:rPr>
        <w:t>295</w:t>
      </w:r>
      <w:r w:rsidR="004B7F60" w:rsidRPr="00C50A5C">
        <w:rPr>
          <w:sz w:val="20"/>
          <w:szCs w:val="20"/>
          <w:lang w:val="fr-CA"/>
        </w:rPr>
        <w:t>)</w:t>
      </w:r>
    </w:p>
    <w:p w:rsidR="004B7F60" w:rsidRDefault="004B7F60" w:rsidP="004B7F60">
      <w:pPr>
        <w:widowControl w:val="0"/>
        <w:rPr>
          <w:sz w:val="20"/>
          <w:szCs w:val="20"/>
          <w:lang w:val="fr-CA"/>
        </w:rPr>
      </w:pPr>
    </w:p>
    <w:p w:rsidR="004B7F60" w:rsidRDefault="004B7F60" w:rsidP="004B7F60">
      <w:pPr>
        <w:widowControl w:val="0"/>
        <w:rPr>
          <w:sz w:val="20"/>
          <w:szCs w:val="20"/>
          <w:lang w:val="fr-CA"/>
        </w:rPr>
      </w:pPr>
    </w:p>
    <w:p w:rsidR="004B7F60" w:rsidRPr="00C50A5C" w:rsidRDefault="004B7F60" w:rsidP="004B7F60">
      <w:pPr>
        <w:widowControl w:val="0"/>
        <w:jc w:val="center"/>
        <w:rPr>
          <w:b/>
          <w:sz w:val="20"/>
          <w:szCs w:val="20"/>
        </w:rPr>
      </w:pPr>
      <w:r w:rsidRPr="00C50A5C">
        <w:rPr>
          <w:b/>
          <w:sz w:val="20"/>
          <w:szCs w:val="20"/>
        </w:rPr>
        <w:t xml:space="preserve">CORAM: </w:t>
      </w:r>
      <w:r w:rsidR="0062714A">
        <w:rPr>
          <w:b/>
          <w:sz w:val="20"/>
          <w:szCs w:val="20"/>
        </w:rPr>
        <w:t>Fi</w:t>
      </w:r>
      <w:r>
        <w:rPr>
          <w:b/>
          <w:sz w:val="20"/>
          <w:szCs w:val="20"/>
        </w:rPr>
        <w:t>sh</w:t>
      </w:r>
      <w:r w:rsidR="0062714A">
        <w:rPr>
          <w:b/>
          <w:sz w:val="20"/>
          <w:szCs w:val="20"/>
        </w:rPr>
        <w:t>,</w:t>
      </w:r>
      <w:r w:rsidRPr="00C50A5C">
        <w:rPr>
          <w:b/>
          <w:sz w:val="20"/>
          <w:szCs w:val="20"/>
        </w:rPr>
        <w:t xml:space="preserve"> </w:t>
      </w:r>
      <w:r w:rsidR="0062714A">
        <w:rPr>
          <w:b/>
          <w:sz w:val="20"/>
          <w:szCs w:val="20"/>
        </w:rPr>
        <w:t>Rot</w:t>
      </w:r>
      <w:r>
        <w:rPr>
          <w:b/>
          <w:sz w:val="20"/>
          <w:szCs w:val="20"/>
        </w:rPr>
        <w:t>h</w:t>
      </w:r>
      <w:r w:rsidR="0062714A">
        <w:rPr>
          <w:b/>
          <w:sz w:val="20"/>
          <w:szCs w:val="20"/>
        </w:rPr>
        <w:t>stein</w:t>
      </w:r>
      <w:r w:rsidRPr="00C50A5C">
        <w:rPr>
          <w:b/>
          <w:sz w:val="20"/>
          <w:szCs w:val="20"/>
        </w:rPr>
        <w:t xml:space="preserve"> and </w:t>
      </w:r>
      <w:r w:rsidR="0062714A">
        <w:rPr>
          <w:b/>
          <w:sz w:val="20"/>
          <w:szCs w:val="20"/>
        </w:rPr>
        <w:t>Mold</w:t>
      </w:r>
      <w:r>
        <w:rPr>
          <w:b/>
          <w:sz w:val="20"/>
          <w:szCs w:val="20"/>
        </w:rPr>
        <w:t>a</w:t>
      </w:r>
      <w:r w:rsidR="0062714A">
        <w:rPr>
          <w:b/>
          <w:sz w:val="20"/>
          <w:szCs w:val="20"/>
        </w:rPr>
        <w:t>ver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sidR="0062714A">
        <w:rPr>
          <w:b/>
          <w:sz w:val="20"/>
          <w:szCs w:val="20"/>
          <w:lang w:val="fr-CA"/>
        </w:rPr>
        <w:t>Fi</w:t>
      </w:r>
      <w:r>
        <w:rPr>
          <w:b/>
          <w:sz w:val="20"/>
          <w:szCs w:val="20"/>
          <w:lang w:val="fr-CA"/>
        </w:rPr>
        <w:t>sh</w:t>
      </w:r>
      <w:r w:rsidRPr="00C50A5C">
        <w:rPr>
          <w:b/>
          <w:sz w:val="20"/>
          <w:szCs w:val="20"/>
          <w:lang w:val="fr-CA"/>
        </w:rPr>
        <w:t xml:space="preserve">, </w:t>
      </w:r>
      <w:r w:rsidR="0062714A">
        <w:rPr>
          <w:b/>
          <w:sz w:val="20"/>
          <w:szCs w:val="20"/>
          <w:lang w:val="fr-CA"/>
        </w:rPr>
        <w:t>Rot</w:t>
      </w:r>
      <w:r>
        <w:rPr>
          <w:b/>
          <w:sz w:val="20"/>
          <w:szCs w:val="20"/>
          <w:lang w:val="fr-CA"/>
        </w:rPr>
        <w:t>h</w:t>
      </w:r>
      <w:r w:rsidR="0062714A">
        <w:rPr>
          <w:b/>
          <w:sz w:val="20"/>
          <w:szCs w:val="20"/>
          <w:lang w:val="fr-CA"/>
        </w:rPr>
        <w:t>stein</w:t>
      </w:r>
      <w:r w:rsidRPr="00C50A5C">
        <w:rPr>
          <w:b/>
          <w:sz w:val="20"/>
          <w:szCs w:val="20"/>
          <w:lang w:val="fr-CA"/>
        </w:rPr>
        <w:t xml:space="preserve"> et </w:t>
      </w:r>
      <w:r w:rsidR="0062714A">
        <w:rPr>
          <w:b/>
          <w:sz w:val="20"/>
          <w:szCs w:val="20"/>
          <w:lang w:val="fr-CA"/>
        </w:rPr>
        <w:t>Moldaver</w:t>
      </w:r>
    </w:p>
    <w:p w:rsidR="004B7F60" w:rsidRPr="00C50A5C" w:rsidRDefault="004B7F60" w:rsidP="004B7F60">
      <w:pPr>
        <w:widowControl w:val="0"/>
        <w:rPr>
          <w:sz w:val="20"/>
          <w:szCs w:val="20"/>
          <w:lang w:val="fr-CA"/>
        </w:rPr>
      </w:pPr>
    </w:p>
    <w:p w:rsidR="004B7F60" w:rsidRPr="00AE0560" w:rsidRDefault="00AE0560" w:rsidP="004B7F60">
      <w:pPr>
        <w:pStyle w:val="ListParagraph"/>
        <w:widowControl w:val="0"/>
        <w:numPr>
          <w:ilvl w:val="0"/>
          <w:numId w:val="1"/>
        </w:numPr>
        <w:ind w:hanging="720"/>
        <w:jc w:val="both"/>
        <w:rPr>
          <w:sz w:val="20"/>
          <w:szCs w:val="20"/>
        </w:rPr>
      </w:pPr>
      <w:r w:rsidRPr="00AE0560">
        <w:rPr>
          <w:i/>
          <w:sz w:val="20"/>
          <w:szCs w:val="20"/>
        </w:rPr>
        <w:t>Stephen Fazekas v. Her Majesty the Queen</w:t>
      </w:r>
      <w:r w:rsidRPr="00AE0560">
        <w:rPr>
          <w:sz w:val="20"/>
          <w:szCs w:val="20"/>
        </w:rPr>
        <w:t xml:space="preserve"> (Ont.) (Crim.) (By Leave) </w:t>
      </w:r>
      <w:r w:rsidR="004B7F60" w:rsidRPr="00AE0560">
        <w:rPr>
          <w:sz w:val="20"/>
          <w:szCs w:val="20"/>
        </w:rPr>
        <w:t>(3</w:t>
      </w:r>
      <w:r w:rsidR="00AA605C" w:rsidRPr="00AE0560">
        <w:rPr>
          <w:sz w:val="20"/>
          <w:szCs w:val="20"/>
        </w:rPr>
        <w:t>5</w:t>
      </w:r>
      <w:r w:rsidRPr="00AE0560">
        <w:rPr>
          <w:sz w:val="20"/>
          <w:szCs w:val="20"/>
        </w:rPr>
        <w:t>319</w:t>
      </w:r>
      <w:r w:rsidR="004B7F60" w:rsidRPr="00AE0560">
        <w:rPr>
          <w:sz w:val="20"/>
          <w:szCs w:val="20"/>
        </w:rPr>
        <w:t>)</w:t>
      </w:r>
    </w:p>
    <w:p w:rsidR="004B7F60" w:rsidRPr="00AE0560" w:rsidRDefault="004B7F60" w:rsidP="004B7F60">
      <w:pPr>
        <w:widowControl w:val="0"/>
        <w:jc w:val="both"/>
        <w:rPr>
          <w:sz w:val="20"/>
          <w:szCs w:val="20"/>
        </w:rPr>
      </w:pPr>
    </w:p>
    <w:p w:rsidR="004B7F60" w:rsidRPr="00115C9E" w:rsidRDefault="00AE0560" w:rsidP="004B7F60">
      <w:pPr>
        <w:pStyle w:val="ListParagraph"/>
        <w:widowControl w:val="0"/>
        <w:numPr>
          <w:ilvl w:val="0"/>
          <w:numId w:val="1"/>
        </w:numPr>
        <w:ind w:hanging="720"/>
        <w:jc w:val="both"/>
        <w:rPr>
          <w:sz w:val="20"/>
          <w:szCs w:val="20"/>
        </w:rPr>
      </w:pPr>
      <w:r w:rsidRPr="00AE0560">
        <w:rPr>
          <w:i/>
          <w:sz w:val="20"/>
          <w:szCs w:val="20"/>
        </w:rPr>
        <w:t>Marc Charbonneau v. Her Majesty the Queen</w:t>
      </w:r>
      <w:r w:rsidRPr="00AE0560">
        <w:rPr>
          <w:sz w:val="20"/>
          <w:szCs w:val="20"/>
        </w:rPr>
        <w:t xml:space="preserve"> (Ont.) (Crim.) (By Leave)</w:t>
      </w:r>
      <w:r w:rsidRPr="00115C9E">
        <w:rPr>
          <w:sz w:val="20"/>
          <w:szCs w:val="20"/>
        </w:rPr>
        <w:t xml:space="preserve"> </w:t>
      </w:r>
      <w:r w:rsidR="004B7F60" w:rsidRPr="00115C9E">
        <w:rPr>
          <w:sz w:val="20"/>
          <w:szCs w:val="20"/>
        </w:rPr>
        <w:t>(3</w:t>
      </w:r>
      <w:r w:rsidR="00AA605C">
        <w:rPr>
          <w:sz w:val="20"/>
          <w:szCs w:val="20"/>
        </w:rPr>
        <w:t>5</w:t>
      </w:r>
      <w:r>
        <w:rPr>
          <w:sz w:val="20"/>
          <w:szCs w:val="20"/>
        </w:rPr>
        <w:t>308</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AE0560" w:rsidP="004B7F60">
      <w:pPr>
        <w:pStyle w:val="ListParagraph"/>
        <w:widowControl w:val="0"/>
        <w:numPr>
          <w:ilvl w:val="0"/>
          <w:numId w:val="1"/>
        </w:numPr>
        <w:ind w:hanging="720"/>
        <w:jc w:val="both"/>
        <w:rPr>
          <w:sz w:val="20"/>
          <w:szCs w:val="20"/>
        </w:rPr>
      </w:pPr>
      <w:r w:rsidRPr="00AE0560">
        <w:rPr>
          <w:i/>
          <w:sz w:val="20"/>
          <w:szCs w:val="20"/>
        </w:rPr>
        <w:t>Los Angeles Salad Company Inc. et al. v. Canadian Food Inspection Agency et al.</w:t>
      </w:r>
      <w:r w:rsidRPr="00AE0560">
        <w:rPr>
          <w:sz w:val="20"/>
          <w:szCs w:val="20"/>
        </w:rPr>
        <w:t xml:space="preserve"> (B.C.) (Civil) (By Leave)</w:t>
      </w:r>
      <w:r w:rsidRPr="00115C9E">
        <w:rPr>
          <w:sz w:val="20"/>
          <w:szCs w:val="20"/>
        </w:rPr>
        <w:t xml:space="preserve"> </w:t>
      </w:r>
      <w:r w:rsidR="004B7F60" w:rsidRPr="00115C9E">
        <w:rPr>
          <w:sz w:val="20"/>
          <w:szCs w:val="20"/>
        </w:rPr>
        <w:t>(3</w:t>
      </w:r>
      <w:r w:rsidR="00AA605C">
        <w:rPr>
          <w:sz w:val="20"/>
          <w:szCs w:val="20"/>
        </w:rPr>
        <w:t>5</w:t>
      </w:r>
      <w:r>
        <w:rPr>
          <w:sz w:val="20"/>
          <w:szCs w:val="20"/>
        </w:rPr>
        <w:t>293</w:t>
      </w:r>
      <w:r w:rsidR="004B7F60" w:rsidRPr="00115C9E">
        <w:rPr>
          <w:sz w:val="20"/>
          <w:szCs w:val="20"/>
        </w:rPr>
        <w:t>)</w:t>
      </w:r>
    </w:p>
    <w:p w:rsidR="004B7F60" w:rsidRPr="00115C9E" w:rsidRDefault="004B7F60" w:rsidP="004B7F60">
      <w:pPr>
        <w:widowControl w:val="0"/>
        <w:jc w:val="both"/>
        <w:rPr>
          <w:sz w:val="20"/>
          <w:szCs w:val="20"/>
        </w:rPr>
      </w:pPr>
    </w:p>
    <w:p w:rsidR="004B7F60" w:rsidRDefault="00AE0560" w:rsidP="004B7F60">
      <w:pPr>
        <w:pStyle w:val="ListParagraph"/>
        <w:widowControl w:val="0"/>
        <w:numPr>
          <w:ilvl w:val="0"/>
          <w:numId w:val="1"/>
        </w:numPr>
        <w:ind w:hanging="720"/>
        <w:jc w:val="both"/>
        <w:rPr>
          <w:sz w:val="20"/>
          <w:szCs w:val="20"/>
        </w:rPr>
      </w:pPr>
      <w:r w:rsidRPr="00AE0560">
        <w:rPr>
          <w:i/>
          <w:sz w:val="20"/>
          <w:szCs w:val="20"/>
        </w:rPr>
        <w:t>United Food and Commercial Workers, Local 1400 v. Wal-Mart Canada Corp., operating as Wal-Mart and Wal-Mart Canada et al.</w:t>
      </w:r>
      <w:r w:rsidRPr="00AE0560">
        <w:rPr>
          <w:sz w:val="20"/>
          <w:szCs w:val="20"/>
        </w:rPr>
        <w:t xml:space="preserve"> (Sask.) (Civil) (By Leave)</w:t>
      </w:r>
      <w:r w:rsidRPr="00C50A5C">
        <w:rPr>
          <w:sz w:val="20"/>
          <w:szCs w:val="20"/>
        </w:rPr>
        <w:t xml:space="preserve"> </w:t>
      </w:r>
      <w:r w:rsidR="004B7F60" w:rsidRPr="00C50A5C">
        <w:rPr>
          <w:sz w:val="20"/>
          <w:szCs w:val="20"/>
        </w:rPr>
        <w:t>(3</w:t>
      </w:r>
      <w:r w:rsidR="00AA605C">
        <w:rPr>
          <w:sz w:val="20"/>
          <w:szCs w:val="20"/>
        </w:rPr>
        <w:t>5</w:t>
      </w:r>
      <w:r>
        <w:rPr>
          <w:sz w:val="20"/>
          <w:szCs w:val="20"/>
        </w:rPr>
        <w:t>155</w:t>
      </w:r>
      <w:r w:rsidR="004B7F60" w:rsidRPr="00C50A5C">
        <w:rPr>
          <w:sz w:val="20"/>
          <w:szCs w:val="20"/>
        </w:rPr>
        <w:t>)</w:t>
      </w:r>
    </w:p>
    <w:p w:rsidR="002E2327" w:rsidRPr="00C50A5C" w:rsidRDefault="002E2327" w:rsidP="002E2327">
      <w:pPr>
        <w:widowControl w:val="0"/>
        <w:rPr>
          <w:sz w:val="20"/>
          <w:szCs w:val="20"/>
          <w:lang w:val="fr-CA"/>
        </w:rPr>
      </w:pPr>
    </w:p>
    <w:p w:rsidR="002E2327" w:rsidRDefault="00B3404D" w:rsidP="002E2327">
      <w:pPr>
        <w:widowControl w:val="0"/>
        <w:rPr>
          <w:sz w:val="20"/>
          <w:szCs w:val="20"/>
        </w:rPr>
      </w:pPr>
      <w:r w:rsidRPr="00B3404D">
        <w:rPr>
          <w:sz w:val="20"/>
          <w:szCs w:val="20"/>
        </w:rPr>
        <w:pict>
          <v:rect id="_x0000_i1032"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32989" w:rsidRPr="00D41BFD" w:rsidTr="00BA6468">
        <w:tc>
          <w:tcPr>
            <w:tcW w:w="4200" w:type="dxa"/>
            <w:tcMar>
              <w:left w:w="0" w:type="dxa"/>
              <w:right w:w="0" w:type="dxa"/>
            </w:tcMar>
          </w:tcPr>
          <w:p w:rsidR="00432989" w:rsidRPr="001D0D5F" w:rsidRDefault="00432989" w:rsidP="00432989">
            <w:pPr>
              <w:keepNext/>
              <w:keepLines/>
              <w:jc w:val="both"/>
              <w:rPr>
                <w:b/>
                <w:szCs w:val="24"/>
              </w:rPr>
            </w:pPr>
            <w:bookmarkStart w:id="0" w:name="QuickMark_1"/>
            <w:bookmarkEnd w:id="0"/>
            <w:r w:rsidRPr="001D0D5F">
              <w:rPr>
                <w:b/>
                <w:szCs w:val="24"/>
              </w:rPr>
              <w:lastRenderedPageBreak/>
              <w:t>ORAL HEARING ON APPLICATIONS FOR LEAVE</w:t>
            </w:r>
          </w:p>
        </w:tc>
        <w:tc>
          <w:tcPr>
            <w:tcW w:w="1200" w:type="dxa"/>
            <w:tcMar>
              <w:left w:w="0" w:type="dxa"/>
              <w:right w:w="0" w:type="dxa"/>
            </w:tcMar>
          </w:tcPr>
          <w:p w:rsidR="00432989" w:rsidRPr="001D0D5F" w:rsidRDefault="00432989" w:rsidP="00C50A5C">
            <w:pPr>
              <w:keepNext/>
              <w:keepLines/>
              <w:jc w:val="center"/>
              <w:rPr>
                <w:b/>
                <w:szCs w:val="24"/>
              </w:rPr>
            </w:pPr>
          </w:p>
          <w:p w:rsidR="00C50A5C" w:rsidRPr="001D0D5F" w:rsidRDefault="00C50A5C" w:rsidP="00C50A5C">
            <w:pPr>
              <w:keepNext/>
              <w:keepLines/>
              <w:jc w:val="center"/>
              <w:rPr>
                <w:b/>
                <w:szCs w:val="24"/>
              </w:rPr>
            </w:pPr>
          </w:p>
          <w:p w:rsidR="00C50A5C" w:rsidRPr="001D0D5F" w:rsidRDefault="00C50A5C" w:rsidP="00C50A5C">
            <w:pPr>
              <w:keepNext/>
              <w:keepLines/>
              <w:jc w:val="center"/>
              <w:rPr>
                <w:b/>
                <w:szCs w:val="24"/>
              </w:rPr>
            </w:pPr>
          </w:p>
        </w:tc>
        <w:tc>
          <w:tcPr>
            <w:tcW w:w="4080" w:type="dxa"/>
            <w:tcMar>
              <w:left w:w="0" w:type="dxa"/>
              <w:right w:w="0" w:type="dxa"/>
            </w:tcMar>
          </w:tcPr>
          <w:p w:rsidR="00432989" w:rsidRPr="001D0D5F" w:rsidRDefault="00432989" w:rsidP="00432989">
            <w:pPr>
              <w:keepNext/>
              <w:keepLines/>
              <w:jc w:val="both"/>
              <w:rPr>
                <w:b/>
                <w:szCs w:val="24"/>
                <w:lang w:val="fr-CA"/>
              </w:rPr>
            </w:pPr>
            <w:r w:rsidRPr="001D0D5F">
              <w:rPr>
                <w:b/>
                <w:szCs w:val="24"/>
                <w:lang w:val="fr-CA"/>
              </w:rPr>
              <w:t>AUDIENCE SUR LES DEMANDES D’AUTORISATION</w:t>
            </w:r>
          </w:p>
        </w:tc>
      </w:tr>
    </w:tbl>
    <w:p w:rsidR="00432989" w:rsidRPr="00C50A5C" w:rsidRDefault="00432989" w:rsidP="00432989">
      <w:pPr>
        <w:rPr>
          <w:sz w:val="20"/>
          <w:szCs w:val="20"/>
          <w:lang w:val="fr-CA"/>
        </w:rPr>
      </w:pPr>
    </w:p>
    <w:p w:rsidR="0093437A" w:rsidRPr="00E52F75" w:rsidRDefault="0093437A" w:rsidP="0093437A">
      <w:pPr>
        <w:rPr>
          <w:sz w:val="20"/>
          <w:szCs w:val="20"/>
        </w:rPr>
      </w:pPr>
      <w:r w:rsidRPr="00E52F75">
        <w:rPr>
          <w:b/>
          <w:sz w:val="20"/>
          <w:szCs w:val="20"/>
        </w:rPr>
        <w:t>JUNE 10, 2013 / LE 10 JUIN 2013</w:t>
      </w:r>
    </w:p>
    <w:p w:rsidR="0093437A" w:rsidRPr="00E52F75" w:rsidRDefault="0093437A" w:rsidP="00432989">
      <w:pPr>
        <w:rPr>
          <w:sz w:val="20"/>
          <w:szCs w:val="20"/>
        </w:rPr>
      </w:pPr>
    </w:p>
    <w:p w:rsidR="0093437A" w:rsidRPr="0093437A" w:rsidRDefault="0093437A" w:rsidP="0093437A">
      <w:pPr>
        <w:ind w:left="1440" w:hanging="1440"/>
        <w:rPr>
          <w:sz w:val="20"/>
          <w:szCs w:val="20"/>
          <w:u w:val="single"/>
        </w:rPr>
      </w:pPr>
      <w:r w:rsidRPr="0093437A">
        <w:rPr>
          <w:sz w:val="20"/>
          <w:szCs w:val="20"/>
        </w:rPr>
        <w:t xml:space="preserve">Coram:  </w:t>
      </w:r>
      <w:r w:rsidRPr="0093437A">
        <w:rPr>
          <w:sz w:val="20"/>
          <w:szCs w:val="20"/>
          <w:u w:val="single"/>
        </w:rPr>
        <w:t>Fish, Rothstein and Moldaver JJ.</w:t>
      </w:r>
    </w:p>
    <w:p w:rsidR="0093437A" w:rsidRPr="0093437A" w:rsidRDefault="0093437A" w:rsidP="00432989">
      <w:pPr>
        <w:rPr>
          <w:sz w:val="20"/>
          <w:szCs w:val="20"/>
        </w:rPr>
      </w:pPr>
    </w:p>
    <w:tbl>
      <w:tblPr>
        <w:tblW w:w="0" w:type="auto"/>
        <w:tblLayout w:type="fixed"/>
        <w:tblCellMar>
          <w:left w:w="0" w:type="dxa"/>
          <w:right w:w="0" w:type="dxa"/>
        </w:tblCellMar>
        <w:tblLook w:val="0000"/>
      </w:tblPr>
      <w:tblGrid>
        <w:gridCol w:w="4380"/>
        <w:gridCol w:w="720"/>
        <w:gridCol w:w="4380"/>
      </w:tblGrid>
      <w:tr w:rsidR="00B97980" w:rsidRPr="00D41BFD" w:rsidTr="00E52F75">
        <w:tc>
          <w:tcPr>
            <w:tcW w:w="4380" w:type="dxa"/>
            <w:tcMar>
              <w:left w:w="0" w:type="dxa"/>
              <w:right w:w="0" w:type="dxa"/>
            </w:tcMar>
          </w:tcPr>
          <w:p w:rsidR="00B97980" w:rsidRPr="00C50A5C" w:rsidRDefault="00B97980" w:rsidP="00E52F75">
            <w:pPr>
              <w:rPr>
                <w:b/>
                <w:sz w:val="20"/>
                <w:szCs w:val="20"/>
              </w:rPr>
            </w:pPr>
            <w:r>
              <w:rPr>
                <w:rFonts w:eastAsia="Times New Roman" w:cs="Times New Roman"/>
                <w:b/>
                <w:sz w:val="20"/>
                <w:szCs w:val="20"/>
                <w:lang w:val="en-US" w:eastAsia="en-CA"/>
              </w:rPr>
              <w:t>Oral hearing on application for leave to appeal</w:t>
            </w:r>
            <w:r w:rsidRPr="00C50A5C">
              <w:rPr>
                <w:b/>
                <w:sz w:val="20"/>
                <w:szCs w:val="20"/>
              </w:rPr>
              <w:t xml:space="preserve"> </w:t>
            </w:r>
          </w:p>
          <w:p w:rsidR="00B97980" w:rsidRPr="00BA6468" w:rsidRDefault="00B97980" w:rsidP="0093437A">
            <w:pPr>
              <w:rPr>
                <w:sz w:val="20"/>
                <w:szCs w:val="20"/>
              </w:rPr>
            </w:pPr>
          </w:p>
        </w:tc>
        <w:tc>
          <w:tcPr>
            <w:tcW w:w="720" w:type="dxa"/>
            <w:tcMar>
              <w:left w:w="0" w:type="dxa"/>
              <w:right w:w="0" w:type="dxa"/>
            </w:tcMar>
          </w:tcPr>
          <w:p w:rsidR="00B97980" w:rsidRPr="00BA6468" w:rsidRDefault="00B97980" w:rsidP="00E52F75">
            <w:pPr>
              <w:rPr>
                <w:sz w:val="20"/>
                <w:szCs w:val="20"/>
              </w:rPr>
            </w:pPr>
          </w:p>
        </w:tc>
        <w:tc>
          <w:tcPr>
            <w:tcW w:w="4380" w:type="dxa"/>
            <w:tcMar>
              <w:left w:w="0" w:type="dxa"/>
              <w:right w:w="0" w:type="dxa"/>
            </w:tcMar>
          </w:tcPr>
          <w:p w:rsidR="00B97980" w:rsidRPr="00FA4CDE" w:rsidRDefault="00B97980" w:rsidP="00F26195">
            <w:pPr>
              <w:widowControl w:val="0"/>
              <w:jc w:val="both"/>
              <w:rPr>
                <w:rFonts w:eastAsia="Times New Roman" w:cs="Times New Roman"/>
                <w:b/>
                <w:sz w:val="20"/>
                <w:szCs w:val="20"/>
                <w:lang w:val="fr-CA" w:eastAsia="en-CA"/>
              </w:rPr>
            </w:pPr>
            <w:r>
              <w:rPr>
                <w:rFonts w:eastAsia="Times New Roman" w:cs="Times New Roman"/>
                <w:b/>
                <w:sz w:val="20"/>
                <w:szCs w:val="20"/>
                <w:lang w:val="fr-CA" w:eastAsia="en-CA"/>
              </w:rPr>
              <w:t>Audience sur une demande d’autorisation d’appel</w:t>
            </w:r>
          </w:p>
        </w:tc>
      </w:tr>
      <w:tr w:rsidR="00B97980" w:rsidRPr="00C50A5C" w:rsidTr="00E52F75">
        <w:tc>
          <w:tcPr>
            <w:tcW w:w="4380" w:type="dxa"/>
            <w:tcMar>
              <w:left w:w="0" w:type="dxa"/>
              <w:right w:w="0" w:type="dxa"/>
            </w:tcMar>
          </w:tcPr>
          <w:p w:rsidR="00B97980" w:rsidRPr="00B97980" w:rsidRDefault="00B97980" w:rsidP="00B97980">
            <w:pPr>
              <w:rPr>
                <w:sz w:val="20"/>
                <w:szCs w:val="20"/>
              </w:rPr>
            </w:pPr>
            <w:r w:rsidRPr="00B97980">
              <w:rPr>
                <w:sz w:val="20"/>
                <w:szCs w:val="20"/>
              </w:rPr>
              <w:t xml:space="preserve">Rural Municipality of Britannia No. 502 et al. </w:t>
            </w:r>
          </w:p>
          <w:p w:rsidR="00B97980" w:rsidRPr="00B97980" w:rsidRDefault="00B97980" w:rsidP="00B97980">
            <w:pPr>
              <w:rPr>
                <w:sz w:val="20"/>
                <w:szCs w:val="20"/>
              </w:rPr>
            </w:pPr>
          </w:p>
          <w:p w:rsidR="00B97980" w:rsidRPr="00B97980" w:rsidRDefault="00B97980" w:rsidP="00B97980">
            <w:pPr>
              <w:rPr>
                <w:sz w:val="20"/>
                <w:szCs w:val="20"/>
              </w:rPr>
            </w:pPr>
            <w:r w:rsidRPr="00B97980">
              <w:rPr>
                <w:sz w:val="20"/>
                <w:szCs w:val="20"/>
              </w:rPr>
              <w:tab/>
              <w:t>v. (35229)</w:t>
            </w:r>
          </w:p>
          <w:p w:rsidR="00B97980" w:rsidRPr="00B97980" w:rsidRDefault="00B97980" w:rsidP="00B97980">
            <w:pPr>
              <w:rPr>
                <w:sz w:val="20"/>
                <w:szCs w:val="20"/>
              </w:rPr>
            </w:pPr>
          </w:p>
          <w:p w:rsidR="00B97980" w:rsidRPr="00C50A5C" w:rsidRDefault="00B97980" w:rsidP="00B97980">
            <w:pPr>
              <w:rPr>
                <w:b/>
                <w:sz w:val="20"/>
                <w:szCs w:val="20"/>
              </w:rPr>
            </w:pPr>
            <w:r w:rsidRPr="00B97980">
              <w:rPr>
                <w:sz w:val="20"/>
                <w:szCs w:val="20"/>
              </w:rPr>
              <w:t>John Acton (Sask.) (Civil) (By Leave)</w:t>
            </w:r>
          </w:p>
        </w:tc>
        <w:tc>
          <w:tcPr>
            <w:tcW w:w="720" w:type="dxa"/>
            <w:tcMar>
              <w:left w:w="0" w:type="dxa"/>
              <w:right w:w="0" w:type="dxa"/>
            </w:tcMar>
          </w:tcPr>
          <w:p w:rsidR="00B97980" w:rsidRPr="00BA6468" w:rsidRDefault="00B97980" w:rsidP="00E52F75">
            <w:pPr>
              <w:rPr>
                <w:sz w:val="20"/>
                <w:szCs w:val="20"/>
              </w:rPr>
            </w:pPr>
          </w:p>
        </w:tc>
        <w:tc>
          <w:tcPr>
            <w:tcW w:w="4380" w:type="dxa"/>
            <w:tcMar>
              <w:left w:w="0" w:type="dxa"/>
              <w:right w:w="0" w:type="dxa"/>
            </w:tcMar>
          </w:tcPr>
          <w:p w:rsidR="00B97980" w:rsidRPr="006A467E" w:rsidRDefault="00B97980" w:rsidP="00B97980">
            <w:pPr>
              <w:jc w:val="both"/>
              <w:rPr>
                <w:sz w:val="20"/>
                <w:szCs w:val="20"/>
              </w:rPr>
            </w:pPr>
            <w:r w:rsidRPr="006A467E">
              <w:rPr>
                <w:sz w:val="20"/>
                <w:szCs w:val="20"/>
              </w:rPr>
              <w:t>Reginald Watson, Q.C.</w:t>
            </w:r>
            <w:r>
              <w:rPr>
                <w:sz w:val="20"/>
                <w:szCs w:val="20"/>
              </w:rPr>
              <w:t xml:space="preserve"> f</w:t>
            </w:r>
            <w:r w:rsidRPr="006A467E">
              <w:rPr>
                <w:sz w:val="20"/>
                <w:szCs w:val="20"/>
              </w:rPr>
              <w:t xml:space="preserve">or the </w:t>
            </w:r>
            <w:r>
              <w:rPr>
                <w:sz w:val="20"/>
                <w:szCs w:val="20"/>
              </w:rPr>
              <w:t>a</w:t>
            </w:r>
            <w:r w:rsidRPr="006A467E">
              <w:rPr>
                <w:sz w:val="20"/>
                <w:szCs w:val="20"/>
              </w:rPr>
              <w:t>pplicant</w:t>
            </w:r>
            <w:r>
              <w:rPr>
                <w:sz w:val="20"/>
                <w:szCs w:val="20"/>
              </w:rPr>
              <w:t xml:space="preserve"> </w:t>
            </w:r>
            <w:r w:rsidRPr="006A467E">
              <w:rPr>
                <w:sz w:val="20"/>
                <w:szCs w:val="20"/>
              </w:rPr>
              <w:t>Rural Municipality of BritanniaNo. 502</w:t>
            </w:r>
            <w:r>
              <w:rPr>
                <w:sz w:val="20"/>
                <w:szCs w:val="20"/>
              </w:rPr>
              <w:t>.</w:t>
            </w:r>
          </w:p>
          <w:p w:rsidR="00B97980" w:rsidRPr="006A467E" w:rsidRDefault="00B97980" w:rsidP="00B97980">
            <w:pPr>
              <w:jc w:val="both"/>
              <w:rPr>
                <w:sz w:val="20"/>
                <w:szCs w:val="20"/>
              </w:rPr>
            </w:pPr>
          </w:p>
          <w:p w:rsidR="00B97980" w:rsidRPr="006A467E" w:rsidRDefault="00B97980" w:rsidP="00B97980">
            <w:pPr>
              <w:jc w:val="both"/>
              <w:rPr>
                <w:sz w:val="20"/>
                <w:szCs w:val="20"/>
              </w:rPr>
            </w:pPr>
            <w:r w:rsidRPr="006A467E">
              <w:rPr>
                <w:sz w:val="20"/>
                <w:szCs w:val="20"/>
              </w:rPr>
              <w:t>Gregory A. Thompson, Q.C.</w:t>
            </w:r>
            <w:r>
              <w:rPr>
                <w:sz w:val="20"/>
                <w:szCs w:val="20"/>
              </w:rPr>
              <w:t xml:space="preserve"> f</w:t>
            </w:r>
            <w:r w:rsidRPr="006A467E">
              <w:rPr>
                <w:sz w:val="20"/>
                <w:szCs w:val="20"/>
              </w:rPr>
              <w:t xml:space="preserve">or the </w:t>
            </w:r>
            <w:r>
              <w:rPr>
                <w:sz w:val="20"/>
                <w:szCs w:val="20"/>
              </w:rPr>
              <w:t>a</w:t>
            </w:r>
            <w:r w:rsidRPr="006A467E">
              <w:rPr>
                <w:sz w:val="20"/>
                <w:szCs w:val="20"/>
              </w:rPr>
              <w:t>pplicant</w:t>
            </w:r>
            <w:r>
              <w:rPr>
                <w:sz w:val="20"/>
                <w:szCs w:val="20"/>
              </w:rPr>
              <w:t xml:space="preserve"> </w:t>
            </w:r>
            <w:r w:rsidRPr="006A467E">
              <w:rPr>
                <w:sz w:val="20"/>
                <w:szCs w:val="20"/>
              </w:rPr>
              <w:t>Ron Handel Farm Ltd.</w:t>
            </w:r>
          </w:p>
          <w:p w:rsidR="00B97980" w:rsidRDefault="00B97980" w:rsidP="00B97980">
            <w:pPr>
              <w:jc w:val="both"/>
              <w:rPr>
                <w:sz w:val="20"/>
                <w:szCs w:val="20"/>
              </w:rPr>
            </w:pPr>
          </w:p>
          <w:p w:rsidR="00B97980" w:rsidRDefault="00B97980" w:rsidP="00B97980">
            <w:pPr>
              <w:jc w:val="both"/>
              <w:rPr>
                <w:sz w:val="20"/>
                <w:szCs w:val="20"/>
              </w:rPr>
            </w:pPr>
            <w:r w:rsidRPr="006A467E">
              <w:rPr>
                <w:sz w:val="20"/>
                <w:szCs w:val="20"/>
              </w:rPr>
              <w:t>Gary A. Zabos, Q.C.</w:t>
            </w:r>
            <w:r>
              <w:rPr>
                <w:sz w:val="20"/>
                <w:szCs w:val="20"/>
              </w:rPr>
              <w:t xml:space="preserve"> f</w:t>
            </w:r>
            <w:r w:rsidRPr="006A467E">
              <w:rPr>
                <w:sz w:val="20"/>
                <w:szCs w:val="20"/>
              </w:rPr>
              <w:t xml:space="preserve">or the </w:t>
            </w:r>
            <w:r>
              <w:rPr>
                <w:sz w:val="20"/>
                <w:szCs w:val="20"/>
              </w:rPr>
              <w:t>r</w:t>
            </w:r>
            <w:r w:rsidRPr="006A467E">
              <w:rPr>
                <w:sz w:val="20"/>
                <w:szCs w:val="20"/>
              </w:rPr>
              <w:t>espondent</w:t>
            </w:r>
            <w:r>
              <w:rPr>
                <w:sz w:val="20"/>
                <w:szCs w:val="20"/>
              </w:rPr>
              <w:t>.</w:t>
            </w:r>
          </w:p>
          <w:p w:rsidR="00B97980" w:rsidRPr="006A467E" w:rsidRDefault="00B97980" w:rsidP="00B97980">
            <w:pPr>
              <w:jc w:val="both"/>
              <w:rPr>
                <w:sz w:val="20"/>
                <w:szCs w:val="20"/>
              </w:rPr>
            </w:pPr>
          </w:p>
          <w:p w:rsidR="00B97980" w:rsidRPr="00C50A5C" w:rsidRDefault="00B97980" w:rsidP="00B97980">
            <w:pPr>
              <w:rPr>
                <w:b/>
                <w:sz w:val="20"/>
                <w:szCs w:val="20"/>
              </w:rPr>
            </w:pPr>
            <w:r w:rsidRPr="006A467E">
              <w:rPr>
                <w:sz w:val="20"/>
                <w:szCs w:val="20"/>
              </w:rPr>
              <w:t>Lori Sandstrom</w:t>
            </w:r>
            <w:r>
              <w:rPr>
                <w:sz w:val="20"/>
                <w:szCs w:val="20"/>
              </w:rPr>
              <w:t xml:space="preserve"> f</w:t>
            </w:r>
            <w:r w:rsidRPr="006A467E">
              <w:rPr>
                <w:sz w:val="20"/>
                <w:szCs w:val="20"/>
              </w:rPr>
              <w:t xml:space="preserve">or the </w:t>
            </w:r>
            <w:r>
              <w:rPr>
                <w:sz w:val="20"/>
                <w:szCs w:val="20"/>
              </w:rPr>
              <w:t>i</w:t>
            </w:r>
            <w:r w:rsidRPr="006A467E">
              <w:rPr>
                <w:sz w:val="20"/>
                <w:szCs w:val="20"/>
              </w:rPr>
              <w:t>ntervener</w:t>
            </w:r>
            <w:r>
              <w:rPr>
                <w:sz w:val="20"/>
                <w:szCs w:val="20"/>
              </w:rPr>
              <w:t>.</w:t>
            </w:r>
          </w:p>
        </w:tc>
      </w:tr>
    </w:tbl>
    <w:p w:rsidR="0093437A" w:rsidRPr="0093437A" w:rsidRDefault="0093437A" w:rsidP="00432989">
      <w:pPr>
        <w:rPr>
          <w:sz w:val="20"/>
          <w:szCs w:val="20"/>
        </w:rPr>
      </w:pPr>
    </w:p>
    <w:p w:rsidR="0093437A" w:rsidRPr="00E52F75" w:rsidRDefault="0093437A" w:rsidP="0093437A">
      <w:pPr>
        <w:rPr>
          <w:sz w:val="20"/>
          <w:szCs w:val="20"/>
        </w:rPr>
      </w:pPr>
      <w:r w:rsidRPr="00E52F75">
        <w:rPr>
          <w:b/>
          <w:sz w:val="20"/>
          <w:szCs w:val="20"/>
        </w:rPr>
        <w:t>DISMISSED / REJETÉE</w:t>
      </w:r>
    </w:p>
    <w:p w:rsidR="0093437A" w:rsidRDefault="0093437A" w:rsidP="00432989">
      <w:pPr>
        <w:rPr>
          <w:sz w:val="20"/>
          <w:szCs w:val="20"/>
        </w:rPr>
      </w:pPr>
    </w:p>
    <w:tbl>
      <w:tblPr>
        <w:tblW w:w="0" w:type="auto"/>
        <w:tblLayout w:type="fixed"/>
        <w:tblCellMar>
          <w:left w:w="0" w:type="dxa"/>
          <w:right w:w="0" w:type="dxa"/>
        </w:tblCellMar>
        <w:tblLook w:val="0000"/>
      </w:tblPr>
      <w:tblGrid>
        <w:gridCol w:w="4380"/>
        <w:gridCol w:w="720"/>
        <w:gridCol w:w="4380"/>
      </w:tblGrid>
      <w:tr w:rsidR="0093437A" w:rsidRPr="00D41BFD" w:rsidTr="00E52F75">
        <w:tc>
          <w:tcPr>
            <w:tcW w:w="4380" w:type="dxa"/>
            <w:tcMar>
              <w:left w:w="0" w:type="dxa"/>
              <w:right w:w="0" w:type="dxa"/>
            </w:tcMar>
          </w:tcPr>
          <w:p w:rsidR="0093437A" w:rsidRPr="004C1AAC" w:rsidRDefault="0093437A" w:rsidP="00E52F75">
            <w:pPr>
              <w:keepNext/>
              <w:keepLines/>
              <w:jc w:val="both"/>
              <w:rPr>
                <w:b/>
                <w:sz w:val="20"/>
                <w:szCs w:val="20"/>
                <w:u w:val="single"/>
              </w:rPr>
            </w:pPr>
            <w:r w:rsidRPr="004C1AAC">
              <w:rPr>
                <w:b/>
                <w:sz w:val="20"/>
                <w:szCs w:val="20"/>
                <w:u w:val="single"/>
              </w:rPr>
              <w:t>JUDGMENT:</w:t>
            </w:r>
          </w:p>
          <w:p w:rsidR="0093437A" w:rsidRDefault="0093437A" w:rsidP="00E52F75">
            <w:pPr>
              <w:keepNext/>
              <w:keepLines/>
              <w:jc w:val="both"/>
              <w:rPr>
                <w:sz w:val="20"/>
                <w:szCs w:val="20"/>
              </w:rPr>
            </w:pPr>
          </w:p>
          <w:p w:rsidR="0093437A" w:rsidRPr="00C50A5C" w:rsidRDefault="00E52F75" w:rsidP="00E52F75">
            <w:pPr>
              <w:keepNext/>
              <w:keepLines/>
              <w:jc w:val="both"/>
              <w:rPr>
                <w:sz w:val="20"/>
                <w:szCs w:val="20"/>
              </w:rPr>
            </w:pPr>
            <w:r w:rsidRPr="00AF2040">
              <w:rPr>
                <w:sz w:val="20"/>
                <w:szCs w:val="20"/>
              </w:rPr>
              <w:t>The application for leave to appeal of the applicants, Rural Municipality of Britannia No. 502 and Ron Handel Farm Ltd., from the judgment of the Court of Appeal for Saskatchewan, Number  CACV1917, 2012 SKCA 127, dated December 20, 2012, heard this day is dismissed with costs.  The motion for leave to intervene in the application for leave to appeal was not pursued.</w:t>
            </w:r>
          </w:p>
        </w:tc>
        <w:tc>
          <w:tcPr>
            <w:tcW w:w="720" w:type="dxa"/>
            <w:tcMar>
              <w:left w:w="0" w:type="dxa"/>
              <w:right w:w="0" w:type="dxa"/>
            </w:tcMar>
          </w:tcPr>
          <w:p w:rsidR="0093437A" w:rsidRPr="00C50A5C" w:rsidRDefault="0093437A" w:rsidP="00E52F75">
            <w:pPr>
              <w:keepNext/>
              <w:keepLines/>
              <w:jc w:val="center"/>
              <w:rPr>
                <w:sz w:val="20"/>
                <w:szCs w:val="20"/>
              </w:rPr>
            </w:pPr>
          </w:p>
        </w:tc>
        <w:tc>
          <w:tcPr>
            <w:tcW w:w="4380" w:type="dxa"/>
            <w:tcMar>
              <w:left w:w="0" w:type="dxa"/>
              <w:right w:w="0" w:type="dxa"/>
            </w:tcMar>
          </w:tcPr>
          <w:p w:rsidR="0093437A" w:rsidRPr="004C1AAC" w:rsidRDefault="0093437A" w:rsidP="00E52F75">
            <w:pPr>
              <w:keepNext/>
              <w:keepLines/>
              <w:jc w:val="both"/>
              <w:rPr>
                <w:b/>
                <w:sz w:val="20"/>
                <w:szCs w:val="20"/>
                <w:u w:val="single"/>
                <w:lang w:val="fr-CA"/>
              </w:rPr>
            </w:pPr>
            <w:r w:rsidRPr="004C1AAC">
              <w:rPr>
                <w:b/>
                <w:sz w:val="20"/>
                <w:szCs w:val="20"/>
                <w:u w:val="single"/>
                <w:lang w:val="fr-CA"/>
              </w:rPr>
              <w:t>JUGEMENT :</w:t>
            </w:r>
          </w:p>
          <w:p w:rsidR="0093437A" w:rsidRPr="00C50A5C" w:rsidRDefault="0093437A" w:rsidP="00E52F75">
            <w:pPr>
              <w:keepNext/>
              <w:keepLines/>
              <w:jc w:val="both"/>
              <w:rPr>
                <w:sz w:val="20"/>
                <w:szCs w:val="20"/>
                <w:lang w:val="fr-CA"/>
              </w:rPr>
            </w:pPr>
          </w:p>
          <w:p w:rsidR="0093437A" w:rsidRPr="00C50A5C" w:rsidRDefault="00E52F75" w:rsidP="00E52F75">
            <w:pPr>
              <w:keepNext/>
              <w:keepLines/>
              <w:jc w:val="both"/>
              <w:rPr>
                <w:sz w:val="20"/>
                <w:szCs w:val="20"/>
                <w:lang w:val="fr-CA"/>
              </w:rPr>
            </w:pPr>
            <w:r w:rsidRPr="00AF2040">
              <w:rPr>
                <w:sz w:val="20"/>
                <w:szCs w:val="20"/>
                <w:lang w:val="fr-CA"/>
              </w:rPr>
              <w:t>La demande d’autorisation d’appel présentée par les demanderesses Rural Municipality of Britannia No. 502 et Ron Handel Farm Ltd.  contre l’arrêt de la Cour d’appel de la Saskatchewan, numéro CACV1917, 2012 SKCA 127, en date du 20 décembre 2012, a été entendue aujourd’hui et rejetée avec dépens. La requête sollicitant l’autorisation d’intervenir à la demande d’autorisation d’appel n’a pas été débattue.</w:t>
            </w:r>
          </w:p>
        </w:tc>
      </w:tr>
    </w:tbl>
    <w:p w:rsidR="0093437A" w:rsidRDefault="0093437A" w:rsidP="0093437A">
      <w:pPr>
        <w:spacing w:line="0" w:lineRule="atLeast"/>
        <w:rPr>
          <w:sz w:val="20"/>
          <w:szCs w:val="20"/>
          <w:lang w:val="fr-CA"/>
        </w:rPr>
      </w:pPr>
    </w:p>
    <w:tbl>
      <w:tblPr>
        <w:tblW w:w="0" w:type="auto"/>
        <w:tblLayout w:type="fixed"/>
        <w:tblCellMar>
          <w:left w:w="0" w:type="dxa"/>
          <w:right w:w="0" w:type="dxa"/>
        </w:tblCellMar>
        <w:tblLook w:val="0000"/>
      </w:tblPr>
      <w:tblGrid>
        <w:gridCol w:w="4410"/>
        <w:gridCol w:w="720"/>
        <w:gridCol w:w="4350"/>
      </w:tblGrid>
      <w:tr w:rsidR="00E52F75" w:rsidRPr="00E52F75" w:rsidTr="00E52F75">
        <w:tc>
          <w:tcPr>
            <w:tcW w:w="4410" w:type="dxa"/>
            <w:tcMar>
              <w:left w:w="0" w:type="dxa"/>
              <w:right w:w="0" w:type="dxa"/>
            </w:tcMar>
          </w:tcPr>
          <w:p w:rsidR="00E52F75" w:rsidRPr="00FA4CDE" w:rsidRDefault="00E52F75" w:rsidP="00E52F75">
            <w:pPr>
              <w:widowControl w:val="0"/>
              <w:jc w:val="both"/>
              <w:rPr>
                <w:rFonts w:eastAsia="Times New Roman" w:cs="Times New Roman"/>
                <w:b/>
                <w:sz w:val="20"/>
                <w:szCs w:val="20"/>
                <w:u w:val="single"/>
                <w:lang w:val="en-US" w:eastAsia="en-CA"/>
              </w:rPr>
            </w:pPr>
            <w:r w:rsidRPr="00FA4CDE">
              <w:rPr>
                <w:rFonts w:eastAsia="Times New Roman" w:cs="Times New Roman"/>
                <w:b/>
                <w:sz w:val="20"/>
                <w:szCs w:val="20"/>
                <w:u w:val="single"/>
                <w:lang w:val="en-US" w:eastAsia="en-CA"/>
              </w:rPr>
              <w:t>Nature of the case:</w:t>
            </w:r>
          </w:p>
          <w:p w:rsidR="00E52F75" w:rsidRPr="00FA4CDE" w:rsidRDefault="00E52F75" w:rsidP="00E52F75">
            <w:pPr>
              <w:widowControl w:val="0"/>
              <w:jc w:val="both"/>
              <w:rPr>
                <w:rFonts w:eastAsia="Times New Roman" w:cs="Times New Roman"/>
                <w:b/>
                <w:sz w:val="20"/>
                <w:szCs w:val="20"/>
                <w:lang w:val="en-US" w:eastAsia="en-CA"/>
              </w:rPr>
            </w:pPr>
          </w:p>
          <w:p w:rsidR="00E52F75" w:rsidRPr="00FA4CDE" w:rsidRDefault="00E52F75" w:rsidP="00E52F75">
            <w:pPr>
              <w:widowControl w:val="0"/>
              <w:jc w:val="both"/>
              <w:rPr>
                <w:rFonts w:eastAsia="Times New Roman" w:cs="Times New Roman"/>
                <w:b/>
                <w:sz w:val="20"/>
                <w:szCs w:val="20"/>
                <w:lang w:val="en-US" w:eastAsia="en-CA"/>
              </w:rPr>
            </w:pPr>
            <w:r w:rsidRPr="00B371A5">
              <w:rPr>
                <w:sz w:val="20"/>
                <w:szCs w:val="20"/>
              </w:rPr>
              <w:t>Insurance – Automobile insurance – Torts – Negligence – Legislation – Interpretation – Extrinsic aids – Respondent no-fault insurance beneficiary bringing tort action against applicants to recover damages for gap between amount of benefits and actual costs – Court of Appeal setting aside order striking action – Whether any types of extrinsic materials are inadmissible because of their characteristics or their source</w:t>
            </w:r>
            <w:r w:rsidRPr="00B371A5">
              <w:rPr>
                <w:i/>
                <w:sz w:val="20"/>
                <w:szCs w:val="20"/>
              </w:rPr>
              <w:t xml:space="preserve"> </w:t>
            </w:r>
            <w:r w:rsidRPr="00B371A5">
              <w:rPr>
                <w:sz w:val="20"/>
                <w:szCs w:val="20"/>
              </w:rPr>
              <w:t>– Whether an extrinsic aid has to speak directly to purportedly ambiguous text in order to be admissible</w:t>
            </w:r>
            <w:r w:rsidRPr="00B371A5">
              <w:rPr>
                <w:i/>
                <w:sz w:val="20"/>
                <w:szCs w:val="20"/>
              </w:rPr>
              <w:t xml:space="preserve"> </w:t>
            </w:r>
            <w:r w:rsidRPr="00B371A5">
              <w:rPr>
                <w:sz w:val="20"/>
                <w:szCs w:val="20"/>
              </w:rPr>
              <w:t>– Whether meanings of “economic loss” and “entitlement” articulated by Court of Appeal thwart statutory scheme</w:t>
            </w:r>
            <w:r w:rsidRPr="00B371A5">
              <w:rPr>
                <w:i/>
                <w:sz w:val="20"/>
                <w:szCs w:val="20"/>
              </w:rPr>
              <w:t xml:space="preserve"> </w:t>
            </w:r>
            <w:r w:rsidRPr="00B371A5">
              <w:rPr>
                <w:sz w:val="20"/>
                <w:szCs w:val="20"/>
              </w:rPr>
              <w:t xml:space="preserve">– </w:t>
            </w:r>
            <w:r w:rsidRPr="00B371A5">
              <w:rPr>
                <w:i/>
                <w:sz w:val="20"/>
                <w:szCs w:val="20"/>
              </w:rPr>
              <w:t>The Automobile Accident Insurance Act</w:t>
            </w:r>
            <w:r w:rsidRPr="00B371A5">
              <w:rPr>
                <w:sz w:val="20"/>
                <w:szCs w:val="20"/>
              </w:rPr>
              <w:t>, R.S.S. 1978, c. A-35, s. 103(2).</w:t>
            </w:r>
          </w:p>
        </w:tc>
        <w:tc>
          <w:tcPr>
            <w:tcW w:w="720" w:type="dxa"/>
            <w:tcMar>
              <w:left w:w="0" w:type="dxa"/>
              <w:right w:w="0" w:type="dxa"/>
            </w:tcMar>
          </w:tcPr>
          <w:p w:rsidR="00E52F75" w:rsidRPr="00FA4CDE" w:rsidRDefault="00E52F75" w:rsidP="00E52F75">
            <w:pPr>
              <w:widowControl w:val="0"/>
              <w:jc w:val="center"/>
              <w:rPr>
                <w:rFonts w:eastAsia="Times New Roman" w:cs="Times New Roman"/>
                <w:sz w:val="20"/>
                <w:szCs w:val="20"/>
                <w:lang w:val="en-US" w:eastAsia="en-CA"/>
              </w:rPr>
            </w:pPr>
          </w:p>
        </w:tc>
        <w:tc>
          <w:tcPr>
            <w:tcW w:w="4350" w:type="dxa"/>
            <w:tcMar>
              <w:left w:w="0" w:type="dxa"/>
              <w:right w:w="0" w:type="dxa"/>
            </w:tcMar>
          </w:tcPr>
          <w:p w:rsidR="00E52F75" w:rsidRPr="00FA4CDE" w:rsidRDefault="00E52F75" w:rsidP="00E52F75">
            <w:pPr>
              <w:widowControl w:val="0"/>
              <w:jc w:val="both"/>
              <w:rPr>
                <w:rFonts w:eastAsia="Times New Roman" w:cs="Times New Roman"/>
                <w:b/>
                <w:sz w:val="20"/>
                <w:szCs w:val="20"/>
                <w:u w:val="single"/>
                <w:lang w:val="fr-CA" w:eastAsia="en-CA"/>
              </w:rPr>
            </w:pPr>
            <w:r w:rsidRPr="00FA4CDE">
              <w:rPr>
                <w:rFonts w:eastAsia="Times New Roman" w:cs="Times New Roman"/>
                <w:b/>
                <w:sz w:val="20"/>
                <w:szCs w:val="20"/>
                <w:u w:val="single"/>
                <w:lang w:val="fr-CA" w:eastAsia="en-CA"/>
              </w:rPr>
              <w:t>Nature de la cause :</w:t>
            </w:r>
          </w:p>
          <w:p w:rsidR="00E52F75" w:rsidRPr="00FA4CDE" w:rsidRDefault="00E52F75" w:rsidP="00E52F75">
            <w:pPr>
              <w:widowControl w:val="0"/>
              <w:jc w:val="both"/>
              <w:rPr>
                <w:rFonts w:eastAsia="Times New Roman" w:cs="Times New Roman"/>
                <w:sz w:val="20"/>
                <w:szCs w:val="20"/>
                <w:lang w:val="fr-CA" w:eastAsia="en-CA"/>
              </w:rPr>
            </w:pPr>
          </w:p>
          <w:p w:rsidR="00E52F75" w:rsidRPr="00FA4CDE" w:rsidRDefault="00E52F75" w:rsidP="00E52F75">
            <w:pPr>
              <w:widowControl w:val="0"/>
              <w:jc w:val="both"/>
              <w:rPr>
                <w:rFonts w:eastAsia="Times New Roman" w:cs="Times New Roman"/>
                <w:sz w:val="20"/>
                <w:szCs w:val="20"/>
                <w:lang w:val="fr-CA" w:eastAsia="en-CA"/>
              </w:rPr>
            </w:pPr>
            <w:r w:rsidRPr="00E22CAA">
              <w:rPr>
                <w:sz w:val="20"/>
                <w:szCs w:val="20"/>
                <w:lang w:val="fr-CA"/>
              </w:rPr>
              <w:t>Assurances – Assurance automobile – Responsabilité délictuelle – Négligence – Législation – Interprétation – Aide extrinsèque – Action en responsabilité délictuelle intentée par l’intimé, bénéficiaire de prestations d’une assurance sans égard à la responsabilité, en vue d’obtenir des dommages-intérêts pour combler l’écart entre le montant des prestations et les coûts réels – Annulation par la Cour d’appel de l’ordonnance radiant l’action – Des types d’aide extrinsèque sont-ils inadmissibles en raison de leurs caractéristiques ou de leur source? – Une aide extrinsèque doit-elle éclairer directement un texte censément ambigu pour être admissible? – L’interprétation que fait la Cour d’appel des termes « </w:t>
            </w:r>
            <w:r w:rsidRPr="00E22CAA">
              <w:rPr>
                <w:i/>
                <w:sz w:val="20"/>
                <w:szCs w:val="20"/>
                <w:lang w:val="fr-CA"/>
              </w:rPr>
              <w:t>economic loss</w:t>
            </w:r>
            <w:r w:rsidRPr="00E22CAA">
              <w:rPr>
                <w:sz w:val="20"/>
                <w:szCs w:val="20"/>
                <w:lang w:val="fr-CA"/>
              </w:rPr>
              <w:t> » (pertes financières) et « </w:t>
            </w:r>
            <w:r w:rsidRPr="00E22CAA">
              <w:rPr>
                <w:i/>
                <w:sz w:val="20"/>
                <w:szCs w:val="20"/>
                <w:lang w:val="fr-CA"/>
              </w:rPr>
              <w:t>entitlement</w:t>
            </w:r>
            <w:r w:rsidRPr="00E22CAA">
              <w:rPr>
                <w:sz w:val="20"/>
                <w:szCs w:val="20"/>
                <w:lang w:val="fr-CA"/>
              </w:rPr>
              <w:t xml:space="preserve"> » (droit) est-elle en contradiction avec le régime législatif? – </w:t>
            </w:r>
            <w:r w:rsidRPr="00E22CAA">
              <w:rPr>
                <w:i/>
                <w:sz w:val="20"/>
                <w:szCs w:val="20"/>
                <w:lang w:val="fr-CA"/>
              </w:rPr>
              <w:t>Automobile Accident Insurance Act</w:t>
            </w:r>
            <w:r w:rsidRPr="00E22CAA">
              <w:rPr>
                <w:sz w:val="20"/>
                <w:szCs w:val="20"/>
                <w:lang w:val="fr-CA"/>
              </w:rPr>
              <w:t>, L.R.S. 1978, ch. A-35, par. 103(2).</w:t>
            </w:r>
          </w:p>
        </w:tc>
      </w:tr>
    </w:tbl>
    <w:p w:rsidR="00E52F75" w:rsidRDefault="00E52F75" w:rsidP="0093437A">
      <w:pPr>
        <w:spacing w:line="0" w:lineRule="atLeast"/>
        <w:rPr>
          <w:sz w:val="20"/>
          <w:szCs w:val="20"/>
          <w:lang w:val="fr-CA"/>
        </w:rPr>
      </w:pPr>
    </w:p>
    <w:p w:rsidR="0093437A" w:rsidRDefault="00B3404D" w:rsidP="0093437A">
      <w:pPr>
        <w:spacing w:line="0" w:lineRule="atLeast"/>
        <w:rPr>
          <w:rFonts w:eastAsia="Times New Roman" w:cs="Times New Roman"/>
          <w:sz w:val="20"/>
          <w:szCs w:val="20"/>
          <w:lang w:val="fr-CA" w:eastAsia="en-CA"/>
        </w:rPr>
      </w:pPr>
      <w:r w:rsidRPr="00B3404D">
        <w:rPr>
          <w:rFonts w:eastAsia="Times New Roman" w:cs="Times New Roman"/>
          <w:sz w:val="20"/>
          <w:szCs w:val="20"/>
          <w:lang w:val="fr-CA" w:eastAsia="en-CA"/>
        </w:rPr>
        <w:pict>
          <v:rect id="_x0000_i1035" style="width:2in;height:1pt" o:hrpct="0" o:hralign="center" o:hrstd="t" o:hrnoshade="t" o:hr="t" fillcolor="black [3213]" stroked="f"/>
        </w:pict>
      </w:r>
    </w:p>
    <w:p w:rsidR="00E52F75" w:rsidRDefault="00E52F75" w:rsidP="0093437A">
      <w:pPr>
        <w:spacing w:line="0" w:lineRule="atLeast"/>
        <w:rPr>
          <w:rFonts w:eastAsia="Times New Roman" w:cs="Times New Roman"/>
          <w:sz w:val="20"/>
          <w:szCs w:val="20"/>
          <w:lang w:val="fr-CA" w:eastAsia="en-CA"/>
        </w:rPr>
      </w:pPr>
    </w:p>
    <w:p w:rsidR="0093437A" w:rsidRDefault="0093437A" w:rsidP="0093437A">
      <w:pPr>
        <w:spacing w:line="0" w:lineRule="atLeast"/>
        <w:rPr>
          <w:sz w:val="20"/>
          <w:szCs w:val="20"/>
          <w:lang w:val="fr-CA"/>
        </w:rPr>
      </w:pPr>
    </w:p>
    <w:p w:rsidR="008D292F" w:rsidRPr="00C50A5C" w:rsidRDefault="008D292F" w:rsidP="002E2327">
      <w:pPr>
        <w:widowControl w:val="0"/>
        <w:spacing w:line="0" w:lineRule="atLeast"/>
        <w:rPr>
          <w:sz w:val="20"/>
          <w:szCs w:val="20"/>
          <w:lang w:val="fr-CA"/>
        </w:rPr>
        <w:sectPr w:rsidR="008D292F"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D41BFD"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AA605C" w:rsidP="000E2959">
      <w:pPr>
        <w:rPr>
          <w:b/>
          <w:sz w:val="20"/>
          <w:szCs w:val="20"/>
        </w:rPr>
      </w:pPr>
      <w:r>
        <w:rPr>
          <w:b/>
          <w:sz w:val="20"/>
          <w:szCs w:val="20"/>
        </w:rPr>
        <w:t>JUNE 1</w:t>
      </w:r>
      <w:r w:rsidR="000E2959">
        <w:rPr>
          <w:b/>
          <w:sz w:val="20"/>
          <w:szCs w:val="20"/>
        </w:rPr>
        <w:t>3</w:t>
      </w:r>
      <w:r w:rsidR="000E2959" w:rsidRPr="00C50A5C">
        <w:rPr>
          <w:b/>
          <w:sz w:val="20"/>
          <w:szCs w:val="20"/>
        </w:rPr>
        <w:t>, 201</w:t>
      </w:r>
      <w:r w:rsidR="000E2959">
        <w:rPr>
          <w:b/>
          <w:sz w:val="20"/>
          <w:szCs w:val="20"/>
        </w:rPr>
        <w:t>3</w:t>
      </w:r>
      <w:r w:rsidR="000E2959" w:rsidRPr="00C50A5C">
        <w:rPr>
          <w:b/>
          <w:sz w:val="20"/>
          <w:szCs w:val="20"/>
        </w:rPr>
        <w:t xml:space="preserve"> / LE </w:t>
      </w:r>
      <w:r>
        <w:rPr>
          <w:b/>
          <w:sz w:val="20"/>
          <w:szCs w:val="20"/>
        </w:rPr>
        <w:t>1</w:t>
      </w:r>
      <w:r w:rsidR="000E2959">
        <w:rPr>
          <w:b/>
          <w:sz w:val="20"/>
          <w:szCs w:val="20"/>
        </w:rPr>
        <w:t>3</w:t>
      </w:r>
      <w:r w:rsidR="000E2959" w:rsidRPr="00C50A5C">
        <w:rPr>
          <w:b/>
          <w:sz w:val="20"/>
          <w:szCs w:val="20"/>
        </w:rPr>
        <w:t xml:space="preserve"> </w:t>
      </w:r>
      <w:r>
        <w:rPr>
          <w:b/>
          <w:sz w:val="20"/>
          <w:szCs w:val="20"/>
        </w:rPr>
        <w:t>JU</w:t>
      </w:r>
      <w:r w:rsidR="000E2959" w:rsidRPr="00C50A5C">
        <w:rPr>
          <w:b/>
          <w:sz w:val="20"/>
          <w:szCs w:val="20"/>
        </w:rPr>
        <w:t>I</w:t>
      </w:r>
      <w:r>
        <w:rPr>
          <w:b/>
          <w:sz w:val="20"/>
          <w:szCs w:val="20"/>
        </w:rPr>
        <w:t>N</w:t>
      </w:r>
      <w:r w:rsidR="000E2959" w:rsidRPr="00C50A5C">
        <w:rPr>
          <w:b/>
          <w:sz w:val="20"/>
          <w:szCs w:val="20"/>
        </w:rPr>
        <w:t xml:space="preserve"> 201</w:t>
      </w:r>
      <w:r w:rsidR="000E2959">
        <w:rPr>
          <w:b/>
          <w:sz w:val="20"/>
          <w:szCs w:val="20"/>
        </w:rPr>
        <w:t>3</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26CD5" w:rsidRPr="00926CD5" w:rsidTr="00A61B52">
        <w:trPr>
          <w:cantSplit/>
        </w:trPr>
        <w:tc>
          <w:tcPr>
            <w:tcW w:w="1458" w:type="dxa"/>
          </w:tcPr>
          <w:p w:rsidR="00926CD5" w:rsidRPr="00926CD5" w:rsidRDefault="00926CD5" w:rsidP="00A61B52">
            <w:pPr>
              <w:rPr>
                <w:sz w:val="20"/>
                <w:szCs w:val="20"/>
              </w:rPr>
            </w:pPr>
            <w:r w:rsidRPr="00926CD5">
              <w:rPr>
                <w:rStyle w:val="SCCFileNumberChar"/>
                <w:sz w:val="20"/>
                <w:szCs w:val="20"/>
              </w:rPr>
              <w:t>34570</w:t>
            </w:r>
          </w:p>
          <w:p w:rsidR="00926CD5" w:rsidRPr="00926CD5" w:rsidRDefault="00926CD5" w:rsidP="00A61B52">
            <w:pPr>
              <w:rPr>
                <w:b/>
                <w:sz w:val="20"/>
                <w:szCs w:val="20"/>
                <w:lang w:val="fr-CA"/>
              </w:rPr>
            </w:pPr>
          </w:p>
        </w:tc>
        <w:tc>
          <w:tcPr>
            <w:tcW w:w="8118" w:type="dxa"/>
          </w:tcPr>
          <w:p w:rsidR="00926CD5" w:rsidRPr="00926CD5" w:rsidRDefault="00926CD5" w:rsidP="00A61B52">
            <w:pPr>
              <w:jc w:val="both"/>
              <w:rPr>
                <w:sz w:val="20"/>
                <w:szCs w:val="20"/>
              </w:rPr>
            </w:pPr>
            <w:r w:rsidRPr="00926CD5">
              <w:rPr>
                <w:rStyle w:val="SCCLsocChar"/>
                <w:sz w:val="20"/>
                <w:szCs w:val="20"/>
                <w:lang w:val="en-CA"/>
              </w:rPr>
              <w:t>William Louison v. Ochapowace Indian Band #71, 312050 Saskatchewan Ltd.</w:t>
            </w:r>
            <w:r w:rsidR="001533B8">
              <w:rPr>
                <w:rStyle w:val="SCCLsocChar"/>
                <w:sz w:val="20"/>
                <w:szCs w:val="20"/>
                <w:lang w:val="en-CA"/>
              </w:rPr>
              <w:t xml:space="preserve"> and</w:t>
            </w:r>
            <w:r w:rsidRPr="00926CD5">
              <w:rPr>
                <w:rStyle w:val="SCCLsocChar"/>
                <w:sz w:val="20"/>
                <w:szCs w:val="20"/>
                <w:lang w:val="en-CA"/>
              </w:rPr>
              <w:t xml:space="preserve"> Her Majesty the Queen in the Right of Saskatchewan</w:t>
            </w:r>
            <w:r w:rsidRPr="00926CD5">
              <w:rPr>
                <w:sz w:val="20"/>
                <w:szCs w:val="20"/>
              </w:rPr>
              <w:t xml:space="preserve"> (Sask.) (Civil) (By Leave)</w:t>
            </w:r>
          </w:p>
          <w:p w:rsidR="00926CD5" w:rsidRPr="00926CD5" w:rsidRDefault="00926CD5" w:rsidP="00A61B52">
            <w:pPr>
              <w:jc w:val="both"/>
              <w:rPr>
                <w:sz w:val="20"/>
                <w:szCs w:val="20"/>
              </w:rPr>
            </w:pPr>
          </w:p>
        </w:tc>
      </w:tr>
      <w:tr w:rsidR="00926CD5" w:rsidRPr="00926CD5" w:rsidTr="00A61B52">
        <w:trPr>
          <w:cantSplit/>
        </w:trPr>
        <w:tc>
          <w:tcPr>
            <w:tcW w:w="1458" w:type="dxa"/>
          </w:tcPr>
          <w:p w:rsidR="00926CD5" w:rsidRPr="00926CD5" w:rsidRDefault="00926CD5" w:rsidP="00A61B52">
            <w:pPr>
              <w:rPr>
                <w:sz w:val="20"/>
                <w:szCs w:val="20"/>
              </w:rPr>
            </w:pPr>
            <w:r w:rsidRPr="00926CD5">
              <w:rPr>
                <w:sz w:val="20"/>
                <w:szCs w:val="20"/>
              </w:rPr>
              <w:t>Coram :</w:t>
            </w:r>
          </w:p>
        </w:tc>
        <w:tc>
          <w:tcPr>
            <w:tcW w:w="8118" w:type="dxa"/>
          </w:tcPr>
          <w:p w:rsidR="00926CD5" w:rsidRPr="00926CD5" w:rsidRDefault="00926CD5" w:rsidP="00A61B52">
            <w:pPr>
              <w:rPr>
                <w:sz w:val="20"/>
                <w:szCs w:val="20"/>
              </w:rPr>
            </w:pPr>
            <w:r w:rsidRPr="00926CD5">
              <w:rPr>
                <w:rStyle w:val="SCCCoramChar"/>
                <w:sz w:val="20"/>
                <w:szCs w:val="20"/>
                <w:lang w:val="en-CA"/>
              </w:rPr>
              <w:t>McLachlin C.J. and Rothstein and Moldaver JJ.</w:t>
            </w:r>
          </w:p>
          <w:p w:rsidR="00926CD5" w:rsidRPr="00926CD5" w:rsidRDefault="00926CD5" w:rsidP="00A61B52">
            <w:pPr>
              <w:rPr>
                <w:sz w:val="20"/>
                <w:szCs w:val="20"/>
                <w:u w:val="single"/>
              </w:rPr>
            </w:pPr>
          </w:p>
        </w:tc>
      </w:tr>
      <w:tr w:rsidR="00926CD5" w:rsidRPr="00D41BFD" w:rsidTr="00A61B52">
        <w:trPr>
          <w:cantSplit/>
        </w:trPr>
        <w:tc>
          <w:tcPr>
            <w:tcW w:w="9576" w:type="dxa"/>
            <w:gridSpan w:val="2"/>
          </w:tcPr>
          <w:p w:rsidR="00926CD5" w:rsidRPr="00926CD5" w:rsidRDefault="00926CD5" w:rsidP="00A61B52">
            <w:pPr>
              <w:pStyle w:val="SCCShortJudgment"/>
              <w:rPr>
                <w:szCs w:val="20"/>
              </w:rPr>
            </w:pPr>
            <w:r w:rsidRPr="00926CD5">
              <w:rPr>
                <w:szCs w:val="20"/>
              </w:rPr>
              <w:t>The application for leave to appeal from the judgment of the Court of Appeal for Saskatchewan, Number CACV2068, 2011 SKCA 119, dated October 13, 2011, is dismissed with costs.</w:t>
            </w:r>
          </w:p>
          <w:p w:rsidR="00926CD5" w:rsidRPr="00926CD5" w:rsidRDefault="00926CD5" w:rsidP="00A61B52">
            <w:pPr>
              <w:pStyle w:val="SCCShortJudgment"/>
              <w:ind w:firstLine="0"/>
              <w:rPr>
                <w:szCs w:val="20"/>
              </w:rPr>
            </w:pPr>
          </w:p>
          <w:p w:rsidR="00926CD5" w:rsidRPr="00926CD5" w:rsidRDefault="00926CD5" w:rsidP="00A61B52">
            <w:pPr>
              <w:pStyle w:val="SCCShortJudgment"/>
              <w:rPr>
                <w:szCs w:val="20"/>
                <w:lang w:val="fr-CA"/>
              </w:rPr>
            </w:pPr>
            <w:r w:rsidRPr="00926CD5">
              <w:rPr>
                <w:szCs w:val="20"/>
                <w:lang w:val="fr-CA"/>
              </w:rPr>
              <w:t>La demande d’autorisation d’appel de l’arrêt de la Cour d’appel de la Saskatchewan, numéro CACV2068, 2011 SKCA 119, daté du 13 octobre 2011, est rejetée avec dépens.</w:t>
            </w:r>
          </w:p>
        </w:tc>
      </w:tr>
    </w:tbl>
    <w:p w:rsidR="00AA605C" w:rsidRPr="00926CD5" w:rsidRDefault="00AA605C" w:rsidP="000E2959">
      <w:pPr>
        <w:rPr>
          <w:sz w:val="20"/>
          <w:szCs w:val="20"/>
          <w:lang w:val="fr-CA"/>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33148" w:rsidRPr="00667307" w:rsidTr="00A0505A">
        <w:tc>
          <w:tcPr>
            <w:tcW w:w="5000" w:type="pct"/>
            <w:gridSpan w:val="3"/>
          </w:tcPr>
          <w:p w:rsidR="00833148" w:rsidRPr="00667307" w:rsidRDefault="00833148" w:rsidP="00A0505A">
            <w:pPr>
              <w:jc w:val="both"/>
              <w:rPr>
                <w:rFonts w:eastAsia="Calibri"/>
                <w:sz w:val="20"/>
              </w:rPr>
            </w:pPr>
            <w:r w:rsidRPr="00667307">
              <w:rPr>
                <w:rFonts w:eastAsia="Calibri"/>
                <w:sz w:val="20"/>
              </w:rPr>
              <w:t>Aboriginal law – Aboriginal rights – Aboriginal title – Civil procedure – Pleadings – Motion to strike – Did the lower court judge err in finding that the Statement of Claim (as amended) discloses no reasonable cause of action on the basis that the applicant had no standing to bring a claim of “Indigenous Title” – Did the lower court judge err by finding that the matter could not proceed as a representative action – Was the proper test applied to strike a pleading as disclosing no reasonable cause of action</w:t>
            </w:r>
          </w:p>
        </w:tc>
      </w:tr>
      <w:tr w:rsidR="00833148" w:rsidRPr="00667307" w:rsidTr="00A0505A">
        <w:tc>
          <w:tcPr>
            <w:tcW w:w="5000" w:type="pct"/>
            <w:gridSpan w:val="3"/>
          </w:tcPr>
          <w:p w:rsidR="00833148" w:rsidRPr="00667307" w:rsidRDefault="00833148" w:rsidP="00A0505A">
            <w:pPr>
              <w:jc w:val="both"/>
              <w:rPr>
                <w:rFonts w:eastAsia="Calibri"/>
                <w:sz w:val="20"/>
              </w:rPr>
            </w:pPr>
          </w:p>
        </w:tc>
      </w:tr>
      <w:tr w:rsidR="00833148" w:rsidRPr="00667307" w:rsidTr="00A0505A">
        <w:tc>
          <w:tcPr>
            <w:tcW w:w="5000" w:type="pct"/>
            <w:gridSpan w:val="3"/>
          </w:tcPr>
          <w:p w:rsidR="00833148" w:rsidRPr="00667307" w:rsidRDefault="00833148" w:rsidP="00A0505A">
            <w:pPr>
              <w:jc w:val="both"/>
              <w:rPr>
                <w:rFonts w:eastAsia="Calibri"/>
                <w:sz w:val="20"/>
              </w:rPr>
            </w:pPr>
            <w:r w:rsidRPr="00667307">
              <w:rPr>
                <w:rFonts w:eastAsia="Calibri"/>
                <w:sz w:val="20"/>
              </w:rPr>
              <w:t xml:space="preserve">The applicant Mr. William Louison brought an action seeking (among other things) a declaration of “Indigenous Title” to certain lands in Saskatchewan which are either part of or subject to becoming part of the reserve lands of the respondent Ochapowace Indian Band #71 (“Ochapowace”).  The respondents Ochapowace, 312050 Saskatchewan Ltd. (a corporation wholly owned by Ochapowace and holder in fee simple of some of the lands in question), and Her Majesty the Queen in Right of Saskatchewan (“Saskatchewan”) applied for orders striking Mr. Louison’s statement of claim, on the basis that it discloses no reasonable cause of action since Mr. Louison as an individual does not have standing to bring a claim of Aboriginal title.   A chambers judge of the Court of Queen’s Bench for Saskatchewan granted the respondents’ motions, and therefore struck Mr. Louison’s statement of claim and dismissed the action against the respondents, concluding that Mr. Louison had no standing or legal basis either in a personal or a representative capacity to bring forward a claim for Aboriginal title, finding that the claim for title in question was communal and not personal in nature.  The Court of Appeal for Saskatchewan substantially agreed with the decision and reasons of the chambers judge, and dismissed Mr. Louison’s appeal. </w:t>
            </w:r>
          </w:p>
          <w:p w:rsidR="00833148" w:rsidRPr="00667307" w:rsidRDefault="00833148" w:rsidP="00A0505A">
            <w:pPr>
              <w:jc w:val="both"/>
              <w:rPr>
                <w:rFonts w:eastAsia="Calibri"/>
                <w:sz w:val="20"/>
              </w:rPr>
            </w:pPr>
          </w:p>
        </w:tc>
      </w:tr>
      <w:tr w:rsidR="00833148" w:rsidRPr="00667307" w:rsidTr="00A0505A">
        <w:tc>
          <w:tcPr>
            <w:tcW w:w="2427" w:type="pct"/>
          </w:tcPr>
          <w:p w:rsidR="00833148" w:rsidRPr="00667307" w:rsidRDefault="00833148" w:rsidP="00A0505A">
            <w:pPr>
              <w:jc w:val="both"/>
              <w:rPr>
                <w:rFonts w:eastAsia="Calibri"/>
                <w:sz w:val="20"/>
              </w:rPr>
            </w:pPr>
            <w:r w:rsidRPr="00667307">
              <w:rPr>
                <w:rFonts w:eastAsia="Calibri"/>
                <w:sz w:val="20"/>
              </w:rPr>
              <w:t>February 14, 2011</w:t>
            </w:r>
          </w:p>
          <w:p w:rsidR="00833148" w:rsidRPr="00667307" w:rsidRDefault="00833148" w:rsidP="00A0505A">
            <w:pPr>
              <w:jc w:val="both"/>
              <w:rPr>
                <w:rFonts w:eastAsia="Calibri"/>
                <w:sz w:val="20"/>
              </w:rPr>
            </w:pPr>
            <w:r w:rsidRPr="00667307">
              <w:rPr>
                <w:rFonts w:eastAsia="Calibri"/>
                <w:sz w:val="20"/>
              </w:rPr>
              <w:t>Court of Queen’s Bench for Saskatchewan</w:t>
            </w:r>
          </w:p>
          <w:p w:rsidR="00833148" w:rsidRPr="00667307" w:rsidRDefault="00833148" w:rsidP="00A0505A">
            <w:pPr>
              <w:jc w:val="both"/>
              <w:rPr>
                <w:rFonts w:eastAsia="Calibri"/>
                <w:sz w:val="20"/>
              </w:rPr>
            </w:pPr>
            <w:r w:rsidRPr="00667307">
              <w:rPr>
                <w:rFonts w:eastAsia="Calibri"/>
                <w:sz w:val="20"/>
              </w:rPr>
              <w:t>(Pritchard J.)</w:t>
            </w:r>
          </w:p>
          <w:p w:rsidR="00833148" w:rsidRPr="00667307" w:rsidRDefault="00833148" w:rsidP="00A0505A">
            <w:pPr>
              <w:jc w:val="both"/>
              <w:rPr>
                <w:rFonts w:eastAsia="Calibri"/>
                <w:sz w:val="20"/>
              </w:rPr>
            </w:pPr>
          </w:p>
        </w:tc>
        <w:tc>
          <w:tcPr>
            <w:tcW w:w="243" w:type="pct"/>
          </w:tcPr>
          <w:p w:rsidR="00833148" w:rsidRPr="00667307" w:rsidRDefault="00833148" w:rsidP="00A0505A">
            <w:pPr>
              <w:jc w:val="both"/>
              <w:rPr>
                <w:rFonts w:eastAsia="Calibri"/>
                <w:sz w:val="20"/>
              </w:rPr>
            </w:pPr>
          </w:p>
        </w:tc>
        <w:tc>
          <w:tcPr>
            <w:tcW w:w="2330" w:type="pct"/>
          </w:tcPr>
          <w:p w:rsidR="00833148" w:rsidRPr="00667307" w:rsidRDefault="00833148" w:rsidP="00A0505A">
            <w:pPr>
              <w:jc w:val="both"/>
              <w:rPr>
                <w:rFonts w:eastAsia="Calibri"/>
                <w:sz w:val="20"/>
              </w:rPr>
            </w:pPr>
            <w:r w:rsidRPr="00667307">
              <w:rPr>
                <w:rFonts w:eastAsia="Calibri"/>
                <w:sz w:val="20"/>
              </w:rPr>
              <w:t>Respondents’ motions to strike statement of claim in its entirety and dismiss plaintiff’s action, allowed.</w:t>
            </w:r>
          </w:p>
          <w:p w:rsidR="00833148" w:rsidRPr="00667307" w:rsidRDefault="00833148" w:rsidP="00A0505A">
            <w:pPr>
              <w:jc w:val="both"/>
              <w:rPr>
                <w:rFonts w:eastAsia="Calibri"/>
                <w:sz w:val="20"/>
              </w:rPr>
            </w:pPr>
          </w:p>
        </w:tc>
      </w:tr>
      <w:tr w:rsidR="00833148" w:rsidRPr="00667307" w:rsidTr="00A0505A">
        <w:tc>
          <w:tcPr>
            <w:tcW w:w="2427" w:type="pct"/>
          </w:tcPr>
          <w:p w:rsidR="00833148" w:rsidRPr="00667307" w:rsidRDefault="00833148" w:rsidP="00A0505A">
            <w:pPr>
              <w:jc w:val="both"/>
              <w:rPr>
                <w:rFonts w:eastAsia="Calibri"/>
                <w:sz w:val="20"/>
              </w:rPr>
            </w:pPr>
            <w:r w:rsidRPr="00667307">
              <w:rPr>
                <w:rFonts w:eastAsia="Calibri"/>
                <w:sz w:val="20"/>
              </w:rPr>
              <w:t>December 13, 2011</w:t>
            </w:r>
          </w:p>
          <w:p w:rsidR="00833148" w:rsidRPr="00667307" w:rsidRDefault="00833148" w:rsidP="00A0505A">
            <w:pPr>
              <w:jc w:val="both"/>
              <w:rPr>
                <w:rFonts w:eastAsia="Calibri"/>
                <w:sz w:val="20"/>
              </w:rPr>
            </w:pPr>
            <w:r w:rsidRPr="00667307">
              <w:rPr>
                <w:rFonts w:eastAsia="Calibri"/>
                <w:sz w:val="20"/>
              </w:rPr>
              <w:t>Court of Appeal for Saskatchewan</w:t>
            </w:r>
          </w:p>
          <w:p w:rsidR="00833148" w:rsidRPr="00667307" w:rsidRDefault="00833148" w:rsidP="00A0505A">
            <w:pPr>
              <w:jc w:val="both"/>
              <w:rPr>
                <w:rFonts w:eastAsia="Calibri"/>
                <w:sz w:val="20"/>
              </w:rPr>
            </w:pPr>
            <w:r w:rsidRPr="00667307">
              <w:rPr>
                <w:rFonts w:eastAsia="Calibri"/>
                <w:sz w:val="20"/>
              </w:rPr>
              <w:t>(Vancise, Ottenbreit, Caldwell, JJ.A.)</w:t>
            </w:r>
          </w:p>
          <w:p w:rsidR="00833148" w:rsidRPr="00667307" w:rsidRDefault="00833148" w:rsidP="00A0505A">
            <w:pPr>
              <w:jc w:val="both"/>
              <w:rPr>
                <w:rFonts w:eastAsia="Calibri"/>
                <w:sz w:val="20"/>
              </w:rPr>
            </w:pPr>
          </w:p>
        </w:tc>
        <w:tc>
          <w:tcPr>
            <w:tcW w:w="243" w:type="pct"/>
          </w:tcPr>
          <w:p w:rsidR="00833148" w:rsidRPr="00667307" w:rsidRDefault="00833148" w:rsidP="00A0505A">
            <w:pPr>
              <w:jc w:val="both"/>
              <w:rPr>
                <w:rFonts w:eastAsia="Calibri"/>
                <w:sz w:val="20"/>
              </w:rPr>
            </w:pPr>
          </w:p>
        </w:tc>
        <w:tc>
          <w:tcPr>
            <w:tcW w:w="2330" w:type="pct"/>
          </w:tcPr>
          <w:p w:rsidR="00833148" w:rsidRPr="00667307" w:rsidRDefault="00833148" w:rsidP="00A0505A">
            <w:pPr>
              <w:jc w:val="both"/>
              <w:rPr>
                <w:rFonts w:eastAsia="Calibri"/>
                <w:sz w:val="20"/>
              </w:rPr>
            </w:pPr>
            <w:r w:rsidRPr="00667307">
              <w:rPr>
                <w:rFonts w:eastAsia="Calibri"/>
                <w:sz w:val="20"/>
              </w:rPr>
              <w:t>Applicant’s appeal from order striking statement of claim and dismissing action, dismissed.</w:t>
            </w:r>
          </w:p>
        </w:tc>
      </w:tr>
      <w:tr w:rsidR="00833148" w:rsidRPr="00667307" w:rsidTr="00A0505A">
        <w:tc>
          <w:tcPr>
            <w:tcW w:w="2427" w:type="pct"/>
          </w:tcPr>
          <w:p w:rsidR="00833148" w:rsidRPr="00667307" w:rsidRDefault="00833148" w:rsidP="00A0505A">
            <w:pPr>
              <w:jc w:val="both"/>
              <w:rPr>
                <w:rFonts w:eastAsia="Calibri"/>
                <w:sz w:val="20"/>
              </w:rPr>
            </w:pPr>
            <w:r w:rsidRPr="00667307">
              <w:rPr>
                <w:rFonts w:eastAsia="Calibri"/>
                <w:sz w:val="20"/>
              </w:rPr>
              <w:t>December 9, 2011</w:t>
            </w:r>
          </w:p>
          <w:p w:rsidR="00833148" w:rsidRPr="00667307" w:rsidRDefault="00833148" w:rsidP="00A0505A">
            <w:pPr>
              <w:jc w:val="both"/>
              <w:rPr>
                <w:rFonts w:eastAsia="Calibri"/>
                <w:sz w:val="20"/>
              </w:rPr>
            </w:pPr>
            <w:r w:rsidRPr="00667307">
              <w:rPr>
                <w:rFonts w:eastAsia="Calibri"/>
                <w:sz w:val="20"/>
              </w:rPr>
              <w:t>Supreme Court of Canada</w:t>
            </w:r>
          </w:p>
        </w:tc>
        <w:tc>
          <w:tcPr>
            <w:tcW w:w="243" w:type="pct"/>
          </w:tcPr>
          <w:p w:rsidR="00833148" w:rsidRPr="00667307" w:rsidRDefault="00833148" w:rsidP="00A0505A">
            <w:pPr>
              <w:jc w:val="both"/>
              <w:rPr>
                <w:rFonts w:eastAsia="Calibri"/>
                <w:sz w:val="20"/>
              </w:rPr>
            </w:pPr>
          </w:p>
        </w:tc>
        <w:tc>
          <w:tcPr>
            <w:tcW w:w="2330" w:type="pct"/>
          </w:tcPr>
          <w:p w:rsidR="00833148" w:rsidRPr="00667307" w:rsidRDefault="00833148" w:rsidP="00A0505A">
            <w:pPr>
              <w:jc w:val="both"/>
              <w:rPr>
                <w:rFonts w:eastAsia="Calibri"/>
                <w:sz w:val="20"/>
              </w:rPr>
            </w:pPr>
            <w:r w:rsidRPr="00667307">
              <w:rPr>
                <w:rFonts w:eastAsia="Calibri"/>
                <w:sz w:val="20"/>
              </w:rPr>
              <w:t>Application for leave to appeal filed.</w:t>
            </w:r>
          </w:p>
          <w:p w:rsidR="00833148" w:rsidRPr="00667307" w:rsidRDefault="00833148" w:rsidP="00A0505A">
            <w:pPr>
              <w:jc w:val="both"/>
              <w:rPr>
                <w:rFonts w:eastAsia="Calibri"/>
                <w:sz w:val="20"/>
              </w:rPr>
            </w:pP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38" style="width:2in;height:1pt" o:hrpct="0" o:hralign="center" o:hrstd="t" o:hrnoshade="t" o:hr="t" fillcolor="black [3213]" stroked="f"/>
        </w:pict>
      </w:r>
    </w:p>
    <w:p w:rsidR="00AA605C" w:rsidRDefault="00AA605C" w:rsidP="00AA605C">
      <w:pPr>
        <w:rPr>
          <w:sz w:val="20"/>
          <w:szCs w:val="20"/>
        </w:rPr>
      </w:pPr>
    </w:p>
    <w:p w:rsidR="00926CD5" w:rsidRDefault="00926CD5">
      <w:pPr>
        <w:rPr>
          <w:sz w:val="20"/>
          <w:szCs w:val="20"/>
          <w:u w:val="single"/>
          <w:lang w:val="fr-CA"/>
        </w:rPr>
      </w:pPr>
      <w:r>
        <w:rPr>
          <w:sz w:val="20"/>
          <w:szCs w:val="20"/>
          <w:u w:val="single"/>
          <w:lang w:val="fr-CA"/>
        </w:rPr>
        <w:br w:type="page"/>
      </w:r>
    </w:p>
    <w:p w:rsidR="00AA605C" w:rsidRPr="001B157C" w:rsidRDefault="00AA605C" w:rsidP="00AA605C">
      <w:pPr>
        <w:rPr>
          <w:sz w:val="20"/>
          <w:szCs w:val="20"/>
          <w:u w:val="single"/>
          <w:lang w:val="fr-CA"/>
        </w:rPr>
      </w:pPr>
      <w:r w:rsidRPr="001B157C">
        <w:rPr>
          <w:sz w:val="20"/>
          <w:szCs w:val="20"/>
          <w:u w:val="single"/>
          <w:lang w:val="fr-CA"/>
        </w:rPr>
        <w:lastRenderedPageBreak/>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33148" w:rsidRPr="00D41BFD" w:rsidTr="00A0505A">
        <w:tc>
          <w:tcPr>
            <w:tcW w:w="5000" w:type="pct"/>
            <w:gridSpan w:val="3"/>
          </w:tcPr>
          <w:p w:rsidR="00833148" w:rsidRPr="00667307" w:rsidRDefault="00833148" w:rsidP="00A0505A">
            <w:pPr>
              <w:jc w:val="both"/>
              <w:rPr>
                <w:rFonts w:eastAsia="Calibri"/>
                <w:sz w:val="20"/>
                <w:lang w:val="fr-FR"/>
              </w:rPr>
            </w:pPr>
            <w:r w:rsidRPr="00667307">
              <w:rPr>
                <w:rFonts w:eastAsia="Calibri"/>
                <w:sz w:val="20"/>
                <w:lang w:val="fr-FR"/>
              </w:rPr>
              <w:t xml:space="preserve">Droit des Autochtones – Droits ancestraux – Titre aborigène – Procédure civile – Actes de procédure – Requête en radiation – La juge de la juridiction inférieure a-t-elle conclu à tort que la déclaration (modifiée) ne révèle aucune cause d’action raisonnable parce que le demandeur n’avait pas qualité pour revendiquer un « titre autochtone »? – La juge de la juridiction inférieure a-t-elle conclu à tort que la poursuite ne peut prendre la forme d’un recours collectif? La juge a-t-elle appliqué le bon critère pour radier un acte de procédure qui ne révèle aucune cause d’action raisonnable? </w:t>
            </w:r>
          </w:p>
        </w:tc>
      </w:tr>
      <w:tr w:rsidR="00833148" w:rsidRPr="00D41BFD" w:rsidTr="00A0505A">
        <w:tc>
          <w:tcPr>
            <w:tcW w:w="5000" w:type="pct"/>
            <w:gridSpan w:val="3"/>
          </w:tcPr>
          <w:p w:rsidR="00833148" w:rsidRPr="00667307" w:rsidRDefault="00833148" w:rsidP="00A0505A">
            <w:pPr>
              <w:jc w:val="both"/>
              <w:rPr>
                <w:rFonts w:eastAsia="Calibri"/>
                <w:sz w:val="20"/>
                <w:lang w:val="fr-FR"/>
              </w:rPr>
            </w:pPr>
          </w:p>
        </w:tc>
      </w:tr>
      <w:tr w:rsidR="00833148" w:rsidRPr="00D41BFD" w:rsidTr="00A0505A">
        <w:tc>
          <w:tcPr>
            <w:tcW w:w="5000" w:type="pct"/>
            <w:gridSpan w:val="3"/>
          </w:tcPr>
          <w:p w:rsidR="00833148" w:rsidRPr="00667307" w:rsidRDefault="00833148" w:rsidP="00A0505A">
            <w:pPr>
              <w:jc w:val="both"/>
              <w:rPr>
                <w:rFonts w:eastAsia="Calibri"/>
                <w:sz w:val="20"/>
                <w:lang w:val="fr-FR"/>
              </w:rPr>
            </w:pPr>
            <w:r w:rsidRPr="00667307">
              <w:rPr>
                <w:rFonts w:eastAsia="Calibri"/>
                <w:sz w:val="20"/>
                <w:lang w:val="fr-FR"/>
              </w:rPr>
              <w:t>Le demandeur, M. William Louison, a intenté une action en vue d’obtenir notamment un jugement déclarant l’existence d’un « titre autochtone » sur certaines terres situées en  Saskatchewan qui font partie ou pourraient faire partie des terres de réserve de l’intimée bande indienne d’Ochapowace n</w:t>
            </w:r>
            <w:r w:rsidRPr="00667307">
              <w:rPr>
                <w:rFonts w:eastAsia="Calibri"/>
                <w:sz w:val="20"/>
                <w:vertAlign w:val="superscript"/>
                <w:lang w:val="fr-FR"/>
              </w:rPr>
              <w:t>o</w:t>
            </w:r>
            <w:r w:rsidRPr="00667307">
              <w:rPr>
                <w:rFonts w:eastAsia="Calibri"/>
                <w:sz w:val="20"/>
                <w:lang w:val="fr-FR"/>
              </w:rPr>
              <w:t xml:space="preserve"> 71 (« Ochapowace »).  </w:t>
            </w:r>
            <w:r w:rsidRPr="00667307">
              <w:rPr>
                <w:rFonts w:eastAsia="Calibri"/>
                <w:sz w:val="20"/>
                <w:lang w:val="fr-CA"/>
              </w:rPr>
              <w:t xml:space="preserve">Les intimées Ochapowace, 312050 Saskatchewan Ltd. </w:t>
            </w:r>
            <w:r w:rsidRPr="00667307">
              <w:rPr>
                <w:rFonts w:eastAsia="Calibri"/>
                <w:sz w:val="20"/>
                <w:lang w:val="fr-FR"/>
              </w:rPr>
              <w:t xml:space="preserve">(une société appartenant entièrement à Ochapowace et détenant en fief simple certaines des terres en question) et Sa Majesté la Reine du chef de la Saskatchewan (« Saskatchewan ») ont demandé des ordonnances radiant la déclaration de M. Louison parce qu’elle ne révèle aucune cause d’action raisonnable, vu que M. Louison n’a pas qualité en tant que personne pour revendiquer un titre aborigène.  Une juge siégeant en cabinet de la Cour du Banc de la Reine de la Saskatchewan a accueilli les requêtes des intimées.  Elle a donc radié la déclaration de M. Louison et rejeté l’action intenté contre les intimées, concluant que M. Louison n’avait pas qualité ni de motif juridique, soit à titre personnel, soit en qualité de représentant, pour revendiquer un titre aborigène, le titre revendiqué en cause étant, selon elle, de nature collective et non personnelle.  La Cour d’appel de la Saskatchewan a souscrit pour l’essentiel à la décision et aux motifs de la juge siégeant en cabinet, et elle a rejeté l’appel de M. Louison.  </w:t>
            </w:r>
          </w:p>
          <w:p w:rsidR="00833148" w:rsidRPr="00667307" w:rsidRDefault="00833148" w:rsidP="00A0505A">
            <w:pPr>
              <w:jc w:val="both"/>
              <w:rPr>
                <w:rFonts w:eastAsia="Calibri"/>
                <w:sz w:val="20"/>
                <w:lang w:val="fr-FR"/>
              </w:rPr>
            </w:pPr>
          </w:p>
        </w:tc>
      </w:tr>
      <w:tr w:rsidR="00833148" w:rsidRPr="00D41BFD" w:rsidTr="00A0505A">
        <w:tc>
          <w:tcPr>
            <w:tcW w:w="2427" w:type="pct"/>
          </w:tcPr>
          <w:p w:rsidR="00833148" w:rsidRPr="00667307" w:rsidRDefault="00833148" w:rsidP="00A0505A">
            <w:pPr>
              <w:jc w:val="both"/>
              <w:rPr>
                <w:rFonts w:eastAsia="Calibri"/>
                <w:sz w:val="20"/>
                <w:lang w:val="fr-FR"/>
              </w:rPr>
            </w:pPr>
            <w:r w:rsidRPr="00667307">
              <w:rPr>
                <w:rFonts w:eastAsia="Calibri"/>
                <w:sz w:val="20"/>
                <w:lang w:val="fr-FR"/>
              </w:rPr>
              <w:t>14 février 2011</w:t>
            </w:r>
          </w:p>
          <w:p w:rsidR="00833148" w:rsidRPr="00667307" w:rsidRDefault="00833148" w:rsidP="00A0505A">
            <w:pPr>
              <w:jc w:val="both"/>
              <w:rPr>
                <w:rFonts w:eastAsia="Calibri"/>
                <w:sz w:val="20"/>
                <w:lang w:val="fr-FR"/>
              </w:rPr>
            </w:pPr>
            <w:r w:rsidRPr="00667307">
              <w:rPr>
                <w:rFonts w:eastAsia="Calibri"/>
                <w:sz w:val="20"/>
                <w:lang w:val="fr-FR"/>
              </w:rPr>
              <w:t>Cour du Banc de la Reine de la Saskatchewan</w:t>
            </w:r>
          </w:p>
          <w:p w:rsidR="00833148" w:rsidRPr="00667307" w:rsidRDefault="00833148" w:rsidP="00A0505A">
            <w:pPr>
              <w:jc w:val="both"/>
              <w:rPr>
                <w:rFonts w:eastAsia="Calibri"/>
                <w:sz w:val="20"/>
              </w:rPr>
            </w:pPr>
            <w:r w:rsidRPr="00667307">
              <w:rPr>
                <w:rFonts w:eastAsia="Calibri"/>
                <w:sz w:val="20"/>
              </w:rPr>
              <w:t>(Juge Pritchard)</w:t>
            </w:r>
          </w:p>
          <w:p w:rsidR="00833148" w:rsidRPr="00667307" w:rsidRDefault="00833148" w:rsidP="00A0505A">
            <w:pPr>
              <w:jc w:val="both"/>
              <w:rPr>
                <w:rFonts w:eastAsia="Calibri"/>
                <w:sz w:val="20"/>
              </w:rPr>
            </w:pPr>
          </w:p>
        </w:tc>
        <w:tc>
          <w:tcPr>
            <w:tcW w:w="243" w:type="pct"/>
          </w:tcPr>
          <w:p w:rsidR="00833148" w:rsidRPr="00667307" w:rsidRDefault="00833148" w:rsidP="00A0505A">
            <w:pPr>
              <w:jc w:val="both"/>
              <w:rPr>
                <w:rFonts w:eastAsia="Calibri"/>
                <w:sz w:val="20"/>
              </w:rPr>
            </w:pPr>
          </w:p>
        </w:tc>
        <w:tc>
          <w:tcPr>
            <w:tcW w:w="2330" w:type="pct"/>
          </w:tcPr>
          <w:p w:rsidR="00833148" w:rsidRPr="00667307" w:rsidRDefault="00833148" w:rsidP="00A0505A">
            <w:pPr>
              <w:jc w:val="both"/>
              <w:rPr>
                <w:rFonts w:eastAsia="Calibri"/>
                <w:sz w:val="20"/>
                <w:lang w:val="fr-FR"/>
              </w:rPr>
            </w:pPr>
            <w:r w:rsidRPr="00667307">
              <w:rPr>
                <w:rFonts w:eastAsia="Calibri"/>
                <w:sz w:val="20"/>
                <w:lang w:val="fr-FR"/>
              </w:rPr>
              <w:t>Requêtes des intimées en radiation de la déclaration dans son intégralité et en rejet de l’action du demandeur accueillies.</w:t>
            </w:r>
          </w:p>
          <w:p w:rsidR="00833148" w:rsidRPr="00667307" w:rsidRDefault="00833148" w:rsidP="00A0505A">
            <w:pPr>
              <w:jc w:val="both"/>
              <w:rPr>
                <w:rFonts w:eastAsia="Calibri"/>
                <w:sz w:val="20"/>
                <w:lang w:val="fr-FR"/>
              </w:rPr>
            </w:pPr>
          </w:p>
        </w:tc>
      </w:tr>
      <w:tr w:rsidR="00833148" w:rsidRPr="00D41BFD" w:rsidTr="00A0505A">
        <w:tc>
          <w:tcPr>
            <w:tcW w:w="2427" w:type="pct"/>
          </w:tcPr>
          <w:p w:rsidR="00833148" w:rsidRPr="00667307" w:rsidRDefault="00833148" w:rsidP="00A0505A">
            <w:pPr>
              <w:jc w:val="both"/>
              <w:rPr>
                <w:rFonts w:eastAsia="Calibri"/>
                <w:sz w:val="20"/>
                <w:lang w:val="fr-FR"/>
              </w:rPr>
            </w:pPr>
            <w:r w:rsidRPr="00667307">
              <w:rPr>
                <w:rFonts w:eastAsia="Calibri"/>
                <w:sz w:val="20"/>
                <w:lang w:val="fr-FR"/>
              </w:rPr>
              <w:t>13 décembre 2011</w:t>
            </w:r>
          </w:p>
          <w:p w:rsidR="00833148" w:rsidRPr="00667307" w:rsidRDefault="00833148" w:rsidP="00A0505A">
            <w:pPr>
              <w:jc w:val="both"/>
              <w:rPr>
                <w:rFonts w:eastAsia="Calibri"/>
                <w:sz w:val="20"/>
                <w:lang w:val="fr-FR"/>
              </w:rPr>
            </w:pPr>
            <w:r w:rsidRPr="00667307">
              <w:rPr>
                <w:rFonts w:eastAsia="Calibri"/>
                <w:sz w:val="20"/>
                <w:lang w:val="fr-FR"/>
              </w:rPr>
              <w:t>Cour d’appel de la Saskatchewan</w:t>
            </w:r>
          </w:p>
          <w:p w:rsidR="00833148" w:rsidRPr="00667307" w:rsidRDefault="00833148" w:rsidP="00A0505A">
            <w:pPr>
              <w:jc w:val="both"/>
              <w:rPr>
                <w:rFonts w:eastAsia="Calibri"/>
                <w:sz w:val="20"/>
              </w:rPr>
            </w:pPr>
            <w:r w:rsidRPr="00667307">
              <w:rPr>
                <w:rFonts w:eastAsia="Calibri"/>
                <w:sz w:val="20"/>
              </w:rPr>
              <w:t>(Juges Vancise, Ottenbreit et Caldwell)</w:t>
            </w:r>
          </w:p>
          <w:p w:rsidR="00833148" w:rsidRPr="00667307" w:rsidRDefault="00833148" w:rsidP="00A0505A">
            <w:pPr>
              <w:jc w:val="both"/>
              <w:rPr>
                <w:rFonts w:eastAsia="Calibri"/>
                <w:sz w:val="20"/>
              </w:rPr>
            </w:pPr>
          </w:p>
        </w:tc>
        <w:tc>
          <w:tcPr>
            <w:tcW w:w="243" w:type="pct"/>
          </w:tcPr>
          <w:p w:rsidR="00833148" w:rsidRPr="00667307" w:rsidRDefault="00833148" w:rsidP="00A0505A">
            <w:pPr>
              <w:jc w:val="both"/>
              <w:rPr>
                <w:rFonts w:eastAsia="Calibri"/>
                <w:sz w:val="20"/>
              </w:rPr>
            </w:pPr>
          </w:p>
        </w:tc>
        <w:tc>
          <w:tcPr>
            <w:tcW w:w="2330" w:type="pct"/>
          </w:tcPr>
          <w:p w:rsidR="00833148" w:rsidRPr="00667307" w:rsidRDefault="00833148" w:rsidP="00A0505A">
            <w:pPr>
              <w:jc w:val="both"/>
              <w:rPr>
                <w:rFonts w:eastAsia="Calibri"/>
                <w:sz w:val="20"/>
                <w:lang w:val="fr-FR"/>
              </w:rPr>
            </w:pPr>
            <w:r w:rsidRPr="00667307">
              <w:rPr>
                <w:rFonts w:eastAsia="Calibri"/>
                <w:sz w:val="20"/>
                <w:lang w:val="fr-FR"/>
              </w:rPr>
              <w:t>Appel interjeté par le demandeur contre l’ordonnance radiant la déclaration et rejetant l’action, rejeté.</w:t>
            </w:r>
          </w:p>
        </w:tc>
      </w:tr>
      <w:tr w:rsidR="00833148" w:rsidRPr="00667307" w:rsidTr="00A0505A">
        <w:tc>
          <w:tcPr>
            <w:tcW w:w="2427" w:type="pct"/>
          </w:tcPr>
          <w:p w:rsidR="00833148" w:rsidRPr="0060330E" w:rsidRDefault="00833148" w:rsidP="00A0505A">
            <w:pPr>
              <w:jc w:val="both"/>
              <w:rPr>
                <w:rFonts w:eastAsia="Calibri"/>
                <w:sz w:val="20"/>
                <w:lang w:val="fr-CA"/>
              </w:rPr>
            </w:pPr>
            <w:r w:rsidRPr="0060330E">
              <w:rPr>
                <w:rFonts w:eastAsia="Calibri"/>
                <w:sz w:val="20"/>
                <w:lang w:val="fr-CA"/>
              </w:rPr>
              <w:t>9 décembre 2011</w:t>
            </w:r>
          </w:p>
          <w:p w:rsidR="00833148" w:rsidRPr="0060330E" w:rsidRDefault="00833148" w:rsidP="00A0505A">
            <w:pPr>
              <w:jc w:val="both"/>
              <w:rPr>
                <w:rFonts w:eastAsia="Calibri"/>
                <w:sz w:val="20"/>
                <w:lang w:val="fr-CA"/>
              </w:rPr>
            </w:pPr>
            <w:r w:rsidRPr="0060330E">
              <w:rPr>
                <w:rFonts w:eastAsia="Calibri"/>
                <w:sz w:val="20"/>
                <w:lang w:val="fr-CA"/>
              </w:rPr>
              <w:t>Cour suprême du Canada</w:t>
            </w:r>
          </w:p>
        </w:tc>
        <w:tc>
          <w:tcPr>
            <w:tcW w:w="243" w:type="pct"/>
          </w:tcPr>
          <w:p w:rsidR="00833148" w:rsidRPr="0060330E" w:rsidRDefault="00833148" w:rsidP="00A0505A">
            <w:pPr>
              <w:jc w:val="both"/>
              <w:rPr>
                <w:rFonts w:eastAsia="Calibri"/>
                <w:sz w:val="20"/>
                <w:lang w:val="fr-CA"/>
              </w:rPr>
            </w:pPr>
          </w:p>
        </w:tc>
        <w:tc>
          <w:tcPr>
            <w:tcW w:w="2330" w:type="pct"/>
          </w:tcPr>
          <w:p w:rsidR="00833148" w:rsidRPr="00667307" w:rsidRDefault="00833148" w:rsidP="00A0505A">
            <w:pPr>
              <w:jc w:val="both"/>
              <w:rPr>
                <w:rFonts w:eastAsia="Calibri"/>
                <w:sz w:val="20"/>
              </w:rPr>
            </w:pPr>
            <w:r w:rsidRPr="00667307">
              <w:rPr>
                <w:rFonts w:eastAsia="Calibri"/>
                <w:sz w:val="20"/>
              </w:rPr>
              <w:t>Demande d’autorisation d’appel déposée.</w:t>
            </w:r>
          </w:p>
          <w:p w:rsidR="00833148" w:rsidRPr="00667307" w:rsidRDefault="00833148" w:rsidP="00A0505A">
            <w:pPr>
              <w:jc w:val="both"/>
              <w:rPr>
                <w:rFonts w:eastAsia="Calibri"/>
                <w:sz w:val="20"/>
              </w:rPr>
            </w:pPr>
          </w:p>
        </w:tc>
      </w:tr>
    </w:tbl>
    <w:p w:rsidR="00AA605C" w:rsidRDefault="00AA605C" w:rsidP="000E2959">
      <w:pPr>
        <w:rPr>
          <w:sz w:val="20"/>
          <w:szCs w:val="20"/>
        </w:rPr>
      </w:pPr>
    </w:p>
    <w:p w:rsidR="00AA605C" w:rsidRDefault="00B3404D" w:rsidP="000E2959">
      <w:pPr>
        <w:rPr>
          <w:sz w:val="20"/>
          <w:szCs w:val="20"/>
          <w:lang w:val="fr-CA"/>
        </w:rPr>
      </w:pPr>
      <w:r w:rsidRPr="00B3404D">
        <w:rPr>
          <w:sz w:val="20"/>
          <w:szCs w:val="20"/>
          <w:lang w:val="fr-CA"/>
        </w:rPr>
        <w:pict>
          <v:rect id="_x0000_i1039" style="width:2in;height:1pt" o:hrpct="0" o:hralign="center" o:hrstd="t" o:hrnoshade="t" o:hr="t" fillcolor="black [3213]" stroked="f"/>
        </w:pict>
      </w:r>
    </w:p>
    <w:p w:rsidR="00AA605C" w:rsidRDefault="00AA605C"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26CD5" w:rsidRPr="00926CD5" w:rsidTr="00A61B52">
        <w:trPr>
          <w:cantSplit/>
        </w:trPr>
        <w:tc>
          <w:tcPr>
            <w:tcW w:w="1458" w:type="dxa"/>
          </w:tcPr>
          <w:p w:rsidR="00926CD5" w:rsidRPr="00926CD5" w:rsidRDefault="00926CD5" w:rsidP="00926CD5">
            <w:pPr>
              <w:rPr>
                <w:sz w:val="20"/>
                <w:szCs w:val="20"/>
              </w:rPr>
            </w:pPr>
            <w:r w:rsidRPr="00926CD5">
              <w:rPr>
                <w:b/>
                <w:sz w:val="20"/>
                <w:lang w:val="fr-CA"/>
              </w:rPr>
              <w:t>35045</w:t>
            </w:r>
          </w:p>
          <w:p w:rsidR="00926CD5" w:rsidRPr="00926CD5" w:rsidRDefault="00926CD5" w:rsidP="00926CD5">
            <w:pPr>
              <w:rPr>
                <w:b/>
                <w:sz w:val="20"/>
                <w:szCs w:val="20"/>
                <w:lang w:val="fr-CA"/>
              </w:rPr>
            </w:pPr>
          </w:p>
        </w:tc>
        <w:tc>
          <w:tcPr>
            <w:tcW w:w="8118" w:type="dxa"/>
          </w:tcPr>
          <w:p w:rsidR="00926CD5" w:rsidRPr="00926CD5" w:rsidRDefault="00926CD5" w:rsidP="00926CD5">
            <w:pPr>
              <w:jc w:val="both"/>
              <w:rPr>
                <w:sz w:val="20"/>
                <w:szCs w:val="20"/>
              </w:rPr>
            </w:pPr>
            <w:r w:rsidRPr="00926CD5">
              <w:rPr>
                <w:b/>
                <w:sz w:val="20"/>
                <w:u w:val="single"/>
              </w:rPr>
              <w:t>Maria Villanueva-Vera, (a.k.a. Maria Mayerova, a.k.a. Maria Mayer) v. Minister of Justice</w:t>
            </w:r>
            <w:r w:rsidRPr="00926CD5">
              <w:rPr>
                <w:sz w:val="20"/>
                <w:szCs w:val="20"/>
              </w:rPr>
              <w:t xml:space="preserve"> (Ont.) (Criminal) (By Leave)</w:t>
            </w:r>
          </w:p>
          <w:p w:rsidR="00926CD5" w:rsidRPr="00926CD5" w:rsidRDefault="00926CD5" w:rsidP="00926CD5">
            <w:pPr>
              <w:jc w:val="both"/>
              <w:rPr>
                <w:sz w:val="20"/>
                <w:szCs w:val="20"/>
              </w:rPr>
            </w:pPr>
          </w:p>
        </w:tc>
      </w:tr>
      <w:tr w:rsidR="00926CD5" w:rsidRPr="00926CD5" w:rsidTr="00A61B52">
        <w:trPr>
          <w:cantSplit/>
        </w:trPr>
        <w:tc>
          <w:tcPr>
            <w:tcW w:w="1458" w:type="dxa"/>
          </w:tcPr>
          <w:p w:rsidR="00926CD5" w:rsidRPr="00926CD5" w:rsidRDefault="00926CD5" w:rsidP="00926CD5">
            <w:pPr>
              <w:rPr>
                <w:sz w:val="20"/>
                <w:szCs w:val="20"/>
              </w:rPr>
            </w:pPr>
            <w:r w:rsidRPr="00926CD5">
              <w:rPr>
                <w:sz w:val="20"/>
                <w:szCs w:val="20"/>
              </w:rPr>
              <w:t>Coram :</w:t>
            </w:r>
          </w:p>
        </w:tc>
        <w:tc>
          <w:tcPr>
            <w:tcW w:w="8118" w:type="dxa"/>
          </w:tcPr>
          <w:p w:rsidR="00926CD5" w:rsidRPr="00926CD5" w:rsidRDefault="00926CD5" w:rsidP="00926CD5">
            <w:pPr>
              <w:rPr>
                <w:sz w:val="20"/>
                <w:szCs w:val="20"/>
              </w:rPr>
            </w:pPr>
            <w:r w:rsidRPr="00926CD5">
              <w:rPr>
                <w:sz w:val="20"/>
                <w:u w:val="single"/>
              </w:rPr>
              <w:t>Fish, Rothstein and Moldaver JJ.</w:t>
            </w:r>
          </w:p>
          <w:p w:rsidR="00926CD5" w:rsidRPr="00926CD5" w:rsidRDefault="00926CD5" w:rsidP="00926CD5">
            <w:pPr>
              <w:rPr>
                <w:sz w:val="20"/>
                <w:szCs w:val="20"/>
                <w:u w:val="single"/>
              </w:rPr>
            </w:pPr>
          </w:p>
        </w:tc>
      </w:tr>
      <w:tr w:rsidR="00926CD5" w:rsidRPr="00D41BFD" w:rsidTr="00A61B52">
        <w:trPr>
          <w:cantSplit/>
        </w:trPr>
        <w:tc>
          <w:tcPr>
            <w:tcW w:w="9576" w:type="dxa"/>
            <w:gridSpan w:val="2"/>
          </w:tcPr>
          <w:p w:rsidR="00926CD5" w:rsidRPr="00926CD5" w:rsidRDefault="00926CD5" w:rsidP="00926CD5">
            <w:pPr>
              <w:ind w:firstLine="720"/>
              <w:jc w:val="both"/>
              <w:rPr>
                <w:sz w:val="20"/>
                <w:szCs w:val="20"/>
              </w:rPr>
            </w:pPr>
            <w:r w:rsidRPr="00926CD5">
              <w:rPr>
                <w:sz w:val="20"/>
                <w:szCs w:val="20"/>
              </w:rPr>
              <w:t>The motion for an extension of time to serve and file the application for leave to appeal is granted. The application for leave to appeal from the judgment of the Court of Appeal for Ontario, Number C52733, 2012 ONCA 657, dated October 2, 2012, is dismissed without costs.</w:t>
            </w:r>
          </w:p>
          <w:p w:rsidR="00926CD5" w:rsidRPr="00926CD5" w:rsidRDefault="00926CD5" w:rsidP="00926CD5">
            <w:pPr>
              <w:jc w:val="both"/>
              <w:rPr>
                <w:sz w:val="20"/>
                <w:szCs w:val="20"/>
              </w:rPr>
            </w:pPr>
          </w:p>
          <w:p w:rsidR="00926CD5" w:rsidRPr="00926CD5" w:rsidRDefault="00926CD5" w:rsidP="00926CD5">
            <w:pPr>
              <w:ind w:firstLine="720"/>
              <w:jc w:val="both"/>
              <w:rPr>
                <w:sz w:val="20"/>
                <w:szCs w:val="20"/>
                <w:lang w:val="fr-CA"/>
              </w:rPr>
            </w:pPr>
            <w:r w:rsidRPr="00926CD5">
              <w:rPr>
                <w:sz w:val="20"/>
                <w:szCs w:val="20"/>
                <w:lang w:val="fr-CA"/>
              </w:rPr>
              <w:t>La requête en prorogation du délai de signification et de dépôt de la demande d’autorisation d’appel est accueillie. La demande d’autorisation d’appel de l’arrêt de la Cour d’appel de l’Ontario, numéro C52733, 2012 ONCA 657, daté du 2 octobre 2012, est rejetée sans dépens.</w:t>
            </w:r>
          </w:p>
        </w:tc>
      </w:tr>
    </w:tbl>
    <w:p w:rsidR="00AA605C" w:rsidRPr="00926CD5" w:rsidRDefault="00AA605C" w:rsidP="00AA605C">
      <w:pPr>
        <w:rPr>
          <w:sz w:val="20"/>
          <w:szCs w:val="20"/>
          <w:lang w:val="fr-CA"/>
        </w:rPr>
      </w:pPr>
    </w:p>
    <w:p w:rsidR="00926CD5" w:rsidRPr="001533B8" w:rsidRDefault="00926CD5">
      <w:pPr>
        <w:rPr>
          <w:sz w:val="20"/>
          <w:szCs w:val="20"/>
          <w:u w:val="single"/>
          <w:lang w:val="fr-CA"/>
        </w:rPr>
      </w:pPr>
      <w:r w:rsidRPr="001533B8">
        <w:rPr>
          <w:sz w:val="20"/>
          <w:szCs w:val="20"/>
          <w:u w:val="single"/>
          <w:lang w:val="fr-CA"/>
        </w:rPr>
        <w:br w:type="page"/>
      </w:r>
    </w:p>
    <w:p w:rsidR="00AA605C" w:rsidRPr="001B157C" w:rsidRDefault="00AA605C" w:rsidP="00AA605C">
      <w:pPr>
        <w:rPr>
          <w:sz w:val="20"/>
          <w:szCs w:val="20"/>
          <w:u w:val="single"/>
        </w:rPr>
      </w:pPr>
      <w:r w:rsidRPr="001B157C">
        <w:rPr>
          <w:sz w:val="20"/>
          <w:szCs w:val="20"/>
          <w:u w:val="single"/>
        </w:rPr>
        <w:lastRenderedPageBreak/>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33148" w:rsidRPr="00667307" w:rsidTr="00A0505A">
        <w:tc>
          <w:tcPr>
            <w:tcW w:w="5000" w:type="pct"/>
            <w:gridSpan w:val="3"/>
          </w:tcPr>
          <w:p w:rsidR="00833148" w:rsidRPr="00667307" w:rsidRDefault="00833148" w:rsidP="00A0505A">
            <w:pPr>
              <w:jc w:val="both"/>
              <w:rPr>
                <w:rFonts w:eastAsia="Calibri"/>
                <w:sz w:val="20"/>
              </w:rPr>
            </w:pPr>
            <w:r w:rsidRPr="00667307">
              <w:rPr>
                <w:rFonts w:eastAsia="Calibri"/>
                <w:i/>
                <w:sz w:val="20"/>
              </w:rPr>
              <w:t xml:space="preserve">Charter of Rights </w:t>
            </w:r>
            <w:r w:rsidRPr="00667307">
              <w:rPr>
                <w:rFonts w:eastAsia="Calibri"/>
                <w:sz w:val="20"/>
              </w:rPr>
              <w:t>– Extradition – Surrender order – Applicant coming to Canada as Convention refugee but later becoming Canadian citizen – Country of origin requesting extradition of applicant to serve sentence for attempted fraud conviction – Minister ordering surrender – Court of Appeal dismissing application for judicial review – Whether the Court of Appeal erred in concluding that the naturalisation of the applicant resulted in the cessation of her refugee status – Whether the Court of Appeal erred in equating s. 44(1)(</w:t>
            </w:r>
            <w:r w:rsidRPr="00667307">
              <w:rPr>
                <w:rFonts w:eastAsia="Calibri"/>
                <w:i/>
                <w:sz w:val="20"/>
              </w:rPr>
              <w:t>b</w:t>
            </w:r>
            <w:r w:rsidRPr="00667307">
              <w:rPr>
                <w:rFonts w:eastAsia="Calibri"/>
                <w:sz w:val="20"/>
              </w:rPr>
              <w:t xml:space="preserve">) of the </w:t>
            </w:r>
            <w:r w:rsidRPr="00667307">
              <w:rPr>
                <w:rFonts w:eastAsia="Calibri"/>
                <w:i/>
                <w:sz w:val="20"/>
              </w:rPr>
              <w:t>Extradition Act</w:t>
            </w:r>
            <w:r w:rsidRPr="00667307">
              <w:rPr>
                <w:rFonts w:eastAsia="Calibri"/>
                <w:sz w:val="20"/>
              </w:rPr>
              <w:t xml:space="preserve"> with the </w:t>
            </w:r>
            <w:r w:rsidRPr="00667307">
              <w:rPr>
                <w:rFonts w:eastAsia="Calibri"/>
                <w:i/>
                <w:sz w:val="20"/>
              </w:rPr>
              <w:t>Convention Relating to the Status of Refugees</w:t>
            </w:r>
            <w:r w:rsidRPr="00667307">
              <w:rPr>
                <w:rFonts w:eastAsia="Calibri"/>
                <w:sz w:val="20"/>
              </w:rPr>
              <w:t xml:space="preserve"> or by ignoring the fact that surrender is precluded under s. 44(1)(</w:t>
            </w:r>
            <w:r w:rsidRPr="00667307">
              <w:rPr>
                <w:rFonts w:eastAsia="Calibri"/>
                <w:i/>
                <w:sz w:val="20"/>
              </w:rPr>
              <w:t>b</w:t>
            </w:r>
            <w:r w:rsidRPr="00667307">
              <w:rPr>
                <w:rFonts w:eastAsia="Calibri"/>
                <w:sz w:val="20"/>
              </w:rPr>
              <w:t xml:space="preserve">) if any person, including a citizen, has been determined to be a refugee – Whether the Court of Appeal erred in failing to give effect to the Ministerial duty to directly apply international law in deciding whether to surrender a person under the </w:t>
            </w:r>
            <w:r w:rsidRPr="00667307">
              <w:rPr>
                <w:rFonts w:eastAsia="Calibri"/>
                <w:i/>
                <w:sz w:val="20"/>
              </w:rPr>
              <w:t>Extradition Act</w:t>
            </w:r>
            <w:r w:rsidRPr="00667307">
              <w:rPr>
                <w:rFonts w:eastAsia="Calibri"/>
                <w:sz w:val="20"/>
              </w:rPr>
              <w:t xml:space="preserve"> – Whether the Court of Appeal erred in upholding the Minister’s approach of requiring the applicant to prove on a balance of probabilities that actual persecution would take place – Whether the Court of Appeal erred in assessing whether the extradition of a citizen is contrary to s. 6 of the </w:t>
            </w:r>
            <w:r w:rsidRPr="00667307">
              <w:rPr>
                <w:rFonts w:eastAsia="Calibri"/>
                <w:i/>
                <w:sz w:val="20"/>
              </w:rPr>
              <w:t>Charter</w:t>
            </w:r>
            <w:r w:rsidRPr="00667307">
              <w:rPr>
                <w:rFonts w:eastAsia="Calibri"/>
                <w:sz w:val="20"/>
              </w:rPr>
              <w:t xml:space="preserve"> – Whether the Court of Appeal erred in misapplying s. 15 of the </w:t>
            </w:r>
            <w:r w:rsidRPr="00667307">
              <w:rPr>
                <w:rFonts w:eastAsia="Calibri"/>
                <w:i/>
                <w:sz w:val="20"/>
              </w:rPr>
              <w:t>Charter</w:t>
            </w:r>
            <w:r w:rsidRPr="00667307">
              <w:rPr>
                <w:rFonts w:eastAsia="Calibri"/>
                <w:sz w:val="20"/>
              </w:rPr>
              <w:t xml:space="preserve"> – Whether the Court of Appeal erred in reviewing the Minister’s decision with respect to the applicant’s submissions as to her health – </w:t>
            </w:r>
            <w:r w:rsidRPr="00667307">
              <w:rPr>
                <w:rFonts w:eastAsia="Calibri"/>
                <w:i/>
                <w:sz w:val="20"/>
              </w:rPr>
              <w:t>Extradition Act</w:t>
            </w:r>
            <w:r w:rsidRPr="00667307">
              <w:rPr>
                <w:rFonts w:eastAsia="Calibri"/>
                <w:sz w:val="20"/>
              </w:rPr>
              <w:t>, S.C. 1999, c. 18, s. 44(1)(</w:t>
            </w:r>
            <w:r w:rsidRPr="00667307">
              <w:rPr>
                <w:rFonts w:eastAsia="Calibri"/>
                <w:i/>
                <w:sz w:val="20"/>
              </w:rPr>
              <w:t>b</w:t>
            </w:r>
            <w:r w:rsidRPr="00667307">
              <w:rPr>
                <w:rFonts w:eastAsia="Calibri"/>
                <w:sz w:val="20"/>
              </w:rPr>
              <w:t>).</w:t>
            </w:r>
          </w:p>
        </w:tc>
      </w:tr>
      <w:tr w:rsidR="00833148" w:rsidRPr="00667307" w:rsidTr="00A0505A">
        <w:tc>
          <w:tcPr>
            <w:tcW w:w="5000" w:type="pct"/>
            <w:gridSpan w:val="3"/>
          </w:tcPr>
          <w:p w:rsidR="00833148" w:rsidRPr="00667307" w:rsidRDefault="00833148" w:rsidP="00A0505A">
            <w:pPr>
              <w:jc w:val="both"/>
              <w:rPr>
                <w:rFonts w:eastAsia="Calibri"/>
                <w:sz w:val="20"/>
              </w:rPr>
            </w:pPr>
          </w:p>
        </w:tc>
      </w:tr>
      <w:tr w:rsidR="00833148" w:rsidRPr="00667307" w:rsidTr="00A0505A">
        <w:tc>
          <w:tcPr>
            <w:tcW w:w="5000" w:type="pct"/>
            <w:gridSpan w:val="3"/>
          </w:tcPr>
          <w:p w:rsidR="00833148" w:rsidRPr="00667307" w:rsidRDefault="00833148" w:rsidP="00A0505A">
            <w:pPr>
              <w:jc w:val="both"/>
              <w:rPr>
                <w:rFonts w:eastAsia="Calibri"/>
                <w:sz w:val="20"/>
              </w:rPr>
            </w:pPr>
            <w:r w:rsidRPr="00667307">
              <w:rPr>
                <w:rFonts w:eastAsia="Calibri"/>
                <w:sz w:val="20"/>
              </w:rPr>
              <w:t>The applicant came to Canada from the Czech Republic in 2000.  She was granted refugee status in 2001 and became a Canadian citizen in 2006.  In 2009, the Czech authorities requested her extradition for the purpose of enforcing a three-year term of imprisonment imposed as a result of a conviction for attempted fraud in 2006.  The applicant was arrested and was committed to surrender for extradition.  The Minister of Justice ordered her unconditional surrender for extradition.  The Ontario Court of Appeal dismissed her application for judicial review.</w:t>
            </w:r>
          </w:p>
          <w:p w:rsidR="00833148" w:rsidRPr="00667307" w:rsidRDefault="00833148" w:rsidP="00A0505A">
            <w:pPr>
              <w:jc w:val="both"/>
              <w:rPr>
                <w:rFonts w:eastAsia="Calibri"/>
                <w:sz w:val="20"/>
              </w:rPr>
            </w:pPr>
          </w:p>
        </w:tc>
      </w:tr>
      <w:tr w:rsidR="00833148" w:rsidRPr="00667307" w:rsidTr="00A0505A">
        <w:tc>
          <w:tcPr>
            <w:tcW w:w="2427" w:type="pct"/>
          </w:tcPr>
          <w:p w:rsidR="00833148" w:rsidRPr="00667307" w:rsidRDefault="00833148" w:rsidP="00A0505A">
            <w:pPr>
              <w:jc w:val="both"/>
              <w:rPr>
                <w:rFonts w:eastAsia="Calibri"/>
                <w:sz w:val="20"/>
              </w:rPr>
            </w:pPr>
            <w:r w:rsidRPr="00667307">
              <w:rPr>
                <w:rFonts w:eastAsia="Calibri"/>
                <w:sz w:val="20"/>
              </w:rPr>
              <w:t>September 27, 2010</w:t>
            </w:r>
          </w:p>
          <w:p w:rsidR="00833148" w:rsidRPr="00667307" w:rsidRDefault="00833148" w:rsidP="00A0505A">
            <w:pPr>
              <w:jc w:val="both"/>
              <w:rPr>
                <w:rFonts w:eastAsia="Calibri"/>
                <w:sz w:val="20"/>
              </w:rPr>
            </w:pPr>
            <w:r w:rsidRPr="00667307">
              <w:rPr>
                <w:rFonts w:eastAsia="Calibri"/>
                <w:sz w:val="20"/>
              </w:rPr>
              <w:t>Minister of Justice of Canada</w:t>
            </w:r>
          </w:p>
          <w:p w:rsidR="00833148" w:rsidRPr="00667307" w:rsidRDefault="00833148" w:rsidP="00A0505A">
            <w:pPr>
              <w:jc w:val="both"/>
              <w:rPr>
                <w:rFonts w:eastAsia="Calibri"/>
                <w:sz w:val="20"/>
              </w:rPr>
            </w:pPr>
            <w:r w:rsidRPr="00667307">
              <w:rPr>
                <w:rFonts w:eastAsia="Calibri"/>
                <w:sz w:val="20"/>
              </w:rPr>
              <w:t>(The Hon. Rob Nicholson)</w:t>
            </w:r>
          </w:p>
          <w:p w:rsidR="00833148" w:rsidRPr="00667307" w:rsidRDefault="00833148" w:rsidP="00A0505A">
            <w:pPr>
              <w:jc w:val="both"/>
              <w:rPr>
                <w:rFonts w:eastAsia="Calibri"/>
                <w:sz w:val="20"/>
              </w:rPr>
            </w:pPr>
          </w:p>
        </w:tc>
        <w:tc>
          <w:tcPr>
            <w:tcW w:w="243" w:type="pct"/>
          </w:tcPr>
          <w:p w:rsidR="00833148" w:rsidRPr="00667307" w:rsidRDefault="00833148" w:rsidP="00A0505A">
            <w:pPr>
              <w:jc w:val="both"/>
              <w:rPr>
                <w:rFonts w:eastAsia="Calibri"/>
                <w:sz w:val="20"/>
              </w:rPr>
            </w:pPr>
          </w:p>
        </w:tc>
        <w:tc>
          <w:tcPr>
            <w:tcW w:w="2330" w:type="pct"/>
          </w:tcPr>
          <w:p w:rsidR="00833148" w:rsidRPr="00667307" w:rsidRDefault="00833148" w:rsidP="00A0505A">
            <w:pPr>
              <w:jc w:val="both"/>
              <w:rPr>
                <w:rFonts w:eastAsia="Calibri"/>
                <w:sz w:val="20"/>
              </w:rPr>
            </w:pPr>
            <w:r w:rsidRPr="00667307">
              <w:rPr>
                <w:rFonts w:eastAsia="Calibri"/>
                <w:sz w:val="20"/>
              </w:rPr>
              <w:t>Order of surrender signed</w:t>
            </w:r>
          </w:p>
          <w:p w:rsidR="00833148" w:rsidRPr="00667307" w:rsidRDefault="00833148" w:rsidP="00A0505A">
            <w:pPr>
              <w:jc w:val="both"/>
              <w:rPr>
                <w:rFonts w:eastAsia="Calibri"/>
                <w:sz w:val="20"/>
              </w:rPr>
            </w:pPr>
          </w:p>
        </w:tc>
      </w:tr>
      <w:tr w:rsidR="00833148" w:rsidRPr="00667307" w:rsidTr="00A0505A">
        <w:tc>
          <w:tcPr>
            <w:tcW w:w="2427" w:type="pct"/>
          </w:tcPr>
          <w:p w:rsidR="00833148" w:rsidRPr="00667307" w:rsidRDefault="00833148" w:rsidP="00A0505A">
            <w:pPr>
              <w:jc w:val="both"/>
              <w:rPr>
                <w:rFonts w:eastAsia="Calibri"/>
                <w:sz w:val="20"/>
              </w:rPr>
            </w:pPr>
            <w:r w:rsidRPr="00667307">
              <w:rPr>
                <w:rFonts w:eastAsia="Calibri"/>
                <w:sz w:val="20"/>
              </w:rPr>
              <w:t>October 20, 2011</w:t>
            </w:r>
          </w:p>
          <w:p w:rsidR="00833148" w:rsidRPr="00667307" w:rsidRDefault="00833148" w:rsidP="00A0505A">
            <w:pPr>
              <w:jc w:val="both"/>
              <w:rPr>
                <w:rFonts w:eastAsia="Calibri"/>
                <w:sz w:val="20"/>
              </w:rPr>
            </w:pPr>
            <w:r w:rsidRPr="00667307">
              <w:rPr>
                <w:rFonts w:eastAsia="Calibri"/>
                <w:sz w:val="20"/>
              </w:rPr>
              <w:t>Minister of Justice of Canada</w:t>
            </w:r>
          </w:p>
          <w:p w:rsidR="00833148" w:rsidRPr="00667307" w:rsidRDefault="00833148" w:rsidP="00A0505A">
            <w:pPr>
              <w:jc w:val="both"/>
              <w:rPr>
                <w:rFonts w:eastAsia="Calibri"/>
                <w:sz w:val="20"/>
              </w:rPr>
            </w:pPr>
            <w:r w:rsidRPr="00667307">
              <w:rPr>
                <w:rFonts w:eastAsia="Calibri"/>
                <w:sz w:val="20"/>
              </w:rPr>
              <w:t>(The Hon. Rob Nicholson)</w:t>
            </w:r>
          </w:p>
          <w:p w:rsidR="00833148" w:rsidRPr="00667307" w:rsidRDefault="00833148" w:rsidP="00A0505A">
            <w:pPr>
              <w:jc w:val="both"/>
              <w:rPr>
                <w:rFonts w:eastAsia="Calibri"/>
                <w:sz w:val="20"/>
              </w:rPr>
            </w:pPr>
          </w:p>
        </w:tc>
        <w:tc>
          <w:tcPr>
            <w:tcW w:w="243" w:type="pct"/>
          </w:tcPr>
          <w:p w:rsidR="00833148" w:rsidRPr="00667307" w:rsidRDefault="00833148" w:rsidP="00A0505A">
            <w:pPr>
              <w:jc w:val="both"/>
              <w:rPr>
                <w:rFonts w:eastAsia="Calibri"/>
                <w:sz w:val="20"/>
              </w:rPr>
            </w:pPr>
          </w:p>
        </w:tc>
        <w:tc>
          <w:tcPr>
            <w:tcW w:w="2330" w:type="pct"/>
          </w:tcPr>
          <w:p w:rsidR="00833148" w:rsidRPr="00667307" w:rsidRDefault="00833148" w:rsidP="00A0505A">
            <w:pPr>
              <w:jc w:val="both"/>
              <w:rPr>
                <w:rFonts w:eastAsia="Calibri"/>
                <w:sz w:val="20"/>
              </w:rPr>
            </w:pPr>
            <w:r w:rsidRPr="00667307">
              <w:rPr>
                <w:rFonts w:eastAsia="Calibri"/>
                <w:sz w:val="20"/>
              </w:rPr>
              <w:t>Request for reconsideration of surrender order dismissed</w:t>
            </w:r>
          </w:p>
        </w:tc>
      </w:tr>
      <w:tr w:rsidR="00833148" w:rsidRPr="00667307" w:rsidTr="00A0505A">
        <w:tc>
          <w:tcPr>
            <w:tcW w:w="2427" w:type="pct"/>
          </w:tcPr>
          <w:p w:rsidR="00833148" w:rsidRPr="00667307" w:rsidRDefault="00833148" w:rsidP="00A0505A">
            <w:pPr>
              <w:jc w:val="both"/>
              <w:rPr>
                <w:rFonts w:eastAsia="Calibri"/>
                <w:sz w:val="20"/>
              </w:rPr>
            </w:pPr>
            <w:r w:rsidRPr="00667307">
              <w:rPr>
                <w:rFonts w:eastAsia="Calibri"/>
                <w:sz w:val="20"/>
              </w:rPr>
              <w:t>October 2, 2012</w:t>
            </w:r>
          </w:p>
          <w:p w:rsidR="00833148" w:rsidRPr="00667307" w:rsidRDefault="00833148" w:rsidP="00A0505A">
            <w:pPr>
              <w:jc w:val="both"/>
              <w:rPr>
                <w:rFonts w:eastAsia="Calibri"/>
                <w:sz w:val="20"/>
              </w:rPr>
            </w:pPr>
            <w:r w:rsidRPr="00667307">
              <w:rPr>
                <w:rFonts w:eastAsia="Calibri"/>
                <w:sz w:val="20"/>
              </w:rPr>
              <w:t>Court of Appeal for Ontario</w:t>
            </w:r>
          </w:p>
          <w:p w:rsidR="00833148" w:rsidRPr="00667307" w:rsidRDefault="00833148" w:rsidP="00A0505A">
            <w:pPr>
              <w:jc w:val="both"/>
              <w:rPr>
                <w:rFonts w:eastAsia="Calibri"/>
                <w:sz w:val="20"/>
              </w:rPr>
            </w:pPr>
            <w:r w:rsidRPr="00667307">
              <w:rPr>
                <w:rFonts w:eastAsia="Calibri"/>
                <w:sz w:val="20"/>
              </w:rPr>
              <w:t>(Goudge, Watt and Hoy JJ.A.)</w:t>
            </w:r>
          </w:p>
          <w:p w:rsidR="00833148" w:rsidRPr="00667307" w:rsidRDefault="00833148" w:rsidP="00A0505A">
            <w:pPr>
              <w:jc w:val="both"/>
              <w:rPr>
                <w:rFonts w:eastAsia="Calibri"/>
                <w:sz w:val="20"/>
              </w:rPr>
            </w:pPr>
            <w:r w:rsidRPr="00667307">
              <w:rPr>
                <w:rFonts w:eastAsia="Calibri"/>
                <w:sz w:val="20"/>
              </w:rPr>
              <w:t>2012 ONCA 657</w:t>
            </w:r>
          </w:p>
          <w:p w:rsidR="00833148" w:rsidRPr="00667307" w:rsidRDefault="00833148" w:rsidP="00A0505A">
            <w:pPr>
              <w:jc w:val="both"/>
              <w:rPr>
                <w:rFonts w:eastAsia="Calibri"/>
                <w:sz w:val="20"/>
              </w:rPr>
            </w:pPr>
          </w:p>
        </w:tc>
        <w:tc>
          <w:tcPr>
            <w:tcW w:w="243" w:type="pct"/>
          </w:tcPr>
          <w:p w:rsidR="00833148" w:rsidRPr="00667307" w:rsidRDefault="00833148" w:rsidP="00A0505A">
            <w:pPr>
              <w:jc w:val="both"/>
              <w:rPr>
                <w:rFonts w:eastAsia="Calibri"/>
                <w:sz w:val="20"/>
              </w:rPr>
            </w:pPr>
          </w:p>
        </w:tc>
        <w:tc>
          <w:tcPr>
            <w:tcW w:w="2330" w:type="pct"/>
          </w:tcPr>
          <w:p w:rsidR="00833148" w:rsidRPr="00667307" w:rsidRDefault="00833148" w:rsidP="00A0505A">
            <w:pPr>
              <w:jc w:val="both"/>
              <w:rPr>
                <w:rFonts w:eastAsia="Calibri"/>
                <w:sz w:val="20"/>
              </w:rPr>
            </w:pPr>
            <w:r w:rsidRPr="00667307">
              <w:rPr>
                <w:rFonts w:eastAsia="Calibri"/>
                <w:sz w:val="20"/>
              </w:rPr>
              <w:t>Application for judicial review of surrender order dismissed</w:t>
            </w:r>
          </w:p>
          <w:p w:rsidR="00833148" w:rsidRPr="00667307" w:rsidRDefault="00833148" w:rsidP="00A0505A">
            <w:pPr>
              <w:jc w:val="both"/>
              <w:rPr>
                <w:rFonts w:eastAsia="Calibri"/>
                <w:sz w:val="20"/>
              </w:rPr>
            </w:pPr>
          </w:p>
        </w:tc>
      </w:tr>
      <w:tr w:rsidR="00833148" w:rsidRPr="00667307" w:rsidTr="00A0505A">
        <w:tc>
          <w:tcPr>
            <w:tcW w:w="2427" w:type="pct"/>
          </w:tcPr>
          <w:p w:rsidR="00833148" w:rsidRPr="00667307" w:rsidRDefault="00833148" w:rsidP="00A0505A">
            <w:pPr>
              <w:jc w:val="both"/>
              <w:rPr>
                <w:rFonts w:eastAsia="Calibri"/>
                <w:sz w:val="20"/>
              </w:rPr>
            </w:pPr>
            <w:r w:rsidRPr="00667307">
              <w:rPr>
                <w:rFonts w:eastAsia="Calibri"/>
                <w:sz w:val="20"/>
              </w:rPr>
              <w:t>March 27, 2013</w:t>
            </w:r>
          </w:p>
          <w:p w:rsidR="00833148" w:rsidRPr="00667307" w:rsidRDefault="00833148" w:rsidP="00A0505A">
            <w:pPr>
              <w:jc w:val="both"/>
              <w:rPr>
                <w:rFonts w:eastAsia="Calibri"/>
                <w:sz w:val="20"/>
              </w:rPr>
            </w:pPr>
            <w:r w:rsidRPr="00667307">
              <w:rPr>
                <w:rFonts w:eastAsia="Calibri"/>
                <w:sz w:val="20"/>
              </w:rPr>
              <w:t>Supreme Court of Canada</w:t>
            </w:r>
          </w:p>
        </w:tc>
        <w:tc>
          <w:tcPr>
            <w:tcW w:w="243" w:type="pct"/>
          </w:tcPr>
          <w:p w:rsidR="00833148" w:rsidRPr="00667307" w:rsidRDefault="00833148" w:rsidP="00A0505A">
            <w:pPr>
              <w:jc w:val="both"/>
              <w:rPr>
                <w:rFonts w:eastAsia="Calibri"/>
                <w:sz w:val="20"/>
              </w:rPr>
            </w:pPr>
          </w:p>
        </w:tc>
        <w:tc>
          <w:tcPr>
            <w:tcW w:w="2330" w:type="pct"/>
          </w:tcPr>
          <w:p w:rsidR="00833148" w:rsidRPr="00667307" w:rsidRDefault="00833148" w:rsidP="00A0505A">
            <w:pPr>
              <w:jc w:val="both"/>
              <w:rPr>
                <w:rFonts w:eastAsia="Calibri"/>
                <w:sz w:val="20"/>
              </w:rPr>
            </w:pPr>
            <w:r w:rsidRPr="00667307">
              <w:rPr>
                <w:rFonts w:eastAsia="Calibri"/>
                <w:sz w:val="20"/>
              </w:rPr>
              <w:t>Application for leave to appeal and motion for extension of time to serve and file application for leave to appeal filed</w:t>
            </w: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40"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33148" w:rsidRPr="00D41BFD" w:rsidTr="00A0505A">
        <w:tc>
          <w:tcPr>
            <w:tcW w:w="5000" w:type="pct"/>
            <w:gridSpan w:val="3"/>
          </w:tcPr>
          <w:p w:rsidR="00833148" w:rsidRPr="00667307" w:rsidRDefault="00833148" w:rsidP="00A0505A">
            <w:pPr>
              <w:jc w:val="both"/>
              <w:rPr>
                <w:rFonts w:eastAsia="Calibri"/>
                <w:sz w:val="20"/>
                <w:lang w:val="fr-CA"/>
              </w:rPr>
            </w:pPr>
            <w:r w:rsidRPr="00667307">
              <w:rPr>
                <w:rFonts w:eastAsia="Calibri"/>
                <w:i/>
                <w:sz w:val="20"/>
                <w:lang w:val="fr-CA"/>
              </w:rPr>
              <w:t xml:space="preserve">Charte des droits </w:t>
            </w:r>
            <w:r w:rsidRPr="00667307">
              <w:rPr>
                <w:rFonts w:eastAsia="Calibri"/>
                <w:sz w:val="20"/>
                <w:lang w:val="fr-CA"/>
              </w:rPr>
              <w:t>– Extradition – Arrêté d’extradition – Entrée au Canada de la demanderesse en qualité de réfugié au sens de la Convention avant l’acquisition de la citoyenneté canadienne – Extradition de la demanderesse réclamée par son pays d’origine pour que cette dernière y purge sa peine résultant d’une déclaration de culpabilité pour tentative de fraude – Extradition ordonnée par le ministre – Demande de contrôle judiciaire rejetée par la Cour d’appel – La Cour d’appel a</w:t>
            </w:r>
            <w:r w:rsidRPr="00667307">
              <w:rPr>
                <w:rFonts w:eastAsia="Calibri"/>
                <w:sz w:val="20"/>
                <w:lang w:val="fr-CA"/>
              </w:rPr>
              <w:noBreakHyphen/>
              <w:t>t</w:t>
            </w:r>
            <w:r w:rsidRPr="00667307">
              <w:rPr>
                <w:rFonts w:eastAsia="Calibri"/>
                <w:sz w:val="20"/>
                <w:lang w:val="fr-CA"/>
              </w:rPr>
              <w:noBreakHyphen/>
              <w:t>elle commis une erreur en concluant que la naturalisation de la demanderesse lui avait enlevé son statut de réfugié? – La Cour d’appel a</w:t>
            </w:r>
            <w:r w:rsidRPr="00667307">
              <w:rPr>
                <w:rFonts w:eastAsia="Calibri"/>
                <w:sz w:val="20"/>
                <w:lang w:val="fr-CA"/>
              </w:rPr>
              <w:noBreakHyphen/>
              <w:t>t</w:t>
            </w:r>
            <w:r w:rsidRPr="00667307">
              <w:rPr>
                <w:rFonts w:eastAsia="Calibri"/>
                <w:sz w:val="20"/>
                <w:lang w:val="fr-CA"/>
              </w:rPr>
              <w:noBreakHyphen/>
              <w:t>elle erré en faisant équivaloir l’al. 44(1)</w:t>
            </w:r>
            <w:r w:rsidRPr="00667307">
              <w:rPr>
                <w:rFonts w:eastAsia="Calibri"/>
                <w:i/>
                <w:sz w:val="20"/>
                <w:lang w:val="fr-CA"/>
              </w:rPr>
              <w:t>b</w:t>
            </w:r>
            <w:r w:rsidRPr="00667307">
              <w:rPr>
                <w:rFonts w:eastAsia="Calibri"/>
                <w:sz w:val="20"/>
                <w:lang w:val="fr-CA"/>
              </w:rPr>
              <w:t xml:space="preserve">) de la </w:t>
            </w:r>
            <w:r w:rsidRPr="00667307">
              <w:rPr>
                <w:rFonts w:eastAsia="Calibri"/>
                <w:i/>
                <w:sz w:val="20"/>
                <w:lang w:val="fr-CA"/>
              </w:rPr>
              <w:t xml:space="preserve">Loi sur l’extradition </w:t>
            </w:r>
            <w:r w:rsidRPr="00667307">
              <w:rPr>
                <w:rFonts w:eastAsia="Calibri"/>
                <w:sz w:val="20"/>
                <w:lang w:val="fr-CA"/>
              </w:rPr>
              <w:t xml:space="preserve">et la </w:t>
            </w:r>
            <w:r w:rsidRPr="00667307">
              <w:rPr>
                <w:rFonts w:eastAsia="Calibri"/>
                <w:i/>
                <w:sz w:val="20"/>
                <w:lang w:val="fr-CA"/>
              </w:rPr>
              <w:t>Convention relative au statut des réfugiés</w:t>
            </w:r>
            <w:r w:rsidRPr="00667307">
              <w:rPr>
                <w:rFonts w:eastAsia="Calibri"/>
                <w:sz w:val="20"/>
                <w:lang w:val="fr-CA"/>
              </w:rPr>
              <w:t xml:space="preserve"> ou en ne tenant pas compte du fait que l’al. 44(1)</w:t>
            </w:r>
            <w:r w:rsidRPr="00667307">
              <w:rPr>
                <w:rFonts w:eastAsia="Calibri"/>
                <w:i/>
                <w:sz w:val="20"/>
                <w:lang w:val="fr-CA"/>
              </w:rPr>
              <w:t>b</w:t>
            </w:r>
            <w:r w:rsidRPr="00667307">
              <w:rPr>
                <w:rFonts w:eastAsia="Calibri"/>
                <w:sz w:val="20"/>
                <w:lang w:val="fr-CA"/>
              </w:rPr>
              <w:t>) interdit d’extrader toute personne, y compris un citoyen, à qui l’on a reconnu le statut de réfugié? – La Cour d’appel a</w:t>
            </w:r>
            <w:r w:rsidRPr="00667307">
              <w:rPr>
                <w:rFonts w:eastAsia="Calibri"/>
                <w:sz w:val="20"/>
                <w:lang w:val="fr-CA"/>
              </w:rPr>
              <w:noBreakHyphen/>
              <w:t>t</w:t>
            </w:r>
            <w:r w:rsidRPr="00667307">
              <w:rPr>
                <w:rFonts w:eastAsia="Calibri"/>
                <w:sz w:val="20"/>
                <w:lang w:val="fr-CA"/>
              </w:rPr>
              <w:noBreakHyphen/>
              <w:t xml:space="preserve">elle fait erreur en ne </w:t>
            </w:r>
            <w:r w:rsidRPr="00667307">
              <w:rPr>
                <w:rFonts w:eastAsia="Calibri"/>
                <w:sz w:val="20"/>
                <w:lang w:val="fr-CA"/>
              </w:rPr>
              <w:lastRenderedPageBreak/>
              <w:t xml:space="preserve">donnant pas effet à l’obligation du ministre d’appliquer directement le droit international lorsqu’il décide d’extrader ou non une personne en vertu de la </w:t>
            </w:r>
            <w:r w:rsidRPr="00667307">
              <w:rPr>
                <w:rFonts w:eastAsia="Calibri"/>
                <w:i/>
                <w:sz w:val="20"/>
                <w:lang w:val="fr-CA"/>
              </w:rPr>
              <w:t>Loi sur l’extradition</w:t>
            </w:r>
            <w:r w:rsidRPr="00667307">
              <w:rPr>
                <w:rFonts w:eastAsia="Calibri"/>
                <w:sz w:val="20"/>
                <w:lang w:val="fr-CA"/>
              </w:rPr>
              <w:t>? – La Cour d’appel a</w:t>
            </w:r>
            <w:r w:rsidRPr="00667307">
              <w:rPr>
                <w:rFonts w:eastAsia="Calibri"/>
                <w:sz w:val="20"/>
                <w:lang w:val="fr-CA"/>
              </w:rPr>
              <w:noBreakHyphen/>
              <w:t>t</w:t>
            </w:r>
            <w:r w:rsidRPr="00667307">
              <w:rPr>
                <w:rFonts w:eastAsia="Calibri"/>
                <w:sz w:val="20"/>
                <w:lang w:val="fr-CA"/>
              </w:rPr>
              <w:noBreakHyphen/>
              <w:t>elle commis une erreur en confirmant la décision du ministre d’obliger la demanderesse à établir, selon la prépondérance des probabilités, qu’elle serait effectivement persécutée? – La Cour d’appel a</w:t>
            </w:r>
            <w:r w:rsidRPr="00667307">
              <w:rPr>
                <w:rFonts w:eastAsia="Calibri"/>
                <w:sz w:val="20"/>
                <w:lang w:val="fr-CA"/>
              </w:rPr>
              <w:noBreakHyphen/>
              <w:t>t</w:t>
            </w:r>
            <w:r w:rsidRPr="00667307">
              <w:rPr>
                <w:rFonts w:eastAsia="Calibri"/>
                <w:sz w:val="20"/>
                <w:lang w:val="fr-CA"/>
              </w:rPr>
              <w:noBreakHyphen/>
              <w:t xml:space="preserve">elle eu tort de déterminer si l’extradition d’un citoyen contrevient à l’art. 6 de la </w:t>
            </w:r>
            <w:r w:rsidRPr="00667307">
              <w:rPr>
                <w:rFonts w:eastAsia="Calibri"/>
                <w:i/>
                <w:sz w:val="20"/>
                <w:lang w:val="fr-CA"/>
              </w:rPr>
              <w:t>Charte</w:t>
            </w:r>
            <w:r w:rsidRPr="00667307">
              <w:rPr>
                <w:rFonts w:eastAsia="Calibri"/>
                <w:sz w:val="20"/>
                <w:lang w:val="fr-CA"/>
              </w:rPr>
              <w:t>? – La Cour d’appel a</w:t>
            </w:r>
            <w:r w:rsidRPr="00667307">
              <w:rPr>
                <w:rFonts w:eastAsia="Calibri"/>
                <w:sz w:val="20"/>
                <w:lang w:val="fr-CA"/>
              </w:rPr>
              <w:noBreakHyphen/>
              <w:t>t</w:t>
            </w:r>
            <w:r w:rsidRPr="00667307">
              <w:rPr>
                <w:rFonts w:eastAsia="Calibri"/>
                <w:sz w:val="20"/>
                <w:lang w:val="fr-CA"/>
              </w:rPr>
              <w:noBreakHyphen/>
              <w:t xml:space="preserve">elle fait erreur en appliquant mal l’art. 15 de la </w:t>
            </w:r>
            <w:r w:rsidRPr="00667307">
              <w:rPr>
                <w:rFonts w:eastAsia="Calibri"/>
                <w:i/>
                <w:sz w:val="20"/>
                <w:lang w:val="fr-CA"/>
              </w:rPr>
              <w:t>Charte</w:t>
            </w:r>
            <w:r w:rsidRPr="00667307">
              <w:rPr>
                <w:rFonts w:eastAsia="Calibri"/>
                <w:sz w:val="20"/>
                <w:lang w:val="fr-CA"/>
              </w:rPr>
              <w:t>? – La Cour d’appel a</w:t>
            </w:r>
            <w:r w:rsidRPr="00667307">
              <w:rPr>
                <w:rFonts w:eastAsia="Calibri"/>
                <w:sz w:val="20"/>
                <w:lang w:val="fr-CA"/>
              </w:rPr>
              <w:noBreakHyphen/>
              <w:t>t</w:t>
            </w:r>
            <w:r w:rsidRPr="00667307">
              <w:rPr>
                <w:rFonts w:eastAsia="Calibri"/>
                <w:sz w:val="20"/>
                <w:lang w:val="fr-CA"/>
              </w:rPr>
              <w:noBreakHyphen/>
              <w:t xml:space="preserve">elle commis une erreur en contrôlant la décision du ministre sur les représentations de la demanderesse à propos de sa santé? – </w:t>
            </w:r>
            <w:r w:rsidRPr="00667307">
              <w:rPr>
                <w:rFonts w:eastAsia="Calibri"/>
                <w:i/>
                <w:sz w:val="20"/>
                <w:lang w:val="fr-CA"/>
              </w:rPr>
              <w:t>Loi sur l’extradition</w:t>
            </w:r>
            <w:r w:rsidRPr="00667307">
              <w:rPr>
                <w:rFonts w:eastAsia="Calibri"/>
                <w:sz w:val="20"/>
                <w:lang w:val="fr-CA"/>
              </w:rPr>
              <w:t>, L.C. 1999, ch. 18, art. 44(1)</w:t>
            </w:r>
            <w:r w:rsidRPr="00667307">
              <w:rPr>
                <w:rFonts w:eastAsia="Calibri"/>
                <w:i/>
                <w:sz w:val="20"/>
                <w:lang w:val="fr-CA"/>
              </w:rPr>
              <w:t>b</w:t>
            </w:r>
            <w:r w:rsidRPr="00667307">
              <w:rPr>
                <w:rFonts w:eastAsia="Calibri"/>
                <w:sz w:val="20"/>
                <w:lang w:val="fr-CA"/>
              </w:rPr>
              <w:t>).</w:t>
            </w:r>
          </w:p>
        </w:tc>
      </w:tr>
      <w:tr w:rsidR="00833148" w:rsidRPr="00D41BFD" w:rsidTr="00A0505A">
        <w:tc>
          <w:tcPr>
            <w:tcW w:w="5000" w:type="pct"/>
            <w:gridSpan w:val="3"/>
          </w:tcPr>
          <w:p w:rsidR="00833148" w:rsidRPr="00667307" w:rsidRDefault="00833148" w:rsidP="00A0505A">
            <w:pPr>
              <w:jc w:val="both"/>
              <w:rPr>
                <w:rFonts w:eastAsia="Calibri"/>
                <w:sz w:val="20"/>
                <w:lang w:val="fr-CA"/>
              </w:rPr>
            </w:pPr>
          </w:p>
        </w:tc>
      </w:tr>
      <w:tr w:rsidR="00833148" w:rsidRPr="00D41BFD" w:rsidTr="00A0505A">
        <w:tc>
          <w:tcPr>
            <w:tcW w:w="5000" w:type="pct"/>
            <w:gridSpan w:val="3"/>
          </w:tcPr>
          <w:p w:rsidR="00833148" w:rsidRPr="00667307" w:rsidRDefault="00833148" w:rsidP="00A0505A">
            <w:pPr>
              <w:jc w:val="both"/>
              <w:rPr>
                <w:rFonts w:eastAsia="Calibri"/>
                <w:sz w:val="20"/>
                <w:lang w:val="fr-CA"/>
              </w:rPr>
            </w:pPr>
            <w:r w:rsidRPr="00667307">
              <w:rPr>
                <w:rFonts w:eastAsia="Calibri"/>
                <w:sz w:val="20"/>
                <w:lang w:val="fr-CA"/>
              </w:rPr>
              <w:t>La demanderesse est arrivée au Canada en 2000, en provenance de la République tchèque.  Elle a obtenu le statut de réfugié en 2001 et la citoyenneté canadienne en 2006.  En 2009, les autorités tchèques ont demandé son extradition pour qu’elle purge la peine d’emprisonnement de trois ans qui lui avait été infligée par suite d’une déclaration de culpabilité pour tentative de fraude inscrite en 2006.  La demanderesse a été arrêtée et incarcérée en vue de son extradition.  Le ministre a ordonné sa remise sans condition aux fins de son extradition.  La Cour d’appel de l’Ontario a rejeté sa demande de contrôle judiciaire.</w:t>
            </w:r>
          </w:p>
          <w:p w:rsidR="00833148" w:rsidRPr="00667307" w:rsidRDefault="00833148" w:rsidP="00A0505A">
            <w:pPr>
              <w:jc w:val="both"/>
              <w:rPr>
                <w:rFonts w:eastAsia="Calibri"/>
                <w:sz w:val="20"/>
                <w:lang w:val="fr-CA"/>
              </w:rPr>
            </w:pPr>
          </w:p>
        </w:tc>
      </w:tr>
      <w:tr w:rsidR="00833148" w:rsidRPr="00667307" w:rsidTr="00A0505A">
        <w:tc>
          <w:tcPr>
            <w:tcW w:w="2427" w:type="pct"/>
          </w:tcPr>
          <w:p w:rsidR="00833148" w:rsidRPr="00667307" w:rsidRDefault="00833148" w:rsidP="00A0505A">
            <w:pPr>
              <w:jc w:val="both"/>
              <w:rPr>
                <w:rFonts w:eastAsia="Calibri"/>
                <w:sz w:val="20"/>
                <w:lang w:val="fr-CA"/>
              </w:rPr>
            </w:pPr>
            <w:r w:rsidRPr="00667307">
              <w:rPr>
                <w:rFonts w:eastAsia="Calibri"/>
                <w:sz w:val="20"/>
                <w:lang w:val="fr-CA"/>
              </w:rPr>
              <w:t>27 septembre 2010</w:t>
            </w:r>
          </w:p>
          <w:p w:rsidR="00833148" w:rsidRPr="00667307" w:rsidRDefault="00833148" w:rsidP="00A0505A">
            <w:pPr>
              <w:jc w:val="both"/>
              <w:rPr>
                <w:rFonts w:eastAsia="Calibri"/>
                <w:sz w:val="20"/>
                <w:lang w:val="fr-FR"/>
              </w:rPr>
            </w:pPr>
            <w:r w:rsidRPr="00667307">
              <w:rPr>
                <w:rFonts w:eastAsia="Calibri"/>
                <w:sz w:val="20"/>
                <w:lang w:val="fr-FR"/>
              </w:rPr>
              <w:t>Ministre de la Justice du Canada</w:t>
            </w:r>
          </w:p>
          <w:p w:rsidR="00833148" w:rsidRPr="00667307" w:rsidRDefault="00833148" w:rsidP="00A0505A">
            <w:pPr>
              <w:jc w:val="both"/>
              <w:rPr>
                <w:rFonts w:eastAsia="Calibri"/>
                <w:sz w:val="20"/>
              </w:rPr>
            </w:pPr>
            <w:r w:rsidRPr="00667307">
              <w:rPr>
                <w:rFonts w:eastAsia="Calibri"/>
                <w:sz w:val="20"/>
              </w:rPr>
              <w:t>(L’hon. Rob Nicholson)</w:t>
            </w:r>
          </w:p>
          <w:p w:rsidR="00833148" w:rsidRPr="00667307" w:rsidRDefault="00833148" w:rsidP="00A0505A">
            <w:pPr>
              <w:jc w:val="both"/>
              <w:rPr>
                <w:rFonts w:eastAsia="Calibri"/>
                <w:sz w:val="20"/>
              </w:rPr>
            </w:pPr>
          </w:p>
        </w:tc>
        <w:tc>
          <w:tcPr>
            <w:tcW w:w="243" w:type="pct"/>
          </w:tcPr>
          <w:p w:rsidR="00833148" w:rsidRPr="00667307" w:rsidRDefault="00833148" w:rsidP="00A0505A">
            <w:pPr>
              <w:jc w:val="both"/>
              <w:rPr>
                <w:rFonts w:eastAsia="Calibri"/>
                <w:sz w:val="20"/>
              </w:rPr>
            </w:pPr>
          </w:p>
        </w:tc>
        <w:tc>
          <w:tcPr>
            <w:tcW w:w="2330" w:type="pct"/>
          </w:tcPr>
          <w:p w:rsidR="00833148" w:rsidRPr="00667307" w:rsidRDefault="00833148" w:rsidP="00A0505A">
            <w:pPr>
              <w:jc w:val="both"/>
              <w:rPr>
                <w:rFonts w:eastAsia="Calibri"/>
                <w:sz w:val="20"/>
              </w:rPr>
            </w:pPr>
            <w:r w:rsidRPr="00667307">
              <w:rPr>
                <w:rFonts w:eastAsia="Calibri"/>
                <w:sz w:val="20"/>
              </w:rPr>
              <w:t xml:space="preserve">Arrêté d’extradition signé </w:t>
            </w:r>
          </w:p>
          <w:p w:rsidR="00833148" w:rsidRPr="00667307" w:rsidRDefault="00833148" w:rsidP="00A0505A">
            <w:pPr>
              <w:jc w:val="both"/>
              <w:rPr>
                <w:rFonts w:eastAsia="Calibri"/>
                <w:sz w:val="20"/>
              </w:rPr>
            </w:pPr>
          </w:p>
        </w:tc>
      </w:tr>
      <w:tr w:rsidR="00833148" w:rsidRPr="00D41BFD" w:rsidTr="00A0505A">
        <w:tc>
          <w:tcPr>
            <w:tcW w:w="2427" w:type="pct"/>
          </w:tcPr>
          <w:p w:rsidR="00833148" w:rsidRPr="00667307" w:rsidRDefault="00833148" w:rsidP="00A0505A">
            <w:pPr>
              <w:jc w:val="both"/>
              <w:rPr>
                <w:rFonts w:eastAsia="Calibri"/>
                <w:sz w:val="20"/>
                <w:lang w:val="fr-CA"/>
              </w:rPr>
            </w:pPr>
            <w:r w:rsidRPr="00667307">
              <w:rPr>
                <w:rFonts w:eastAsia="Calibri"/>
                <w:sz w:val="20"/>
                <w:lang w:val="fr-CA"/>
              </w:rPr>
              <w:t>20 octobre 2011</w:t>
            </w:r>
          </w:p>
          <w:p w:rsidR="00833148" w:rsidRPr="00667307" w:rsidRDefault="00833148" w:rsidP="00A0505A">
            <w:pPr>
              <w:jc w:val="both"/>
              <w:rPr>
                <w:rFonts w:eastAsia="Calibri"/>
                <w:sz w:val="20"/>
                <w:lang w:val="fr-FR"/>
              </w:rPr>
            </w:pPr>
            <w:r w:rsidRPr="00667307">
              <w:rPr>
                <w:rFonts w:eastAsia="Calibri"/>
                <w:sz w:val="20"/>
                <w:lang w:val="fr-FR"/>
              </w:rPr>
              <w:t>Ministre de la Justice du Canada</w:t>
            </w:r>
          </w:p>
          <w:p w:rsidR="00833148" w:rsidRPr="00667307" w:rsidRDefault="00833148" w:rsidP="00A0505A">
            <w:pPr>
              <w:jc w:val="both"/>
              <w:rPr>
                <w:rFonts w:eastAsia="Calibri"/>
                <w:sz w:val="20"/>
              </w:rPr>
            </w:pPr>
            <w:r w:rsidRPr="00667307">
              <w:rPr>
                <w:rFonts w:eastAsia="Calibri"/>
                <w:sz w:val="20"/>
              </w:rPr>
              <w:t>(L’hon. Rob Nicholson)</w:t>
            </w:r>
          </w:p>
          <w:p w:rsidR="00833148" w:rsidRPr="00667307" w:rsidRDefault="00833148" w:rsidP="00A0505A">
            <w:pPr>
              <w:jc w:val="both"/>
              <w:rPr>
                <w:rFonts w:eastAsia="Calibri"/>
                <w:sz w:val="20"/>
              </w:rPr>
            </w:pPr>
          </w:p>
        </w:tc>
        <w:tc>
          <w:tcPr>
            <w:tcW w:w="243" w:type="pct"/>
          </w:tcPr>
          <w:p w:rsidR="00833148" w:rsidRPr="00667307" w:rsidRDefault="00833148" w:rsidP="00A0505A">
            <w:pPr>
              <w:jc w:val="both"/>
              <w:rPr>
                <w:rFonts w:eastAsia="Calibri"/>
                <w:sz w:val="20"/>
              </w:rPr>
            </w:pPr>
          </w:p>
        </w:tc>
        <w:tc>
          <w:tcPr>
            <w:tcW w:w="2330" w:type="pct"/>
          </w:tcPr>
          <w:p w:rsidR="00833148" w:rsidRPr="00667307" w:rsidRDefault="00833148" w:rsidP="00A0505A">
            <w:pPr>
              <w:jc w:val="both"/>
              <w:rPr>
                <w:rFonts w:eastAsia="Calibri"/>
                <w:sz w:val="20"/>
                <w:lang w:val="fr-CA"/>
              </w:rPr>
            </w:pPr>
            <w:r w:rsidRPr="00667307">
              <w:rPr>
                <w:rFonts w:eastAsia="Calibri"/>
                <w:sz w:val="20"/>
                <w:lang w:val="fr-CA"/>
              </w:rPr>
              <w:t>Demande de réexamen de l’arrêté d’extradition rejetée</w:t>
            </w:r>
          </w:p>
        </w:tc>
      </w:tr>
      <w:tr w:rsidR="00833148" w:rsidRPr="00D41BFD" w:rsidTr="00A0505A">
        <w:tc>
          <w:tcPr>
            <w:tcW w:w="2427" w:type="pct"/>
          </w:tcPr>
          <w:p w:rsidR="00833148" w:rsidRPr="00667307" w:rsidRDefault="00833148" w:rsidP="00A0505A">
            <w:pPr>
              <w:jc w:val="both"/>
              <w:rPr>
                <w:rFonts w:eastAsia="Calibri"/>
                <w:sz w:val="20"/>
                <w:lang w:val="fr-CA"/>
              </w:rPr>
            </w:pPr>
            <w:r w:rsidRPr="00667307">
              <w:rPr>
                <w:rFonts w:eastAsia="Calibri"/>
                <w:sz w:val="20"/>
                <w:lang w:val="fr-CA"/>
              </w:rPr>
              <w:t>2 octobre 2012</w:t>
            </w:r>
          </w:p>
          <w:p w:rsidR="00833148" w:rsidRPr="00667307" w:rsidRDefault="00833148" w:rsidP="00A0505A">
            <w:pPr>
              <w:jc w:val="both"/>
              <w:rPr>
                <w:rFonts w:eastAsia="Calibri"/>
                <w:sz w:val="20"/>
                <w:lang w:val="fr-CA"/>
              </w:rPr>
            </w:pPr>
            <w:r w:rsidRPr="00667307">
              <w:rPr>
                <w:rFonts w:eastAsia="Calibri"/>
                <w:sz w:val="20"/>
                <w:lang w:val="fr-CA"/>
              </w:rPr>
              <w:t>Cour d’appel de l’Ontario</w:t>
            </w:r>
          </w:p>
          <w:p w:rsidR="00833148" w:rsidRPr="00667307" w:rsidRDefault="00833148" w:rsidP="00A0505A">
            <w:pPr>
              <w:jc w:val="both"/>
              <w:rPr>
                <w:rFonts w:eastAsia="Calibri"/>
                <w:sz w:val="20"/>
                <w:lang w:val="fr-CA"/>
              </w:rPr>
            </w:pPr>
            <w:r w:rsidRPr="00667307">
              <w:rPr>
                <w:rFonts w:eastAsia="Calibri"/>
                <w:sz w:val="20"/>
                <w:lang w:val="fr-CA"/>
              </w:rPr>
              <w:t>(Juges Goudge, Watt et Hoy)</w:t>
            </w:r>
          </w:p>
          <w:p w:rsidR="00833148" w:rsidRPr="00667307" w:rsidRDefault="00833148" w:rsidP="00A0505A">
            <w:pPr>
              <w:jc w:val="both"/>
              <w:rPr>
                <w:rFonts w:eastAsia="Calibri"/>
                <w:sz w:val="20"/>
              </w:rPr>
            </w:pPr>
            <w:r w:rsidRPr="00667307">
              <w:rPr>
                <w:rFonts w:eastAsia="Calibri"/>
                <w:sz w:val="20"/>
              </w:rPr>
              <w:t>2012 ONCA 657</w:t>
            </w:r>
          </w:p>
          <w:p w:rsidR="00833148" w:rsidRPr="00667307" w:rsidRDefault="00833148" w:rsidP="00A0505A">
            <w:pPr>
              <w:jc w:val="both"/>
              <w:rPr>
                <w:rFonts w:eastAsia="Calibri"/>
                <w:sz w:val="20"/>
              </w:rPr>
            </w:pPr>
          </w:p>
        </w:tc>
        <w:tc>
          <w:tcPr>
            <w:tcW w:w="243" w:type="pct"/>
          </w:tcPr>
          <w:p w:rsidR="00833148" w:rsidRPr="00667307" w:rsidRDefault="00833148" w:rsidP="00A0505A">
            <w:pPr>
              <w:jc w:val="both"/>
              <w:rPr>
                <w:rFonts w:eastAsia="Calibri"/>
                <w:sz w:val="20"/>
              </w:rPr>
            </w:pPr>
          </w:p>
        </w:tc>
        <w:tc>
          <w:tcPr>
            <w:tcW w:w="2330" w:type="pct"/>
          </w:tcPr>
          <w:p w:rsidR="00833148" w:rsidRPr="00667307" w:rsidRDefault="00833148" w:rsidP="00A0505A">
            <w:pPr>
              <w:jc w:val="both"/>
              <w:rPr>
                <w:rFonts w:eastAsia="Calibri"/>
                <w:sz w:val="20"/>
                <w:lang w:val="fr-CA"/>
              </w:rPr>
            </w:pPr>
            <w:r w:rsidRPr="00667307">
              <w:rPr>
                <w:rFonts w:eastAsia="Calibri"/>
                <w:sz w:val="20"/>
                <w:lang w:val="fr-CA"/>
              </w:rPr>
              <w:t xml:space="preserve">Demande de contrôle judiciaire visant l’arrêté d’extradition rejetée </w:t>
            </w:r>
          </w:p>
          <w:p w:rsidR="00833148" w:rsidRPr="00667307" w:rsidRDefault="00833148" w:rsidP="00A0505A">
            <w:pPr>
              <w:jc w:val="both"/>
              <w:rPr>
                <w:rFonts w:eastAsia="Calibri"/>
                <w:sz w:val="20"/>
                <w:lang w:val="fr-CA"/>
              </w:rPr>
            </w:pPr>
          </w:p>
        </w:tc>
      </w:tr>
      <w:tr w:rsidR="00833148" w:rsidRPr="00916DDE" w:rsidTr="00A0505A">
        <w:tc>
          <w:tcPr>
            <w:tcW w:w="2427" w:type="pct"/>
          </w:tcPr>
          <w:p w:rsidR="00833148" w:rsidRPr="00667307" w:rsidRDefault="00833148" w:rsidP="00A0505A">
            <w:pPr>
              <w:jc w:val="both"/>
              <w:rPr>
                <w:rFonts w:eastAsia="Calibri"/>
                <w:sz w:val="20"/>
                <w:lang w:val="fr-CA"/>
              </w:rPr>
            </w:pPr>
            <w:r w:rsidRPr="00667307">
              <w:rPr>
                <w:rFonts w:eastAsia="Calibri"/>
                <w:sz w:val="20"/>
                <w:lang w:val="fr-CA"/>
              </w:rPr>
              <w:t>27 mars 2013</w:t>
            </w:r>
          </w:p>
          <w:p w:rsidR="00833148" w:rsidRPr="00667307" w:rsidRDefault="00833148" w:rsidP="00A0505A">
            <w:pPr>
              <w:jc w:val="both"/>
              <w:rPr>
                <w:rFonts w:eastAsia="Calibri"/>
                <w:sz w:val="20"/>
                <w:lang w:val="fr-CA"/>
              </w:rPr>
            </w:pPr>
            <w:r w:rsidRPr="00667307">
              <w:rPr>
                <w:rFonts w:eastAsia="Calibri"/>
                <w:sz w:val="20"/>
                <w:lang w:val="fr-CA"/>
              </w:rPr>
              <w:t>Cour suprême du Canada</w:t>
            </w:r>
          </w:p>
        </w:tc>
        <w:tc>
          <w:tcPr>
            <w:tcW w:w="243" w:type="pct"/>
          </w:tcPr>
          <w:p w:rsidR="00833148" w:rsidRPr="00667307" w:rsidRDefault="00833148" w:rsidP="00A0505A">
            <w:pPr>
              <w:jc w:val="both"/>
              <w:rPr>
                <w:rFonts w:eastAsia="Calibri"/>
                <w:sz w:val="20"/>
                <w:lang w:val="fr-CA"/>
              </w:rPr>
            </w:pPr>
          </w:p>
        </w:tc>
        <w:tc>
          <w:tcPr>
            <w:tcW w:w="2330" w:type="pct"/>
          </w:tcPr>
          <w:p w:rsidR="00833148" w:rsidRPr="00667307" w:rsidRDefault="00833148" w:rsidP="00A0505A">
            <w:pPr>
              <w:jc w:val="both"/>
              <w:rPr>
                <w:rFonts w:eastAsia="Calibri"/>
                <w:sz w:val="20"/>
                <w:lang w:val="fr-CA"/>
              </w:rPr>
            </w:pPr>
            <w:r w:rsidRPr="00667307">
              <w:rPr>
                <w:rFonts w:eastAsia="Calibri"/>
                <w:sz w:val="20"/>
                <w:lang w:val="fr-CA"/>
              </w:rPr>
              <w:t xml:space="preserve">Demande d’autorisation d’appel et requête en prorogation du délai pour signifier et déposer la demande d’autorisation d’appel déposées  </w:t>
            </w:r>
          </w:p>
        </w:tc>
      </w:tr>
    </w:tbl>
    <w:p w:rsidR="00AA605C" w:rsidRPr="00833148" w:rsidRDefault="00AA605C" w:rsidP="00AA605C">
      <w:pPr>
        <w:rPr>
          <w:sz w:val="20"/>
          <w:szCs w:val="20"/>
          <w:lang w:val="fr-CA"/>
        </w:rPr>
      </w:pPr>
    </w:p>
    <w:p w:rsidR="00AA605C" w:rsidRDefault="00B3404D" w:rsidP="00AA605C">
      <w:pPr>
        <w:rPr>
          <w:sz w:val="20"/>
          <w:szCs w:val="20"/>
          <w:lang w:val="fr-CA"/>
        </w:rPr>
      </w:pPr>
      <w:r w:rsidRPr="00B3404D">
        <w:rPr>
          <w:sz w:val="20"/>
          <w:szCs w:val="20"/>
          <w:lang w:val="fr-CA"/>
        </w:rPr>
        <w:pict>
          <v:rect id="_x0000_i1041" style="width:2in;height:1pt" o:hrpct="0" o:hralign="center" o:hrstd="t" o:hrnoshade="t" o:hr="t" fillcolor="black [3213]" stroked="f"/>
        </w:pict>
      </w:r>
    </w:p>
    <w:p w:rsidR="00AA605C" w:rsidRDefault="00AA605C" w:rsidP="00AA605C">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26CD5" w:rsidRPr="00926CD5" w:rsidTr="00A61B52">
        <w:trPr>
          <w:cantSplit/>
        </w:trPr>
        <w:tc>
          <w:tcPr>
            <w:tcW w:w="1458" w:type="dxa"/>
          </w:tcPr>
          <w:p w:rsidR="00926CD5" w:rsidRPr="00926CD5" w:rsidRDefault="00926CD5" w:rsidP="00926CD5">
            <w:pPr>
              <w:rPr>
                <w:sz w:val="20"/>
                <w:szCs w:val="20"/>
              </w:rPr>
            </w:pPr>
            <w:r w:rsidRPr="00926CD5">
              <w:rPr>
                <w:b/>
                <w:sz w:val="20"/>
                <w:lang w:val="fr-CA"/>
              </w:rPr>
              <w:t>35072</w:t>
            </w:r>
          </w:p>
          <w:p w:rsidR="00926CD5" w:rsidRPr="00926CD5" w:rsidRDefault="00926CD5" w:rsidP="00926CD5">
            <w:pPr>
              <w:rPr>
                <w:b/>
                <w:sz w:val="20"/>
                <w:szCs w:val="20"/>
                <w:lang w:val="fr-CA"/>
              </w:rPr>
            </w:pPr>
          </w:p>
        </w:tc>
        <w:tc>
          <w:tcPr>
            <w:tcW w:w="8118" w:type="dxa"/>
          </w:tcPr>
          <w:p w:rsidR="00926CD5" w:rsidRPr="00926CD5" w:rsidRDefault="00926CD5" w:rsidP="00926CD5">
            <w:pPr>
              <w:jc w:val="both"/>
              <w:rPr>
                <w:sz w:val="20"/>
                <w:szCs w:val="20"/>
              </w:rPr>
            </w:pPr>
            <w:r w:rsidRPr="00926CD5">
              <w:rPr>
                <w:b/>
                <w:sz w:val="20"/>
                <w:u w:val="single"/>
              </w:rPr>
              <w:t>Andrew Gordon Wakeling v. Attorney General of Canada on behalf of the United States of America</w:t>
            </w:r>
            <w:r w:rsidR="007E11FE">
              <w:rPr>
                <w:b/>
                <w:sz w:val="20"/>
                <w:u w:val="single"/>
              </w:rPr>
              <w:t xml:space="preserve"> and</w:t>
            </w:r>
            <w:r w:rsidRPr="00926CD5">
              <w:rPr>
                <w:b/>
                <w:sz w:val="20"/>
                <w:u w:val="single"/>
              </w:rPr>
              <w:t xml:space="preserve"> Attorney General of British Columbia AND BETWEEN Andrew Wakeling v. Attorney General of Canada on behalf of the Minister of Justice</w:t>
            </w:r>
            <w:r w:rsidRPr="00926CD5">
              <w:rPr>
                <w:sz w:val="20"/>
                <w:szCs w:val="20"/>
              </w:rPr>
              <w:t xml:space="preserve"> (B.C.) (Criminal) (By Leave)</w:t>
            </w:r>
          </w:p>
          <w:p w:rsidR="00926CD5" w:rsidRPr="00926CD5" w:rsidRDefault="00926CD5" w:rsidP="00926CD5">
            <w:pPr>
              <w:jc w:val="both"/>
              <w:rPr>
                <w:sz w:val="20"/>
                <w:szCs w:val="20"/>
              </w:rPr>
            </w:pPr>
          </w:p>
        </w:tc>
      </w:tr>
      <w:tr w:rsidR="00926CD5" w:rsidRPr="00926CD5" w:rsidTr="00A61B52">
        <w:trPr>
          <w:cantSplit/>
        </w:trPr>
        <w:tc>
          <w:tcPr>
            <w:tcW w:w="1458" w:type="dxa"/>
          </w:tcPr>
          <w:p w:rsidR="00926CD5" w:rsidRPr="00926CD5" w:rsidRDefault="00926CD5" w:rsidP="00926CD5">
            <w:pPr>
              <w:rPr>
                <w:sz w:val="20"/>
                <w:szCs w:val="20"/>
              </w:rPr>
            </w:pPr>
            <w:r w:rsidRPr="00926CD5">
              <w:rPr>
                <w:sz w:val="20"/>
                <w:szCs w:val="20"/>
              </w:rPr>
              <w:t>Coram :</w:t>
            </w:r>
          </w:p>
        </w:tc>
        <w:tc>
          <w:tcPr>
            <w:tcW w:w="8118" w:type="dxa"/>
          </w:tcPr>
          <w:p w:rsidR="00926CD5" w:rsidRPr="00926CD5" w:rsidRDefault="00926CD5" w:rsidP="00926CD5">
            <w:pPr>
              <w:rPr>
                <w:sz w:val="20"/>
                <w:szCs w:val="20"/>
              </w:rPr>
            </w:pPr>
            <w:r w:rsidRPr="00926CD5">
              <w:rPr>
                <w:sz w:val="20"/>
                <w:u w:val="single"/>
              </w:rPr>
              <w:t>McLachlin C.J. and Abella and Cromwell JJ.</w:t>
            </w:r>
          </w:p>
          <w:p w:rsidR="00926CD5" w:rsidRPr="00926CD5" w:rsidRDefault="00926CD5" w:rsidP="00926CD5">
            <w:pPr>
              <w:rPr>
                <w:sz w:val="20"/>
                <w:szCs w:val="20"/>
                <w:u w:val="single"/>
              </w:rPr>
            </w:pPr>
          </w:p>
        </w:tc>
      </w:tr>
      <w:tr w:rsidR="00926CD5" w:rsidRPr="00D41BFD" w:rsidTr="00A61B52">
        <w:trPr>
          <w:cantSplit/>
        </w:trPr>
        <w:tc>
          <w:tcPr>
            <w:tcW w:w="9576" w:type="dxa"/>
            <w:gridSpan w:val="2"/>
          </w:tcPr>
          <w:p w:rsidR="00926CD5" w:rsidRPr="00926CD5" w:rsidRDefault="00926CD5" w:rsidP="00926CD5">
            <w:pPr>
              <w:ind w:firstLine="720"/>
              <w:jc w:val="both"/>
              <w:rPr>
                <w:sz w:val="20"/>
                <w:szCs w:val="20"/>
              </w:rPr>
            </w:pPr>
            <w:r w:rsidRPr="00926CD5">
              <w:rPr>
                <w:sz w:val="20"/>
                <w:szCs w:val="20"/>
              </w:rPr>
              <w:t>The motion for an extension of time to serve and file the application for leave to appeal is granted.  The application for leave to appeal from the judgment of the Court of Appeal for British Columbia (Vancouver), Number CA039032, 2012 BCCA 397, dated October 9, 2012, is granted without costs.</w:t>
            </w:r>
          </w:p>
          <w:p w:rsidR="00926CD5" w:rsidRPr="00926CD5" w:rsidRDefault="00926CD5" w:rsidP="00926CD5">
            <w:pPr>
              <w:jc w:val="both"/>
              <w:rPr>
                <w:sz w:val="20"/>
                <w:szCs w:val="20"/>
              </w:rPr>
            </w:pPr>
          </w:p>
          <w:p w:rsidR="00926CD5" w:rsidRPr="00926CD5" w:rsidRDefault="00926CD5" w:rsidP="00926CD5">
            <w:pPr>
              <w:ind w:firstLine="720"/>
              <w:jc w:val="both"/>
              <w:rPr>
                <w:sz w:val="20"/>
                <w:szCs w:val="20"/>
                <w:lang w:val="fr-CA"/>
              </w:rPr>
            </w:pPr>
            <w:r w:rsidRPr="00926CD5">
              <w:rPr>
                <w:sz w:val="20"/>
                <w:szCs w:val="20"/>
                <w:lang w:val="fr-CA"/>
              </w:rPr>
              <w:t>La requête en prorogation du délai de signification et de dépôt de la demande d’autorisation d’appel est accueillie.  La demande d’autorisation d’appel de l’arrêt de la Cour d’appel de la Colombie-Britannique (Vancouver), numéro CA039032, 2012 BCCA 397, daté du 9 octobre 2012, est accueillie sans dépens.</w:t>
            </w:r>
          </w:p>
        </w:tc>
      </w:tr>
    </w:tbl>
    <w:p w:rsidR="00AA605C" w:rsidRPr="00926CD5" w:rsidRDefault="00AA605C" w:rsidP="00AA605C">
      <w:pPr>
        <w:rPr>
          <w:sz w:val="20"/>
          <w:szCs w:val="20"/>
          <w:lang w:val="fr-CA"/>
        </w:rPr>
      </w:pPr>
    </w:p>
    <w:p w:rsidR="00926CD5" w:rsidRPr="001533B8" w:rsidRDefault="00926CD5">
      <w:pPr>
        <w:rPr>
          <w:sz w:val="20"/>
          <w:szCs w:val="20"/>
          <w:u w:val="single"/>
          <w:lang w:val="fr-CA"/>
        </w:rPr>
      </w:pPr>
      <w:r w:rsidRPr="001533B8">
        <w:rPr>
          <w:sz w:val="20"/>
          <w:szCs w:val="20"/>
          <w:u w:val="single"/>
          <w:lang w:val="fr-CA"/>
        </w:rPr>
        <w:br w:type="page"/>
      </w:r>
    </w:p>
    <w:p w:rsidR="00AA605C" w:rsidRPr="001B157C" w:rsidRDefault="00AA605C" w:rsidP="00AA605C">
      <w:pPr>
        <w:rPr>
          <w:sz w:val="20"/>
          <w:szCs w:val="20"/>
          <w:u w:val="single"/>
        </w:rPr>
      </w:pPr>
      <w:r w:rsidRPr="001B157C">
        <w:rPr>
          <w:sz w:val="20"/>
          <w:szCs w:val="20"/>
          <w:u w:val="single"/>
        </w:rPr>
        <w:lastRenderedPageBreak/>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33148" w:rsidRPr="00667307" w:rsidTr="00A0505A">
        <w:tc>
          <w:tcPr>
            <w:tcW w:w="5000" w:type="pct"/>
            <w:gridSpan w:val="3"/>
          </w:tcPr>
          <w:p w:rsidR="00833148" w:rsidRPr="00667307" w:rsidRDefault="00833148" w:rsidP="00A0505A">
            <w:pPr>
              <w:jc w:val="both"/>
              <w:rPr>
                <w:rFonts w:eastAsia="Calibri"/>
                <w:sz w:val="20"/>
              </w:rPr>
            </w:pPr>
            <w:r w:rsidRPr="00667307">
              <w:rPr>
                <w:rFonts w:eastAsia="Calibri"/>
                <w:i/>
                <w:sz w:val="20"/>
              </w:rPr>
              <w:t>Charter of Rights and Freedoms</w:t>
            </w:r>
            <w:r w:rsidRPr="00667307">
              <w:rPr>
                <w:rFonts w:eastAsia="Calibri"/>
                <w:sz w:val="20"/>
              </w:rPr>
              <w:t xml:space="preserve"> – Search and Seizure – Right to life, liberty and security of person – Criminal law – Extradition – Whether s. 193(2)(e) of the </w:t>
            </w:r>
            <w:r w:rsidRPr="00667307">
              <w:rPr>
                <w:rFonts w:eastAsia="Calibri"/>
                <w:i/>
                <w:sz w:val="20"/>
              </w:rPr>
              <w:t>Criminal Code</w:t>
            </w:r>
            <w:r w:rsidRPr="00667307">
              <w:rPr>
                <w:rFonts w:eastAsia="Calibri"/>
                <w:sz w:val="20"/>
              </w:rPr>
              <w:t xml:space="preserve"> or s. 8(2)(f) of the </w:t>
            </w:r>
            <w:r w:rsidRPr="00667307">
              <w:rPr>
                <w:rFonts w:eastAsia="Calibri"/>
                <w:i/>
                <w:sz w:val="20"/>
              </w:rPr>
              <w:t>Privacy Act</w:t>
            </w:r>
            <w:r w:rsidRPr="00667307">
              <w:rPr>
                <w:rFonts w:eastAsia="Calibri"/>
                <w:sz w:val="20"/>
              </w:rPr>
              <w:t xml:space="preserve">, R.S.C. 1985, c. P-21, breaches individual rights under either s. 7 or s. 8 of the </w:t>
            </w:r>
            <w:r w:rsidRPr="00667307">
              <w:rPr>
                <w:rFonts w:eastAsia="Calibri"/>
                <w:i/>
                <w:sz w:val="20"/>
              </w:rPr>
              <w:t>Charter</w:t>
            </w:r>
            <w:r w:rsidRPr="00667307">
              <w:rPr>
                <w:rFonts w:eastAsia="Calibri"/>
                <w:sz w:val="20"/>
              </w:rPr>
              <w:t xml:space="preserve"> – Does legislation governing the sharing of intercepted private communications accord with the principles of fundamental justice – If these legislative requirements are not followed, does the unlawful sharing of such information vitiate the initial authorization for its interception – Whether there are issues of public importance raised – Sections 7 and 8 of the </w:t>
            </w:r>
            <w:r w:rsidRPr="00667307">
              <w:rPr>
                <w:rFonts w:eastAsia="Calibri"/>
                <w:i/>
                <w:sz w:val="20"/>
              </w:rPr>
              <w:t>Charter</w:t>
            </w:r>
            <w:r w:rsidRPr="00667307">
              <w:rPr>
                <w:rFonts w:eastAsia="Calibri"/>
                <w:sz w:val="20"/>
              </w:rPr>
              <w:t>.</w:t>
            </w:r>
          </w:p>
        </w:tc>
      </w:tr>
      <w:tr w:rsidR="00833148" w:rsidRPr="00667307" w:rsidTr="00A0505A">
        <w:tc>
          <w:tcPr>
            <w:tcW w:w="5000" w:type="pct"/>
            <w:gridSpan w:val="3"/>
          </w:tcPr>
          <w:p w:rsidR="00833148" w:rsidRPr="00667307" w:rsidRDefault="00833148" w:rsidP="00A0505A">
            <w:pPr>
              <w:jc w:val="both"/>
              <w:rPr>
                <w:rFonts w:eastAsia="Calibri"/>
                <w:sz w:val="20"/>
              </w:rPr>
            </w:pPr>
          </w:p>
        </w:tc>
      </w:tr>
      <w:tr w:rsidR="00833148" w:rsidRPr="00667307" w:rsidTr="00A0505A">
        <w:tc>
          <w:tcPr>
            <w:tcW w:w="5000" w:type="pct"/>
            <w:gridSpan w:val="3"/>
          </w:tcPr>
          <w:p w:rsidR="00833148" w:rsidRPr="00667307" w:rsidRDefault="00833148" w:rsidP="00A0505A">
            <w:pPr>
              <w:jc w:val="both"/>
              <w:rPr>
                <w:rFonts w:eastAsia="Calibri"/>
                <w:sz w:val="20"/>
              </w:rPr>
            </w:pPr>
            <w:r w:rsidRPr="00667307">
              <w:rPr>
                <w:rFonts w:eastAsia="Calibri"/>
                <w:sz w:val="20"/>
              </w:rPr>
              <w:t xml:space="preserve">The applicant is wanted in the United States for prosecution for certain drug offences.  It is alleged that the applicant and others exported drugs from Canada into the state of Minnesota. The applicant was being wiretapped in Canada and Canadian law enforcement sent the wiretaps or information about the wiretaps to United States law enforcement.  The extradition judge held that neither s. 193(2)(e) of the </w:t>
            </w:r>
            <w:r w:rsidRPr="00667307">
              <w:rPr>
                <w:rFonts w:eastAsia="Calibri"/>
                <w:i/>
                <w:sz w:val="20"/>
              </w:rPr>
              <w:t>Criminal Code</w:t>
            </w:r>
            <w:r w:rsidRPr="00667307">
              <w:rPr>
                <w:rFonts w:eastAsia="Calibri"/>
                <w:sz w:val="20"/>
              </w:rPr>
              <w:t xml:space="preserve"> nor s. 8(2)(f) of the </w:t>
            </w:r>
            <w:r w:rsidRPr="00667307">
              <w:rPr>
                <w:rFonts w:eastAsia="Calibri"/>
                <w:i/>
                <w:sz w:val="20"/>
              </w:rPr>
              <w:t>Privacy Act</w:t>
            </w:r>
            <w:r w:rsidRPr="00667307">
              <w:rPr>
                <w:rFonts w:eastAsia="Calibri"/>
                <w:sz w:val="20"/>
              </w:rPr>
              <w:t xml:space="preserve">, R.S.C. 1985, c. P-21, breaches individual rights under either s. 7 or s. 8 of the </w:t>
            </w:r>
            <w:r w:rsidRPr="00667307">
              <w:rPr>
                <w:rFonts w:eastAsia="Calibri"/>
                <w:i/>
                <w:sz w:val="20"/>
              </w:rPr>
              <w:t>Charter</w:t>
            </w:r>
            <w:r w:rsidRPr="00667307">
              <w:rPr>
                <w:rFonts w:eastAsia="Calibri"/>
                <w:sz w:val="20"/>
              </w:rPr>
              <w:t>.  On May 13, 2011, Ross J. granted an extradition order of committal.  On October 20, 2011, the Minister of Justice made an order of surrender.  The Court of Appeal dismissed the appeal of the extradition order. The Court of Appeal dismissed the application for judicial review of the surrender order.</w:t>
            </w:r>
          </w:p>
          <w:p w:rsidR="00833148" w:rsidRPr="00667307" w:rsidRDefault="00833148" w:rsidP="00A0505A">
            <w:pPr>
              <w:jc w:val="both"/>
              <w:rPr>
                <w:rFonts w:eastAsia="Calibri"/>
                <w:sz w:val="20"/>
              </w:rPr>
            </w:pPr>
          </w:p>
        </w:tc>
      </w:tr>
      <w:tr w:rsidR="00833148" w:rsidRPr="00667307" w:rsidTr="00A0505A">
        <w:tc>
          <w:tcPr>
            <w:tcW w:w="2427" w:type="pct"/>
          </w:tcPr>
          <w:p w:rsidR="00833148" w:rsidRPr="00667307" w:rsidRDefault="00833148" w:rsidP="00A0505A">
            <w:pPr>
              <w:jc w:val="both"/>
              <w:rPr>
                <w:rFonts w:eastAsia="Calibri"/>
                <w:sz w:val="20"/>
              </w:rPr>
            </w:pPr>
            <w:r w:rsidRPr="00667307">
              <w:rPr>
                <w:rFonts w:eastAsia="Calibri"/>
                <w:sz w:val="20"/>
              </w:rPr>
              <w:t>February 10, 2011</w:t>
            </w:r>
          </w:p>
          <w:p w:rsidR="00833148" w:rsidRPr="00667307" w:rsidRDefault="00833148" w:rsidP="00A0505A">
            <w:pPr>
              <w:jc w:val="both"/>
              <w:rPr>
                <w:rFonts w:eastAsia="Calibri"/>
                <w:sz w:val="20"/>
              </w:rPr>
            </w:pPr>
            <w:r w:rsidRPr="00667307">
              <w:rPr>
                <w:rFonts w:eastAsia="Calibri"/>
                <w:sz w:val="20"/>
              </w:rPr>
              <w:t>Supreme Court of British Columbia</w:t>
            </w:r>
          </w:p>
          <w:p w:rsidR="00833148" w:rsidRPr="00667307" w:rsidRDefault="00833148" w:rsidP="00A0505A">
            <w:pPr>
              <w:jc w:val="both"/>
              <w:rPr>
                <w:rFonts w:eastAsia="Calibri"/>
                <w:sz w:val="20"/>
              </w:rPr>
            </w:pPr>
            <w:r w:rsidRPr="00667307">
              <w:rPr>
                <w:rFonts w:eastAsia="Calibri"/>
                <w:sz w:val="20"/>
              </w:rPr>
              <w:t>(Ross J.)</w:t>
            </w:r>
          </w:p>
          <w:p w:rsidR="00833148" w:rsidRPr="00667307" w:rsidRDefault="00833148" w:rsidP="00A0505A">
            <w:pPr>
              <w:jc w:val="both"/>
              <w:rPr>
                <w:rFonts w:eastAsia="Calibri"/>
                <w:sz w:val="20"/>
              </w:rPr>
            </w:pPr>
            <w:r w:rsidRPr="00667307">
              <w:rPr>
                <w:rFonts w:eastAsia="Calibri"/>
                <w:sz w:val="20"/>
              </w:rPr>
              <w:t>2011 BCSC 165</w:t>
            </w:r>
          </w:p>
          <w:p w:rsidR="00833148" w:rsidRPr="00667307" w:rsidRDefault="00833148" w:rsidP="00A0505A">
            <w:pPr>
              <w:jc w:val="both"/>
              <w:rPr>
                <w:rFonts w:eastAsia="Calibri"/>
                <w:sz w:val="20"/>
              </w:rPr>
            </w:pPr>
          </w:p>
        </w:tc>
        <w:tc>
          <w:tcPr>
            <w:tcW w:w="243" w:type="pct"/>
          </w:tcPr>
          <w:p w:rsidR="00833148" w:rsidRPr="00667307" w:rsidRDefault="00833148" w:rsidP="00A0505A">
            <w:pPr>
              <w:jc w:val="both"/>
              <w:rPr>
                <w:rFonts w:eastAsia="Calibri"/>
                <w:sz w:val="20"/>
              </w:rPr>
            </w:pPr>
          </w:p>
        </w:tc>
        <w:tc>
          <w:tcPr>
            <w:tcW w:w="2330" w:type="pct"/>
          </w:tcPr>
          <w:p w:rsidR="00833148" w:rsidRPr="00667307" w:rsidRDefault="00833148" w:rsidP="00A0505A">
            <w:pPr>
              <w:jc w:val="both"/>
              <w:rPr>
                <w:rFonts w:eastAsia="Calibri"/>
                <w:sz w:val="20"/>
              </w:rPr>
            </w:pPr>
            <w:r w:rsidRPr="00667307">
              <w:rPr>
                <w:rFonts w:eastAsia="Calibri"/>
                <w:sz w:val="20"/>
              </w:rPr>
              <w:t>Application dismissed</w:t>
            </w:r>
          </w:p>
          <w:p w:rsidR="00833148" w:rsidRPr="00667307" w:rsidRDefault="00833148" w:rsidP="00A0505A">
            <w:pPr>
              <w:jc w:val="both"/>
              <w:rPr>
                <w:rFonts w:eastAsia="Calibri"/>
                <w:sz w:val="20"/>
              </w:rPr>
            </w:pPr>
          </w:p>
          <w:p w:rsidR="00833148" w:rsidRPr="00667307" w:rsidRDefault="00833148" w:rsidP="00A0505A">
            <w:pPr>
              <w:jc w:val="both"/>
              <w:rPr>
                <w:rFonts w:eastAsia="Calibri"/>
                <w:sz w:val="20"/>
              </w:rPr>
            </w:pPr>
          </w:p>
        </w:tc>
      </w:tr>
      <w:tr w:rsidR="00833148" w:rsidRPr="00667307" w:rsidTr="00A0505A">
        <w:tc>
          <w:tcPr>
            <w:tcW w:w="2427" w:type="pct"/>
          </w:tcPr>
          <w:p w:rsidR="00833148" w:rsidRPr="00667307" w:rsidRDefault="00833148" w:rsidP="00A0505A">
            <w:pPr>
              <w:jc w:val="both"/>
              <w:rPr>
                <w:rFonts w:eastAsia="Calibri"/>
                <w:sz w:val="20"/>
              </w:rPr>
            </w:pPr>
            <w:r w:rsidRPr="00667307">
              <w:rPr>
                <w:rFonts w:eastAsia="Calibri"/>
                <w:sz w:val="20"/>
              </w:rPr>
              <w:t>October 9, 2012</w:t>
            </w:r>
          </w:p>
          <w:p w:rsidR="00833148" w:rsidRPr="00667307" w:rsidRDefault="00833148" w:rsidP="00A0505A">
            <w:pPr>
              <w:jc w:val="both"/>
              <w:rPr>
                <w:rFonts w:eastAsia="Calibri"/>
                <w:sz w:val="20"/>
              </w:rPr>
            </w:pPr>
            <w:r w:rsidRPr="00667307">
              <w:rPr>
                <w:rFonts w:eastAsia="Calibri"/>
                <w:sz w:val="20"/>
              </w:rPr>
              <w:t xml:space="preserve">Court of Appeal for British Columbia </w:t>
            </w:r>
          </w:p>
          <w:p w:rsidR="00833148" w:rsidRPr="00667307" w:rsidRDefault="00833148" w:rsidP="00A0505A">
            <w:pPr>
              <w:jc w:val="both"/>
              <w:rPr>
                <w:rFonts w:eastAsia="Calibri"/>
                <w:sz w:val="20"/>
              </w:rPr>
            </w:pPr>
            <w:r w:rsidRPr="00667307">
              <w:rPr>
                <w:rFonts w:eastAsia="Calibri"/>
                <w:sz w:val="20"/>
              </w:rPr>
              <w:t>(Vancouver)</w:t>
            </w:r>
          </w:p>
          <w:p w:rsidR="00833148" w:rsidRPr="00667307" w:rsidRDefault="00833148" w:rsidP="00A0505A">
            <w:pPr>
              <w:jc w:val="both"/>
              <w:rPr>
                <w:rFonts w:eastAsia="Calibri"/>
                <w:sz w:val="20"/>
              </w:rPr>
            </w:pPr>
            <w:r w:rsidRPr="00667307">
              <w:rPr>
                <w:rFonts w:eastAsia="Calibri"/>
                <w:sz w:val="20"/>
              </w:rPr>
              <w:t>(Low, Groberman, Mackenzie JJ.A.)</w:t>
            </w:r>
          </w:p>
          <w:p w:rsidR="00833148" w:rsidRPr="00667307" w:rsidRDefault="00833148" w:rsidP="00A0505A">
            <w:pPr>
              <w:jc w:val="both"/>
              <w:rPr>
                <w:rFonts w:eastAsia="Calibri"/>
                <w:sz w:val="20"/>
              </w:rPr>
            </w:pPr>
            <w:r w:rsidRPr="00667307">
              <w:rPr>
                <w:rFonts w:eastAsia="Calibri"/>
                <w:sz w:val="20"/>
              </w:rPr>
              <w:t>2012 BCCA 397</w:t>
            </w:r>
          </w:p>
          <w:p w:rsidR="00833148" w:rsidRPr="00667307" w:rsidRDefault="00833148" w:rsidP="00A0505A">
            <w:pPr>
              <w:jc w:val="both"/>
              <w:rPr>
                <w:rFonts w:eastAsia="Calibri"/>
                <w:sz w:val="20"/>
              </w:rPr>
            </w:pPr>
          </w:p>
        </w:tc>
        <w:tc>
          <w:tcPr>
            <w:tcW w:w="243" w:type="pct"/>
          </w:tcPr>
          <w:p w:rsidR="00833148" w:rsidRPr="00667307" w:rsidRDefault="00833148" w:rsidP="00A0505A">
            <w:pPr>
              <w:jc w:val="both"/>
              <w:rPr>
                <w:rFonts w:eastAsia="Calibri"/>
                <w:sz w:val="20"/>
              </w:rPr>
            </w:pPr>
          </w:p>
        </w:tc>
        <w:tc>
          <w:tcPr>
            <w:tcW w:w="2330" w:type="pct"/>
          </w:tcPr>
          <w:p w:rsidR="00833148" w:rsidRPr="00667307" w:rsidRDefault="00833148" w:rsidP="00A0505A">
            <w:pPr>
              <w:jc w:val="both"/>
              <w:rPr>
                <w:rFonts w:eastAsia="Calibri"/>
                <w:sz w:val="20"/>
              </w:rPr>
            </w:pPr>
            <w:r w:rsidRPr="00667307">
              <w:rPr>
                <w:rFonts w:eastAsia="Calibri"/>
                <w:sz w:val="20"/>
              </w:rPr>
              <w:t>Appeal from extradition order dismissed; application for judicial review of surrender order dismissed</w:t>
            </w:r>
          </w:p>
        </w:tc>
      </w:tr>
      <w:tr w:rsidR="00833148" w:rsidRPr="00667307" w:rsidTr="00A0505A">
        <w:tc>
          <w:tcPr>
            <w:tcW w:w="2427" w:type="pct"/>
          </w:tcPr>
          <w:p w:rsidR="00833148" w:rsidRPr="00667307" w:rsidRDefault="00833148" w:rsidP="00A0505A">
            <w:pPr>
              <w:jc w:val="both"/>
              <w:rPr>
                <w:rFonts w:eastAsia="Calibri"/>
                <w:sz w:val="20"/>
              </w:rPr>
            </w:pPr>
            <w:r w:rsidRPr="00667307">
              <w:rPr>
                <w:rFonts w:eastAsia="Calibri"/>
                <w:sz w:val="20"/>
              </w:rPr>
              <w:t>December 17, 2012</w:t>
            </w:r>
          </w:p>
          <w:p w:rsidR="00833148" w:rsidRPr="00667307" w:rsidRDefault="00833148" w:rsidP="00A0505A">
            <w:pPr>
              <w:jc w:val="both"/>
              <w:rPr>
                <w:rFonts w:eastAsia="Calibri"/>
                <w:sz w:val="20"/>
              </w:rPr>
            </w:pPr>
            <w:r w:rsidRPr="00667307">
              <w:rPr>
                <w:rFonts w:eastAsia="Calibri"/>
                <w:sz w:val="20"/>
              </w:rPr>
              <w:t>Supreme Court of Canada</w:t>
            </w:r>
          </w:p>
          <w:p w:rsidR="00833148" w:rsidRPr="00667307" w:rsidRDefault="00833148" w:rsidP="00A0505A">
            <w:pPr>
              <w:jc w:val="both"/>
              <w:rPr>
                <w:rFonts w:eastAsia="Calibri"/>
                <w:sz w:val="20"/>
              </w:rPr>
            </w:pPr>
          </w:p>
        </w:tc>
        <w:tc>
          <w:tcPr>
            <w:tcW w:w="243" w:type="pct"/>
          </w:tcPr>
          <w:p w:rsidR="00833148" w:rsidRPr="00667307" w:rsidRDefault="00833148" w:rsidP="00A0505A">
            <w:pPr>
              <w:jc w:val="both"/>
              <w:rPr>
                <w:rFonts w:eastAsia="Calibri"/>
                <w:sz w:val="20"/>
              </w:rPr>
            </w:pPr>
          </w:p>
        </w:tc>
        <w:tc>
          <w:tcPr>
            <w:tcW w:w="2330" w:type="pct"/>
          </w:tcPr>
          <w:p w:rsidR="00833148" w:rsidRPr="00667307" w:rsidRDefault="00833148" w:rsidP="00A0505A">
            <w:pPr>
              <w:jc w:val="both"/>
              <w:rPr>
                <w:rFonts w:eastAsia="Calibri"/>
                <w:sz w:val="20"/>
              </w:rPr>
            </w:pPr>
            <w:r w:rsidRPr="00667307">
              <w:rPr>
                <w:rFonts w:eastAsia="Calibri"/>
                <w:sz w:val="20"/>
              </w:rPr>
              <w:t>Motion for an extension of time to serve and file the application for leave to appeal filed and application for leave to appeal filed</w:t>
            </w: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42"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33148" w:rsidRPr="00D41BFD" w:rsidTr="00A0505A">
        <w:tc>
          <w:tcPr>
            <w:tcW w:w="5000" w:type="pct"/>
            <w:gridSpan w:val="3"/>
          </w:tcPr>
          <w:p w:rsidR="00833148" w:rsidRPr="00667307" w:rsidRDefault="00833148" w:rsidP="00A0505A">
            <w:pPr>
              <w:jc w:val="both"/>
              <w:rPr>
                <w:rFonts w:eastAsia="Calibri"/>
                <w:sz w:val="20"/>
                <w:lang w:val="fr-FR"/>
              </w:rPr>
            </w:pPr>
            <w:r w:rsidRPr="00667307">
              <w:rPr>
                <w:rFonts w:eastAsia="Calibri"/>
                <w:i/>
                <w:sz w:val="20"/>
                <w:lang w:val="fr-FR"/>
              </w:rPr>
              <w:t>Charte des droits et libertés</w:t>
            </w:r>
            <w:r w:rsidRPr="00667307">
              <w:rPr>
                <w:rFonts w:eastAsia="Calibri"/>
                <w:sz w:val="20"/>
                <w:lang w:val="fr-FR"/>
              </w:rPr>
              <w:t xml:space="preserve"> – Fouilles, perquisitions et saisies – Droit à la vie, à la liberté et à la sécurité de la personne – Droit criminel – Extradition – L’al. 193(2)</w:t>
            </w:r>
            <w:r w:rsidRPr="00667307">
              <w:rPr>
                <w:rFonts w:eastAsia="Calibri"/>
                <w:i/>
                <w:sz w:val="20"/>
                <w:lang w:val="fr-FR"/>
              </w:rPr>
              <w:t>e</w:t>
            </w:r>
            <w:r w:rsidRPr="00667307">
              <w:rPr>
                <w:rFonts w:eastAsia="Calibri"/>
                <w:sz w:val="20"/>
                <w:lang w:val="fr-FR"/>
              </w:rPr>
              <w:t xml:space="preserve">) du </w:t>
            </w:r>
            <w:r w:rsidRPr="00667307">
              <w:rPr>
                <w:rFonts w:eastAsia="Calibri"/>
                <w:i/>
                <w:sz w:val="20"/>
                <w:lang w:val="fr-FR"/>
              </w:rPr>
              <w:t>Code criminel</w:t>
            </w:r>
            <w:r w:rsidRPr="00667307">
              <w:rPr>
                <w:rFonts w:eastAsia="Calibri"/>
                <w:sz w:val="20"/>
                <w:lang w:val="fr-FR"/>
              </w:rPr>
              <w:t xml:space="preserve"> ou l’al. 8(2)</w:t>
            </w:r>
            <w:r w:rsidRPr="00667307">
              <w:rPr>
                <w:rFonts w:eastAsia="Calibri"/>
                <w:i/>
                <w:sz w:val="20"/>
                <w:lang w:val="fr-FR"/>
              </w:rPr>
              <w:t>f</w:t>
            </w:r>
            <w:r w:rsidRPr="00667307">
              <w:rPr>
                <w:rFonts w:eastAsia="Calibri"/>
                <w:sz w:val="20"/>
                <w:lang w:val="fr-FR"/>
              </w:rPr>
              <w:t xml:space="preserve">) de la </w:t>
            </w:r>
            <w:r w:rsidRPr="00667307">
              <w:rPr>
                <w:rFonts w:eastAsia="Calibri"/>
                <w:i/>
                <w:sz w:val="20"/>
                <w:lang w:val="fr-FR"/>
              </w:rPr>
              <w:t>Loi sur la protection des renseignements personnels</w:t>
            </w:r>
            <w:r w:rsidRPr="00667307">
              <w:rPr>
                <w:rFonts w:eastAsia="Calibri"/>
                <w:sz w:val="20"/>
                <w:lang w:val="fr-FR"/>
              </w:rPr>
              <w:t xml:space="preserve">, L.R.C. 1985, ch. P-21, porte-t-il atteinte aux droits individuels garantis soit par l’art. 7, soit par l’art. 8 de la </w:t>
            </w:r>
            <w:r w:rsidRPr="00667307">
              <w:rPr>
                <w:rFonts w:eastAsia="Calibri"/>
                <w:i/>
                <w:sz w:val="20"/>
                <w:lang w:val="fr-FR"/>
              </w:rPr>
              <w:t>Charte</w:t>
            </w:r>
            <w:r w:rsidRPr="00667307">
              <w:rPr>
                <w:rFonts w:eastAsia="Calibri"/>
                <w:sz w:val="20"/>
                <w:lang w:val="fr-FR"/>
              </w:rPr>
              <w:t xml:space="preserve">? – La loi régissant l’échange de communications privées interceptées est-elle conforme aux principes de justice fondamentale? – En cas de non-respect de ces exigences législatives, l’échange illégal de renseignements de ce genre vicie-t-il l’autorisation initiale de leur interception? – L’affaire soulève-t-elle des questions d’importance pour le public? – Articles 7 et 8 de la </w:t>
            </w:r>
            <w:r w:rsidRPr="00667307">
              <w:rPr>
                <w:rFonts w:eastAsia="Calibri"/>
                <w:i/>
                <w:sz w:val="20"/>
                <w:lang w:val="fr-FR"/>
              </w:rPr>
              <w:t>Charte</w:t>
            </w:r>
            <w:r w:rsidRPr="00667307">
              <w:rPr>
                <w:rFonts w:eastAsia="Calibri"/>
                <w:sz w:val="20"/>
                <w:lang w:val="fr-FR"/>
              </w:rPr>
              <w:t>.</w:t>
            </w:r>
          </w:p>
        </w:tc>
      </w:tr>
      <w:tr w:rsidR="00833148" w:rsidRPr="00D41BFD" w:rsidTr="00A0505A">
        <w:tc>
          <w:tcPr>
            <w:tcW w:w="5000" w:type="pct"/>
            <w:gridSpan w:val="3"/>
          </w:tcPr>
          <w:p w:rsidR="00833148" w:rsidRPr="00667307" w:rsidRDefault="00833148" w:rsidP="00A0505A">
            <w:pPr>
              <w:jc w:val="both"/>
              <w:rPr>
                <w:rFonts w:eastAsia="Calibri"/>
                <w:sz w:val="20"/>
                <w:lang w:val="fr-FR"/>
              </w:rPr>
            </w:pPr>
          </w:p>
        </w:tc>
      </w:tr>
      <w:tr w:rsidR="00833148" w:rsidRPr="00D41BFD" w:rsidTr="00A0505A">
        <w:tc>
          <w:tcPr>
            <w:tcW w:w="5000" w:type="pct"/>
            <w:gridSpan w:val="3"/>
          </w:tcPr>
          <w:p w:rsidR="00833148" w:rsidRPr="00667307" w:rsidRDefault="00833148" w:rsidP="00A0505A">
            <w:pPr>
              <w:jc w:val="both"/>
              <w:rPr>
                <w:rFonts w:eastAsia="Calibri"/>
                <w:sz w:val="20"/>
                <w:lang w:val="fr-FR"/>
              </w:rPr>
            </w:pPr>
            <w:r w:rsidRPr="00667307">
              <w:rPr>
                <w:rFonts w:eastAsia="Calibri"/>
                <w:sz w:val="20"/>
                <w:lang w:val="fr-FR"/>
              </w:rPr>
              <w:t>Le demandeur est recherché aux États-Unis pour subir son procès relativement à certaines infractions liées aux drogues.  Il est allégué que le demandeur et d’autres personnes ont exporté des drogues du Canada dans l’État du Minnesota.  Le demandeur était mis sous écoute au Canada, et les policiers canadiens ont envoyé les conversations interceptées ou des renseignements sur celles-ci à leurs homologues américains.  La juge d’extradition a conclu que ni l’al. 193(2)</w:t>
            </w:r>
            <w:r w:rsidRPr="00667307">
              <w:rPr>
                <w:rFonts w:eastAsia="Calibri"/>
                <w:i/>
                <w:sz w:val="20"/>
                <w:lang w:val="fr-FR"/>
              </w:rPr>
              <w:t>e</w:t>
            </w:r>
            <w:r w:rsidRPr="00667307">
              <w:rPr>
                <w:rFonts w:eastAsia="Calibri"/>
                <w:sz w:val="20"/>
                <w:lang w:val="fr-FR"/>
              </w:rPr>
              <w:t xml:space="preserve">) du </w:t>
            </w:r>
            <w:r w:rsidRPr="00667307">
              <w:rPr>
                <w:rFonts w:eastAsia="Calibri"/>
                <w:i/>
                <w:sz w:val="20"/>
                <w:lang w:val="fr-FR"/>
              </w:rPr>
              <w:t>Code criminel</w:t>
            </w:r>
            <w:r w:rsidRPr="00667307">
              <w:rPr>
                <w:rFonts w:eastAsia="Calibri"/>
                <w:sz w:val="20"/>
                <w:lang w:val="fr-FR"/>
              </w:rPr>
              <w:t>, ni l’al. 8(2)</w:t>
            </w:r>
            <w:r w:rsidRPr="00667307">
              <w:rPr>
                <w:rFonts w:eastAsia="Calibri"/>
                <w:i/>
                <w:sz w:val="20"/>
                <w:lang w:val="fr-FR"/>
              </w:rPr>
              <w:t>f</w:t>
            </w:r>
            <w:r w:rsidRPr="00667307">
              <w:rPr>
                <w:rFonts w:eastAsia="Calibri"/>
                <w:sz w:val="20"/>
                <w:lang w:val="fr-FR"/>
              </w:rPr>
              <w:t xml:space="preserve">) de la </w:t>
            </w:r>
            <w:r w:rsidRPr="00667307">
              <w:rPr>
                <w:rFonts w:eastAsia="Calibri"/>
                <w:i/>
                <w:sz w:val="20"/>
                <w:lang w:val="fr-FR"/>
              </w:rPr>
              <w:t>Loi sur la protection des renseignements personnels</w:t>
            </w:r>
            <w:r w:rsidRPr="00667307">
              <w:rPr>
                <w:rFonts w:eastAsia="Calibri"/>
                <w:sz w:val="20"/>
                <w:lang w:val="fr-FR"/>
              </w:rPr>
              <w:t xml:space="preserve">, L.R.C. 1985, </w:t>
            </w:r>
            <w:r w:rsidRPr="00667307">
              <w:rPr>
                <w:rFonts w:eastAsia="Calibri"/>
                <w:sz w:val="20"/>
                <w:lang w:val="fr-FR"/>
              </w:rPr>
              <w:lastRenderedPageBreak/>
              <w:t xml:space="preserve">ch. P-21, ne porte atteinte aux droits individuels garantis soit par l’art. 7, soit par l’art. 8 de la </w:t>
            </w:r>
            <w:r w:rsidRPr="00667307">
              <w:rPr>
                <w:rFonts w:eastAsia="Calibri"/>
                <w:i/>
                <w:sz w:val="20"/>
                <w:lang w:val="fr-FR"/>
              </w:rPr>
              <w:t>Charte</w:t>
            </w:r>
            <w:r w:rsidRPr="00667307">
              <w:rPr>
                <w:rFonts w:eastAsia="Calibri"/>
                <w:sz w:val="20"/>
                <w:lang w:val="fr-FR"/>
              </w:rPr>
              <w:t xml:space="preserve">.  Le 13 mai 2011, la juge Ross a rendu une ordonnance d’incarcération en vue de l’extradition du demandeur.  Le ministre de la Justice a pris un arrêté d’extradition le 20 octobre 2011.  La Cour d’appel a rejeté l’appel de l’ordonnance d’extradition et la demande de contrôle judiciaire visant l’arrêté d’extradition.  </w:t>
            </w:r>
          </w:p>
          <w:p w:rsidR="00833148" w:rsidRPr="00667307" w:rsidRDefault="00833148" w:rsidP="00A0505A">
            <w:pPr>
              <w:jc w:val="both"/>
              <w:rPr>
                <w:rFonts w:eastAsia="Calibri"/>
                <w:sz w:val="20"/>
                <w:lang w:val="fr-FR"/>
              </w:rPr>
            </w:pPr>
          </w:p>
        </w:tc>
      </w:tr>
      <w:tr w:rsidR="00833148" w:rsidRPr="00667307" w:rsidTr="00A0505A">
        <w:tc>
          <w:tcPr>
            <w:tcW w:w="2427" w:type="pct"/>
          </w:tcPr>
          <w:p w:rsidR="00833148" w:rsidRPr="00667307" w:rsidRDefault="00833148" w:rsidP="00A0505A">
            <w:pPr>
              <w:jc w:val="both"/>
              <w:rPr>
                <w:rFonts w:eastAsia="Calibri"/>
                <w:sz w:val="20"/>
                <w:lang w:val="fr-FR"/>
              </w:rPr>
            </w:pPr>
            <w:r w:rsidRPr="00667307">
              <w:rPr>
                <w:rFonts w:eastAsia="Calibri"/>
                <w:sz w:val="20"/>
                <w:lang w:val="fr-FR"/>
              </w:rPr>
              <w:lastRenderedPageBreak/>
              <w:t>10 février 2011</w:t>
            </w:r>
          </w:p>
          <w:p w:rsidR="00833148" w:rsidRPr="00667307" w:rsidRDefault="00833148" w:rsidP="00A0505A">
            <w:pPr>
              <w:jc w:val="both"/>
              <w:rPr>
                <w:rFonts w:eastAsia="Calibri"/>
                <w:sz w:val="20"/>
                <w:lang w:val="fr-FR"/>
              </w:rPr>
            </w:pPr>
            <w:r w:rsidRPr="00667307">
              <w:rPr>
                <w:rFonts w:eastAsia="Calibri"/>
                <w:sz w:val="20"/>
                <w:lang w:val="fr-FR"/>
              </w:rPr>
              <w:t xml:space="preserve">Cour suprême de la Colombie-Britannique </w:t>
            </w:r>
          </w:p>
          <w:p w:rsidR="00833148" w:rsidRPr="00667307" w:rsidRDefault="00833148" w:rsidP="00A0505A">
            <w:pPr>
              <w:jc w:val="both"/>
              <w:rPr>
                <w:rFonts w:eastAsia="Calibri"/>
                <w:sz w:val="20"/>
              </w:rPr>
            </w:pPr>
            <w:r w:rsidRPr="00667307">
              <w:rPr>
                <w:rFonts w:eastAsia="Calibri"/>
                <w:sz w:val="20"/>
              </w:rPr>
              <w:t>(Juge Ross)</w:t>
            </w:r>
          </w:p>
          <w:p w:rsidR="00833148" w:rsidRPr="00667307" w:rsidRDefault="00833148" w:rsidP="00A0505A">
            <w:pPr>
              <w:jc w:val="both"/>
              <w:rPr>
                <w:rFonts w:eastAsia="Calibri"/>
                <w:sz w:val="20"/>
              </w:rPr>
            </w:pPr>
            <w:r w:rsidRPr="00667307">
              <w:rPr>
                <w:rFonts w:eastAsia="Calibri"/>
                <w:sz w:val="20"/>
              </w:rPr>
              <w:t>2011 BCSC 165</w:t>
            </w:r>
          </w:p>
          <w:p w:rsidR="00833148" w:rsidRPr="00667307" w:rsidRDefault="00833148" w:rsidP="00A0505A">
            <w:pPr>
              <w:jc w:val="both"/>
              <w:rPr>
                <w:rFonts w:eastAsia="Calibri"/>
                <w:sz w:val="20"/>
              </w:rPr>
            </w:pPr>
          </w:p>
        </w:tc>
        <w:tc>
          <w:tcPr>
            <w:tcW w:w="243" w:type="pct"/>
          </w:tcPr>
          <w:p w:rsidR="00833148" w:rsidRPr="00667307" w:rsidRDefault="00833148" w:rsidP="00A0505A">
            <w:pPr>
              <w:jc w:val="both"/>
              <w:rPr>
                <w:rFonts w:eastAsia="Calibri"/>
                <w:sz w:val="20"/>
              </w:rPr>
            </w:pPr>
          </w:p>
        </w:tc>
        <w:tc>
          <w:tcPr>
            <w:tcW w:w="2330" w:type="pct"/>
          </w:tcPr>
          <w:p w:rsidR="00833148" w:rsidRPr="00667307" w:rsidRDefault="00833148" w:rsidP="00A0505A">
            <w:pPr>
              <w:jc w:val="both"/>
              <w:rPr>
                <w:rFonts w:eastAsia="Calibri"/>
                <w:sz w:val="20"/>
              </w:rPr>
            </w:pPr>
            <w:r w:rsidRPr="00667307">
              <w:rPr>
                <w:rFonts w:eastAsia="Calibri"/>
                <w:sz w:val="20"/>
              </w:rPr>
              <w:t>Demande rejetée</w:t>
            </w:r>
          </w:p>
          <w:p w:rsidR="00833148" w:rsidRPr="00667307" w:rsidRDefault="00833148" w:rsidP="00A0505A">
            <w:pPr>
              <w:jc w:val="both"/>
              <w:rPr>
                <w:rFonts w:eastAsia="Calibri"/>
                <w:sz w:val="20"/>
              </w:rPr>
            </w:pPr>
          </w:p>
          <w:p w:rsidR="00833148" w:rsidRPr="00667307" w:rsidRDefault="00833148" w:rsidP="00A0505A">
            <w:pPr>
              <w:jc w:val="both"/>
              <w:rPr>
                <w:rFonts w:eastAsia="Calibri"/>
                <w:sz w:val="20"/>
              </w:rPr>
            </w:pPr>
          </w:p>
        </w:tc>
      </w:tr>
      <w:tr w:rsidR="00833148" w:rsidRPr="00D41BFD" w:rsidTr="00A0505A">
        <w:tc>
          <w:tcPr>
            <w:tcW w:w="2427" w:type="pct"/>
          </w:tcPr>
          <w:p w:rsidR="00833148" w:rsidRPr="00667307" w:rsidRDefault="00833148" w:rsidP="00A0505A">
            <w:pPr>
              <w:jc w:val="both"/>
              <w:rPr>
                <w:rFonts w:eastAsia="Calibri"/>
                <w:sz w:val="20"/>
                <w:lang w:val="fr-CA"/>
              </w:rPr>
            </w:pPr>
            <w:r w:rsidRPr="00667307">
              <w:rPr>
                <w:rFonts w:eastAsia="Calibri"/>
                <w:sz w:val="20"/>
                <w:lang w:val="fr-CA"/>
              </w:rPr>
              <w:t>9 octobre 2012</w:t>
            </w:r>
          </w:p>
          <w:p w:rsidR="00833148" w:rsidRPr="00667307" w:rsidRDefault="00833148" w:rsidP="00A0505A">
            <w:pPr>
              <w:jc w:val="both"/>
              <w:rPr>
                <w:rFonts w:eastAsia="Calibri"/>
                <w:sz w:val="20"/>
                <w:lang w:val="fr-FR"/>
              </w:rPr>
            </w:pPr>
            <w:r w:rsidRPr="00667307">
              <w:rPr>
                <w:rFonts w:eastAsia="Calibri"/>
                <w:sz w:val="20"/>
                <w:lang w:val="fr-FR"/>
              </w:rPr>
              <w:t xml:space="preserve">Cour d’appel de la Colombie-Britannique </w:t>
            </w:r>
          </w:p>
          <w:p w:rsidR="00833148" w:rsidRPr="00667307" w:rsidRDefault="00833148" w:rsidP="00A0505A">
            <w:pPr>
              <w:jc w:val="both"/>
              <w:rPr>
                <w:rFonts w:eastAsia="Calibri"/>
                <w:sz w:val="20"/>
                <w:lang w:val="fr-FR"/>
              </w:rPr>
            </w:pPr>
            <w:r w:rsidRPr="00667307">
              <w:rPr>
                <w:rFonts w:eastAsia="Calibri"/>
                <w:sz w:val="20"/>
                <w:lang w:val="fr-FR"/>
              </w:rPr>
              <w:t>(Vancouver)</w:t>
            </w:r>
          </w:p>
          <w:p w:rsidR="00833148" w:rsidRPr="00667307" w:rsidRDefault="00833148" w:rsidP="00A0505A">
            <w:pPr>
              <w:jc w:val="both"/>
              <w:rPr>
                <w:rFonts w:eastAsia="Calibri"/>
                <w:sz w:val="20"/>
                <w:lang w:val="fr-FR"/>
              </w:rPr>
            </w:pPr>
            <w:r w:rsidRPr="00667307">
              <w:rPr>
                <w:rFonts w:eastAsia="Calibri"/>
                <w:sz w:val="20"/>
                <w:lang w:val="fr-FR"/>
              </w:rPr>
              <w:t>(Juges Low, Groberman et Mackenzie)</w:t>
            </w:r>
          </w:p>
          <w:p w:rsidR="00833148" w:rsidRPr="00667307" w:rsidRDefault="00833148" w:rsidP="00A0505A">
            <w:pPr>
              <w:jc w:val="both"/>
              <w:rPr>
                <w:rFonts w:eastAsia="Calibri"/>
                <w:sz w:val="20"/>
                <w:lang w:val="fr-FR"/>
              </w:rPr>
            </w:pPr>
            <w:r w:rsidRPr="00667307">
              <w:rPr>
                <w:rFonts w:eastAsia="Calibri"/>
                <w:sz w:val="20"/>
                <w:lang w:val="fr-FR"/>
              </w:rPr>
              <w:t>2012 BCCA 397</w:t>
            </w:r>
          </w:p>
          <w:p w:rsidR="00833148" w:rsidRPr="00667307" w:rsidRDefault="00833148" w:rsidP="00A0505A">
            <w:pPr>
              <w:jc w:val="both"/>
              <w:rPr>
                <w:rFonts w:eastAsia="Calibri"/>
                <w:sz w:val="20"/>
                <w:lang w:val="fr-FR"/>
              </w:rPr>
            </w:pPr>
          </w:p>
        </w:tc>
        <w:tc>
          <w:tcPr>
            <w:tcW w:w="243" w:type="pct"/>
          </w:tcPr>
          <w:p w:rsidR="00833148" w:rsidRPr="00667307" w:rsidRDefault="00833148" w:rsidP="00A0505A">
            <w:pPr>
              <w:jc w:val="both"/>
              <w:rPr>
                <w:rFonts w:eastAsia="Calibri"/>
                <w:sz w:val="20"/>
                <w:lang w:val="fr-FR"/>
              </w:rPr>
            </w:pPr>
          </w:p>
        </w:tc>
        <w:tc>
          <w:tcPr>
            <w:tcW w:w="2330" w:type="pct"/>
          </w:tcPr>
          <w:p w:rsidR="00833148" w:rsidRPr="00667307" w:rsidRDefault="00833148" w:rsidP="00A0505A">
            <w:pPr>
              <w:jc w:val="both"/>
              <w:rPr>
                <w:rFonts w:eastAsia="Calibri"/>
                <w:sz w:val="20"/>
                <w:lang w:val="fr-FR"/>
              </w:rPr>
            </w:pPr>
            <w:r w:rsidRPr="00667307">
              <w:rPr>
                <w:rFonts w:eastAsia="Calibri"/>
                <w:sz w:val="20"/>
                <w:lang w:val="fr-FR"/>
              </w:rPr>
              <w:t>Appel de l’ordonnance d’extradition rejeté; demande de contrôle judiciaire visant l’arrêté d’extradition rejetée</w:t>
            </w:r>
          </w:p>
        </w:tc>
      </w:tr>
      <w:tr w:rsidR="00833148" w:rsidRPr="00916DDE" w:rsidTr="00A0505A">
        <w:tc>
          <w:tcPr>
            <w:tcW w:w="2427" w:type="pct"/>
          </w:tcPr>
          <w:p w:rsidR="00833148" w:rsidRPr="00667307" w:rsidRDefault="00833148" w:rsidP="00A0505A">
            <w:pPr>
              <w:jc w:val="both"/>
              <w:rPr>
                <w:rFonts w:eastAsia="Calibri"/>
                <w:sz w:val="20"/>
                <w:lang w:val="fr-CA"/>
              </w:rPr>
            </w:pPr>
            <w:r w:rsidRPr="00667307">
              <w:rPr>
                <w:rFonts w:eastAsia="Calibri"/>
                <w:sz w:val="20"/>
                <w:lang w:val="fr-CA"/>
              </w:rPr>
              <w:t>17 décembre 2012</w:t>
            </w:r>
          </w:p>
          <w:p w:rsidR="00833148" w:rsidRPr="00667307" w:rsidRDefault="00833148" w:rsidP="00A0505A">
            <w:pPr>
              <w:jc w:val="both"/>
              <w:rPr>
                <w:rFonts w:eastAsia="Calibri"/>
                <w:sz w:val="20"/>
                <w:lang w:val="fr-CA"/>
              </w:rPr>
            </w:pPr>
            <w:r w:rsidRPr="00667307">
              <w:rPr>
                <w:rFonts w:eastAsia="Calibri"/>
                <w:sz w:val="20"/>
                <w:lang w:val="fr-CA"/>
              </w:rPr>
              <w:t>Cour suprême du Canada</w:t>
            </w:r>
          </w:p>
        </w:tc>
        <w:tc>
          <w:tcPr>
            <w:tcW w:w="243" w:type="pct"/>
          </w:tcPr>
          <w:p w:rsidR="00833148" w:rsidRPr="00667307" w:rsidRDefault="00833148" w:rsidP="00A0505A">
            <w:pPr>
              <w:jc w:val="both"/>
              <w:rPr>
                <w:rFonts w:eastAsia="Calibri"/>
                <w:sz w:val="20"/>
                <w:lang w:val="fr-CA"/>
              </w:rPr>
            </w:pPr>
          </w:p>
        </w:tc>
        <w:tc>
          <w:tcPr>
            <w:tcW w:w="2330" w:type="pct"/>
          </w:tcPr>
          <w:p w:rsidR="00833148" w:rsidRPr="00667307" w:rsidRDefault="00833148" w:rsidP="00A0505A">
            <w:pPr>
              <w:jc w:val="both"/>
              <w:rPr>
                <w:rFonts w:eastAsia="Calibri"/>
                <w:sz w:val="20"/>
                <w:lang w:val="fr-FR"/>
              </w:rPr>
            </w:pPr>
            <w:r w:rsidRPr="00667307">
              <w:rPr>
                <w:rFonts w:eastAsia="Calibri"/>
                <w:sz w:val="20"/>
                <w:lang w:val="fr-FR"/>
              </w:rPr>
              <w:t>Requête en prorogation du délai pour signifier et déposer la demande d’autorisation d’appel et demande d’autorisation d’appel déposées</w:t>
            </w:r>
          </w:p>
        </w:tc>
      </w:tr>
    </w:tbl>
    <w:p w:rsidR="00AA605C" w:rsidRPr="00833148" w:rsidRDefault="00AA605C" w:rsidP="00AA605C">
      <w:pPr>
        <w:rPr>
          <w:sz w:val="20"/>
          <w:szCs w:val="20"/>
          <w:lang w:val="fr-CA"/>
        </w:rPr>
      </w:pPr>
    </w:p>
    <w:p w:rsidR="00AA605C" w:rsidRDefault="00B3404D" w:rsidP="00AA605C">
      <w:pPr>
        <w:rPr>
          <w:sz w:val="20"/>
          <w:szCs w:val="20"/>
          <w:lang w:val="fr-CA"/>
        </w:rPr>
      </w:pPr>
      <w:r w:rsidRPr="00B3404D">
        <w:rPr>
          <w:sz w:val="20"/>
          <w:szCs w:val="20"/>
          <w:lang w:val="fr-CA"/>
        </w:rPr>
        <w:pict>
          <v:rect id="_x0000_i1043" style="width:2in;height:1pt" o:hrpct="0" o:hralign="center" o:hrstd="t" o:hrnoshade="t" o:hr="t" fillcolor="black [3213]" stroked="f"/>
        </w:pict>
      </w:r>
    </w:p>
    <w:p w:rsidR="00AA605C" w:rsidRDefault="00AA605C" w:rsidP="00AA605C">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26CD5" w:rsidRPr="00926CD5" w:rsidTr="00A61B52">
        <w:trPr>
          <w:cantSplit/>
        </w:trPr>
        <w:tc>
          <w:tcPr>
            <w:tcW w:w="1458" w:type="dxa"/>
          </w:tcPr>
          <w:p w:rsidR="00926CD5" w:rsidRPr="00926CD5" w:rsidRDefault="00926CD5" w:rsidP="00926CD5">
            <w:pPr>
              <w:rPr>
                <w:sz w:val="20"/>
                <w:szCs w:val="20"/>
              </w:rPr>
            </w:pPr>
            <w:r w:rsidRPr="00926CD5">
              <w:rPr>
                <w:b/>
                <w:sz w:val="20"/>
                <w:lang w:val="fr-CA"/>
              </w:rPr>
              <w:t>35134</w:t>
            </w:r>
          </w:p>
          <w:p w:rsidR="00926CD5" w:rsidRPr="00926CD5" w:rsidRDefault="00926CD5" w:rsidP="00926CD5">
            <w:pPr>
              <w:rPr>
                <w:b/>
                <w:sz w:val="20"/>
                <w:szCs w:val="20"/>
                <w:lang w:val="fr-CA"/>
              </w:rPr>
            </w:pPr>
          </w:p>
        </w:tc>
        <w:tc>
          <w:tcPr>
            <w:tcW w:w="8118" w:type="dxa"/>
          </w:tcPr>
          <w:p w:rsidR="00926CD5" w:rsidRPr="00926CD5" w:rsidRDefault="00926CD5" w:rsidP="00926CD5">
            <w:pPr>
              <w:jc w:val="both"/>
              <w:rPr>
                <w:sz w:val="20"/>
                <w:szCs w:val="20"/>
              </w:rPr>
            </w:pPr>
            <w:r w:rsidRPr="00926CD5">
              <w:rPr>
                <w:b/>
                <w:sz w:val="20"/>
                <w:u w:val="single"/>
              </w:rPr>
              <w:t>Director of Civil Forfeiture v. Hells Angels Motorcycle Corporation, Angel Acres Recreation and Festival Property Ltd., Richard Phillips, Lloyd Stennes, Robert Widdifield, Raymond Bradley Cunningham, Lawrence Dean Bergstrom, Gordon Keith Jones, Randolph Basaraba, Steven Elliott, Patrick Henry, Alan Murray, Lea Sheppe, Rajinder Singh Sandhu, Ralph MacGregor</w:t>
            </w:r>
            <w:r w:rsidR="00793D9F">
              <w:rPr>
                <w:b/>
                <w:sz w:val="20"/>
                <w:u w:val="single"/>
              </w:rPr>
              <w:t>,</w:t>
            </w:r>
            <w:r w:rsidRPr="00926CD5">
              <w:rPr>
                <w:b/>
                <w:sz w:val="20"/>
                <w:u w:val="single"/>
              </w:rPr>
              <w:t xml:space="preserve"> Sean Kendall and all others interested in the property</w:t>
            </w:r>
            <w:r w:rsidRPr="00926CD5">
              <w:rPr>
                <w:sz w:val="20"/>
                <w:szCs w:val="20"/>
              </w:rPr>
              <w:t xml:space="preserve"> (B.C.) (Criminal) (By</w:t>
            </w:r>
            <w:r w:rsidR="00C03293">
              <w:rPr>
                <w:sz w:val="20"/>
                <w:szCs w:val="20"/>
              </w:rPr>
              <w:t> </w:t>
            </w:r>
            <w:r w:rsidRPr="00926CD5">
              <w:rPr>
                <w:sz w:val="20"/>
                <w:szCs w:val="20"/>
              </w:rPr>
              <w:t>Leave)</w:t>
            </w:r>
          </w:p>
          <w:p w:rsidR="00926CD5" w:rsidRPr="00926CD5" w:rsidRDefault="00926CD5" w:rsidP="00926CD5">
            <w:pPr>
              <w:jc w:val="both"/>
              <w:rPr>
                <w:sz w:val="20"/>
                <w:szCs w:val="20"/>
              </w:rPr>
            </w:pPr>
          </w:p>
        </w:tc>
      </w:tr>
      <w:tr w:rsidR="00926CD5" w:rsidRPr="00926CD5" w:rsidTr="00A61B52">
        <w:trPr>
          <w:cantSplit/>
        </w:trPr>
        <w:tc>
          <w:tcPr>
            <w:tcW w:w="1458" w:type="dxa"/>
          </w:tcPr>
          <w:p w:rsidR="00926CD5" w:rsidRPr="00926CD5" w:rsidRDefault="00926CD5" w:rsidP="00926CD5">
            <w:pPr>
              <w:rPr>
                <w:sz w:val="20"/>
                <w:szCs w:val="20"/>
              </w:rPr>
            </w:pPr>
            <w:r w:rsidRPr="00926CD5">
              <w:rPr>
                <w:sz w:val="20"/>
                <w:szCs w:val="20"/>
              </w:rPr>
              <w:t>Coram :</w:t>
            </w:r>
          </w:p>
        </w:tc>
        <w:tc>
          <w:tcPr>
            <w:tcW w:w="8118" w:type="dxa"/>
          </w:tcPr>
          <w:p w:rsidR="00926CD5" w:rsidRPr="00926CD5" w:rsidRDefault="00926CD5" w:rsidP="00926CD5">
            <w:pPr>
              <w:rPr>
                <w:sz w:val="20"/>
                <w:szCs w:val="20"/>
              </w:rPr>
            </w:pPr>
            <w:r w:rsidRPr="00926CD5">
              <w:rPr>
                <w:sz w:val="20"/>
                <w:u w:val="single"/>
              </w:rPr>
              <w:t>McLachlin C.J. and Abella and Cromwell JJ.</w:t>
            </w:r>
          </w:p>
          <w:p w:rsidR="00926CD5" w:rsidRPr="00926CD5" w:rsidRDefault="00926CD5" w:rsidP="00926CD5">
            <w:pPr>
              <w:rPr>
                <w:sz w:val="20"/>
                <w:szCs w:val="20"/>
                <w:u w:val="single"/>
              </w:rPr>
            </w:pPr>
          </w:p>
        </w:tc>
      </w:tr>
      <w:tr w:rsidR="00926CD5" w:rsidRPr="00D41BFD" w:rsidTr="00A61B52">
        <w:trPr>
          <w:cantSplit/>
        </w:trPr>
        <w:tc>
          <w:tcPr>
            <w:tcW w:w="9576" w:type="dxa"/>
            <w:gridSpan w:val="2"/>
          </w:tcPr>
          <w:p w:rsidR="00926CD5" w:rsidRPr="00926CD5" w:rsidRDefault="00926CD5" w:rsidP="00926CD5">
            <w:pPr>
              <w:ind w:firstLine="720"/>
              <w:jc w:val="both"/>
              <w:rPr>
                <w:sz w:val="20"/>
                <w:szCs w:val="20"/>
              </w:rPr>
            </w:pPr>
            <w:r w:rsidRPr="00926CD5">
              <w:rPr>
                <w:sz w:val="20"/>
                <w:szCs w:val="20"/>
              </w:rPr>
              <w:t>The application for leave to appeal from the judgment of the Supreme Court of British Columbia, Number 07-4460, dated October 19, 2012, is granted with costs in the cause.  The sealed documents filed separately are to be returned to the applicant by the registry, with no order as to costs.</w:t>
            </w:r>
          </w:p>
          <w:p w:rsidR="00926CD5" w:rsidRPr="00926CD5" w:rsidRDefault="00926CD5" w:rsidP="00926CD5">
            <w:pPr>
              <w:jc w:val="both"/>
              <w:rPr>
                <w:sz w:val="20"/>
                <w:szCs w:val="20"/>
              </w:rPr>
            </w:pPr>
          </w:p>
          <w:p w:rsidR="00926CD5" w:rsidRPr="00926CD5" w:rsidRDefault="00926CD5" w:rsidP="00926CD5">
            <w:pPr>
              <w:ind w:firstLine="720"/>
              <w:jc w:val="both"/>
              <w:rPr>
                <w:sz w:val="20"/>
                <w:szCs w:val="20"/>
                <w:lang w:val="fr-CA"/>
              </w:rPr>
            </w:pPr>
            <w:r w:rsidRPr="00926CD5">
              <w:rPr>
                <w:sz w:val="20"/>
                <w:szCs w:val="20"/>
                <w:lang w:val="fr-CA"/>
              </w:rPr>
              <w:t>La demande d’autorisation d’appel du jugement de la Cour suprême de la Colombie-Britannique, numéro 07-4460, daté du 19 octobre 2012, est accueillie avec dépens selon l’issue de la cause.  Il est ordonné au greffe de retourner au demandeur les documents scellés produits séparément, sans ordonnance quant aux dépens.</w:t>
            </w:r>
          </w:p>
        </w:tc>
      </w:tr>
    </w:tbl>
    <w:p w:rsidR="00AA605C" w:rsidRPr="00926CD5" w:rsidRDefault="00AA605C" w:rsidP="00AA605C">
      <w:pPr>
        <w:rPr>
          <w:sz w:val="20"/>
          <w:szCs w:val="20"/>
          <w:lang w:val="fr-CA"/>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33148" w:rsidRPr="00667307" w:rsidTr="00A0505A">
        <w:tc>
          <w:tcPr>
            <w:tcW w:w="5000" w:type="pct"/>
            <w:gridSpan w:val="3"/>
          </w:tcPr>
          <w:p w:rsidR="00833148" w:rsidRPr="00667307" w:rsidRDefault="00833148" w:rsidP="00A0505A">
            <w:pPr>
              <w:jc w:val="both"/>
              <w:rPr>
                <w:rFonts w:eastAsia="Calibri"/>
                <w:smallCaps/>
                <w:sz w:val="20"/>
              </w:rPr>
            </w:pPr>
            <w:r w:rsidRPr="00667307">
              <w:rPr>
                <w:rFonts w:eastAsia="Calibri"/>
                <w:smallCaps/>
                <w:sz w:val="20"/>
              </w:rPr>
              <w:t xml:space="preserve">(Sealing </w:t>
            </w:r>
            <w:r>
              <w:rPr>
                <w:rFonts w:eastAsia="Calibri"/>
                <w:smallCaps/>
                <w:sz w:val="20"/>
              </w:rPr>
              <w:t>O</w:t>
            </w:r>
            <w:r w:rsidRPr="00667307">
              <w:rPr>
                <w:rFonts w:eastAsia="Calibri"/>
                <w:smallCaps/>
                <w:sz w:val="20"/>
              </w:rPr>
              <w:t>rder)</w:t>
            </w:r>
          </w:p>
          <w:p w:rsidR="00833148" w:rsidRPr="00667307" w:rsidRDefault="00833148" w:rsidP="00A0505A">
            <w:pPr>
              <w:jc w:val="both"/>
              <w:rPr>
                <w:rFonts w:eastAsia="Calibri"/>
                <w:sz w:val="20"/>
              </w:rPr>
            </w:pPr>
          </w:p>
          <w:p w:rsidR="00833148" w:rsidRPr="00667307" w:rsidRDefault="00833148" w:rsidP="00A0505A">
            <w:pPr>
              <w:jc w:val="both"/>
              <w:rPr>
                <w:rFonts w:eastAsia="Calibri"/>
                <w:sz w:val="20"/>
              </w:rPr>
            </w:pPr>
            <w:r w:rsidRPr="00667307">
              <w:rPr>
                <w:rFonts w:eastAsia="Calibri"/>
                <w:i/>
                <w:sz w:val="20"/>
              </w:rPr>
              <w:t>Charter of Rights</w:t>
            </w:r>
            <w:r w:rsidRPr="00667307">
              <w:rPr>
                <w:rFonts w:eastAsia="Calibri"/>
                <w:sz w:val="20"/>
              </w:rPr>
              <w:t xml:space="preserve"> – Criminal law – Interception of communications – Evidence – Sealed affidavits – Director commencing civil forfeiture proceedings against Respondents based on evidence gathered in criminal investigation – Respondents applying to unseal affidavits filed in support of wiretap authorizations issued in criminal proceedings where Crown not pursuing prosecutions – Does a judge need to consider the merits of opening each packet sealed under s. 187(1) of the </w:t>
            </w:r>
            <w:r w:rsidRPr="00667307">
              <w:rPr>
                <w:rFonts w:eastAsia="Calibri"/>
                <w:i/>
                <w:sz w:val="20"/>
              </w:rPr>
              <w:t>Criminal Code</w:t>
            </w:r>
            <w:r w:rsidRPr="00667307">
              <w:rPr>
                <w:rFonts w:eastAsia="Calibri"/>
                <w:sz w:val="20"/>
              </w:rPr>
              <w:t xml:space="preserve"> independently? – Must the evidence disclose an air of reality to an articulable </w:t>
            </w:r>
            <w:r w:rsidRPr="00667307">
              <w:rPr>
                <w:rFonts w:eastAsia="Calibri"/>
                <w:i/>
                <w:sz w:val="20"/>
              </w:rPr>
              <w:t>Charter</w:t>
            </w:r>
            <w:r w:rsidRPr="00667307">
              <w:rPr>
                <w:rFonts w:eastAsia="Calibri"/>
                <w:sz w:val="20"/>
              </w:rPr>
              <w:t xml:space="preserve"> challenge before a judge can exercise his or her discretion to open packets sealed pursuant to s. 187(1.3) of the </w:t>
            </w:r>
            <w:r w:rsidRPr="00667307">
              <w:rPr>
                <w:rFonts w:eastAsia="Calibri"/>
                <w:i/>
                <w:sz w:val="20"/>
              </w:rPr>
              <w:t>Criminal Code</w:t>
            </w:r>
            <w:r w:rsidRPr="00667307">
              <w:rPr>
                <w:rFonts w:eastAsia="Calibri"/>
                <w:sz w:val="20"/>
              </w:rPr>
              <w:t xml:space="preserve">? – What factors should a judge take into consideration when exercising his or her discretion to open packets sealed pursuant to s. 187(1.3) for the purposes of a civil action advanced for the benefit of a government </w:t>
            </w:r>
            <w:r w:rsidRPr="00667307">
              <w:rPr>
                <w:rFonts w:eastAsia="Calibri"/>
                <w:sz w:val="20"/>
              </w:rPr>
              <w:lastRenderedPageBreak/>
              <w:t>actor, and what weight should be given to various factors?</w:t>
            </w:r>
          </w:p>
        </w:tc>
      </w:tr>
      <w:tr w:rsidR="00833148" w:rsidRPr="00667307" w:rsidTr="00A0505A">
        <w:tc>
          <w:tcPr>
            <w:tcW w:w="5000" w:type="pct"/>
            <w:gridSpan w:val="3"/>
          </w:tcPr>
          <w:p w:rsidR="00833148" w:rsidRPr="00667307" w:rsidRDefault="00833148" w:rsidP="00A0505A">
            <w:pPr>
              <w:jc w:val="both"/>
              <w:rPr>
                <w:rFonts w:eastAsia="Calibri"/>
                <w:sz w:val="20"/>
              </w:rPr>
            </w:pPr>
          </w:p>
        </w:tc>
      </w:tr>
      <w:tr w:rsidR="00833148" w:rsidRPr="00667307" w:rsidTr="00A0505A">
        <w:tc>
          <w:tcPr>
            <w:tcW w:w="5000" w:type="pct"/>
            <w:gridSpan w:val="3"/>
          </w:tcPr>
          <w:p w:rsidR="00833148" w:rsidRPr="00667307" w:rsidRDefault="00833148" w:rsidP="00A0505A">
            <w:pPr>
              <w:jc w:val="both"/>
              <w:rPr>
                <w:rFonts w:eastAsia="Calibri"/>
                <w:sz w:val="20"/>
              </w:rPr>
            </w:pPr>
            <w:r w:rsidRPr="00667307">
              <w:rPr>
                <w:rFonts w:eastAsia="Calibri"/>
                <w:sz w:val="20"/>
              </w:rPr>
              <w:t xml:space="preserve">During the course of the Project Halo police investigation into the activities of the Nanaimo Hells Angels Motorcycle Club, the Crown obtained a series of three wiretap authorizations to intercept private communications.  The affidavits submitted in support of the applications were the subject of sealing orders.  Prosecutions were not pursued by the Crown, however, because there was insufficient admissible evidence to proceed with the criminal charges recommended by the police. Subsequently, the Director of Civil Forfeiture commenced an action pursuant to the </w:t>
            </w:r>
            <w:r w:rsidRPr="00667307">
              <w:rPr>
                <w:rFonts w:eastAsia="Calibri"/>
                <w:i/>
                <w:sz w:val="20"/>
              </w:rPr>
              <w:t>Civil Forfeiture Act</w:t>
            </w:r>
            <w:r w:rsidRPr="00667307">
              <w:rPr>
                <w:rFonts w:eastAsia="Calibri"/>
                <w:sz w:val="20"/>
              </w:rPr>
              <w:t xml:space="preserve">, S.B.C. 2005, c. 29 seeking forfeiture of the Respondents’ clubhouse and its contents as instruments of unlawful activities.  This action was based almost entirely on the fruits of the prior police investigation.  Under s. 187(1.3) of the </w:t>
            </w:r>
            <w:r w:rsidRPr="00667307">
              <w:rPr>
                <w:rFonts w:eastAsia="Calibri"/>
                <w:i/>
                <w:sz w:val="20"/>
              </w:rPr>
              <w:t>Criminal Code</w:t>
            </w:r>
            <w:r w:rsidRPr="00667307">
              <w:rPr>
                <w:rFonts w:eastAsia="Calibri"/>
                <w:sz w:val="20"/>
              </w:rPr>
              <w:t>, the Respondents applied for the disclosure of the three affidavits filed in respect of the wiretap authorizations, to support its case in the civil forfeiture action.  The Director opposed the application on the grounds of confidentiality and potential privilege.</w:t>
            </w:r>
          </w:p>
          <w:p w:rsidR="00833148" w:rsidRPr="00667307" w:rsidRDefault="00833148" w:rsidP="00A0505A">
            <w:pPr>
              <w:jc w:val="both"/>
              <w:rPr>
                <w:rFonts w:eastAsia="Calibri"/>
                <w:sz w:val="20"/>
              </w:rPr>
            </w:pPr>
          </w:p>
        </w:tc>
      </w:tr>
      <w:tr w:rsidR="00833148" w:rsidRPr="00667307" w:rsidTr="00A0505A">
        <w:tc>
          <w:tcPr>
            <w:tcW w:w="2427" w:type="pct"/>
          </w:tcPr>
          <w:p w:rsidR="00833148" w:rsidRPr="00667307" w:rsidRDefault="00833148" w:rsidP="00A0505A">
            <w:pPr>
              <w:jc w:val="both"/>
              <w:rPr>
                <w:rFonts w:eastAsia="Calibri"/>
                <w:sz w:val="20"/>
              </w:rPr>
            </w:pPr>
            <w:r w:rsidRPr="00667307">
              <w:rPr>
                <w:rFonts w:eastAsia="Calibri"/>
                <w:sz w:val="20"/>
              </w:rPr>
              <w:t>October 19, 2012</w:t>
            </w:r>
          </w:p>
          <w:p w:rsidR="00833148" w:rsidRPr="00667307" w:rsidRDefault="00833148" w:rsidP="00A0505A">
            <w:pPr>
              <w:jc w:val="both"/>
              <w:rPr>
                <w:rFonts w:eastAsia="Calibri"/>
                <w:sz w:val="20"/>
              </w:rPr>
            </w:pPr>
            <w:r w:rsidRPr="00667307">
              <w:rPr>
                <w:rFonts w:eastAsia="Calibri"/>
                <w:sz w:val="20"/>
              </w:rPr>
              <w:t>Supreme Court of British Columbia</w:t>
            </w:r>
          </w:p>
          <w:p w:rsidR="00833148" w:rsidRPr="00667307" w:rsidRDefault="00833148" w:rsidP="00A0505A">
            <w:pPr>
              <w:jc w:val="both"/>
              <w:rPr>
                <w:rFonts w:eastAsia="Calibri"/>
                <w:sz w:val="20"/>
              </w:rPr>
            </w:pPr>
            <w:r w:rsidRPr="00667307">
              <w:rPr>
                <w:rFonts w:eastAsia="Calibri"/>
                <w:sz w:val="20"/>
              </w:rPr>
              <w:t>(Davies J.)</w:t>
            </w:r>
          </w:p>
          <w:p w:rsidR="00833148" w:rsidRPr="00667307" w:rsidRDefault="00833148" w:rsidP="00A0505A">
            <w:pPr>
              <w:jc w:val="both"/>
              <w:rPr>
                <w:rFonts w:eastAsia="Calibri"/>
                <w:sz w:val="20"/>
              </w:rPr>
            </w:pPr>
          </w:p>
        </w:tc>
        <w:tc>
          <w:tcPr>
            <w:tcW w:w="243" w:type="pct"/>
          </w:tcPr>
          <w:p w:rsidR="00833148" w:rsidRPr="00667307" w:rsidRDefault="00833148" w:rsidP="00A0505A">
            <w:pPr>
              <w:jc w:val="both"/>
              <w:rPr>
                <w:rFonts w:eastAsia="Calibri"/>
                <w:sz w:val="20"/>
              </w:rPr>
            </w:pPr>
          </w:p>
        </w:tc>
        <w:tc>
          <w:tcPr>
            <w:tcW w:w="2330" w:type="pct"/>
          </w:tcPr>
          <w:p w:rsidR="00833148" w:rsidRPr="00667307" w:rsidRDefault="00833148" w:rsidP="00A0505A">
            <w:pPr>
              <w:jc w:val="both"/>
              <w:rPr>
                <w:rFonts w:eastAsia="Calibri"/>
                <w:sz w:val="20"/>
              </w:rPr>
            </w:pPr>
            <w:r w:rsidRPr="00667307">
              <w:rPr>
                <w:rFonts w:eastAsia="Calibri"/>
                <w:sz w:val="20"/>
              </w:rPr>
              <w:t>Respondents’ application for disclosure of sealed affidavits granted</w:t>
            </w:r>
          </w:p>
          <w:p w:rsidR="00833148" w:rsidRPr="00667307" w:rsidRDefault="00833148" w:rsidP="00A0505A">
            <w:pPr>
              <w:jc w:val="both"/>
              <w:rPr>
                <w:rFonts w:eastAsia="Calibri"/>
                <w:sz w:val="20"/>
              </w:rPr>
            </w:pPr>
          </w:p>
          <w:p w:rsidR="00833148" w:rsidRPr="00667307" w:rsidRDefault="00833148" w:rsidP="00A0505A">
            <w:pPr>
              <w:jc w:val="both"/>
              <w:rPr>
                <w:rFonts w:eastAsia="Calibri"/>
                <w:sz w:val="20"/>
              </w:rPr>
            </w:pPr>
          </w:p>
        </w:tc>
      </w:tr>
      <w:tr w:rsidR="00833148" w:rsidRPr="00667307" w:rsidTr="00A0505A">
        <w:tc>
          <w:tcPr>
            <w:tcW w:w="2427" w:type="pct"/>
          </w:tcPr>
          <w:p w:rsidR="00833148" w:rsidRPr="00667307" w:rsidRDefault="00833148" w:rsidP="00A0505A">
            <w:pPr>
              <w:jc w:val="both"/>
              <w:rPr>
                <w:rFonts w:eastAsia="Calibri"/>
                <w:sz w:val="20"/>
              </w:rPr>
            </w:pPr>
            <w:r w:rsidRPr="00667307">
              <w:rPr>
                <w:rFonts w:eastAsia="Calibri"/>
                <w:sz w:val="20"/>
              </w:rPr>
              <w:t>December 18, 2012</w:t>
            </w:r>
          </w:p>
          <w:p w:rsidR="00833148" w:rsidRPr="00667307" w:rsidRDefault="00833148" w:rsidP="00A0505A">
            <w:pPr>
              <w:jc w:val="both"/>
              <w:rPr>
                <w:rFonts w:eastAsia="Calibri"/>
                <w:sz w:val="20"/>
              </w:rPr>
            </w:pPr>
            <w:r w:rsidRPr="00667307">
              <w:rPr>
                <w:rFonts w:eastAsia="Calibri"/>
                <w:sz w:val="20"/>
              </w:rPr>
              <w:t>Supreme Court of Canada</w:t>
            </w:r>
          </w:p>
        </w:tc>
        <w:tc>
          <w:tcPr>
            <w:tcW w:w="243" w:type="pct"/>
          </w:tcPr>
          <w:p w:rsidR="00833148" w:rsidRPr="00667307" w:rsidRDefault="00833148" w:rsidP="00A0505A">
            <w:pPr>
              <w:jc w:val="both"/>
              <w:rPr>
                <w:rFonts w:eastAsia="Calibri"/>
                <w:sz w:val="20"/>
              </w:rPr>
            </w:pPr>
          </w:p>
        </w:tc>
        <w:tc>
          <w:tcPr>
            <w:tcW w:w="2330" w:type="pct"/>
          </w:tcPr>
          <w:p w:rsidR="00833148" w:rsidRPr="00667307" w:rsidRDefault="00833148" w:rsidP="00A0505A">
            <w:pPr>
              <w:jc w:val="both"/>
              <w:rPr>
                <w:rFonts w:eastAsia="Calibri"/>
                <w:sz w:val="20"/>
              </w:rPr>
            </w:pPr>
            <w:r w:rsidRPr="00667307">
              <w:rPr>
                <w:rFonts w:eastAsia="Calibri"/>
                <w:sz w:val="20"/>
              </w:rPr>
              <w:t>Application for leave to appeal filed</w:t>
            </w:r>
          </w:p>
          <w:p w:rsidR="00833148" w:rsidRPr="00667307" w:rsidRDefault="00833148" w:rsidP="00A0505A">
            <w:pPr>
              <w:jc w:val="both"/>
              <w:rPr>
                <w:rFonts w:eastAsia="Calibri"/>
                <w:sz w:val="20"/>
              </w:rPr>
            </w:pP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44"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33148" w:rsidRPr="00D41BFD" w:rsidTr="00A0505A">
        <w:tc>
          <w:tcPr>
            <w:tcW w:w="5000" w:type="pct"/>
            <w:gridSpan w:val="3"/>
          </w:tcPr>
          <w:p w:rsidR="00833148" w:rsidRPr="00667307" w:rsidRDefault="00833148" w:rsidP="00A0505A">
            <w:pPr>
              <w:jc w:val="both"/>
              <w:rPr>
                <w:rFonts w:eastAsia="Calibri"/>
                <w:smallCaps/>
                <w:sz w:val="20"/>
                <w:lang w:val="fr-FR"/>
              </w:rPr>
            </w:pPr>
            <w:r w:rsidRPr="00667307">
              <w:rPr>
                <w:rFonts w:eastAsia="Calibri"/>
                <w:smallCaps/>
                <w:sz w:val="20"/>
                <w:lang w:val="fr-FR"/>
              </w:rPr>
              <w:t>(Ordonnance de mise sous scell</w:t>
            </w:r>
            <w:r w:rsidRPr="00667307">
              <w:rPr>
                <w:rFonts w:eastAsia="Calibri"/>
                <w:smallCaps/>
                <w:sz w:val="20"/>
                <w:lang w:val="fr-CA"/>
              </w:rPr>
              <w:t>é</w:t>
            </w:r>
            <w:r w:rsidR="00C03293">
              <w:rPr>
                <w:rFonts w:eastAsia="Calibri"/>
                <w:smallCaps/>
                <w:sz w:val="20"/>
                <w:lang w:val="fr-CA"/>
              </w:rPr>
              <w:t>s</w:t>
            </w:r>
            <w:r w:rsidRPr="00667307">
              <w:rPr>
                <w:rFonts w:eastAsia="Calibri"/>
                <w:smallCaps/>
                <w:sz w:val="20"/>
                <w:lang w:val="fr-FR"/>
              </w:rPr>
              <w:t>)</w:t>
            </w:r>
          </w:p>
          <w:p w:rsidR="00833148" w:rsidRPr="00667307" w:rsidRDefault="00833148" w:rsidP="00A0505A">
            <w:pPr>
              <w:jc w:val="both"/>
              <w:rPr>
                <w:rFonts w:eastAsia="Calibri"/>
                <w:sz w:val="20"/>
                <w:lang w:val="fr-FR"/>
              </w:rPr>
            </w:pPr>
          </w:p>
          <w:p w:rsidR="00833148" w:rsidRPr="00667307" w:rsidRDefault="00833148" w:rsidP="00A0505A">
            <w:pPr>
              <w:jc w:val="both"/>
              <w:rPr>
                <w:rFonts w:eastAsia="Calibri"/>
                <w:sz w:val="20"/>
                <w:lang w:val="fr-FR"/>
              </w:rPr>
            </w:pPr>
            <w:r w:rsidRPr="00667307">
              <w:rPr>
                <w:rFonts w:eastAsia="Calibri"/>
                <w:i/>
                <w:sz w:val="20"/>
                <w:lang w:val="fr-FR"/>
              </w:rPr>
              <w:t xml:space="preserve">Charte des droits </w:t>
            </w:r>
            <w:r w:rsidRPr="00667307">
              <w:rPr>
                <w:rFonts w:eastAsia="Calibri"/>
                <w:sz w:val="20"/>
                <w:lang w:val="fr-FR"/>
              </w:rPr>
              <w:t xml:space="preserve">– Droit criminel – Interception de communications – Preuve – Affidavits scellés – Procédure de confiscation civile engagée par le directeur contre les intimés sur la base d’éléments de preuve recueillis au cours d’une enquête criminelle – Demande des intimés visant à obtenir les affidavits non scellés déposés à l’appui d’autorisations d’écoute électronique accordées dans une instance criminelle où le ministère public a abandonné les poursuites – Le juge doit-il examiner le bien-fondé de l’ouverture de chaque paquet scellé en application du par. 187(1) du </w:t>
            </w:r>
            <w:r w:rsidRPr="00667307">
              <w:rPr>
                <w:rFonts w:eastAsia="Calibri"/>
                <w:i/>
                <w:sz w:val="20"/>
                <w:lang w:val="fr-FR"/>
              </w:rPr>
              <w:t>Code criminel</w:t>
            </w:r>
            <w:r w:rsidRPr="00667307">
              <w:rPr>
                <w:rFonts w:eastAsia="Calibri"/>
                <w:sz w:val="20"/>
                <w:lang w:val="fr-FR"/>
              </w:rPr>
              <w:t xml:space="preserve">? – La preuve doit-elle conférer vraisemblance à une contestation fondée sur la </w:t>
            </w:r>
            <w:r w:rsidRPr="00667307">
              <w:rPr>
                <w:rFonts w:eastAsia="Calibri"/>
                <w:i/>
                <w:sz w:val="20"/>
                <w:lang w:val="fr-FR"/>
              </w:rPr>
              <w:t>Charte</w:t>
            </w:r>
            <w:r w:rsidRPr="00667307">
              <w:rPr>
                <w:rFonts w:eastAsia="Calibri"/>
                <w:sz w:val="20"/>
                <w:lang w:val="fr-FR"/>
              </w:rPr>
              <w:t xml:space="preserve"> pour que le juge exerce son pouvoir discrétionnaire d’ouvrir, en vertu du par. 187(1.3) du </w:t>
            </w:r>
            <w:r w:rsidRPr="00667307">
              <w:rPr>
                <w:rFonts w:eastAsia="Calibri"/>
                <w:i/>
                <w:sz w:val="20"/>
                <w:lang w:val="fr-FR"/>
              </w:rPr>
              <w:t>Code criminel</w:t>
            </w:r>
            <w:r w:rsidRPr="00667307">
              <w:rPr>
                <w:rFonts w:eastAsia="Calibri"/>
                <w:sz w:val="20"/>
                <w:lang w:val="fr-FR"/>
              </w:rPr>
              <w:t>, des paquets scellés? – Quels sont les facteurs dont le juge doit tenir compte au moment d’exercer son pouvoir discrétionnaire d’ouvrir, en vertu du par. 187(1.3), des paquets scellés pour les besoins d’une action civile intentée au profit d’un acteur gouvernemental, et quel poids faut-il accorder aux différents facteurs?</w:t>
            </w:r>
          </w:p>
        </w:tc>
      </w:tr>
      <w:tr w:rsidR="00833148" w:rsidRPr="00D41BFD" w:rsidTr="00A0505A">
        <w:tc>
          <w:tcPr>
            <w:tcW w:w="5000" w:type="pct"/>
            <w:gridSpan w:val="3"/>
          </w:tcPr>
          <w:p w:rsidR="00833148" w:rsidRPr="00667307" w:rsidRDefault="00833148" w:rsidP="00A0505A">
            <w:pPr>
              <w:jc w:val="both"/>
              <w:rPr>
                <w:rFonts w:eastAsia="Calibri"/>
                <w:sz w:val="20"/>
                <w:lang w:val="fr-FR"/>
              </w:rPr>
            </w:pPr>
          </w:p>
        </w:tc>
      </w:tr>
      <w:tr w:rsidR="00833148" w:rsidRPr="00D41BFD" w:rsidTr="00A0505A">
        <w:tc>
          <w:tcPr>
            <w:tcW w:w="5000" w:type="pct"/>
            <w:gridSpan w:val="3"/>
          </w:tcPr>
          <w:p w:rsidR="00833148" w:rsidRPr="00667307" w:rsidRDefault="00833148" w:rsidP="00A0505A">
            <w:pPr>
              <w:jc w:val="both"/>
              <w:rPr>
                <w:rFonts w:eastAsia="Calibri"/>
                <w:sz w:val="20"/>
                <w:lang w:val="fr-FR"/>
              </w:rPr>
            </w:pPr>
            <w:r w:rsidRPr="00667307">
              <w:rPr>
                <w:rFonts w:eastAsia="Calibri"/>
                <w:sz w:val="20"/>
                <w:lang w:val="fr-FR"/>
              </w:rPr>
              <w:t xml:space="preserve">Au cours de l’enquête policière – appelée « Project Halo » – sur les activités du club de motards des Hells Angels à Nanaimo, le ministère public a obtenu trois autorisations d’écoute électronique dans le but d’intercepter des communications privées.  Les affidavits déposés à l’appui des demandes faisaient l’objet d’ordonnances de mise sous scellés.  Les poursuites ont toutefois été abandonnées par le ministère public parce qu’il n’y avait pas assez d’éléments de preuve admissibles pour poursuivre les accusations criminelles recommandées par les policiers.  Le directeur des confiscations civiles a intenté par la suite une action conformément à la </w:t>
            </w:r>
            <w:r w:rsidRPr="00667307">
              <w:rPr>
                <w:rFonts w:eastAsia="Calibri"/>
                <w:i/>
                <w:sz w:val="20"/>
                <w:lang w:val="fr-FR"/>
              </w:rPr>
              <w:t>Civil Forfeiture Act</w:t>
            </w:r>
            <w:r w:rsidRPr="00667307">
              <w:rPr>
                <w:rFonts w:eastAsia="Calibri"/>
                <w:sz w:val="20"/>
                <w:lang w:val="fr-FR"/>
              </w:rPr>
              <w:t xml:space="preserve">, S.B.C. 2005, ch. 29, en vue d’obtenir la confiscation du pavillon des intimés et des objets qui s’y trouvent en tant d’instruments d’activités illégales.  Cette action reposait presque entièrement sur les résultats de l’enquête policière antérieure.  Les intimés ont demandé, en vertu du par. 187(1.3) du </w:t>
            </w:r>
            <w:r w:rsidRPr="00667307">
              <w:rPr>
                <w:rFonts w:eastAsia="Calibri"/>
                <w:i/>
                <w:sz w:val="20"/>
                <w:lang w:val="fr-FR"/>
              </w:rPr>
              <w:t>Code criminel</w:t>
            </w:r>
            <w:r w:rsidRPr="00667307">
              <w:rPr>
                <w:rFonts w:eastAsia="Calibri"/>
                <w:sz w:val="20"/>
                <w:lang w:val="fr-FR"/>
              </w:rPr>
              <w:t xml:space="preserve">, la communication des trois affidavits déposés relativement aux autorisations d’écoute électronique pour étayer leur preuve dans l’action en confiscation civile.  Le directeur s’est opposé à la demande en prétendant que les affidavits sont confidentiels et peut-être visés par un privilège. </w:t>
            </w:r>
          </w:p>
          <w:p w:rsidR="00833148" w:rsidRPr="00667307" w:rsidRDefault="00833148" w:rsidP="00A0505A">
            <w:pPr>
              <w:jc w:val="both"/>
              <w:rPr>
                <w:rFonts w:eastAsia="Calibri"/>
                <w:sz w:val="20"/>
                <w:lang w:val="fr-FR"/>
              </w:rPr>
            </w:pPr>
          </w:p>
        </w:tc>
      </w:tr>
      <w:tr w:rsidR="00833148" w:rsidRPr="00D41BFD" w:rsidTr="00926CD5">
        <w:trPr>
          <w:cantSplit/>
        </w:trPr>
        <w:tc>
          <w:tcPr>
            <w:tcW w:w="2427" w:type="pct"/>
          </w:tcPr>
          <w:p w:rsidR="00833148" w:rsidRPr="00667307" w:rsidRDefault="00833148" w:rsidP="00A0505A">
            <w:pPr>
              <w:jc w:val="both"/>
              <w:rPr>
                <w:rFonts w:eastAsia="Calibri"/>
                <w:sz w:val="20"/>
                <w:lang w:val="fr-FR"/>
              </w:rPr>
            </w:pPr>
            <w:r w:rsidRPr="00667307">
              <w:rPr>
                <w:rFonts w:eastAsia="Calibri"/>
                <w:sz w:val="20"/>
                <w:lang w:val="fr-FR"/>
              </w:rPr>
              <w:lastRenderedPageBreak/>
              <w:t>19 octobre 2012</w:t>
            </w:r>
          </w:p>
          <w:p w:rsidR="00833148" w:rsidRPr="00667307" w:rsidRDefault="00833148" w:rsidP="00A0505A">
            <w:pPr>
              <w:jc w:val="both"/>
              <w:rPr>
                <w:rFonts w:eastAsia="Calibri"/>
                <w:sz w:val="20"/>
                <w:lang w:val="fr-FR"/>
              </w:rPr>
            </w:pPr>
            <w:r w:rsidRPr="00667307">
              <w:rPr>
                <w:rFonts w:eastAsia="Calibri"/>
                <w:sz w:val="20"/>
                <w:lang w:val="fr-FR"/>
              </w:rPr>
              <w:t>Cour suprême de la Colombie-Britannique</w:t>
            </w:r>
          </w:p>
          <w:p w:rsidR="00833148" w:rsidRPr="00667307" w:rsidRDefault="00833148" w:rsidP="00A0505A">
            <w:pPr>
              <w:jc w:val="both"/>
              <w:rPr>
                <w:rFonts w:eastAsia="Calibri"/>
                <w:sz w:val="20"/>
              </w:rPr>
            </w:pPr>
            <w:r w:rsidRPr="00667307">
              <w:rPr>
                <w:rFonts w:eastAsia="Calibri"/>
                <w:sz w:val="20"/>
              </w:rPr>
              <w:t>(Juge Davies)</w:t>
            </w:r>
          </w:p>
          <w:p w:rsidR="00833148" w:rsidRPr="00667307" w:rsidRDefault="00833148" w:rsidP="00A0505A">
            <w:pPr>
              <w:jc w:val="both"/>
              <w:rPr>
                <w:rFonts w:eastAsia="Calibri"/>
                <w:sz w:val="20"/>
              </w:rPr>
            </w:pPr>
          </w:p>
        </w:tc>
        <w:tc>
          <w:tcPr>
            <w:tcW w:w="243" w:type="pct"/>
          </w:tcPr>
          <w:p w:rsidR="00833148" w:rsidRPr="00667307" w:rsidRDefault="00833148" w:rsidP="00A0505A">
            <w:pPr>
              <w:jc w:val="both"/>
              <w:rPr>
                <w:rFonts w:eastAsia="Calibri"/>
                <w:sz w:val="20"/>
              </w:rPr>
            </w:pPr>
          </w:p>
        </w:tc>
        <w:tc>
          <w:tcPr>
            <w:tcW w:w="2330" w:type="pct"/>
          </w:tcPr>
          <w:p w:rsidR="00833148" w:rsidRPr="00667307" w:rsidRDefault="00833148" w:rsidP="00A0505A">
            <w:pPr>
              <w:jc w:val="both"/>
              <w:rPr>
                <w:rFonts w:eastAsia="Calibri"/>
                <w:sz w:val="20"/>
                <w:lang w:val="fr-FR"/>
              </w:rPr>
            </w:pPr>
            <w:r w:rsidRPr="00667307">
              <w:rPr>
                <w:rFonts w:eastAsia="Calibri"/>
                <w:sz w:val="20"/>
                <w:lang w:val="fr-FR"/>
              </w:rPr>
              <w:t>Demande des intimés en vue d’obtenir communication des affidavits scellés accueillie</w:t>
            </w:r>
          </w:p>
        </w:tc>
      </w:tr>
      <w:tr w:rsidR="00833148" w:rsidRPr="00667307" w:rsidTr="00926CD5">
        <w:trPr>
          <w:cantSplit/>
        </w:trPr>
        <w:tc>
          <w:tcPr>
            <w:tcW w:w="2427" w:type="pct"/>
          </w:tcPr>
          <w:p w:rsidR="00833148" w:rsidRPr="00667307" w:rsidRDefault="00833148" w:rsidP="00A0505A">
            <w:pPr>
              <w:jc w:val="both"/>
              <w:rPr>
                <w:rFonts w:eastAsia="Calibri"/>
                <w:sz w:val="20"/>
                <w:lang w:val="fr-FR"/>
              </w:rPr>
            </w:pPr>
            <w:r w:rsidRPr="00667307">
              <w:rPr>
                <w:rFonts w:eastAsia="Calibri"/>
                <w:sz w:val="20"/>
                <w:lang w:val="fr-FR"/>
              </w:rPr>
              <w:t>18 décembre 2012</w:t>
            </w:r>
          </w:p>
          <w:p w:rsidR="00833148" w:rsidRPr="00667307" w:rsidRDefault="00833148" w:rsidP="00A0505A">
            <w:pPr>
              <w:jc w:val="both"/>
              <w:rPr>
                <w:rFonts w:eastAsia="Calibri"/>
                <w:sz w:val="20"/>
                <w:lang w:val="fr-FR"/>
              </w:rPr>
            </w:pPr>
            <w:r w:rsidRPr="00667307">
              <w:rPr>
                <w:rFonts w:eastAsia="Calibri"/>
                <w:sz w:val="20"/>
                <w:lang w:val="fr-FR"/>
              </w:rPr>
              <w:t>Cour suprême du Canada</w:t>
            </w:r>
          </w:p>
        </w:tc>
        <w:tc>
          <w:tcPr>
            <w:tcW w:w="243" w:type="pct"/>
          </w:tcPr>
          <w:p w:rsidR="00833148" w:rsidRPr="00667307" w:rsidRDefault="00833148" w:rsidP="00A0505A">
            <w:pPr>
              <w:jc w:val="both"/>
              <w:rPr>
                <w:rFonts w:eastAsia="Calibri"/>
                <w:sz w:val="20"/>
                <w:lang w:val="fr-FR"/>
              </w:rPr>
            </w:pPr>
          </w:p>
        </w:tc>
        <w:tc>
          <w:tcPr>
            <w:tcW w:w="2330" w:type="pct"/>
          </w:tcPr>
          <w:p w:rsidR="00833148" w:rsidRPr="00667307" w:rsidRDefault="00833148" w:rsidP="00A0505A">
            <w:pPr>
              <w:jc w:val="both"/>
              <w:rPr>
                <w:rFonts w:eastAsia="Calibri"/>
                <w:sz w:val="20"/>
              </w:rPr>
            </w:pPr>
            <w:r w:rsidRPr="00667307">
              <w:rPr>
                <w:rFonts w:eastAsia="Calibri"/>
                <w:sz w:val="20"/>
                <w:lang w:val="fr-FR"/>
              </w:rPr>
              <w:t xml:space="preserve">Demande d’autorisation d’appel déposée </w:t>
            </w:r>
          </w:p>
          <w:p w:rsidR="00833148" w:rsidRPr="00667307" w:rsidRDefault="00833148" w:rsidP="00A0505A">
            <w:pPr>
              <w:jc w:val="both"/>
              <w:rPr>
                <w:rFonts w:eastAsia="Calibri"/>
                <w:sz w:val="20"/>
              </w:rPr>
            </w:pPr>
          </w:p>
        </w:tc>
      </w:tr>
    </w:tbl>
    <w:p w:rsidR="00AA605C" w:rsidRDefault="00AA605C" w:rsidP="00AA605C">
      <w:pPr>
        <w:rPr>
          <w:sz w:val="20"/>
          <w:szCs w:val="20"/>
        </w:rPr>
      </w:pPr>
    </w:p>
    <w:p w:rsidR="00AA605C" w:rsidRDefault="00B3404D" w:rsidP="00AA605C">
      <w:pPr>
        <w:rPr>
          <w:sz w:val="20"/>
          <w:szCs w:val="20"/>
          <w:lang w:val="fr-CA"/>
        </w:rPr>
      </w:pPr>
      <w:r w:rsidRPr="00B3404D">
        <w:rPr>
          <w:sz w:val="20"/>
          <w:szCs w:val="20"/>
          <w:lang w:val="fr-CA"/>
        </w:rPr>
        <w:pict>
          <v:rect id="_x0000_i1045" style="width:2in;height:1pt" o:hrpct="0" o:hralign="center" o:hrstd="t" o:hrnoshade="t" o:hr="t" fillcolor="black [3213]" stroked="f"/>
        </w:pict>
      </w:r>
    </w:p>
    <w:p w:rsidR="00AA605C" w:rsidRDefault="00AA605C" w:rsidP="00AA605C">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24F06" w:rsidRPr="00124F06" w:rsidTr="00A61B52">
        <w:trPr>
          <w:cantSplit/>
        </w:trPr>
        <w:tc>
          <w:tcPr>
            <w:tcW w:w="1458" w:type="dxa"/>
          </w:tcPr>
          <w:p w:rsidR="00124F06" w:rsidRPr="00124F06" w:rsidRDefault="00124F06" w:rsidP="00124F06">
            <w:pPr>
              <w:rPr>
                <w:sz w:val="20"/>
                <w:szCs w:val="20"/>
              </w:rPr>
            </w:pPr>
            <w:r w:rsidRPr="00124F06">
              <w:rPr>
                <w:b/>
                <w:sz w:val="20"/>
                <w:szCs w:val="20"/>
                <w:lang w:val="fr-CA"/>
              </w:rPr>
              <w:t>35170</w:t>
            </w:r>
          </w:p>
          <w:p w:rsidR="00124F06" w:rsidRPr="00124F06" w:rsidRDefault="00124F06" w:rsidP="00124F06">
            <w:pPr>
              <w:rPr>
                <w:b/>
                <w:sz w:val="20"/>
                <w:szCs w:val="20"/>
                <w:lang w:val="fr-CA"/>
              </w:rPr>
            </w:pPr>
          </w:p>
        </w:tc>
        <w:tc>
          <w:tcPr>
            <w:tcW w:w="8118" w:type="dxa"/>
          </w:tcPr>
          <w:p w:rsidR="00124F06" w:rsidRPr="00124F06" w:rsidRDefault="00124F06" w:rsidP="00124F06">
            <w:pPr>
              <w:rPr>
                <w:sz w:val="20"/>
                <w:szCs w:val="20"/>
              </w:rPr>
            </w:pPr>
            <w:r w:rsidRPr="00124F06">
              <w:rPr>
                <w:b/>
                <w:sz w:val="20"/>
                <w:szCs w:val="20"/>
                <w:u w:val="single"/>
              </w:rPr>
              <w:t>K.A.D. v. Her Majesty the Queen</w:t>
            </w:r>
            <w:r w:rsidRPr="00124F06">
              <w:rPr>
                <w:sz w:val="20"/>
                <w:szCs w:val="20"/>
              </w:rPr>
              <w:t xml:space="preserve"> (Ont.) (Criminal) (By Leave)</w:t>
            </w:r>
          </w:p>
          <w:p w:rsidR="00124F06" w:rsidRPr="00124F06" w:rsidRDefault="00124F06" w:rsidP="00124F06">
            <w:pPr>
              <w:rPr>
                <w:sz w:val="20"/>
                <w:szCs w:val="20"/>
              </w:rPr>
            </w:pPr>
          </w:p>
        </w:tc>
      </w:tr>
      <w:tr w:rsidR="00124F06" w:rsidRPr="00124F06" w:rsidTr="00A61B52">
        <w:trPr>
          <w:cantSplit/>
        </w:trPr>
        <w:tc>
          <w:tcPr>
            <w:tcW w:w="1458" w:type="dxa"/>
          </w:tcPr>
          <w:p w:rsidR="00124F06" w:rsidRPr="00124F06" w:rsidRDefault="00124F06" w:rsidP="00124F06">
            <w:pPr>
              <w:rPr>
                <w:sz w:val="20"/>
                <w:szCs w:val="20"/>
              </w:rPr>
            </w:pPr>
            <w:r w:rsidRPr="00124F06">
              <w:rPr>
                <w:sz w:val="20"/>
                <w:szCs w:val="20"/>
              </w:rPr>
              <w:t>Coram :</w:t>
            </w:r>
          </w:p>
        </w:tc>
        <w:tc>
          <w:tcPr>
            <w:tcW w:w="8118" w:type="dxa"/>
          </w:tcPr>
          <w:p w:rsidR="00124F06" w:rsidRPr="00124F06" w:rsidRDefault="00124F06" w:rsidP="00124F06">
            <w:pPr>
              <w:rPr>
                <w:sz w:val="20"/>
                <w:szCs w:val="20"/>
              </w:rPr>
            </w:pPr>
            <w:r w:rsidRPr="00124F06">
              <w:rPr>
                <w:sz w:val="20"/>
                <w:szCs w:val="20"/>
                <w:u w:val="single"/>
              </w:rPr>
              <w:t>Fish, Rothstein and Moldaver JJ.</w:t>
            </w:r>
          </w:p>
          <w:p w:rsidR="00124F06" w:rsidRPr="00124F06" w:rsidRDefault="00124F06" w:rsidP="00124F06">
            <w:pPr>
              <w:rPr>
                <w:sz w:val="20"/>
                <w:szCs w:val="20"/>
                <w:u w:val="single"/>
              </w:rPr>
            </w:pPr>
          </w:p>
        </w:tc>
      </w:tr>
      <w:tr w:rsidR="00124F06" w:rsidRPr="00D41BFD" w:rsidTr="00A61B52">
        <w:trPr>
          <w:cantSplit/>
        </w:trPr>
        <w:tc>
          <w:tcPr>
            <w:tcW w:w="9576" w:type="dxa"/>
            <w:gridSpan w:val="2"/>
          </w:tcPr>
          <w:p w:rsidR="00124F06" w:rsidRPr="00124F06" w:rsidRDefault="00124F06" w:rsidP="00124F06">
            <w:pPr>
              <w:ind w:firstLine="720"/>
              <w:jc w:val="both"/>
              <w:rPr>
                <w:sz w:val="20"/>
                <w:szCs w:val="20"/>
              </w:rPr>
            </w:pPr>
            <w:r w:rsidRPr="00124F06">
              <w:rPr>
                <w:sz w:val="20"/>
                <w:szCs w:val="20"/>
              </w:rPr>
              <w:t>The motion for an extension of time to serve and file the application for leave to appeal is granted. The application for leave to appeal from the judgment of the Court of Appeal for Ontario, Number C52470, 2012 ONCA 672, dated September 27, 2012, is dismissed without costs.</w:t>
            </w:r>
          </w:p>
          <w:p w:rsidR="00124F06" w:rsidRPr="00124F06" w:rsidRDefault="00124F06" w:rsidP="00124F06">
            <w:pPr>
              <w:jc w:val="both"/>
              <w:rPr>
                <w:sz w:val="20"/>
                <w:szCs w:val="20"/>
              </w:rPr>
            </w:pPr>
          </w:p>
          <w:p w:rsidR="00124F06" w:rsidRPr="00124F06" w:rsidRDefault="00124F06" w:rsidP="00124F06">
            <w:pPr>
              <w:ind w:firstLine="720"/>
              <w:jc w:val="both"/>
              <w:rPr>
                <w:sz w:val="20"/>
                <w:szCs w:val="20"/>
                <w:lang w:val="fr-CA"/>
              </w:rPr>
            </w:pPr>
            <w:r w:rsidRPr="00124F06">
              <w:rPr>
                <w:sz w:val="20"/>
                <w:szCs w:val="20"/>
                <w:lang w:val="fr-CA"/>
              </w:rPr>
              <w:t>La requête en prorogation du délai de signification et de dépôt de la demande d’autorisation d’appel est accueillie. La demande d’autorisation d’appel de l’arrêt de la Cour d’appel de l’Ontario, numéro C52470, 2012 ONCA 672, daté du 27 septembre 2012, est rejetée sans dépens.</w:t>
            </w:r>
          </w:p>
        </w:tc>
      </w:tr>
    </w:tbl>
    <w:p w:rsidR="00AA605C" w:rsidRPr="00124F06" w:rsidRDefault="00AA605C" w:rsidP="00AA605C">
      <w:pPr>
        <w:rPr>
          <w:sz w:val="20"/>
          <w:szCs w:val="20"/>
          <w:lang w:val="fr-CA"/>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2"/>
        <w:gridCol w:w="465"/>
        <w:gridCol w:w="4440"/>
      </w:tblGrid>
      <w:tr w:rsidR="00C415AB" w:rsidRPr="00667307" w:rsidTr="00A0505A">
        <w:tc>
          <w:tcPr>
            <w:tcW w:w="5000" w:type="pct"/>
            <w:gridSpan w:val="3"/>
          </w:tcPr>
          <w:p w:rsidR="00C415AB" w:rsidRPr="00667307" w:rsidRDefault="00C415AB" w:rsidP="00A0505A">
            <w:pPr>
              <w:jc w:val="both"/>
              <w:rPr>
                <w:rFonts w:eastAsia="Calibri"/>
                <w:smallCaps/>
                <w:sz w:val="20"/>
              </w:rPr>
            </w:pPr>
            <w:r w:rsidRPr="00667307">
              <w:rPr>
                <w:rFonts w:eastAsia="Calibri"/>
                <w:smallCaps/>
                <w:sz w:val="20"/>
              </w:rPr>
              <w:t xml:space="preserve">(Publication </w:t>
            </w:r>
            <w:r>
              <w:rPr>
                <w:rFonts w:eastAsia="Calibri"/>
                <w:smallCaps/>
                <w:sz w:val="20"/>
              </w:rPr>
              <w:t>B</w:t>
            </w:r>
            <w:r w:rsidRPr="00667307">
              <w:rPr>
                <w:rFonts w:eastAsia="Calibri"/>
                <w:smallCaps/>
                <w:sz w:val="20"/>
              </w:rPr>
              <w:t xml:space="preserve">an in </w:t>
            </w:r>
            <w:r>
              <w:rPr>
                <w:rFonts w:eastAsia="Calibri"/>
                <w:smallCaps/>
                <w:sz w:val="20"/>
              </w:rPr>
              <w:t>C</w:t>
            </w:r>
            <w:r w:rsidRPr="00667307">
              <w:rPr>
                <w:rFonts w:eastAsia="Calibri"/>
                <w:smallCaps/>
                <w:sz w:val="20"/>
              </w:rPr>
              <w:t xml:space="preserve">ase) (Publication </w:t>
            </w:r>
            <w:r>
              <w:rPr>
                <w:rFonts w:eastAsia="Calibri"/>
                <w:smallCaps/>
                <w:sz w:val="20"/>
              </w:rPr>
              <w:t>B</w:t>
            </w:r>
            <w:r w:rsidRPr="00667307">
              <w:rPr>
                <w:rFonts w:eastAsia="Calibri"/>
                <w:smallCaps/>
                <w:sz w:val="20"/>
              </w:rPr>
              <w:t xml:space="preserve">an on </w:t>
            </w:r>
            <w:r>
              <w:rPr>
                <w:rFonts w:eastAsia="Calibri"/>
                <w:smallCaps/>
                <w:sz w:val="20"/>
              </w:rPr>
              <w:t>P</w:t>
            </w:r>
            <w:r w:rsidRPr="00667307">
              <w:rPr>
                <w:rFonts w:eastAsia="Calibri"/>
                <w:smallCaps/>
                <w:sz w:val="20"/>
              </w:rPr>
              <w:t>arty)</w:t>
            </w:r>
          </w:p>
          <w:p w:rsidR="00C415AB" w:rsidRPr="00667307" w:rsidRDefault="00C415AB" w:rsidP="00A0505A">
            <w:pPr>
              <w:jc w:val="both"/>
              <w:rPr>
                <w:rFonts w:eastAsia="Calibri"/>
                <w:sz w:val="20"/>
              </w:rPr>
            </w:pPr>
          </w:p>
        </w:tc>
      </w:tr>
      <w:tr w:rsidR="00C415AB" w:rsidRPr="00667307" w:rsidTr="00A0505A">
        <w:trPr>
          <w:trHeight w:val="153"/>
        </w:trPr>
        <w:tc>
          <w:tcPr>
            <w:tcW w:w="5000" w:type="pct"/>
            <w:gridSpan w:val="3"/>
          </w:tcPr>
          <w:p w:rsidR="00C415AB" w:rsidRPr="00667307" w:rsidRDefault="00C415AB" w:rsidP="00A0505A">
            <w:pPr>
              <w:jc w:val="both"/>
              <w:rPr>
                <w:rFonts w:eastAsia="Calibri"/>
                <w:sz w:val="20"/>
              </w:rPr>
            </w:pPr>
            <w:r w:rsidRPr="00667307">
              <w:rPr>
                <w:rFonts w:eastAsia="Calibri"/>
                <w:sz w:val="20"/>
              </w:rPr>
              <w:t xml:space="preserve">Criminal law – Standard of proof – Appeal – Standard of review on appeal – Whether trial judge erred in application of </w:t>
            </w:r>
            <w:r w:rsidRPr="00667307">
              <w:rPr>
                <w:rFonts w:eastAsia="Calibri"/>
                <w:i/>
                <w:sz w:val="20"/>
              </w:rPr>
              <w:t>W. (D.)</w:t>
            </w:r>
            <w:r w:rsidRPr="00667307">
              <w:rPr>
                <w:rFonts w:eastAsia="Calibri"/>
                <w:sz w:val="20"/>
              </w:rPr>
              <w:t xml:space="preserve"> principles – Whether Court of Appeal erred by presuming trial judge knew and correctly applied the law – Whether trial judge’s application of the law reveals that she reversed the burden of proof – Whether Crown was required to prove its case beyond a reasonable doubt – Whether Court of Appeal erred by failing to engage in meaningful substantive appellate review – Whether a reviewing appellate court must review the substance of the alleged legal error.</w:t>
            </w:r>
          </w:p>
        </w:tc>
      </w:tr>
      <w:tr w:rsidR="00C415AB" w:rsidRPr="00667307" w:rsidTr="00A0505A">
        <w:trPr>
          <w:trHeight w:val="153"/>
        </w:trPr>
        <w:tc>
          <w:tcPr>
            <w:tcW w:w="5000" w:type="pct"/>
            <w:gridSpan w:val="3"/>
          </w:tcPr>
          <w:p w:rsidR="00C415AB" w:rsidRPr="00667307" w:rsidRDefault="00C415AB" w:rsidP="00A0505A">
            <w:pPr>
              <w:jc w:val="both"/>
              <w:rPr>
                <w:rFonts w:eastAsia="Calibri"/>
                <w:sz w:val="20"/>
              </w:rPr>
            </w:pPr>
          </w:p>
        </w:tc>
      </w:tr>
      <w:tr w:rsidR="00C415AB" w:rsidRPr="00667307" w:rsidTr="00A0505A">
        <w:tc>
          <w:tcPr>
            <w:tcW w:w="5000" w:type="pct"/>
            <w:gridSpan w:val="3"/>
          </w:tcPr>
          <w:p w:rsidR="00C415AB" w:rsidRPr="00667307" w:rsidRDefault="00C415AB" w:rsidP="00A0505A">
            <w:pPr>
              <w:jc w:val="both"/>
              <w:rPr>
                <w:rFonts w:eastAsia="Calibri"/>
                <w:sz w:val="20"/>
              </w:rPr>
            </w:pPr>
            <w:r w:rsidRPr="00667307">
              <w:rPr>
                <w:rFonts w:eastAsia="Calibri"/>
                <w:sz w:val="20"/>
              </w:rPr>
              <w:t xml:space="preserve">The complainant came to live with the applicant and his girlfriend to babysit an infant child. She alleged that twice she woke up to find the applicant performing sexual acts upon her, which she resisted.  She alleged that she did not tell anyone because she was afraid of the applicant. The complainant alleged that, in a separate incident, they fought and the applicant injured her.  The applicant alleged that the complainant attempted to demand money and threatened to have him sent to jail for sexual assault if he did not comply with her demand.  The parties’ versions of events were consistent in some respects but not with respect to the allegations that underlay multiple charges against the applicant.  </w:t>
            </w:r>
          </w:p>
          <w:p w:rsidR="00C415AB" w:rsidRPr="00667307" w:rsidRDefault="00C415AB" w:rsidP="00A0505A">
            <w:pPr>
              <w:jc w:val="both"/>
              <w:rPr>
                <w:rFonts w:eastAsia="Calibri"/>
                <w:sz w:val="20"/>
              </w:rPr>
            </w:pPr>
          </w:p>
        </w:tc>
      </w:tr>
      <w:tr w:rsidR="00C415AB" w:rsidRPr="00667307" w:rsidTr="00A0505A">
        <w:tc>
          <w:tcPr>
            <w:tcW w:w="2426" w:type="pct"/>
          </w:tcPr>
          <w:p w:rsidR="00C415AB" w:rsidRPr="00667307" w:rsidRDefault="00C415AB" w:rsidP="00A0505A">
            <w:pPr>
              <w:jc w:val="both"/>
              <w:rPr>
                <w:rFonts w:eastAsia="Calibri"/>
                <w:sz w:val="20"/>
              </w:rPr>
            </w:pPr>
            <w:r w:rsidRPr="00667307">
              <w:rPr>
                <w:rFonts w:eastAsia="Calibri"/>
                <w:sz w:val="20"/>
              </w:rPr>
              <w:t>June 28, 2010</w:t>
            </w:r>
          </w:p>
          <w:p w:rsidR="00C415AB" w:rsidRPr="00667307" w:rsidRDefault="00C415AB" w:rsidP="00A0505A">
            <w:pPr>
              <w:jc w:val="both"/>
              <w:rPr>
                <w:rFonts w:eastAsia="Calibri"/>
                <w:sz w:val="20"/>
              </w:rPr>
            </w:pPr>
            <w:r w:rsidRPr="00667307">
              <w:rPr>
                <w:rFonts w:eastAsia="Calibri"/>
                <w:sz w:val="20"/>
              </w:rPr>
              <w:t>Ontario Superior Court of Justice</w:t>
            </w:r>
          </w:p>
          <w:p w:rsidR="00C415AB" w:rsidRPr="00667307" w:rsidRDefault="00C415AB" w:rsidP="00A0505A">
            <w:pPr>
              <w:jc w:val="both"/>
              <w:rPr>
                <w:rFonts w:eastAsia="Calibri"/>
                <w:sz w:val="20"/>
              </w:rPr>
            </w:pPr>
            <w:r w:rsidRPr="00667307">
              <w:rPr>
                <w:rFonts w:eastAsia="Calibri"/>
                <w:sz w:val="20"/>
              </w:rPr>
              <w:t xml:space="preserve">(Chapnik J.) </w:t>
            </w:r>
          </w:p>
          <w:p w:rsidR="00C415AB" w:rsidRPr="00667307" w:rsidRDefault="00C415AB" w:rsidP="00A0505A">
            <w:pPr>
              <w:jc w:val="both"/>
              <w:rPr>
                <w:rFonts w:eastAsia="Calibri"/>
                <w:sz w:val="20"/>
              </w:rPr>
            </w:pPr>
          </w:p>
        </w:tc>
        <w:tc>
          <w:tcPr>
            <w:tcW w:w="244" w:type="pct"/>
          </w:tcPr>
          <w:p w:rsidR="00C415AB" w:rsidRPr="00667307" w:rsidRDefault="00C415AB" w:rsidP="00A0505A">
            <w:pPr>
              <w:jc w:val="both"/>
              <w:rPr>
                <w:rFonts w:eastAsia="Calibri"/>
                <w:sz w:val="20"/>
              </w:rPr>
            </w:pPr>
          </w:p>
        </w:tc>
        <w:tc>
          <w:tcPr>
            <w:tcW w:w="2330" w:type="pct"/>
          </w:tcPr>
          <w:p w:rsidR="00C415AB" w:rsidRPr="00667307" w:rsidRDefault="00C415AB" w:rsidP="00A0505A">
            <w:pPr>
              <w:jc w:val="both"/>
              <w:rPr>
                <w:rFonts w:eastAsia="Calibri"/>
                <w:sz w:val="20"/>
              </w:rPr>
            </w:pPr>
            <w:r w:rsidRPr="00667307">
              <w:rPr>
                <w:rFonts w:eastAsia="Calibri"/>
                <w:sz w:val="20"/>
              </w:rPr>
              <w:t>Acquittals: assault causing bodily harm (one count), uttering threat to cause death (one count)</w:t>
            </w:r>
          </w:p>
          <w:p w:rsidR="00C415AB" w:rsidRPr="00667307" w:rsidRDefault="00C415AB" w:rsidP="00A0505A">
            <w:pPr>
              <w:jc w:val="both"/>
              <w:rPr>
                <w:rFonts w:eastAsia="Calibri"/>
                <w:sz w:val="20"/>
              </w:rPr>
            </w:pPr>
          </w:p>
          <w:p w:rsidR="00C415AB" w:rsidRPr="00667307" w:rsidRDefault="00C415AB" w:rsidP="00A0505A">
            <w:pPr>
              <w:jc w:val="both"/>
              <w:rPr>
                <w:rFonts w:eastAsia="Calibri"/>
                <w:sz w:val="20"/>
              </w:rPr>
            </w:pPr>
            <w:r w:rsidRPr="00667307">
              <w:rPr>
                <w:rFonts w:eastAsia="Calibri"/>
                <w:sz w:val="20"/>
              </w:rPr>
              <w:t>Convictions: sexual assault (two counts), touching for sexual purpose (two counts), incest (two counts), uttering threat to cause death (1 count), assault (two counts), assault with a weapon (1 count), failure to comply with probation (3 counts)</w:t>
            </w:r>
          </w:p>
          <w:p w:rsidR="00C415AB" w:rsidRPr="00667307" w:rsidRDefault="00C415AB" w:rsidP="00A0505A">
            <w:pPr>
              <w:jc w:val="both"/>
              <w:rPr>
                <w:rFonts w:eastAsia="Calibri"/>
                <w:sz w:val="20"/>
              </w:rPr>
            </w:pPr>
          </w:p>
        </w:tc>
      </w:tr>
      <w:tr w:rsidR="00C415AB" w:rsidRPr="00667307" w:rsidTr="00124F06">
        <w:trPr>
          <w:cantSplit/>
        </w:trPr>
        <w:tc>
          <w:tcPr>
            <w:tcW w:w="2426" w:type="pct"/>
          </w:tcPr>
          <w:p w:rsidR="00C415AB" w:rsidRPr="00667307" w:rsidRDefault="00C415AB" w:rsidP="00A0505A">
            <w:pPr>
              <w:jc w:val="both"/>
              <w:rPr>
                <w:rFonts w:eastAsia="Calibri"/>
                <w:sz w:val="20"/>
              </w:rPr>
            </w:pPr>
            <w:r w:rsidRPr="00667307">
              <w:rPr>
                <w:rFonts w:eastAsia="Calibri"/>
                <w:sz w:val="20"/>
              </w:rPr>
              <w:lastRenderedPageBreak/>
              <w:t>September 27, 2012</w:t>
            </w:r>
          </w:p>
          <w:p w:rsidR="00C415AB" w:rsidRPr="00667307" w:rsidRDefault="00C415AB" w:rsidP="00A0505A">
            <w:pPr>
              <w:jc w:val="both"/>
              <w:rPr>
                <w:rFonts w:eastAsia="Calibri"/>
                <w:sz w:val="20"/>
              </w:rPr>
            </w:pPr>
            <w:r w:rsidRPr="00667307">
              <w:rPr>
                <w:rFonts w:eastAsia="Calibri"/>
                <w:sz w:val="20"/>
              </w:rPr>
              <w:t>Court of Appeal for Ontario</w:t>
            </w:r>
          </w:p>
          <w:p w:rsidR="00C415AB" w:rsidRPr="00667307" w:rsidRDefault="00C415AB" w:rsidP="00A0505A">
            <w:pPr>
              <w:jc w:val="both"/>
              <w:rPr>
                <w:rFonts w:eastAsia="Calibri"/>
                <w:sz w:val="20"/>
              </w:rPr>
            </w:pPr>
            <w:r w:rsidRPr="00667307">
              <w:rPr>
                <w:rFonts w:eastAsia="Calibri"/>
                <w:sz w:val="20"/>
              </w:rPr>
              <w:t>(Sharp., Simmons, Epstein JJ.A.)</w:t>
            </w:r>
          </w:p>
          <w:p w:rsidR="00C415AB" w:rsidRPr="00667307" w:rsidRDefault="00C415AB" w:rsidP="00A0505A">
            <w:pPr>
              <w:jc w:val="both"/>
              <w:rPr>
                <w:rFonts w:eastAsia="Calibri"/>
                <w:sz w:val="20"/>
              </w:rPr>
            </w:pPr>
            <w:r w:rsidRPr="00667307">
              <w:rPr>
                <w:rFonts w:eastAsia="Calibri"/>
                <w:sz w:val="20"/>
              </w:rPr>
              <w:t>C52470, 2012 ONCA 672</w:t>
            </w:r>
          </w:p>
          <w:p w:rsidR="00C415AB" w:rsidRPr="00667307" w:rsidRDefault="00C415AB" w:rsidP="00A0505A">
            <w:pPr>
              <w:jc w:val="both"/>
              <w:rPr>
                <w:rFonts w:eastAsia="Calibri"/>
                <w:sz w:val="20"/>
              </w:rPr>
            </w:pPr>
          </w:p>
        </w:tc>
        <w:tc>
          <w:tcPr>
            <w:tcW w:w="244" w:type="pct"/>
          </w:tcPr>
          <w:p w:rsidR="00C415AB" w:rsidRPr="00667307" w:rsidRDefault="00C415AB" w:rsidP="00A0505A">
            <w:pPr>
              <w:jc w:val="both"/>
              <w:rPr>
                <w:rFonts w:eastAsia="Calibri"/>
                <w:sz w:val="20"/>
              </w:rPr>
            </w:pPr>
          </w:p>
        </w:tc>
        <w:tc>
          <w:tcPr>
            <w:tcW w:w="2330" w:type="pct"/>
          </w:tcPr>
          <w:p w:rsidR="00C415AB" w:rsidRPr="00667307" w:rsidRDefault="00C415AB" w:rsidP="00A0505A">
            <w:pPr>
              <w:jc w:val="both"/>
              <w:rPr>
                <w:rFonts w:eastAsia="Calibri"/>
                <w:sz w:val="20"/>
              </w:rPr>
            </w:pPr>
            <w:r w:rsidRPr="00667307">
              <w:rPr>
                <w:rFonts w:eastAsia="Calibri"/>
                <w:sz w:val="20"/>
              </w:rPr>
              <w:t>Appeal from convictions dismissed</w:t>
            </w:r>
          </w:p>
          <w:p w:rsidR="00C415AB" w:rsidRPr="00667307" w:rsidRDefault="00C415AB" w:rsidP="00A0505A">
            <w:pPr>
              <w:jc w:val="both"/>
              <w:rPr>
                <w:rFonts w:eastAsia="Calibri"/>
                <w:sz w:val="20"/>
              </w:rPr>
            </w:pPr>
          </w:p>
        </w:tc>
      </w:tr>
      <w:tr w:rsidR="00C415AB" w:rsidRPr="00667307" w:rsidTr="00124F06">
        <w:trPr>
          <w:cantSplit/>
        </w:trPr>
        <w:tc>
          <w:tcPr>
            <w:tcW w:w="2426" w:type="pct"/>
          </w:tcPr>
          <w:p w:rsidR="00C415AB" w:rsidRPr="00667307" w:rsidRDefault="00C415AB" w:rsidP="00A0505A">
            <w:pPr>
              <w:jc w:val="both"/>
              <w:rPr>
                <w:rFonts w:eastAsia="Calibri"/>
                <w:sz w:val="20"/>
              </w:rPr>
            </w:pPr>
            <w:r w:rsidRPr="00667307">
              <w:rPr>
                <w:rFonts w:eastAsia="Calibri"/>
                <w:sz w:val="20"/>
              </w:rPr>
              <w:t>January 11, 2013</w:t>
            </w:r>
          </w:p>
          <w:p w:rsidR="00C415AB" w:rsidRPr="00667307" w:rsidRDefault="00C415AB" w:rsidP="00A0505A">
            <w:pPr>
              <w:jc w:val="both"/>
              <w:rPr>
                <w:rFonts w:eastAsia="Calibri"/>
                <w:sz w:val="20"/>
              </w:rPr>
            </w:pPr>
            <w:r w:rsidRPr="00667307">
              <w:rPr>
                <w:rFonts w:eastAsia="Calibri"/>
                <w:sz w:val="20"/>
              </w:rPr>
              <w:t>Supreme Court of Canada</w:t>
            </w:r>
          </w:p>
        </w:tc>
        <w:tc>
          <w:tcPr>
            <w:tcW w:w="244" w:type="pct"/>
          </w:tcPr>
          <w:p w:rsidR="00C415AB" w:rsidRPr="00667307" w:rsidRDefault="00C415AB" w:rsidP="00A0505A">
            <w:pPr>
              <w:jc w:val="both"/>
              <w:rPr>
                <w:rFonts w:eastAsia="Calibri"/>
                <w:sz w:val="20"/>
              </w:rPr>
            </w:pPr>
          </w:p>
        </w:tc>
        <w:tc>
          <w:tcPr>
            <w:tcW w:w="2330" w:type="pct"/>
          </w:tcPr>
          <w:p w:rsidR="00C415AB" w:rsidRPr="00667307" w:rsidRDefault="00C415AB" w:rsidP="00A0505A">
            <w:pPr>
              <w:jc w:val="both"/>
              <w:rPr>
                <w:rFonts w:eastAsia="Calibri"/>
                <w:sz w:val="20"/>
              </w:rPr>
            </w:pPr>
            <w:r w:rsidRPr="00667307">
              <w:rPr>
                <w:rFonts w:eastAsia="Calibri"/>
                <w:sz w:val="20"/>
              </w:rPr>
              <w:t>Application for Extension of Time to Serve and File Application for Leave to Appeal and Application for Leave to Appeal filed</w:t>
            </w: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46"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2"/>
        <w:gridCol w:w="465"/>
        <w:gridCol w:w="4440"/>
      </w:tblGrid>
      <w:tr w:rsidR="00C415AB" w:rsidRPr="00D41BFD" w:rsidTr="00A0505A">
        <w:tc>
          <w:tcPr>
            <w:tcW w:w="5000" w:type="pct"/>
            <w:gridSpan w:val="3"/>
          </w:tcPr>
          <w:p w:rsidR="00C415AB" w:rsidRPr="00667307" w:rsidRDefault="00C415AB" w:rsidP="00A0505A">
            <w:pPr>
              <w:jc w:val="both"/>
              <w:rPr>
                <w:rFonts w:eastAsia="Calibri"/>
                <w:smallCaps/>
                <w:sz w:val="20"/>
                <w:lang w:val="fr-CA"/>
              </w:rPr>
            </w:pPr>
            <w:r w:rsidRPr="00667307">
              <w:rPr>
                <w:rFonts w:eastAsia="Calibri"/>
                <w:smallCaps/>
                <w:sz w:val="20"/>
                <w:lang w:val="fr-CA"/>
              </w:rPr>
              <w:t>(Ordonnance de non-publication dans le dossier) (Ordonnance de non-publication visant une partie)</w:t>
            </w:r>
          </w:p>
          <w:p w:rsidR="00C415AB" w:rsidRPr="00667307" w:rsidRDefault="00C415AB" w:rsidP="00A0505A">
            <w:pPr>
              <w:jc w:val="both"/>
              <w:rPr>
                <w:rFonts w:eastAsia="Calibri"/>
                <w:sz w:val="20"/>
                <w:lang w:val="fr-CA"/>
              </w:rPr>
            </w:pPr>
          </w:p>
        </w:tc>
      </w:tr>
      <w:tr w:rsidR="00C415AB" w:rsidRPr="00D41BFD" w:rsidTr="00A0505A">
        <w:trPr>
          <w:trHeight w:val="153"/>
        </w:trPr>
        <w:tc>
          <w:tcPr>
            <w:tcW w:w="5000" w:type="pct"/>
            <w:gridSpan w:val="3"/>
          </w:tcPr>
          <w:p w:rsidR="00C415AB" w:rsidRPr="00667307" w:rsidRDefault="00C415AB" w:rsidP="00A0505A">
            <w:pPr>
              <w:jc w:val="both"/>
              <w:rPr>
                <w:rFonts w:eastAsia="Calibri"/>
                <w:sz w:val="20"/>
                <w:lang w:val="fr-CA"/>
              </w:rPr>
            </w:pPr>
            <w:r w:rsidRPr="00667307">
              <w:rPr>
                <w:rFonts w:eastAsia="Calibri"/>
                <w:sz w:val="20"/>
                <w:lang w:val="fr-CA"/>
              </w:rPr>
              <w:t xml:space="preserve">Droit criminel – Norme de preuve – Appel – Norme de contrôle en appel – La juge du procès s’est-elle trompée dans l’application des principes de l’arrêt </w:t>
            </w:r>
            <w:r w:rsidRPr="00667307">
              <w:rPr>
                <w:rFonts w:eastAsia="Calibri"/>
                <w:i/>
                <w:sz w:val="20"/>
                <w:lang w:val="fr-CA"/>
              </w:rPr>
              <w:t>W. (D.)</w:t>
            </w:r>
            <w:r w:rsidRPr="00667307">
              <w:rPr>
                <w:rFonts w:eastAsia="Calibri"/>
                <w:sz w:val="20"/>
                <w:lang w:val="fr-CA"/>
              </w:rPr>
              <w:t>? – La Cour d’appel a-t-elle eu tort de présumer que la juge du procès connaissait le droit et l’a correctement appliqué? – L’application du droit par la juge du procès révèle-t-elle qu’elle a inversé le fardeau de la preuve? – Le ministère public devait-il prouver ses allégations hors de tout doute raisonnable? – La Cour d’appel a-t-elle eu tort de ne pas avoir exercé un examen valable en appel sur le fond? – La tribunal d’appel qui procède à l’examen doit-il contrôler sur le fond l’erreur de droit alléguée?</w:t>
            </w:r>
          </w:p>
        </w:tc>
      </w:tr>
      <w:tr w:rsidR="00C415AB" w:rsidRPr="00D41BFD" w:rsidTr="00A0505A">
        <w:trPr>
          <w:trHeight w:val="153"/>
        </w:trPr>
        <w:tc>
          <w:tcPr>
            <w:tcW w:w="5000" w:type="pct"/>
            <w:gridSpan w:val="3"/>
          </w:tcPr>
          <w:p w:rsidR="00C415AB" w:rsidRPr="00667307" w:rsidRDefault="00C415AB" w:rsidP="00A0505A">
            <w:pPr>
              <w:jc w:val="both"/>
              <w:rPr>
                <w:rFonts w:eastAsia="Calibri"/>
                <w:sz w:val="20"/>
                <w:lang w:val="fr-CA"/>
              </w:rPr>
            </w:pPr>
          </w:p>
        </w:tc>
      </w:tr>
      <w:tr w:rsidR="00C415AB" w:rsidRPr="00D41BFD" w:rsidTr="00A0505A">
        <w:tc>
          <w:tcPr>
            <w:tcW w:w="5000" w:type="pct"/>
            <w:gridSpan w:val="3"/>
          </w:tcPr>
          <w:p w:rsidR="00C415AB" w:rsidRPr="00667307" w:rsidRDefault="00C415AB" w:rsidP="00A0505A">
            <w:pPr>
              <w:jc w:val="both"/>
              <w:rPr>
                <w:rFonts w:eastAsia="Calibri"/>
                <w:sz w:val="20"/>
                <w:lang w:val="fr-CA"/>
              </w:rPr>
            </w:pPr>
            <w:r w:rsidRPr="00667307">
              <w:rPr>
                <w:rFonts w:eastAsia="Calibri"/>
                <w:sz w:val="20"/>
                <w:lang w:val="fr-CA"/>
              </w:rPr>
              <w:t xml:space="preserve">La plaignante est venue vivre chez le demandeur et sa petite amie pour garder un jeune enfant.  Elle a allégué qu’à deux reprises, elle s’est réveillée pour se rendre compte que le demandeur commettait des actes sexuels à son endroit et contre lesquels elle avait offert une résistance.  Elle a allégué qu’elle ne voulait pas en parler à personne, parce qu’elle avait peur du demandeur.  La plaignante a allégué que dans un incident distinct, ils s’étaient battus et que le demandeur l’avait blessée.  Le demandeur a allégué que la plaignante avait tenté de lui soutirer de l’argent et qu’elle avait menacé de le faire envoyer en prison pour agression sexuelle s’il ne se conformait pas à sa demande.  Les versions des événements données par les parties concordaient à certains égards, mais divergeaient pour ce qui est des allégations sous-jacentes aux multiples accusations portées contre le demandeur.  </w:t>
            </w:r>
          </w:p>
          <w:p w:rsidR="00C415AB" w:rsidRPr="00667307" w:rsidRDefault="00C415AB" w:rsidP="00A0505A">
            <w:pPr>
              <w:jc w:val="both"/>
              <w:rPr>
                <w:rFonts w:eastAsia="Calibri"/>
                <w:sz w:val="20"/>
                <w:lang w:val="fr-CA"/>
              </w:rPr>
            </w:pPr>
          </w:p>
        </w:tc>
      </w:tr>
      <w:tr w:rsidR="00C415AB" w:rsidRPr="00D41BFD" w:rsidTr="00A0505A">
        <w:tc>
          <w:tcPr>
            <w:tcW w:w="2426" w:type="pct"/>
          </w:tcPr>
          <w:p w:rsidR="00C415AB" w:rsidRPr="00667307" w:rsidRDefault="00C415AB" w:rsidP="00A0505A">
            <w:pPr>
              <w:jc w:val="both"/>
              <w:rPr>
                <w:rFonts w:eastAsia="Calibri"/>
                <w:sz w:val="20"/>
                <w:lang w:val="fr-CA"/>
              </w:rPr>
            </w:pPr>
            <w:r w:rsidRPr="00667307">
              <w:rPr>
                <w:rFonts w:eastAsia="Calibri"/>
                <w:sz w:val="20"/>
                <w:lang w:val="fr-CA"/>
              </w:rPr>
              <w:t>28 juin 2010</w:t>
            </w:r>
          </w:p>
          <w:p w:rsidR="00C415AB" w:rsidRPr="00667307" w:rsidRDefault="00C415AB" w:rsidP="00A0505A">
            <w:pPr>
              <w:jc w:val="both"/>
              <w:rPr>
                <w:rFonts w:eastAsia="Calibri"/>
                <w:sz w:val="20"/>
                <w:lang w:val="fr-CA"/>
              </w:rPr>
            </w:pPr>
            <w:r w:rsidRPr="00667307">
              <w:rPr>
                <w:rFonts w:eastAsia="Calibri"/>
                <w:sz w:val="20"/>
                <w:lang w:val="fr-CA"/>
              </w:rPr>
              <w:t>Cour supérieure de justice de l’Ontario</w:t>
            </w:r>
          </w:p>
          <w:p w:rsidR="00C415AB" w:rsidRPr="00667307" w:rsidRDefault="00C415AB" w:rsidP="00A0505A">
            <w:pPr>
              <w:jc w:val="both"/>
              <w:rPr>
                <w:rFonts w:eastAsia="Calibri"/>
                <w:sz w:val="20"/>
                <w:lang w:val="fr-CA"/>
              </w:rPr>
            </w:pPr>
            <w:r w:rsidRPr="00667307">
              <w:rPr>
                <w:rFonts w:eastAsia="Calibri"/>
                <w:sz w:val="20"/>
                <w:lang w:val="fr-CA"/>
              </w:rPr>
              <w:t xml:space="preserve">(Juge Chapnik) </w:t>
            </w:r>
          </w:p>
          <w:p w:rsidR="00C415AB" w:rsidRPr="00667307" w:rsidRDefault="00C415AB" w:rsidP="00A0505A">
            <w:pPr>
              <w:jc w:val="both"/>
              <w:rPr>
                <w:rFonts w:eastAsia="Calibri"/>
                <w:sz w:val="20"/>
                <w:lang w:val="fr-CA"/>
              </w:rPr>
            </w:pPr>
          </w:p>
        </w:tc>
        <w:tc>
          <w:tcPr>
            <w:tcW w:w="244" w:type="pct"/>
          </w:tcPr>
          <w:p w:rsidR="00C415AB" w:rsidRPr="00667307" w:rsidRDefault="00C415AB" w:rsidP="00A0505A">
            <w:pPr>
              <w:jc w:val="both"/>
              <w:rPr>
                <w:rFonts w:eastAsia="Calibri"/>
                <w:sz w:val="20"/>
                <w:lang w:val="fr-CA"/>
              </w:rPr>
            </w:pPr>
          </w:p>
        </w:tc>
        <w:tc>
          <w:tcPr>
            <w:tcW w:w="2330" w:type="pct"/>
          </w:tcPr>
          <w:p w:rsidR="00C415AB" w:rsidRPr="00667307" w:rsidRDefault="00C415AB" w:rsidP="00A0505A">
            <w:pPr>
              <w:jc w:val="both"/>
              <w:rPr>
                <w:rFonts w:eastAsia="Calibri"/>
                <w:sz w:val="20"/>
                <w:lang w:val="fr-CA"/>
              </w:rPr>
            </w:pPr>
            <w:r w:rsidRPr="00667307">
              <w:rPr>
                <w:rFonts w:eastAsia="Calibri"/>
                <w:sz w:val="20"/>
                <w:lang w:val="fr-CA"/>
              </w:rPr>
              <w:t>Acquittements : voies de fait causant des lésions corporelles (un chef), profération de menaces de mort (un chef)</w:t>
            </w:r>
          </w:p>
          <w:p w:rsidR="00C415AB" w:rsidRPr="00667307" w:rsidRDefault="00C415AB" w:rsidP="00A0505A">
            <w:pPr>
              <w:jc w:val="both"/>
              <w:rPr>
                <w:rFonts w:eastAsia="Calibri"/>
                <w:sz w:val="20"/>
                <w:lang w:val="fr-CA"/>
              </w:rPr>
            </w:pPr>
          </w:p>
          <w:p w:rsidR="00C415AB" w:rsidRPr="00667307" w:rsidRDefault="00C415AB" w:rsidP="00A0505A">
            <w:pPr>
              <w:jc w:val="both"/>
              <w:rPr>
                <w:rFonts w:eastAsia="Calibri"/>
                <w:sz w:val="20"/>
                <w:lang w:val="fr-CA"/>
              </w:rPr>
            </w:pPr>
            <w:r w:rsidRPr="00667307">
              <w:rPr>
                <w:rFonts w:eastAsia="Calibri"/>
                <w:sz w:val="20"/>
                <w:lang w:val="fr-CA"/>
              </w:rPr>
              <w:t>Déclarations de culpabilité : agression sexuelle (deux chefs), contacts sexuels (deux chefs), inceste (deux chefs), menaces de mort (1 chef), voies de fait (deux chefs), voies de fait armées (1 chef), défaut de se conformer à une ordonnance de probation  (3 chefs)</w:t>
            </w:r>
          </w:p>
          <w:p w:rsidR="00C415AB" w:rsidRPr="00667307" w:rsidRDefault="00C415AB" w:rsidP="00A0505A">
            <w:pPr>
              <w:jc w:val="both"/>
              <w:rPr>
                <w:rFonts w:eastAsia="Calibri"/>
                <w:sz w:val="20"/>
                <w:lang w:val="fr-CA"/>
              </w:rPr>
            </w:pPr>
          </w:p>
        </w:tc>
      </w:tr>
      <w:tr w:rsidR="00C415AB" w:rsidRPr="00D41BFD" w:rsidTr="00A0505A">
        <w:tc>
          <w:tcPr>
            <w:tcW w:w="2426" w:type="pct"/>
          </w:tcPr>
          <w:p w:rsidR="00C415AB" w:rsidRPr="00667307" w:rsidRDefault="00C415AB" w:rsidP="00A0505A">
            <w:pPr>
              <w:jc w:val="both"/>
              <w:rPr>
                <w:rFonts w:eastAsia="Calibri"/>
                <w:sz w:val="20"/>
                <w:lang w:val="fr-CA"/>
              </w:rPr>
            </w:pPr>
            <w:r w:rsidRPr="00667307">
              <w:rPr>
                <w:rFonts w:eastAsia="Calibri"/>
                <w:sz w:val="20"/>
                <w:lang w:val="fr-CA"/>
              </w:rPr>
              <w:t>27 septembre 2012</w:t>
            </w:r>
          </w:p>
          <w:p w:rsidR="00C415AB" w:rsidRPr="00667307" w:rsidRDefault="00C415AB" w:rsidP="00A0505A">
            <w:pPr>
              <w:jc w:val="both"/>
              <w:rPr>
                <w:rFonts w:eastAsia="Calibri"/>
                <w:sz w:val="20"/>
                <w:lang w:val="fr-CA"/>
              </w:rPr>
            </w:pPr>
            <w:r w:rsidRPr="00667307">
              <w:rPr>
                <w:rFonts w:eastAsia="Calibri"/>
                <w:sz w:val="20"/>
                <w:lang w:val="fr-CA"/>
              </w:rPr>
              <w:t>Cour d’appel de l’Ontario</w:t>
            </w:r>
          </w:p>
          <w:p w:rsidR="00C415AB" w:rsidRPr="00667307" w:rsidRDefault="00C415AB" w:rsidP="00A0505A">
            <w:pPr>
              <w:jc w:val="both"/>
              <w:rPr>
                <w:rFonts w:eastAsia="Calibri"/>
                <w:sz w:val="20"/>
                <w:lang w:val="fr-CA"/>
              </w:rPr>
            </w:pPr>
            <w:r w:rsidRPr="00667307">
              <w:rPr>
                <w:rFonts w:eastAsia="Calibri"/>
                <w:sz w:val="20"/>
                <w:lang w:val="fr-CA"/>
              </w:rPr>
              <w:t>(Juges Sharp, Simmons et Epstein)</w:t>
            </w:r>
          </w:p>
          <w:p w:rsidR="00C415AB" w:rsidRPr="00667307" w:rsidRDefault="00C415AB" w:rsidP="00124F06">
            <w:pPr>
              <w:jc w:val="both"/>
              <w:rPr>
                <w:rFonts w:eastAsia="Calibri"/>
                <w:sz w:val="20"/>
                <w:lang w:val="fr-CA"/>
              </w:rPr>
            </w:pPr>
            <w:r w:rsidRPr="00667307">
              <w:rPr>
                <w:rFonts w:eastAsia="Calibri"/>
                <w:sz w:val="20"/>
                <w:lang w:val="fr-CA"/>
              </w:rPr>
              <w:t>C52470, 2012 ONCA 672</w:t>
            </w:r>
          </w:p>
        </w:tc>
        <w:tc>
          <w:tcPr>
            <w:tcW w:w="244" w:type="pct"/>
          </w:tcPr>
          <w:p w:rsidR="00C415AB" w:rsidRPr="00667307" w:rsidRDefault="00C415AB" w:rsidP="00A0505A">
            <w:pPr>
              <w:jc w:val="both"/>
              <w:rPr>
                <w:rFonts w:eastAsia="Calibri"/>
                <w:sz w:val="20"/>
                <w:lang w:val="fr-CA"/>
              </w:rPr>
            </w:pPr>
          </w:p>
        </w:tc>
        <w:tc>
          <w:tcPr>
            <w:tcW w:w="2330" w:type="pct"/>
          </w:tcPr>
          <w:p w:rsidR="00C415AB" w:rsidRPr="00667307" w:rsidRDefault="00C415AB" w:rsidP="00A0505A">
            <w:pPr>
              <w:jc w:val="both"/>
              <w:rPr>
                <w:rFonts w:eastAsia="Calibri"/>
                <w:sz w:val="20"/>
                <w:lang w:val="fr-CA"/>
              </w:rPr>
            </w:pPr>
            <w:r w:rsidRPr="00667307">
              <w:rPr>
                <w:rFonts w:eastAsia="Calibri"/>
                <w:sz w:val="20"/>
                <w:lang w:val="fr-CA"/>
              </w:rPr>
              <w:t>Appel des déclarations de culpabilité, rejeté</w:t>
            </w:r>
          </w:p>
          <w:p w:rsidR="00C415AB" w:rsidRPr="00667307" w:rsidRDefault="00C415AB" w:rsidP="00A0505A">
            <w:pPr>
              <w:jc w:val="both"/>
              <w:rPr>
                <w:rFonts w:eastAsia="Calibri"/>
                <w:sz w:val="20"/>
                <w:lang w:val="fr-CA"/>
              </w:rPr>
            </w:pPr>
          </w:p>
        </w:tc>
      </w:tr>
    </w:tbl>
    <w:p w:rsidR="00124F06" w:rsidRPr="001533B8" w:rsidRDefault="00124F06">
      <w:pPr>
        <w:rPr>
          <w:lang w:val="fr-CA"/>
        </w:rPr>
      </w:pPr>
    </w:p>
    <w:p w:rsidR="00124F06" w:rsidRPr="001533B8" w:rsidRDefault="00124F06">
      <w:pPr>
        <w:rPr>
          <w:lang w:val="fr-CA"/>
        </w:rPr>
      </w:pPr>
      <w:r w:rsidRPr="001533B8">
        <w:rPr>
          <w:lang w:val="fr-CA"/>
        </w:rPr>
        <w:br w:type="page"/>
      </w:r>
    </w:p>
    <w:tbl>
      <w:tblPr>
        <w:tblW w:w="4952" w:type="pct"/>
        <w:tblLayout w:type="fixed"/>
        <w:tblCellMar>
          <w:left w:w="0" w:type="dxa"/>
          <w:bottom w:w="99" w:type="dxa"/>
          <w:right w:w="0" w:type="dxa"/>
        </w:tblCellMar>
        <w:tblLook w:val="04A0"/>
      </w:tblPr>
      <w:tblGrid>
        <w:gridCol w:w="4622"/>
        <w:gridCol w:w="465"/>
        <w:gridCol w:w="4440"/>
      </w:tblGrid>
      <w:tr w:rsidR="00C415AB" w:rsidRPr="00D41BFD" w:rsidTr="00124F06">
        <w:trPr>
          <w:cantSplit/>
        </w:trPr>
        <w:tc>
          <w:tcPr>
            <w:tcW w:w="2426" w:type="pct"/>
          </w:tcPr>
          <w:p w:rsidR="00C415AB" w:rsidRPr="00667307" w:rsidRDefault="00C415AB" w:rsidP="00A0505A">
            <w:pPr>
              <w:jc w:val="both"/>
              <w:rPr>
                <w:rFonts w:eastAsia="Calibri"/>
                <w:sz w:val="20"/>
                <w:lang w:val="fr-CA"/>
              </w:rPr>
            </w:pPr>
            <w:r w:rsidRPr="00667307">
              <w:rPr>
                <w:rFonts w:eastAsia="Calibri"/>
                <w:sz w:val="20"/>
                <w:lang w:val="fr-CA"/>
              </w:rPr>
              <w:lastRenderedPageBreak/>
              <w:t>11 janvier 2013</w:t>
            </w:r>
          </w:p>
          <w:p w:rsidR="00C415AB" w:rsidRPr="00667307" w:rsidRDefault="00C415AB" w:rsidP="00A0505A">
            <w:pPr>
              <w:jc w:val="both"/>
              <w:rPr>
                <w:rFonts w:eastAsia="Calibri"/>
                <w:sz w:val="20"/>
                <w:lang w:val="fr-CA"/>
              </w:rPr>
            </w:pPr>
            <w:r w:rsidRPr="00667307">
              <w:rPr>
                <w:rFonts w:eastAsia="Calibri"/>
                <w:sz w:val="20"/>
                <w:lang w:val="fr-CA"/>
              </w:rPr>
              <w:t>Cour suprême du Canada</w:t>
            </w:r>
          </w:p>
        </w:tc>
        <w:tc>
          <w:tcPr>
            <w:tcW w:w="244" w:type="pct"/>
          </w:tcPr>
          <w:p w:rsidR="00C415AB" w:rsidRPr="00667307" w:rsidRDefault="00C415AB" w:rsidP="00A0505A">
            <w:pPr>
              <w:jc w:val="both"/>
              <w:rPr>
                <w:rFonts w:eastAsia="Calibri"/>
                <w:sz w:val="20"/>
                <w:lang w:val="fr-CA"/>
              </w:rPr>
            </w:pPr>
          </w:p>
        </w:tc>
        <w:tc>
          <w:tcPr>
            <w:tcW w:w="2330" w:type="pct"/>
          </w:tcPr>
          <w:p w:rsidR="00C415AB" w:rsidRPr="00667307" w:rsidRDefault="00C415AB" w:rsidP="00A0505A">
            <w:pPr>
              <w:jc w:val="both"/>
              <w:rPr>
                <w:rFonts w:eastAsia="Calibri"/>
                <w:sz w:val="20"/>
                <w:lang w:val="fr-CA"/>
              </w:rPr>
            </w:pPr>
            <w:r w:rsidRPr="00667307">
              <w:rPr>
                <w:rFonts w:eastAsia="Calibri"/>
                <w:sz w:val="20"/>
                <w:lang w:val="fr-CA"/>
              </w:rPr>
              <w:t>Demande de prorogation du délai de signification et de dépôt de la demande d’autorisation d’appel et demande d’autorisation d’appel, déposées</w:t>
            </w:r>
          </w:p>
        </w:tc>
      </w:tr>
    </w:tbl>
    <w:p w:rsidR="00AA605C" w:rsidRPr="00C415AB" w:rsidRDefault="00AA605C" w:rsidP="00AA605C">
      <w:pPr>
        <w:rPr>
          <w:sz w:val="20"/>
          <w:szCs w:val="20"/>
          <w:lang w:val="fr-CA"/>
        </w:rPr>
      </w:pPr>
    </w:p>
    <w:p w:rsidR="00AA605C" w:rsidRDefault="00B3404D" w:rsidP="00AA605C">
      <w:pPr>
        <w:rPr>
          <w:sz w:val="20"/>
          <w:szCs w:val="20"/>
          <w:lang w:val="fr-CA"/>
        </w:rPr>
      </w:pPr>
      <w:r w:rsidRPr="00B3404D">
        <w:rPr>
          <w:sz w:val="20"/>
          <w:szCs w:val="20"/>
          <w:lang w:val="fr-CA"/>
        </w:rPr>
        <w:pict>
          <v:rect id="_x0000_i1047" style="width:2in;height:1pt" o:hrpct="0" o:hralign="center" o:hrstd="t" o:hrnoshade="t" o:hr="t" fillcolor="black [3213]" stroked="f"/>
        </w:pict>
      </w:r>
    </w:p>
    <w:p w:rsidR="00AA605C" w:rsidRDefault="00AA605C" w:rsidP="00AA605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24F06" w:rsidRPr="00F850EA" w:rsidTr="00A61B52">
        <w:trPr>
          <w:cantSplit/>
        </w:trPr>
        <w:tc>
          <w:tcPr>
            <w:tcW w:w="1458" w:type="dxa"/>
          </w:tcPr>
          <w:p w:rsidR="00124F06" w:rsidRPr="00F850EA" w:rsidRDefault="00124F06" w:rsidP="00A61B52">
            <w:pPr>
              <w:rPr>
                <w:sz w:val="20"/>
                <w:szCs w:val="20"/>
              </w:rPr>
            </w:pPr>
            <w:r w:rsidRPr="00F850EA">
              <w:rPr>
                <w:rStyle w:val="SCCFileNumberChar"/>
                <w:sz w:val="20"/>
                <w:szCs w:val="20"/>
              </w:rPr>
              <w:t>35171</w:t>
            </w:r>
          </w:p>
          <w:p w:rsidR="00124F06" w:rsidRPr="00F850EA" w:rsidRDefault="00124F06" w:rsidP="00A61B52">
            <w:pPr>
              <w:rPr>
                <w:b/>
                <w:sz w:val="20"/>
                <w:szCs w:val="20"/>
                <w:lang w:val="fr-CA"/>
              </w:rPr>
            </w:pPr>
          </w:p>
        </w:tc>
        <w:tc>
          <w:tcPr>
            <w:tcW w:w="8118" w:type="dxa"/>
          </w:tcPr>
          <w:p w:rsidR="00124F06" w:rsidRPr="00F850EA" w:rsidRDefault="00124F06" w:rsidP="00A61B52">
            <w:pPr>
              <w:jc w:val="both"/>
              <w:rPr>
                <w:sz w:val="20"/>
                <w:szCs w:val="20"/>
              </w:rPr>
            </w:pPr>
            <w:r w:rsidRPr="00F850EA">
              <w:rPr>
                <w:rStyle w:val="SCCLsocChar"/>
                <w:sz w:val="20"/>
                <w:szCs w:val="20"/>
                <w:lang w:val="en-CA"/>
              </w:rPr>
              <w:t>Julie Willmot v. Committee of Adjustment for the Corporation of the City of Quinte West, Corporation of the City of Quinte West, Corporation of the Lower Trent Region Conservation Authority, Marlene Crowe</w:t>
            </w:r>
            <w:r w:rsidR="000627F4">
              <w:rPr>
                <w:rStyle w:val="SCCLsocChar"/>
                <w:sz w:val="20"/>
                <w:szCs w:val="20"/>
                <w:lang w:val="en-CA"/>
              </w:rPr>
              <w:t xml:space="preserve"> and</w:t>
            </w:r>
            <w:r w:rsidRPr="00F850EA">
              <w:rPr>
                <w:rStyle w:val="SCCLsocChar"/>
                <w:sz w:val="20"/>
                <w:szCs w:val="20"/>
                <w:lang w:val="en-CA"/>
              </w:rPr>
              <w:t xml:space="preserve"> Steven Crowe</w:t>
            </w:r>
            <w:r w:rsidRPr="00F850EA">
              <w:rPr>
                <w:sz w:val="20"/>
                <w:szCs w:val="20"/>
              </w:rPr>
              <w:t xml:space="preserve"> (Ont.) (Civil) (By Leave)</w:t>
            </w:r>
          </w:p>
          <w:p w:rsidR="00124F06" w:rsidRPr="00F850EA" w:rsidRDefault="00124F06" w:rsidP="00A61B52">
            <w:pPr>
              <w:jc w:val="both"/>
              <w:rPr>
                <w:sz w:val="20"/>
                <w:szCs w:val="20"/>
              </w:rPr>
            </w:pPr>
          </w:p>
        </w:tc>
      </w:tr>
      <w:tr w:rsidR="00124F06" w:rsidRPr="00F850EA" w:rsidTr="00A61B52">
        <w:trPr>
          <w:cantSplit/>
        </w:trPr>
        <w:tc>
          <w:tcPr>
            <w:tcW w:w="1458" w:type="dxa"/>
          </w:tcPr>
          <w:p w:rsidR="00124F06" w:rsidRPr="00F850EA" w:rsidRDefault="00124F06" w:rsidP="00A61B52">
            <w:pPr>
              <w:rPr>
                <w:sz w:val="20"/>
                <w:szCs w:val="20"/>
              </w:rPr>
            </w:pPr>
            <w:r w:rsidRPr="00F850EA">
              <w:rPr>
                <w:sz w:val="20"/>
                <w:szCs w:val="20"/>
              </w:rPr>
              <w:t>Coram :</w:t>
            </w:r>
          </w:p>
        </w:tc>
        <w:tc>
          <w:tcPr>
            <w:tcW w:w="8118" w:type="dxa"/>
          </w:tcPr>
          <w:p w:rsidR="00124F06" w:rsidRPr="00F850EA" w:rsidRDefault="00124F06" w:rsidP="00A61B52">
            <w:pPr>
              <w:rPr>
                <w:sz w:val="20"/>
                <w:szCs w:val="20"/>
              </w:rPr>
            </w:pPr>
            <w:r w:rsidRPr="00F850EA">
              <w:rPr>
                <w:rStyle w:val="SCCCoramChar"/>
                <w:sz w:val="20"/>
                <w:szCs w:val="20"/>
                <w:lang w:val="en-CA"/>
              </w:rPr>
              <w:t>Fish, Rothstein and Moldaver JJ.</w:t>
            </w:r>
          </w:p>
          <w:p w:rsidR="00124F06" w:rsidRPr="00F850EA" w:rsidRDefault="00124F06" w:rsidP="00A61B52">
            <w:pPr>
              <w:rPr>
                <w:sz w:val="20"/>
                <w:szCs w:val="20"/>
                <w:u w:val="single"/>
              </w:rPr>
            </w:pPr>
          </w:p>
        </w:tc>
      </w:tr>
      <w:tr w:rsidR="00124F06" w:rsidRPr="00F850EA" w:rsidTr="00A61B52">
        <w:trPr>
          <w:cantSplit/>
        </w:trPr>
        <w:tc>
          <w:tcPr>
            <w:tcW w:w="9576" w:type="dxa"/>
            <w:gridSpan w:val="2"/>
          </w:tcPr>
          <w:p w:rsidR="00124F06" w:rsidRPr="00F850EA" w:rsidRDefault="00124F06" w:rsidP="00A61B52">
            <w:pPr>
              <w:pStyle w:val="SCCShortJudgment"/>
              <w:rPr>
                <w:szCs w:val="20"/>
                <w:lang w:val="fr-CA"/>
              </w:rPr>
            </w:pPr>
            <w:r w:rsidRPr="00F850EA">
              <w:rPr>
                <w:szCs w:val="20"/>
              </w:rPr>
              <w:t xml:space="preserve">The application for leave to appeal from the judgment of the Court of Appeal for Ontario, Numbers C55547 and C55548, 2012 ONCA 825, dated November 23, 2012, is dismissed with costs.  </w:t>
            </w:r>
            <w:r w:rsidRPr="00F850EA">
              <w:rPr>
                <w:szCs w:val="20"/>
                <w:lang w:val="fr-CA"/>
              </w:rPr>
              <w:t>The ancillary motions filed by the applicant are dismissed.</w:t>
            </w:r>
          </w:p>
          <w:p w:rsidR="00124F06" w:rsidRPr="00F850EA" w:rsidRDefault="00124F06" w:rsidP="00A61B52">
            <w:pPr>
              <w:pStyle w:val="SCCShortJudgment"/>
              <w:ind w:firstLine="0"/>
              <w:rPr>
                <w:szCs w:val="20"/>
                <w:lang w:val="fr-CA"/>
              </w:rPr>
            </w:pPr>
          </w:p>
          <w:p w:rsidR="00124F06" w:rsidRPr="00F850EA" w:rsidRDefault="00124F06" w:rsidP="00A61B52">
            <w:pPr>
              <w:pStyle w:val="SCCShortJudgment"/>
              <w:rPr>
                <w:szCs w:val="20"/>
              </w:rPr>
            </w:pPr>
            <w:r w:rsidRPr="00F850EA">
              <w:rPr>
                <w:szCs w:val="20"/>
                <w:lang w:val="fr-CA"/>
              </w:rPr>
              <w:t xml:space="preserve">La demande d’autorisation d’appel de l’arrêt de la Cour d’appel de l’Ontario, numéros C55547 et C55548, 2012 ONCA 825, daté du 23 novembre 2012, est rejetée avec dépens.  </w:t>
            </w:r>
            <w:r w:rsidRPr="00F850EA">
              <w:rPr>
                <w:szCs w:val="20"/>
              </w:rPr>
              <w:t>Les requêtes accessoires déposées par la demanderesse sont rejetées.</w:t>
            </w:r>
          </w:p>
        </w:tc>
      </w:tr>
    </w:tbl>
    <w:p w:rsidR="00AA605C" w:rsidRDefault="00AA605C" w:rsidP="00AA605C">
      <w:pPr>
        <w:rPr>
          <w:sz w:val="20"/>
          <w:szCs w:val="20"/>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415AB" w:rsidRPr="00667307" w:rsidTr="00A0505A">
        <w:tc>
          <w:tcPr>
            <w:tcW w:w="5000" w:type="pct"/>
            <w:gridSpan w:val="3"/>
          </w:tcPr>
          <w:p w:rsidR="00C415AB" w:rsidRPr="00667307" w:rsidRDefault="00C415AB" w:rsidP="00A0505A">
            <w:pPr>
              <w:jc w:val="both"/>
              <w:rPr>
                <w:rFonts w:eastAsia="Calibri"/>
                <w:sz w:val="20"/>
              </w:rPr>
            </w:pPr>
            <w:r w:rsidRPr="00667307">
              <w:rPr>
                <w:rFonts w:eastAsia="Calibri"/>
                <w:sz w:val="20"/>
              </w:rPr>
              <w:t>Civil procedure – Judgments and orders – Orders approving settlement made by litigation guardian appointed by court order – Whether court of appeal erred in dismissing appeals.</w:t>
            </w:r>
          </w:p>
        </w:tc>
      </w:tr>
      <w:tr w:rsidR="00C415AB" w:rsidRPr="00667307" w:rsidTr="00A0505A">
        <w:tc>
          <w:tcPr>
            <w:tcW w:w="5000" w:type="pct"/>
            <w:gridSpan w:val="3"/>
          </w:tcPr>
          <w:p w:rsidR="00C415AB" w:rsidRPr="00667307" w:rsidRDefault="00C415AB" w:rsidP="00A0505A">
            <w:pPr>
              <w:jc w:val="both"/>
              <w:rPr>
                <w:rFonts w:eastAsia="Calibri"/>
                <w:sz w:val="20"/>
              </w:rPr>
            </w:pPr>
          </w:p>
        </w:tc>
      </w:tr>
      <w:tr w:rsidR="00C415AB" w:rsidRPr="00667307" w:rsidTr="00A0505A">
        <w:tc>
          <w:tcPr>
            <w:tcW w:w="5000" w:type="pct"/>
            <w:gridSpan w:val="3"/>
          </w:tcPr>
          <w:p w:rsidR="00C415AB" w:rsidRPr="00667307" w:rsidRDefault="00C415AB" w:rsidP="00A0505A">
            <w:pPr>
              <w:jc w:val="both"/>
              <w:rPr>
                <w:rFonts w:eastAsia="Calibri"/>
                <w:sz w:val="20"/>
              </w:rPr>
            </w:pPr>
            <w:r w:rsidRPr="00667307">
              <w:rPr>
                <w:rFonts w:eastAsia="Calibri"/>
                <w:sz w:val="20"/>
              </w:rPr>
              <w:t>Ms. Willmot commenced proceedings against a number of defendants in relation with her purchase and enjoyment of new property.  Justice Pedlar of the Ontario Superior Court of Justice was appointed as the case management judge. The respondents brought a motion to have a litigation guardian appointed on the basis that Ms. Willmot was a mentally disabled person and was incapable of conducting the proceedings on her own behalf.  Justice Pedlar ordered Ms. Willmot to appoint a litigation guardian and retain counsel for the proceedings.  Ms. Willmot appealed the order but was unsuccessful.  Since she did not appoint a litigation guardian, Justice Pedlar appointed the Ontario Public Guardian and Trustee, who appointed counsel for Ms. Willmot.</w:t>
            </w:r>
          </w:p>
          <w:p w:rsidR="00C415AB" w:rsidRPr="00667307" w:rsidRDefault="00C415AB" w:rsidP="00A0505A">
            <w:pPr>
              <w:jc w:val="both"/>
              <w:rPr>
                <w:rFonts w:eastAsia="Calibri"/>
                <w:sz w:val="20"/>
              </w:rPr>
            </w:pPr>
          </w:p>
          <w:p w:rsidR="00C415AB" w:rsidRPr="00667307" w:rsidRDefault="00C415AB" w:rsidP="00A0505A">
            <w:pPr>
              <w:contextualSpacing/>
              <w:jc w:val="both"/>
              <w:rPr>
                <w:rFonts w:eastAsia="Calibri"/>
                <w:sz w:val="20"/>
              </w:rPr>
            </w:pPr>
            <w:r w:rsidRPr="00667307">
              <w:rPr>
                <w:rFonts w:eastAsia="Calibri"/>
                <w:sz w:val="20"/>
              </w:rPr>
              <w:t>Ms. Willmot’s litigation guardian reached a settlement with the respondents.  On motion by the Public Guardian and Trustee, Justice Pedlar approved the settlement.  He found that both the proposed dismissal of the proceedings were in the best interests of Ms. Willmot.  He also approved the fee account of the litigation guardian.  Ms. Willmot appealed to the Court of Appeal, but was unsuccessful.</w:t>
            </w:r>
          </w:p>
          <w:p w:rsidR="00C415AB" w:rsidRPr="00667307" w:rsidRDefault="00C415AB" w:rsidP="00A0505A">
            <w:pPr>
              <w:jc w:val="both"/>
              <w:rPr>
                <w:rFonts w:eastAsia="Calibri"/>
                <w:sz w:val="20"/>
              </w:rPr>
            </w:pPr>
          </w:p>
        </w:tc>
      </w:tr>
      <w:tr w:rsidR="00C415AB" w:rsidRPr="00667307" w:rsidTr="00A0505A">
        <w:tc>
          <w:tcPr>
            <w:tcW w:w="2427" w:type="pct"/>
          </w:tcPr>
          <w:p w:rsidR="00C415AB" w:rsidRPr="00667307" w:rsidRDefault="00C415AB" w:rsidP="00A0505A">
            <w:pPr>
              <w:jc w:val="both"/>
              <w:rPr>
                <w:rFonts w:eastAsia="Calibri"/>
                <w:sz w:val="20"/>
              </w:rPr>
            </w:pPr>
            <w:r w:rsidRPr="00667307">
              <w:rPr>
                <w:rFonts w:eastAsia="Calibri"/>
                <w:sz w:val="20"/>
              </w:rPr>
              <w:t>May 2, 2012</w:t>
            </w:r>
          </w:p>
          <w:p w:rsidR="00C415AB" w:rsidRPr="00667307" w:rsidRDefault="00C415AB" w:rsidP="00A0505A">
            <w:pPr>
              <w:jc w:val="both"/>
              <w:rPr>
                <w:rFonts w:eastAsia="Calibri"/>
                <w:sz w:val="20"/>
              </w:rPr>
            </w:pPr>
            <w:r w:rsidRPr="00667307">
              <w:rPr>
                <w:rFonts w:eastAsia="Calibri"/>
                <w:sz w:val="20"/>
              </w:rPr>
              <w:t>Ontario Superior Court of Justice</w:t>
            </w:r>
          </w:p>
          <w:p w:rsidR="00C415AB" w:rsidRPr="00667307" w:rsidRDefault="00C415AB" w:rsidP="00A0505A">
            <w:pPr>
              <w:jc w:val="both"/>
              <w:rPr>
                <w:rFonts w:eastAsia="Calibri"/>
                <w:sz w:val="20"/>
              </w:rPr>
            </w:pPr>
            <w:r w:rsidRPr="00667307">
              <w:rPr>
                <w:rFonts w:eastAsia="Calibri"/>
                <w:sz w:val="20"/>
              </w:rPr>
              <w:t>(Pedlar J.)</w:t>
            </w:r>
          </w:p>
          <w:p w:rsidR="00C415AB" w:rsidRPr="00667307" w:rsidRDefault="00C415AB" w:rsidP="00A0505A">
            <w:pPr>
              <w:jc w:val="both"/>
              <w:rPr>
                <w:rFonts w:eastAsia="Calibri"/>
                <w:sz w:val="20"/>
              </w:rPr>
            </w:pPr>
          </w:p>
        </w:tc>
        <w:tc>
          <w:tcPr>
            <w:tcW w:w="243" w:type="pct"/>
          </w:tcPr>
          <w:p w:rsidR="00C415AB" w:rsidRPr="00667307" w:rsidRDefault="00C415AB" w:rsidP="00A0505A">
            <w:pPr>
              <w:jc w:val="both"/>
              <w:rPr>
                <w:rFonts w:eastAsia="Calibri"/>
                <w:sz w:val="20"/>
              </w:rPr>
            </w:pPr>
          </w:p>
        </w:tc>
        <w:tc>
          <w:tcPr>
            <w:tcW w:w="2330" w:type="pct"/>
          </w:tcPr>
          <w:p w:rsidR="00C415AB" w:rsidRPr="00667307" w:rsidRDefault="00C415AB" w:rsidP="00A0505A">
            <w:pPr>
              <w:jc w:val="both"/>
              <w:rPr>
                <w:rFonts w:eastAsia="Calibri"/>
                <w:sz w:val="20"/>
              </w:rPr>
            </w:pPr>
            <w:r w:rsidRPr="00667307">
              <w:rPr>
                <w:rFonts w:eastAsia="Calibri"/>
                <w:sz w:val="20"/>
              </w:rPr>
              <w:t>Proceedings dismissed and settlements approved</w:t>
            </w:r>
          </w:p>
          <w:p w:rsidR="00C415AB" w:rsidRPr="00667307" w:rsidRDefault="00C415AB" w:rsidP="00A0505A">
            <w:pPr>
              <w:jc w:val="both"/>
              <w:rPr>
                <w:rFonts w:eastAsia="Calibri"/>
                <w:sz w:val="20"/>
              </w:rPr>
            </w:pPr>
          </w:p>
        </w:tc>
      </w:tr>
      <w:tr w:rsidR="00C415AB" w:rsidRPr="00667307" w:rsidTr="00A0505A">
        <w:tc>
          <w:tcPr>
            <w:tcW w:w="2427" w:type="pct"/>
          </w:tcPr>
          <w:p w:rsidR="00C415AB" w:rsidRPr="00667307" w:rsidRDefault="00C415AB" w:rsidP="00A0505A">
            <w:pPr>
              <w:jc w:val="both"/>
              <w:rPr>
                <w:rFonts w:eastAsia="Calibri"/>
                <w:sz w:val="20"/>
              </w:rPr>
            </w:pPr>
            <w:r w:rsidRPr="00667307">
              <w:rPr>
                <w:rFonts w:eastAsia="Calibri"/>
                <w:sz w:val="20"/>
              </w:rPr>
              <w:t>November 23, 2012</w:t>
            </w:r>
          </w:p>
          <w:p w:rsidR="00C415AB" w:rsidRPr="00667307" w:rsidRDefault="00C415AB" w:rsidP="00A0505A">
            <w:pPr>
              <w:jc w:val="both"/>
              <w:rPr>
                <w:rFonts w:eastAsia="Calibri"/>
                <w:sz w:val="20"/>
              </w:rPr>
            </w:pPr>
            <w:r w:rsidRPr="00667307">
              <w:rPr>
                <w:rFonts w:eastAsia="Calibri"/>
                <w:sz w:val="20"/>
              </w:rPr>
              <w:t>Court of Appeal for Ontario</w:t>
            </w:r>
          </w:p>
          <w:p w:rsidR="00C415AB" w:rsidRPr="00667307" w:rsidRDefault="00C415AB" w:rsidP="00A0505A">
            <w:pPr>
              <w:jc w:val="both"/>
              <w:rPr>
                <w:rFonts w:eastAsia="Calibri"/>
                <w:sz w:val="20"/>
              </w:rPr>
            </w:pPr>
            <w:r w:rsidRPr="00667307">
              <w:rPr>
                <w:rFonts w:eastAsia="Calibri"/>
                <w:sz w:val="20"/>
              </w:rPr>
              <w:t>(Simmons, Armstrong and, Watt JJ.A.)</w:t>
            </w:r>
          </w:p>
          <w:p w:rsidR="00C415AB" w:rsidRPr="00667307" w:rsidRDefault="00C415AB" w:rsidP="00124F06">
            <w:pPr>
              <w:jc w:val="both"/>
              <w:rPr>
                <w:rFonts w:eastAsia="Calibri"/>
                <w:sz w:val="20"/>
              </w:rPr>
            </w:pPr>
            <w:r w:rsidRPr="00667307">
              <w:rPr>
                <w:rFonts w:eastAsia="Calibri"/>
                <w:sz w:val="20"/>
              </w:rPr>
              <w:t>C55547, C55548; 2012 ONCA 825</w:t>
            </w:r>
          </w:p>
        </w:tc>
        <w:tc>
          <w:tcPr>
            <w:tcW w:w="243" w:type="pct"/>
          </w:tcPr>
          <w:p w:rsidR="00C415AB" w:rsidRPr="00667307" w:rsidRDefault="00C415AB" w:rsidP="00A0505A">
            <w:pPr>
              <w:jc w:val="both"/>
              <w:rPr>
                <w:rFonts w:eastAsia="Calibri"/>
                <w:sz w:val="20"/>
              </w:rPr>
            </w:pPr>
          </w:p>
        </w:tc>
        <w:tc>
          <w:tcPr>
            <w:tcW w:w="2330" w:type="pct"/>
          </w:tcPr>
          <w:p w:rsidR="00C415AB" w:rsidRPr="00667307" w:rsidRDefault="00C415AB" w:rsidP="00A0505A">
            <w:pPr>
              <w:jc w:val="both"/>
              <w:rPr>
                <w:rFonts w:eastAsia="Calibri"/>
                <w:sz w:val="20"/>
              </w:rPr>
            </w:pPr>
            <w:r w:rsidRPr="00667307">
              <w:rPr>
                <w:rFonts w:eastAsia="Calibri"/>
                <w:sz w:val="20"/>
              </w:rPr>
              <w:t>Appeals dismissed</w:t>
            </w:r>
          </w:p>
          <w:p w:rsidR="00C415AB" w:rsidRPr="00667307" w:rsidRDefault="00C415AB" w:rsidP="00A0505A">
            <w:pPr>
              <w:jc w:val="both"/>
              <w:rPr>
                <w:rFonts w:eastAsia="Calibri"/>
                <w:sz w:val="20"/>
              </w:rPr>
            </w:pPr>
          </w:p>
        </w:tc>
      </w:tr>
    </w:tbl>
    <w:p w:rsidR="00124F06" w:rsidRDefault="00124F06"/>
    <w:p w:rsidR="00124F06" w:rsidRDefault="00124F06">
      <w:r>
        <w:br w:type="page"/>
      </w:r>
    </w:p>
    <w:tbl>
      <w:tblPr>
        <w:tblW w:w="4952" w:type="pct"/>
        <w:tblLayout w:type="fixed"/>
        <w:tblCellMar>
          <w:left w:w="0" w:type="dxa"/>
          <w:bottom w:w="99" w:type="dxa"/>
          <w:right w:w="0" w:type="dxa"/>
        </w:tblCellMar>
        <w:tblLook w:val="04A0"/>
      </w:tblPr>
      <w:tblGrid>
        <w:gridCol w:w="4624"/>
        <w:gridCol w:w="463"/>
        <w:gridCol w:w="4440"/>
      </w:tblGrid>
      <w:tr w:rsidR="00C415AB" w:rsidRPr="00667307" w:rsidTr="00124F06">
        <w:trPr>
          <w:cantSplit/>
        </w:trPr>
        <w:tc>
          <w:tcPr>
            <w:tcW w:w="2427" w:type="pct"/>
          </w:tcPr>
          <w:p w:rsidR="00C415AB" w:rsidRPr="00667307" w:rsidRDefault="00C415AB" w:rsidP="00A0505A">
            <w:pPr>
              <w:jc w:val="both"/>
              <w:rPr>
                <w:rFonts w:eastAsia="Calibri"/>
                <w:sz w:val="20"/>
              </w:rPr>
            </w:pPr>
            <w:r w:rsidRPr="00667307">
              <w:rPr>
                <w:rFonts w:eastAsia="Calibri"/>
                <w:sz w:val="20"/>
              </w:rPr>
              <w:lastRenderedPageBreak/>
              <w:t>January 8, 2013</w:t>
            </w:r>
          </w:p>
          <w:p w:rsidR="00C415AB" w:rsidRPr="00667307" w:rsidRDefault="00C415AB" w:rsidP="00A0505A">
            <w:pPr>
              <w:jc w:val="both"/>
              <w:rPr>
                <w:rFonts w:eastAsia="Calibri"/>
                <w:sz w:val="20"/>
              </w:rPr>
            </w:pPr>
            <w:r w:rsidRPr="00667307">
              <w:rPr>
                <w:rFonts w:eastAsia="Calibri"/>
                <w:sz w:val="20"/>
              </w:rPr>
              <w:t>Supreme Court of Canada</w:t>
            </w:r>
          </w:p>
        </w:tc>
        <w:tc>
          <w:tcPr>
            <w:tcW w:w="243" w:type="pct"/>
          </w:tcPr>
          <w:p w:rsidR="00C415AB" w:rsidRPr="00667307" w:rsidRDefault="00C415AB" w:rsidP="00A0505A">
            <w:pPr>
              <w:jc w:val="both"/>
              <w:rPr>
                <w:rFonts w:eastAsia="Calibri"/>
                <w:sz w:val="20"/>
              </w:rPr>
            </w:pPr>
          </w:p>
        </w:tc>
        <w:tc>
          <w:tcPr>
            <w:tcW w:w="2330" w:type="pct"/>
          </w:tcPr>
          <w:p w:rsidR="00C415AB" w:rsidRPr="00667307" w:rsidRDefault="00C415AB" w:rsidP="00A0505A">
            <w:pPr>
              <w:jc w:val="both"/>
              <w:rPr>
                <w:rFonts w:eastAsia="Calibri"/>
                <w:sz w:val="20"/>
              </w:rPr>
            </w:pPr>
            <w:r w:rsidRPr="00667307">
              <w:rPr>
                <w:rFonts w:eastAsia="Calibri"/>
                <w:sz w:val="20"/>
              </w:rPr>
              <w:t>Application for leave to appeal filed</w:t>
            </w:r>
          </w:p>
          <w:p w:rsidR="00C415AB" w:rsidRPr="00667307" w:rsidRDefault="00C415AB" w:rsidP="00A0505A">
            <w:pPr>
              <w:jc w:val="both"/>
              <w:rPr>
                <w:rFonts w:eastAsia="Calibri"/>
                <w:sz w:val="20"/>
              </w:rPr>
            </w:pP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48"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415AB" w:rsidRPr="00D41BFD" w:rsidTr="00A0505A">
        <w:tc>
          <w:tcPr>
            <w:tcW w:w="5000" w:type="pct"/>
            <w:gridSpan w:val="3"/>
          </w:tcPr>
          <w:p w:rsidR="00C415AB" w:rsidRPr="00667307" w:rsidRDefault="00C415AB" w:rsidP="00A0505A">
            <w:pPr>
              <w:jc w:val="both"/>
              <w:rPr>
                <w:rFonts w:eastAsia="Calibri"/>
                <w:sz w:val="20"/>
                <w:lang w:val="fr-CA"/>
              </w:rPr>
            </w:pPr>
            <w:r w:rsidRPr="00667307">
              <w:rPr>
                <w:rFonts w:eastAsia="Calibri"/>
                <w:sz w:val="20"/>
                <w:lang w:val="fr-CA"/>
              </w:rPr>
              <w:t>Procédure civile – Jugements et ordonnances – Ordonnance homologuant le règlement conclu par le tuteur à l'instance nommé par ordonnance judiciaire – La Cour d'appel a-t-elle eu tort de rejeter les appels?</w:t>
            </w:r>
          </w:p>
        </w:tc>
      </w:tr>
      <w:tr w:rsidR="00C415AB" w:rsidRPr="00D41BFD" w:rsidTr="00A0505A">
        <w:tc>
          <w:tcPr>
            <w:tcW w:w="5000" w:type="pct"/>
            <w:gridSpan w:val="3"/>
          </w:tcPr>
          <w:p w:rsidR="00C415AB" w:rsidRPr="00667307" w:rsidRDefault="00C415AB" w:rsidP="00A0505A">
            <w:pPr>
              <w:jc w:val="both"/>
              <w:rPr>
                <w:rFonts w:eastAsia="Calibri"/>
                <w:sz w:val="20"/>
                <w:lang w:val="fr-CA"/>
              </w:rPr>
            </w:pPr>
          </w:p>
        </w:tc>
      </w:tr>
      <w:tr w:rsidR="00C415AB" w:rsidRPr="00D41BFD" w:rsidTr="00A0505A">
        <w:tc>
          <w:tcPr>
            <w:tcW w:w="5000" w:type="pct"/>
            <w:gridSpan w:val="3"/>
          </w:tcPr>
          <w:p w:rsidR="00C415AB" w:rsidRPr="00667307" w:rsidRDefault="00C415AB" w:rsidP="00A0505A">
            <w:pPr>
              <w:jc w:val="both"/>
              <w:rPr>
                <w:rFonts w:eastAsia="Calibri"/>
                <w:sz w:val="20"/>
                <w:lang w:val="fr-CA"/>
              </w:rPr>
            </w:pPr>
            <w:r w:rsidRPr="00667307">
              <w:rPr>
                <w:rFonts w:eastAsia="Calibri"/>
                <w:sz w:val="20"/>
                <w:lang w:val="fr-CA"/>
              </w:rPr>
              <w:t>Madame Willmot a introduit une instance contre un certain nombre de défendeurs en lien avec son achat et la jouissance d’une nouvelle propriété.  Le juge Pedlar de la Cour supérieure de justice de l’Ontario a été nommé comme juge chargé de la gestion de l’instance.  Les intimés ont présenté une motion en vue de faire nommer un tuteur en l’instance, vu que Mme Willmot avait une déficience mentale et qu’elle était incapable de participer à l’instance en son propre nom.  Le juge Pedlar a ordonné à Mme Willmot de nommer un tuteur à l’instance et de retenir les services d’un avocat.  Madame Willmot a interjeté appel de l’ordonnance, mais a été déboutée.  Puisqu’elle n’a pas nommé de tuteur à l’instance, le juge Pedlar a nommé le Tuteur et curateur public de l’Ontario, qui a nommé un avocat pour représenter Mme Willmot.</w:t>
            </w:r>
          </w:p>
          <w:p w:rsidR="00C415AB" w:rsidRPr="00667307" w:rsidRDefault="00C415AB" w:rsidP="00A0505A">
            <w:pPr>
              <w:jc w:val="both"/>
              <w:rPr>
                <w:rFonts w:eastAsia="Calibri"/>
                <w:sz w:val="20"/>
                <w:lang w:val="fr-CA"/>
              </w:rPr>
            </w:pPr>
          </w:p>
          <w:p w:rsidR="00C415AB" w:rsidRPr="00667307" w:rsidRDefault="00C415AB" w:rsidP="00A0505A">
            <w:pPr>
              <w:contextualSpacing/>
              <w:jc w:val="both"/>
              <w:rPr>
                <w:rFonts w:eastAsia="Calibri"/>
                <w:sz w:val="20"/>
                <w:lang w:val="fr-CA"/>
              </w:rPr>
            </w:pPr>
            <w:r w:rsidRPr="00667307">
              <w:rPr>
                <w:rFonts w:eastAsia="Calibri"/>
                <w:sz w:val="20"/>
                <w:lang w:val="fr-CA"/>
              </w:rPr>
              <w:t>Le tuteur à l’instance de Mme Willmot a conclu un règlement avec les intimés.  Saisi d’une motion présentée par le Tuteur et curateur public, le juge Pedlar a homologué le règlement.  Il a conclu que le rejet projeté de la demande était dans l’intérêt de Mme Willmot.  Il a également homologué le mémoire de frais du tuteur à l’instance.  Madame Willmot a interjeté appel à la Cour d’appel, mais a été déboutée.</w:t>
            </w:r>
          </w:p>
          <w:p w:rsidR="00C415AB" w:rsidRPr="00667307" w:rsidRDefault="00C415AB" w:rsidP="00A0505A">
            <w:pPr>
              <w:jc w:val="both"/>
              <w:rPr>
                <w:rFonts w:eastAsia="Calibri"/>
                <w:sz w:val="20"/>
                <w:lang w:val="fr-CA"/>
              </w:rPr>
            </w:pPr>
          </w:p>
        </w:tc>
      </w:tr>
      <w:tr w:rsidR="00C415AB" w:rsidRPr="00667307" w:rsidTr="00A0505A">
        <w:tc>
          <w:tcPr>
            <w:tcW w:w="2427" w:type="pct"/>
          </w:tcPr>
          <w:p w:rsidR="00C415AB" w:rsidRPr="00667307" w:rsidRDefault="00C415AB" w:rsidP="00A0505A">
            <w:pPr>
              <w:jc w:val="both"/>
              <w:rPr>
                <w:rFonts w:eastAsia="Calibri"/>
                <w:sz w:val="20"/>
                <w:lang w:val="fr-CA"/>
              </w:rPr>
            </w:pPr>
            <w:r w:rsidRPr="00667307">
              <w:rPr>
                <w:rFonts w:eastAsia="Calibri"/>
                <w:sz w:val="20"/>
                <w:lang w:val="fr-CA"/>
              </w:rPr>
              <w:t>2 mai 2012</w:t>
            </w:r>
          </w:p>
          <w:p w:rsidR="00C415AB" w:rsidRPr="00667307" w:rsidRDefault="00C415AB" w:rsidP="00A0505A">
            <w:pPr>
              <w:jc w:val="both"/>
              <w:rPr>
                <w:rFonts w:eastAsia="Calibri"/>
                <w:sz w:val="20"/>
                <w:lang w:val="fr-CA"/>
              </w:rPr>
            </w:pPr>
            <w:r w:rsidRPr="00667307">
              <w:rPr>
                <w:rFonts w:eastAsia="Calibri"/>
                <w:sz w:val="20"/>
                <w:lang w:val="fr-CA"/>
              </w:rPr>
              <w:t>Cour supérieure de justice de l’Ontario</w:t>
            </w:r>
          </w:p>
          <w:p w:rsidR="00C415AB" w:rsidRPr="00667307" w:rsidRDefault="00C415AB" w:rsidP="00A0505A">
            <w:pPr>
              <w:jc w:val="both"/>
              <w:rPr>
                <w:rFonts w:eastAsia="Calibri"/>
                <w:sz w:val="20"/>
                <w:lang w:val="fr-CA"/>
              </w:rPr>
            </w:pPr>
            <w:r w:rsidRPr="00667307">
              <w:rPr>
                <w:rFonts w:eastAsia="Calibri"/>
                <w:sz w:val="20"/>
                <w:lang w:val="fr-CA"/>
              </w:rPr>
              <w:t>(Juge Pedlar)</w:t>
            </w:r>
          </w:p>
          <w:p w:rsidR="00C415AB" w:rsidRPr="00667307" w:rsidRDefault="00C415AB" w:rsidP="00A0505A">
            <w:pPr>
              <w:jc w:val="both"/>
              <w:rPr>
                <w:rFonts w:eastAsia="Calibri"/>
                <w:sz w:val="20"/>
                <w:lang w:val="fr-CA"/>
              </w:rPr>
            </w:pPr>
          </w:p>
        </w:tc>
        <w:tc>
          <w:tcPr>
            <w:tcW w:w="243" w:type="pct"/>
          </w:tcPr>
          <w:p w:rsidR="00C415AB" w:rsidRPr="00667307" w:rsidRDefault="00C415AB" w:rsidP="00A0505A">
            <w:pPr>
              <w:jc w:val="both"/>
              <w:rPr>
                <w:rFonts w:eastAsia="Calibri"/>
                <w:sz w:val="20"/>
                <w:lang w:val="fr-CA"/>
              </w:rPr>
            </w:pPr>
          </w:p>
        </w:tc>
        <w:tc>
          <w:tcPr>
            <w:tcW w:w="2330" w:type="pct"/>
          </w:tcPr>
          <w:p w:rsidR="00C415AB" w:rsidRPr="00667307" w:rsidRDefault="00C415AB" w:rsidP="00A0505A">
            <w:pPr>
              <w:jc w:val="both"/>
              <w:rPr>
                <w:rFonts w:eastAsia="Calibri"/>
                <w:sz w:val="20"/>
                <w:lang w:val="fr-CA"/>
              </w:rPr>
            </w:pPr>
            <w:r w:rsidRPr="00667307">
              <w:rPr>
                <w:rFonts w:eastAsia="Calibri"/>
                <w:sz w:val="20"/>
                <w:lang w:val="fr-CA"/>
              </w:rPr>
              <w:t>Demande rejetée et règlements homologués</w:t>
            </w:r>
          </w:p>
          <w:p w:rsidR="00C415AB" w:rsidRPr="00667307" w:rsidRDefault="00C415AB" w:rsidP="00A0505A">
            <w:pPr>
              <w:jc w:val="both"/>
              <w:rPr>
                <w:rFonts w:eastAsia="Calibri"/>
                <w:sz w:val="20"/>
                <w:lang w:val="fr-CA"/>
              </w:rPr>
            </w:pPr>
          </w:p>
        </w:tc>
      </w:tr>
      <w:tr w:rsidR="00C415AB" w:rsidRPr="00667307" w:rsidTr="00A0505A">
        <w:tc>
          <w:tcPr>
            <w:tcW w:w="2427" w:type="pct"/>
          </w:tcPr>
          <w:p w:rsidR="00C415AB" w:rsidRPr="00667307" w:rsidRDefault="00C415AB" w:rsidP="00A0505A">
            <w:pPr>
              <w:jc w:val="both"/>
              <w:rPr>
                <w:rFonts w:eastAsia="Calibri"/>
                <w:sz w:val="20"/>
                <w:lang w:val="fr-CA"/>
              </w:rPr>
            </w:pPr>
            <w:r w:rsidRPr="00667307">
              <w:rPr>
                <w:rFonts w:eastAsia="Calibri"/>
                <w:sz w:val="20"/>
                <w:lang w:val="fr-CA"/>
              </w:rPr>
              <w:t>23 novembre 2012</w:t>
            </w:r>
          </w:p>
          <w:p w:rsidR="00C415AB" w:rsidRPr="00667307" w:rsidRDefault="00C415AB" w:rsidP="00A0505A">
            <w:pPr>
              <w:jc w:val="both"/>
              <w:rPr>
                <w:rFonts w:eastAsia="Calibri"/>
                <w:sz w:val="20"/>
                <w:lang w:val="fr-CA"/>
              </w:rPr>
            </w:pPr>
            <w:r w:rsidRPr="00667307">
              <w:rPr>
                <w:rFonts w:eastAsia="Calibri"/>
                <w:sz w:val="20"/>
                <w:lang w:val="fr-CA"/>
              </w:rPr>
              <w:t>Cour d’appel de l’Ontario</w:t>
            </w:r>
          </w:p>
          <w:p w:rsidR="00C415AB" w:rsidRPr="00667307" w:rsidRDefault="00C415AB" w:rsidP="00A0505A">
            <w:pPr>
              <w:jc w:val="both"/>
              <w:rPr>
                <w:rFonts w:eastAsia="Calibri"/>
                <w:sz w:val="20"/>
                <w:lang w:val="fr-CA"/>
              </w:rPr>
            </w:pPr>
            <w:r w:rsidRPr="00667307">
              <w:rPr>
                <w:rFonts w:eastAsia="Calibri"/>
                <w:sz w:val="20"/>
                <w:lang w:val="fr-CA"/>
              </w:rPr>
              <w:t>(Juges Simmons, Armstrong et Watt)</w:t>
            </w:r>
          </w:p>
          <w:p w:rsidR="00C415AB" w:rsidRPr="00667307" w:rsidRDefault="00C415AB" w:rsidP="00A0505A">
            <w:pPr>
              <w:jc w:val="both"/>
              <w:rPr>
                <w:rFonts w:eastAsia="Calibri"/>
                <w:sz w:val="20"/>
                <w:lang w:val="fr-CA"/>
              </w:rPr>
            </w:pPr>
            <w:r w:rsidRPr="00667307">
              <w:rPr>
                <w:rFonts w:eastAsia="Calibri"/>
                <w:sz w:val="20"/>
                <w:lang w:val="fr-CA"/>
              </w:rPr>
              <w:t>C55547, C55548; 2012 ONCA 825</w:t>
            </w:r>
          </w:p>
          <w:p w:rsidR="00C415AB" w:rsidRPr="00667307" w:rsidRDefault="00C415AB" w:rsidP="00A0505A">
            <w:pPr>
              <w:jc w:val="both"/>
              <w:rPr>
                <w:rFonts w:eastAsia="Calibri"/>
                <w:sz w:val="20"/>
                <w:lang w:val="fr-CA"/>
              </w:rPr>
            </w:pPr>
          </w:p>
        </w:tc>
        <w:tc>
          <w:tcPr>
            <w:tcW w:w="243" w:type="pct"/>
          </w:tcPr>
          <w:p w:rsidR="00C415AB" w:rsidRPr="00667307" w:rsidRDefault="00C415AB" w:rsidP="00A0505A">
            <w:pPr>
              <w:jc w:val="both"/>
              <w:rPr>
                <w:rFonts w:eastAsia="Calibri"/>
                <w:sz w:val="20"/>
                <w:lang w:val="fr-CA"/>
              </w:rPr>
            </w:pPr>
          </w:p>
        </w:tc>
        <w:tc>
          <w:tcPr>
            <w:tcW w:w="2330" w:type="pct"/>
          </w:tcPr>
          <w:p w:rsidR="00C415AB" w:rsidRPr="00667307" w:rsidRDefault="00C415AB" w:rsidP="00A0505A">
            <w:pPr>
              <w:jc w:val="both"/>
              <w:rPr>
                <w:rFonts w:eastAsia="Calibri"/>
                <w:sz w:val="20"/>
                <w:lang w:val="fr-CA"/>
              </w:rPr>
            </w:pPr>
            <w:r w:rsidRPr="00667307">
              <w:rPr>
                <w:rFonts w:eastAsia="Calibri"/>
                <w:sz w:val="20"/>
                <w:lang w:val="fr-CA"/>
              </w:rPr>
              <w:t>Appels rejetés</w:t>
            </w:r>
          </w:p>
          <w:p w:rsidR="00C415AB" w:rsidRPr="00667307" w:rsidRDefault="00C415AB" w:rsidP="00A0505A">
            <w:pPr>
              <w:jc w:val="both"/>
              <w:rPr>
                <w:rFonts w:eastAsia="Calibri"/>
                <w:sz w:val="20"/>
                <w:lang w:val="fr-CA"/>
              </w:rPr>
            </w:pPr>
          </w:p>
        </w:tc>
      </w:tr>
      <w:tr w:rsidR="00C415AB" w:rsidRPr="00667307" w:rsidTr="00A0505A">
        <w:tc>
          <w:tcPr>
            <w:tcW w:w="2427" w:type="pct"/>
          </w:tcPr>
          <w:p w:rsidR="00C415AB" w:rsidRPr="00667307" w:rsidRDefault="00C415AB" w:rsidP="00A0505A">
            <w:pPr>
              <w:jc w:val="both"/>
              <w:rPr>
                <w:rFonts w:eastAsia="Calibri"/>
                <w:sz w:val="20"/>
                <w:lang w:val="fr-CA"/>
              </w:rPr>
            </w:pPr>
            <w:r w:rsidRPr="00667307">
              <w:rPr>
                <w:rFonts w:eastAsia="Calibri"/>
                <w:sz w:val="20"/>
                <w:lang w:val="fr-CA"/>
              </w:rPr>
              <w:t>8 janvier 2013</w:t>
            </w:r>
          </w:p>
          <w:p w:rsidR="00C415AB" w:rsidRPr="00667307" w:rsidRDefault="00C415AB" w:rsidP="00A0505A">
            <w:pPr>
              <w:jc w:val="both"/>
              <w:rPr>
                <w:rFonts w:eastAsia="Calibri"/>
                <w:sz w:val="20"/>
                <w:lang w:val="fr-CA"/>
              </w:rPr>
            </w:pPr>
            <w:r w:rsidRPr="00667307">
              <w:rPr>
                <w:rFonts w:eastAsia="Calibri"/>
                <w:sz w:val="20"/>
                <w:lang w:val="fr-CA"/>
              </w:rPr>
              <w:t>Cour suprême du Canada</w:t>
            </w:r>
          </w:p>
        </w:tc>
        <w:tc>
          <w:tcPr>
            <w:tcW w:w="243" w:type="pct"/>
          </w:tcPr>
          <w:p w:rsidR="00C415AB" w:rsidRPr="00667307" w:rsidRDefault="00C415AB" w:rsidP="00A0505A">
            <w:pPr>
              <w:jc w:val="both"/>
              <w:rPr>
                <w:rFonts w:eastAsia="Calibri"/>
                <w:sz w:val="20"/>
                <w:lang w:val="fr-CA"/>
              </w:rPr>
            </w:pPr>
          </w:p>
        </w:tc>
        <w:tc>
          <w:tcPr>
            <w:tcW w:w="2330" w:type="pct"/>
          </w:tcPr>
          <w:p w:rsidR="00C415AB" w:rsidRPr="00667307" w:rsidRDefault="00C415AB" w:rsidP="00A0505A">
            <w:pPr>
              <w:jc w:val="both"/>
              <w:rPr>
                <w:rFonts w:eastAsia="Calibri"/>
                <w:sz w:val="20"/>
                <w:lang w:val="fr-CA"/>
              </w:rPr>
            </w:pPr>
            <w:r w:rsidRPr="00667307">
              <w:rPr>
                <w:rFonts w:eastAsia="Calibri"/>
                <w:sz w:val="20"/>
                <w:lang w:val="fr-CA"/>
              </w:rPr>
              <w:t>Demande d’autorisation d’appel, déposée</w:t>
            </w:r>
          </w:p>
          <w:p w:rsidR="00C415AB" w:rsidRPr="00667307" w:rsidRDefault="00C415AB" w:rsidP="00A0505A">
            <w:pPr>
              <w:jc w:val="both"/>
              <w:rPr>
                <w:rFonts w:eastAsia="Calibri"/>
                <w:sz w:val="20"/>
                <w:lang w:val="fr-CA"/>
              </w:rPr>
            </w:pPr>
          </w:p>
        </w:tc>
      </w:tr>
    </w:tbl>
    <w:p w:rsidR="00AA605C" w:rsidRDefault="00AA605C" w:rsidP="00AA605C">
      <w:pPr>
        <w:rPr>
          <w:sz w:val="20"/>
          <w:szCs w:val="20"/>
        </w:rPr>
      </w:pPr>
    </w:p>
    <w:p w:rsidR="00AA605C" w:rsidRDefault="00B3404D" w:rsidP="00AA605C">
      <w:pPr>
        <w:rPr>
          <w:sz w:val="20"/>
          <w:szCs w:val="20"/>
          <w:lang w:val="fr-CA"/>
        </w:rPr>
      </w:pPr>
      <w:r w:rsidRPr="00B3404D">
        <w:rPr>
          <w:sz w:val="20"/>
          <w:szCs w:val="20"/>
          <w:lang w:val="fr-CA"/>
        </w:rPr>
        <w:pict>
          <v:rect id="_x0000_i1049" style="width:2in;height:1pt" o:hrpct="0" o:hralign="center" o:hrstd="t" o:hrnoshade="t" o:hr="t" fillcolor="black [3213]" stroked="f"/>
        </w:pict>
      </w:r>
    </w:p>
    <w:p w:rsidR="00AA605C" w:rsidRDefault="00AA605C" w:rsidP="00AA605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50EC8" w:rsidRPr="00F850EA" w:rsidTr="00A61B52">
        <w:trPr>
          <w:cantSplit/>
        </w:trPr>
        <w:tc>
          <w:tcPr>
            <w:tcW w:w="1458" w:type="dxa"/>
          </w:tcPr>
          <w:p w:rsidR="00650EC8" w:rsidRPr="00F850EA" w:rsidRDefault="00650EC8" w:rsidP="00A61B52">
            <w:pPr>
              <w:rPr>
                <w:sz w:val="20"/>
                <w:szCs w:val="20"/>
              </w:rPr>
            </w:pPr>
            <w:r w:rsidRPr="00F850EA">
              <w:rPr>
                <w:rStyle w:val="SCCFileNumberChar"/>
                <w:sz w:val="20"/>
                <w:szCs w:val="20"/>
              </w:rPr>
              <w:t>35185</w:t>
            </w:r>
          </w:p>
          <w:p w:rsidR="00650EC8" w:rsidRPr="00F850EA" w:rsidRDefault="00650EC8" w:rsidP="00A61B52">
            <w:pPr>
              <w:rPr>
                <w:b/>
                <w:sz w:val="20"/>
                <w:szCs w:val="20"/>
                <w:lang w:val="fr-CA"/>
              </w:rPr>
            </w:pPr>
          </w:p>
        </w:tc>
        <w:tc>
          <w:tcPr>
            <w:tcW w:w="8118" w:type="dxa"/>
          </w:tcPr>
          <w:p w:rsidR="00650EC8" w:rsidRPr="00F850EA" w:rsidRDefault="00650EC8" w:rsidP="00A61B52">
            <w:pPr>
              <w:jc w:val="both"/>
              <w:rPr>
                <w:sz w:val="20"/>
                <w:szCs w:val="20"/>
              </w:rPr>
            </w:pPr>
            <w:r w:rsidRPr="00F850EA">
              <w:rPr>
                <w:rStyle w:val="SCCLsocChar"/>
                <w:sz w:val="20"/>
                <w:szCs w:val="20"/>
              </w:rPr>
              <w:t>Joseph Ferdinand Dave Perron c. Monique Denise Perron (maintenant Waring)</w:t>
            </w:r>
            <w:r w:rsidRPr="00F850EA">
              <w:rPr>
                <w:sz w:val="20"/>
                <w:szCs w:val="20"/>
              </w:rPr>
              <w:t xml:space="preserve"> (Ont.) (Civile) (Autorisation)</w:t>
            </w:r>
          </w:p>
          <w:p w:rsidR="00650EC8" w:rsidRPr="00F850EA" w:rsidRDefault="00650EC8" w:rsidP="00A61B52">
            <w:pPr>
              <w:jc w:val="both"/>
              <w:rPr>
                <w:sz w:val="20"/>
                <w:szCs w:val="20"/>
              </w:rPr>
            </w:pPr>
          </w:p>
        </w:tc>
      </w:tr>
      <w:tr w:rsidR="00650EC8" w:rsidRPr="00D41BFD" w:rsidTr="00A61B52">
        <w:trPr>
          <w:cantSplit/>
        </w:trPr>
        <w:tc>
          <w:tcPr>
            <w:tcW w:w="1458" w:type="dxa"/>
          </w:tcPr>
          <w:p w:rsidR="00650EC8" w:rsidRPr="00F850EA" w:rsidRDefault="00650EC8" w:rsidP="00A61B52">
            <w:pPr>
              <w:rPr>
                <w:sz w:val="20"/>
                <w:szCs w:val="20"/>
              </w:rPr>
            </w:pPr>
            <w:r w:rsidRPr="00F850EA">
              <w:rPr>
                <w:sz w:val="20"/>
                <w:szCs w:val="20"/>
              </w:rPr>
              <w:t>Coram :</w:t>
            </w:r>
          </w:p>
        </w:tc>
        <w:tc>
          <w:tcPr>
            <w:tcW w:w="8118" w:type="dxa"/>
          </w:tcPr>
          <w:p w:rsidR="00650EC8" w:rsidRPr="00F850EA" w:rsidRDefault="00650EC8" w:rsidP="00A61B52">
            <w:pPr>
              <w:rPr>
                <w:sz w:val="20"/>
                <w:szCs w:val="20"/>
                <w:lang w:val="fr-CA"/>
              </w:rPr>
            </w:pPr>
            <w:r w:rsidRPr="00F850EA">
              <w:rPr>
                <w:rStyle w:val="SCCCoramChar"/>
                <w:sz w:val="20"/>
                <w:szCs w:val="20"/>
              </w:rPr>
              <w:t>La juge en chef McLachlin et les juges Abella et Cromwell</w:t>
            </w:r>
          </w:p>
          <w:p w:rsidR="00650EC8" w:rsidRPr="00F850EA" w:rsidRDefault="00650EC8" w:rsidP="00A61B52">
            <w:pPr>
              <w:rPr>
                <w:sz w:val="20"/>
                <w:szCs w:val="20"/>
                <w:u w:val="single"/>
                <w:lang w:val="fr-CA"/>
              </w:rPr>
            </w:pPr>
          </w:p>
        </w:tc>
      </w:tr>
      <w:tr w:rsidR="00650EC8" w:rsidRPr="00F850EA" w:rsidTr="00A61B52">
        <w:trPr>
          <w:cantSplit/>
        </w:trPr>
        <w:tc>
          <w:tcPr>
            <w:tcW w:w="9576" w:type="dxa"/>
            <w:gridSpan w:val="2"/>
          </w:tcPr>
          <w:p w:rsidR="00650EC8" w:rsidRPr="00F850EA" w:rsidRDefault="00650EC8" w:rsidP="00A61B52">
            <w:pPr>
              <w:pStyle w:val="SCCShortJudgment"/>
              <w:rPr>
                <w:szCs w:val="20"/>
                <w:lang w:val="fr-CA"/>
              </w:rPr>
            </w:pPr>
            <w:r w:rsidRPr="00F850EA">
              <w:rPr>
                <w:szCs w:val="20"/>
                <w:lang w:val="fr-CA"/>
              </w:rPr>
              <w:t>La demande d’autorisation d’appel de l’arrêt de la Cour d’appel de l’Ontario, numéro C51977, 2012 ONCA 811, daté du 23 novembre 2012, est rejetée avec dépens.</w:t>
            </w:r>
          </w:p>
          <w:p w:rsidR="00650EC8" w:rsidRPr="00F850EA" w:rsidRDefault="00650EC8" w:rsidP="00A61B52">
            <w:pPr>
              <w:pStyle w:val="SCCShortJudgment"/>
              <w:ind w:firstLine="0"/>
              <w:rPr>
                <w:szCs w:val="20"/>
                <w:lang w:val="fr-CA"/>
              </w:rPr>
            </w:pPr>
          </w:p>
          <w:p w:rsidR="00650EC8" w:rsidRPr="00F850EA" w:rsidRDefault="00650EC8" w:rsidP="00A61B52">
            <w:pPr>
              <w:pStyle w:val="SCCShortJudgment"/>
              <w:rPr>
                <w:szCs w:val="20"/>
              </w:rPr>
            </w:pPr>
            <w:r w:rsidRPr="00F850EA">
              <w:rPr>
                <w:szCs w:val="20"/>
              </w:rPr>
              <w:t>The application for leave to appeal from the judgment of the Court of Appeal for Ontario, Number C51977, 2012 ONCA 811, dated November 23, 2012, is dismissed with costs.</w:t>
            </w:r>
          </w:p>
        </w:tc>
      </w:tr>
    </w:tbl>
    <w:p w:rsidR="00AA605C" w:rsidRDefault="00AA605C" w:rsidP="00AA605C">
      <w:pPr>
        <w:rPr>
          <w:sz w:val="20"/>
          <w:szCs w:val="20"/>
        </w:rPr>
      </w:pPr>
    </w:p>
    <w:p w:rsidR="00650EC8" w:rsidRDefault="00650EC8">
      <w:pPr>
        <w:rPr>
          <w:sz w:val="20"/>
          <w:szCs w:val="20"/>
          <w:u w:val="single"/>
        </w:rPr>
      </w:pPr>
      <w:r>
        <w:rPr>
          <w:sz w:val="20"/>
          <w:szCs w:val="20"/>
          <w:u w:val="single"/>
        </w:rPr>
        <w:br w:type="page"/>
      </w:r>
    </w:p>
    <w:p w:rsidR="00AA605C" w:rsidRPr="001B157C" w:rsidRDefault="00AA605C" w:rsidP="00AA605C">
      <w:pPr>
        <w:rPr>
          <w:sz w:val="20"/>
          <w:szCs w:val="20"/>
          <w:u w:val="single"/>
        </w:rPr>
      </w:pPr>
      <w:r w:rsidRPr="001B157C">
        <w:rPr>
          <w:sz w:val="20"/>
          <w:szCs w:val="20"/>
          <w:u w:val="single"/>
        </w:rPr>
        <w:lastRenderedPageBreak/>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415AB" w:rsidRPr="00667307" w:rsidTr="00A0505A">
        <w:tc>
          <w:tcPr>
            <w:tcW w:w="5000" w:type="pct"/>
            <w:gridSpan w:val="3"/>
          </w:tcPr>
          <w:p w:rsidR="00C415AB" w:rsidRPr="00667307" w:rsidRDefault="00C415AB" w:rsidP="00A0505A">
            <w:pPr>
              <w:jc w:val="both"/>
              <w:rPr>
                <w:rFonts w:eastAsia="Calibri"/>
                <w:sz w:val="20"/>
              </w:rPr>
            </w:pPr>
            <w:r w:rsidRPr="00667307">
              <w:rPr>
                <w:rFonts w:eastAsia="Calibri"/>
                <w:i/>
                <w:sz w:val="20"/>
              </w:rPr>
              <w:t>Charter of rights</w:t>
            </w:r>
            <w:r w:rsidRPr="00667307">
              <w:rPr>
                <w:rFonts w:eastAsia="Calibri"/>
                <w:sz w:val="20"/>
              </w:rPr>
              <w:t xml:space="preserve"> – Minority language educational rights – Family law – Best interests of children – Trial judge awarding custody of three children to anglophone mother and granting access to francophone father – Judge ordering that children were to continue attending elementary school with French immersion – Francophone father asking that custody order include condition with respect to language of instruction, namely that it be French only – Court of Appeal finding that trial judge had erred in failing to consider possibility of such a condition in custody order, but dismissing appeal on basis of best interests of children – Judicial remedy that is appropriate and just where appellate court finds that trial judge erred in law in failing to consider language of instruction of children in manner consistent with their best interests and section 23 of </w:t>
            </w:r>
            <w:r w:rsidRPr="00667307">
              <w:rPr>
                <w:rFonts w:eastAsia="Calibri"/>
                <w:i/>
                <w:sz w:val="20"/>
              </w:rPr>
              <w:t>Charter</w:t>
            </w:r>
            <w:r w:rsidRPr="00667307">
              <w:rPr>
                <w:rFonts w:eastAsia="Calibri"/>
                <w:sz w:val="20"/>
              </w:rPr>
              <w:t xml:space="preserve"> – Effect of passage of time where it possible on evidence in record to conduct reasonable assessment of whether it in best interests of children to receive their education in official language of minority.</w:t>
            </w:r>
          </w:p>
        </w:tc>
      </w:tr>
      <w:tr w:rsidR="00C415AB" w:rsidRPr="00667307" w:rsidTr="00A0505A">
        <w:tc>
          <w:tcPr>
            <w:tcW w:w="5000" w:type="pct"/>
            <w:gridSpan w:val="3"/>
          </w:tcPr>
          <w:p w:rsidR="00C415AB" w:rsidRPr="00667307" w:rsidRDefault="00C415AB" w:rsidP="00A0505A">
            <w:pPr>
              <w:jc w:val="both"/>
              <w:rPr>
                <w:rFonts w:eastAsia="Calibri"/>
                <w:i/>
                <w:sz w:val="20"/>
              </w:rPr>
            </w:pPr>
          </w:p>
        </w:tc>
      </w:tr>
      <w:tr w:rsidR="00C415AB" w:rsidRPr="00667307" w:rsidTr="00A0505A">
        <w:tc>
          <w:tcPr>
            <w:tcW w:w="5000" w:type="pct"/>
            <w:gridSpan w:val="3"/>
          </w:tcPr>
          <w:p w:rsidR="00C415AB" w:rsidRPr="00667307" w:rsidRDefault="00C415AB" w:rsidP="00A0505A">
            <w:pPr>
              <w:jc w:val="both"/>
              <w:rPr>
                <w:rFonts w:eastAsia="Calibri"/>
                <w:sz w:val="20"/>
              </w:rPr>
            </w:pPr>
            <w:r w:rsidRPr="00667307">
              <w:rPr>
                <w:rFonts w:eastAsia="Calibri"/>
                <w:sz w:val="20"/>
              </w:rPr>
              <w:t>While married, the applicant and the respondent had three children, in 2002, 2004 and 2005.  The applicant is francophone, while the respondent is anglophone and has a certain ability to speak French.  They live in Hamilton, Ontario.  When the parties separated in 2006, the oldest of their children was enrolled, with the applicant’s agreement, in an English-only school.  Since September 2007, he has been enrolled in a French immersion program.  The other two children attend the same school as him.  Although the applicant originally agreed with enrolling the eldest child in the immersion program, he is now opposed to it and wishes to have all three of his children attend a French-only school.  At trial, the respondent was awarded custody of the children, and the applicant was granted access.  The trial judge ordered that the children were to continue in the immersion program in elementary school.  The Court of Appeal dismissed the applicant’s appeal on the issue of the children’s attendance at a French-only school.</w:t>
            </w:r>
          </w:p>
          <w:p w:rsidR="00C415AB" w:rsidRPr="00667307" w:rsidRDefault="00C415AB" w:rsidP="00A0505A">
            <w:pPr>
              <w:jc w:val="both"/>
              <w:rPr>
                <w:rFonts w:eastAsia="Calibri"/>
                <w:sz w:val="20"/>
              </w:rPr>
            </w:pPr>
          </w:p>
        </w:tc>
      </w:tr>
      <w:tr w:rsidR="00C415AB" w:rsidRPr="00667307" w:rsidTr="00A0505A">
        <w:tc>
          <w:tcPr>
            <w:tcW w:w="2427" w:type="pct"/>
          </w:tcPr>
          <w:p w:rsidR="00C415AB" w:rsidRPr="00667307" w:rsidRDefault="00C415AB" w:rsidP="00A0505A">
            <w:pPr>
              <w:jc w:val="both"/>
              <w:rPr>
                <w:rFonts w:eastAsia="Calibri"/>
                <w:sz w:val="20"/>
              </w:rPr>
            </w:pPr>
            <w:r w:rsidRPr="00667307">
              <w:rPr>
                <w:rFonts w:eastAsia="Calibri"/>
                <w:sz w:val="20"/>
              </w:rPr>
              <w:t>March 8, 2010</w:t>
            </w:r>
          </w:p>
          <w:p w:rsidR="00C415AB" w:rsidRPr="00667307" w:rsidRDefault="00C415AB" w:rsidP="00A0505A">
            <w:pPr>
              <w:jc w:val="both"/>
              <w:rPr>
                <w:rFonts w:eastAsia="Calibri"/>
                <w:sz w:val="20"/>
              </w:rPr>
            </w:pPr>
            <w:r w:rsidRPr="00667307">
              <w:rPr>
                <w:rFonts w:eastAsia="Calibri"/>
                <w:sz w:val="20"/>
              </w:rPr>
              <w:t>Ontario Superior Court of Justice</w:t>
            </w:r>
          </w:p>
          <w:p w:rsidR="00C415AB" w:rsidRPr="00667307" w:rsidRDefault="00C415AB" w:rsidP="00A0505A">
            <w:pPr>
              <w:jc w:val="both"/>
              <w:rPr>
                <w:rFonts w:eastAsia="Calibri"/>
                <w:sz w:val="20"/>
              </w:rPr>
            </w:pPr>
            <w:r w:rsidRPr="00667307">
              <w:rPr>
                <w:rFonts w:eastAsia="Calibri"/>
                <w:sz w:val="20"/>
              </w:rPr>
              <w:t>(Whitten J.)</w:t>
            </w:r>
          </w:p>
          <w:p w:rsidR="00C415AB" w:rsidRPr="00667307" w:rsidRDefault="00C415AB" w:rsidP="00A0505A">
            <w:pPr>
              <w:jc w:val="both"/>
              <w:rPr>
                <w:rFonts w:eastAsia="Calibri"/>
                <w:sz w:val="20"/>
              </w:rPr>
            </w:pPr>
            <w:r w:rsidRPr="00667307">
              <w:rPr>
                <w:rFonts w:eastAsia="Calibri"/>
                <w:sz w:val="20"/>
              </w:rPr>
              <w:t>2010 ONSC 1482</w:t>
            </w:r>
          </w:p>
          <w:p w:rsidR="00C415AB" w:rsidRPr="00667307" w:rsidRDefault="00C415AB" w:rsidP="00A0505A">
            <w:pPr>
              <w:jc w:val="both"/>
              <w:rPr>
                <w:rFonts w:eastAsia="Calibri"/>
                <w:sz w:val="20"/>
              </w:rPr>
            </w:pPr>
          </w:p>
        </w:tc>
        <w:tc>
          <w:tcPr>
            <w:tcW w:w="243" w:type="pct"/>
          </w:tcPr>
          <w:p w:rsidR="00C415AB" w:rsidRPr="00667307" w:rsidRDefault="00C415AB" w:rsidP="00A0505A">
            <w:pPr>
              <w:jc w:val="both"/>
              <w:rPr>
                <w:rFonts w:eastAsia="Calibri"/>
                <w:sz w:val="20"/>
              </w:rPr>
            </w:pPr>
          </w:p>
        </w:tc>
        <w:tc>
          <w:tcPr>
            <w:tcW w:w="2330" w:type="pct"/>
          </w:tcPr>
          <w:p w:rsidR="00C415AB" w:rsidRPr="00667307" w:rsidRDefault="00C415AB" w:rsidP="00A0505A">
            <w:pPr>
              <w:jc w:val="both"/>
              <w:rPr>
                <w:rFonts w:eastAsia="Calibri"/>
                <w:sz w:val="20"/>
              </w:rPr>
            </w:pPr>
            <w:r w:rsidRPr="00667307">
              <w:rPr>
                <w:rFonts w:eastAsia="Calibri"/>
                <w:sz w:val="20"/>
              </w:rPr>
              <w:t xml:space="preserve">Respondent awarded custody of three children, and applicant granted access; children were to continue attending elementary school with French immersion </w:t>
            </w:r>
          </w:p>
          <w:p w:rsidR="00C415AB" w:rsidRPr="00667307" w:rsidRDefault="00C415AB" w:rsidP="00A0505A">
            <w:pPr>
              <w:jc w:val="both"/>
              <w:rPr>
                <w:rFonts w:eastAsia="Calibri"/>
                <w:sz w:val="20"/>
              </w:rPr>
            </w:pPr>
          </w:p>
        </w:tc>
      </w:tr>
      <w:tr w:rsidR="00C415AB" w:rsidRPr="00667307" w:rsidTr="00A0505A">
        <w:tc>
          <w:tcPr>
            <w:tcW w:w="2427" w:type="pct"/>
          </w:tcPr>
          <w:p w:rsidR="00C415AB" w:rsidRPr="00667307" w:rsidRDefault="00C415AB" w:rsidP="00A0505A">
            <w:pPr>
              <w:jc w:val="both"/>
              <w:rPr>
                <w:rFonts w:eastAsia="Calibri"/>
                <w:sz w:val="20"/>
              </w:rPr>
            </w:pPr>
            <w:r w:rsidRPr="00667307">
              <w:rPr>
                <w:rFonts w:eastAsia="Calibri"/>
                <w:sz w:val="20"/>
              </w:rPr>
              <w:t>November 23, 2012</w:t>
            </w:r>
          </w:p>
          <w:p w:rsidR="00C415AB" w:rsidRPr="00667307" w:rsidRDefault="00C415AB" w:rsidP="00A0505A">
            <w:pPr>
              <w:jc w:val="both"/>
              <w:rPr>
                <w:rFonts w:eastAsia="Calibri"/>
                <w:sz w:val="20"/>
              </w:rPr>
            </w:pPr>
            <w:r w:rsidRPr="00667307">
              <w:rPr>
                <w:rFonts w:eastAsia="Calibri"/>
                <w:sz w:val="20"/>
              </w:rPr>
              <w:t>Ontario Court of Appeal</w:t>
            </w:r>
          </w:p>
          <w:p w:rsidR="00C415AB" w:rsidRPr="00667307" w:rsidRDefault="00C415AB" w:rsidP="00A0505A">
            <w:pPr>
              <w:jc w:val="both"/>
              <w:rPr>
                <w:rFonts w:eastAsia="Calibri"/>
                <w:sz w:val="20"/>
              </w:rPr>
            </w:pPr>
            <w:r w:rsidRPr="00667307">
              <w:rPr>
                <w:rFonts w:eastAsia="Calibri"/>
                <w:sz w:val="20"/>
              </w:rPr>
              <w:t>(Blair, Rouleau and Hoy JJ.A.)</w:t>
            </w:r>
          </w:p>
          <w:p w:rsidR="00C415AB" w:rsidRPr="00667307" w:rsidRDefault="00C415AB" w:rsidP="00A0505A">
            <w:pPr>
              <w:jc w:val="both"/>
              <w:rPr>
                <w:rFonts w:eastAsia="Calibri"/>
                <w:sz w:val="20"/>
              </w:rPr>
            </w:pPr>
            <w:r w:rsidRPr="00667307">
              <w:rPr>
                <w:rFonts w:eastAsia="Calibri"/>
                <w:sz w:val="20"/>
              </w:rPr>
              <w:t>2012 ONCA 811</w:t>
            </w:r>
          </w:p>
          <w:p w:rsidR="00C415AB" w:rsidRPr="00667307" w:rsidRDefault="00C415AB" w:rsidP="00A0505A">
            <w:pPr>
              <w:jc w:val="both"/>
              <w:rPr>
                <w:rFonts w:eastAsia="Calibri"/>
                <w:sz w:val="20"/>
              </w:rPr>
            </w:pPr>
          </w:p>
        </w:tc>
        <w:tc>
          <w:tcPr>
            <w:tcW w:w="243" w:type="pct"/>
          </w:tcPr>
          <w:p w:rsidR="00C415AB" w:rsidRPr="00667307" w:rsidRDefault="00C415AB" w:rsidP="00A0505A">
            <w:pPr>
              <w:jc w:val="both"/>
              <w:rPr>
                <w:rFonts w:eastAsia="Calibri"/>
                <w:sz w:val="20"/>
              </w:rPr>
            </w:pPr>
          </w:p>
        </w:tc>
        <w:tc>
          <w:tcPr>
            <w:tcW w:w="2330" w:type="pct"/>
          </w:tcPr>
          <w:p w:rsidR="00C415AB" w:rsidRPr="00667307" w:rsidRDefault="00C415AB" w:rsidP="00A0505A">
            <w:pPr>
              <w:jc w:val="both"/>
              <w:rPr>
                <w:rFonts w:eastAsia="Calibri"/>
                <w:sz w:val="20"/>
              </w:rPr>
            </w:pPr>
            <w:r w:rsidRPr="00667307">
              <w:rPr>
                <w:rFonts w:eastAsia="Calibri"/>
                <w:sz w:val="20"/>
              </w:rPr>
              <w:t>Applicant’s appeal dismissed</w:t>
            </w:r>
          </w:p>
          <w:p w:rsidR="00C415AB" w:rsidRPr="00667307" w:rsidRDefault="00C415AB" w:rsidP="00A0505A">
            <w:pPr>
              <w:jc w:val="both"/>
              <w:rPr>
                <w:rFonts w:eastAsia="Calibri"/>
                <w:sz w:val="20"/>
              </w:rPr>
            </w:pPr>
          </w:p>
        </w:tc>
      </w:tr>
      <w:tr w:rsidR="00C415AB" w:rsidRPr="00667307" w:rsidTr="00A0505A">
        <w:tc>
          <w:tcPr>
            <w:tcW w:w="2427" w:type="pct"/>
          </w:tcPr>
          <w:p w:rsidR="00C415AB" w:rsidRPr="00667307" w:rsidRDefault="00C415AB" w:rsidP="00A0505A">
            <w:pPr>
              <w:jc w:val="both"/>
              <w:rPr>
                <w:rFonts w:eastAsia="Calibri"/>
                <w:sz w:val="20"/>
              </w:rPr>
            </w:pPr>
            <w:r w:rsidRPr="00667307">
              <w:rPr>
                <w:rFonts w:eastAsia="Calibri"/>
                <w:sz w:val="20"/>
              </w:rPr>
              <w:t>January 22, 2013</w:t>
            </w:r>
          </w:p>
          <w:p w:rsidR="00C415AB" w:rsidRPr="00667307" w:rsidRDefault="00C415AB" w:rsidP="00A0505A">
            <w:pPr>
              <w:jc w:val="both"/>
              <w:rPr>
                <w:rFonts w:eastAsia="Calibri"/>
                <w:sz w:val="20"/>
              </w:rPr>
            </w:pPr>
            <w:r w:rsidRPr="00667307">
              <w:rPr>
                <w:rFonts w:eastAsia="Calibri"/>
                <w:sz w:val="20"/>
              </w:rPr>
              <w:t>Supreme Court of Canada</w:t>
            </w:r>
          </w:p>
        </w:tc>
        <w:tc>
          <w:tcPr>
            <w:tcW w:w="243" w:type="pct"/>
          </w:tcPr>
          <w:p w:rsidR="00C415AB" w:rsidRPr="00667307" w:rsidRDefault="00C415AB" w:rsidP="00A0505A">
            <w:pPr>
              <w:jc w:val="both"/>
              <w:rPr>
                <w:rFonts w:eastAsia="Calibri"/>
                <w:sz w:val="20"/>
              </w:rPr>
            </w:pPr>
          </w:p>
        </w:tc>
        <w:tc>
          <w:tcPr>
            <w:tcW w:w="2330" w:type="pct"/>
          </w:tcPr>
          <w:p w:rsidR="00C415AB" w:rsidRPr="00667307" w:rsidRDefault="00C415AB" w:rsidP="00A0505A">
            <w:pPr>
              <w:jc w:val="both"/>
              <w:rPr>
                <w:rFonts w:eastAsia="Calibri"/>
                <w:sz w:val="20"/>
              </w:rPr>
            </w:pPr>
            <w:r w:rsidRPr="00667307">
              <w:rPr>
                <w:rFonts w:eastAsia="Calibri"/>
                <w:sz w:val="20"/>
              </w:rPr>
              <w:t>Application for leave to appeal filed</w:t>
            </w: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50"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415AB" w:rsidRPr="00D41BFD" w:rsidTr="00A0505A">
        <w:tc>
          <w:tcPr>
            <w:tcW w:w="5000" w:type="pct"/>
            <w:gridSpan w:val="3"/>
          </w:tcPr>
          <w:p w:rsidR="00C415AB" w:rsidRPr="00667307" w:rsidRDefault="00C415AB" w:rsidP="00A0505A">
            <w:pPr>
              <w:jc w:val="both"/>
              <w:rPr>
                <w:rFonts w:eastAsia="Calibri"/>
                <w:sz w:val="20"/>
                <w:lang w:val="fr-CA"/>
              </w:rPr>
            </w:pPr>
            <w:r w:rsidRPr="00667307">
              <w:rPr>
                <w:rFonts w:eastAsia="Calibri"/>
                <w:i/>
                <w:sz w:val="20"/>
                <w:lang w:val="fr-CA"/>
              </w:rPr>
              <w:t>Charte des droits</w:t>
            </w:r>
            <w:r w:rsidRPr="00667307">
              <w:rPr>
                <w:rFonts w:eastAsia="Calibri"/>
                <w:sz w:val="20"/>
                <w:lang w:val="fr-CA"/>
              </w:rPr>
              <w:t xml:space="preserve"> – Droit à l’instruction dans la langue de la minorité – Droit de la famille – Intérêt véritable des enfants – Juge de première instance octroyant la garde des trois enfants à la mère anglophone avec accès au père francophone – Ordonnance stipulant que les enfants continueront à fréquenter une école primaire d’immersion française – Père francophone demandant que l’ordonnance de garde soit assortie d’une condition portant sur la langue d’instruction, soit l’instruction homogène en langue française – Cour d’appel étant d’avis que le juge de première instance a erré en ne considérant pas la possibilité d’une ordonnance de garde assortie de cette condition mais rejetant l’appel sur la base de l’intérêt véritable des enfants – Quelle est la réparation judiciaire convenable et juste lorsqu’une cour d’appel conclut que le premier juge a commis une erreur de droit en omettant de considérer la langue d’instruction des enfants de manière compatible avec leur intérêt véritable et l’article 23 de la </w:t>
            </w:r>
            <w:r w:rsidRPr="00667307">
              <w:rPr>
                <w:rFonts w:eastAsia="Calibri"/>
                <w:i/>
                <w:sz w:val="20"/>
                <w:lang w:val="fr-CA"/>
              </w:rPr>
              <w:t>Charte</w:t>
            </w:r>
            <w:r w:rsidRPr="00667307">
              <w:rPr>
                <w:rFonts w:eastAsia="Calibri"/>
                <w:sz w:val="20"/>
                <w:lang w:val="fr-CA"/>
              </w:rPr>
              <w:t>? – Quel est l’effet du passage du temps lorsque la preuve au dossier permet une appréciation raisonnable de l’intérêt véritable des enfants de recevoir leur éducation dans la langue officielle de la minorité?</w:t>
            </w:r>
          </w:p>
        </w:tc>
      </w:tr>
      <w:tr w:rsidR="00C415AB" w:rsidRPr="00D41BFD" w:rsidTr="00A0505A">
        <w:tc>
          <w:tcPr>
            <w:tcW w:w="5000" w:type="pct"/>
            <w:gridSpan w:val="3"/>
          </w:tcPr>
          <w:p w:rsidR="00C415AB" w:rsidRPr="00667307" w:rsidRDefault="00C415AB" w:rsidP="00A0505A">
            <w:pPr>
              <w:jc w:val="both"/>
              <w:rPr>
                <w:rFonts w:eastAsia="Calibri"/>
                <w:i/>
                <w:sz w:val="20"/>
                <w:lang w:val="fr-CA"/>
              </w:rPr>
            </w:pPr>
          </w:p>
        </w:tc>
      </w:tr>
      <w:tr w:rsidR="00C415AB" w:rsidRPr="00D41BFD" w:rsidTr="00A0505A">
        <w:tc>
          <w:tcPr>
            <w:tcW w:w="5000" w:type="pct"/>
            <w:gridSpan w:val="3"/>
          </w:tcPr>
          <w:p w:rsidR="00C415AB" w:rsidRPr="00667307" w:rsidRDefault="00C415AB" w:rsidP="00A0505A">
            <w:pPr>
              <w:jc w:val="both"/>
              <w:rPr>
                <w:rFonts w:eastAsia="Calibri"/>
                <w:sz w:val="20"/>
                <w:lang w:val="fr-CA"/>
              </w:rPr>
            </w:pPr>
            <w:r w:rsidRPr="00667307">
              <w:rPr>
                <w:rFonts w:eastAsia="Calibri"/>
                <w:sz w:val="20"/>
                <w:lang w:val="fr-CA"/>
              </w:rPr>
              <w:t>Trois enfants sont nés du mariage entre le demandeur et l’intimée, en 2002, 2004 et 2005.  Le demandeur est francophone et l’intimée est anglophone avec une certaine connaissance du français.  Les parties demeurent à Hamilton, en Ontario.  Au moment de la séparation des parties en 2006, l’aîné des enfants était inscrit dans une école homogène de langue anglaise, avec l’accord du demandeur.  Depuis septembre 2007, il est inscrit dans un programme d’immersion en français.  Les deux autres enfants fréquentent également cette école. Au départ, le demandeur avait accepté d’inscrire l’aîné au programme d’immersion.  Toutefois, il s’est ensuite opposé à ce programme et souhaite maintenant que ses trois enfants fréquentent une école homogène de langue française.  Au procès, la garde des enfants est octroyée à l’intimée, avec droits d’accès au demandeur.  L’ordonnance du juge de première instance stipule que les enfants continueront à fréquenter le programme d’immersion au primaire.  La cour d’appel rejette l’appel du demandeur sur la question de la fréquentation des enfants d’une l’école homogène francophone.</w:t>
            </w:r>
          </w:p>
          <w:p w:rsidR="00C415AB" w:rsidRPr="00667307" w:rsidRDefault="00C415AB" w:rsidP="00A0505A">
            <w:pPr>
              <w:jc w:val="both"/>
              <w:rPr>
                <w:rFonts w:eastAsia="Calibri"/>
                <w:sz w:val="20"/>
                <w:lang w:val="fr-CA"/>
              </w:rPr>
            </w:pPr>
          </w:p>
        </w:tc>
      </w:tr>
      <w:tr w:rsidR="00C415AB" w:rsidRPr="00D41BFD" w:rsidTr="00A0505A">
        <w:tc>
          <w:tcPr>
            <w:tcW w:w="2427" w:type="pct"/>
          </w:tcPr>
          <w:p w:rsidR="00C415AB" w:rsidRPr="00667307" w:rsidRDefault="00C415AB" w:rsidP="00A0505A">
            <w:pPr>
              <w:jc w:val="both"/>
              <w:rPr>
                <w:rFonts w:eastAsia="Calibri"/>
                <w:sz w:val="20"/>
                <w:lang w:val="fr-CA"/>
              </w:rPr>
            </w:pPr>
            <w:r w:rsidRPr="00667307">
              <w:rPr>
                <w:rFonts w:eastAsia="Calibri"/>
                <w:sz w:val="20"/>
                <w:lang w:val="fr-CA"/>
              </w:rPr>
              <w:t>Le 8 mars 2010</w:t>
            </w:r>
          </w:p>
          <w:p w:rsidR="00C415AB" w:rsidRPr="00667307" w:rsidRDefault="00C415AB" w:rsidP="00A0505A">
            <w:pPr>
              <w:jc w:val="both"/>
              <w:rPr>
                <w:rFonts w:eastAsia="Calibri"/>
                <w:sz w:val="20"/>
                <w:lang w:val="fr-CA"/>
              </w:rPr>
            </w:pPr>
            <w:r w:rsidRPr="00667307">
              <w:rPr>
                <w:rFonts w:eastAsia="Calibri"/>
                <w:sz w:val="20"/>
                <w:lang w:val="fr-CA"/>
              </w:rPr>
              <w:t>Cour supérieure de justice de l’Ontario</w:t>
            </w:r>
          </w:p>
          <w:p w:rsidR="00C415AB" w:rsidRPr="00667307" w:rsidRDefault="00C415AB" w:rsidP="00A0505A">
            <w:pPr>
              <w:jc w:val="both"/>
              <w:rPr>
                <w:rFonts w:eastAsia="Calibri"/>
                <w:sz w:val="20"/>
                <w:lang w:val="fr-CA"/>
              </w:rPr>
            </w:pPr>
            <w:r w:rsidRPr="00667307">
              <w:rPr>
                <w:rFonts w:eastAsia="Calibri"/>
                <w:sz w:val="20"/>
                <w:lang w:val="fr-CA"/>
              </w:rPr>
              <w:t>(Le juge Whitten)</w:t>
            </w:r>
          </w:p>
          <w:p w:rsidR="00C415AB" w:rsidRPr="00667307" w:rsidRDefault="00C415AB" w:rsidP="00A0505A">
            <w:pPr>
              <w:jc w:val="both"/>
              <w:rPr>
                <w:rFonts w:eastAsia="Calibri"/>
                <w:sz w:val="20"/>
                <w:lang w:val="fr-CA"/>
              </w:rPr>
            </w:pPr>
            <w:r w:rsidRPr="00667307">
              <w:rPr>
                <w:rFonts w:eastAsia="Calibri"/>
                <w:sz w:val="20"/>
                <w:lang w:val="fr-CA"/>
              </w:rPr>
              <w:t>2010 ONSC 1482</w:t>
            </w:r>
          </w:p>
          <w:p w:rsidR="00C415AB" w:rsidRPr="00667307" w:rsidRDefault="00C415AB" w:rsidP="00A0505A">
            <w:pPr>
              <w:jc w:val="both"/>
              <w:rPr>
                <w:rFonts w:eastAsia="Calibri"/>
                <w:sz w:val="20"/>
                <w:lang w:val="fr-CA"/>
              </w:rPr>
            </w:pPr>
          </w:p>
        </w:tc>
        <w:tc>
          <w:tcPr>
            <w:tcW w:w="243" w:type="pct"/>
          </w:tcPr>
          <w:p w:rsidR="00C415AB" w:rsidRPr="00667307" w:rsidRDefault="00C415AB" w:rsidP="00A0505A">
            <w:pPr>
              <w:jc w:val="both"/>
              <w:rPr>
                <w:rFonts w:eastAsia="Calibri"/>
                <w:sz w:val="20"/>
                <w:lang w:val="fr-CA"/>
              </w:rPr>
            </w:pPr>
          </w:p>
        </w:tc>
        <w:tc>
          <w:tcPr>
            <w:tcW w:w="2330" w:type="pct"/>
          </w:tcPr>
          <w:p w:rsidR="00C415AB" w:rsidRPr="00667307" w:rsidRDefault="00C415AB" w:rsidP="00A0505A">
            <w:pPr>
              <w:jc w:val="both"/>
              <w:rPr>
                <w:rFonts w:eastAsia="Calibri"/>
                <w:sz w:val="20"/>
                <w:lang w:val="fr-CA"/>
              </w:rPr>
            </w:pPr>
            <w:r w:rsidRPr="00667307">
              <w:rPr>
                <w:rFonts w:eastAsia="Calibri"/>
                <w:sz w:val="20"/>
                <w:lang w:val="fr-CA"/>
              </w:rPr>
              <w:t>Garde des trois enfants octroyée à l’intimée avec accès au demandeur; les enfants continueront à fréquenter une école primaire d’immersion française</w:t>
            </w:r>
          </w:p>
          <w:p w:rsidR="00C415AB" w:rsidRPr="00667307" w:rsidRDefault="00C415AB" w:rsidP="00A0505A">
            <w:pPr>
              <w:jc w:val="both"/>
              <w:rPr>
                <w:rFonts w:eastAsia="Calibri"/>
                <w:sz w:val="20"/>
                <w:lang w:val="fr-CA"/>
              </w:rPr>
            </w:pPr>
          </w:p>
        </w:tc>
      </w:tr>
      <w:tr w:rsidR="00C415AB" w:rsidRPr="00667307" w:rsidTr="00A0505A">
        <w:tc>
          <w:tcPr>
            <w:tcW w:w="2427" w:type="pct"/>
          </w:tcPr>
          <w:p w:rsidR="00C415AB" w:rsidRPr="00667307" w:rsidRDefault="00C415AB" w:rsidP="00A0505A">
            <w:pPr>
              <w:jc w:val="both"/>
              <w:rPr>
                <w:rFonts w:eastAsia="Calibri"/>
                <w:sz w:val="20"/>
                <w:lang w:val="fr-CA"/>
              </w:rPr>
            </w:pPr>
            <w:r w:rsidRPr="00667307">
              <w:rPr>
                <w:rFonts w:eastAsia="Calibri"/>
                <w:sz w:val="20"/>
                <w:lang w:val="fr-CA"/>
              </w:rPr>
              <w:t>Le 23 novembre 2012</w:t>
            </w:r>
          </w:p>
          <w:p w:rsidR="00C415AB" w:rsidRPr="00667307" w:rsidRDefault="00C415AB" w:rsidP="00A0505A">
            <w:pPr>
              <w:jc w:val="both"/>
              <w:rPr>
                <w:rFonts w:eastAsia="Calibri"/>
                <w:sz w:val="20"/>
                <w:lang w:val="fr-CA"/>
              </w:rPr>
            </w:pPr>
            <w:r w:rsidRPr="00667307">
              <w:rPr>
                <w:rFonts w:eastAsia="Calibri"/>
                <w:sz w:val="20"/>
                <w:lang w:val="fr-CA"/>
              </w:rPr>
              <w:t>Cour d’appel de l’Ontario</w:t>
            </w:r>
          </w:p>
          <w:p w:rsidR="00C415AB" w:rsidRPr="00667307" w:rsidRDefault="00C415AB" w:rsidP="00A0505A">
            <w:pPr>
              <w:jc w:val="both"/>
              <w:rPr>
                <w:rFonts w:eastAsia="Calibri"/>
                <w:sz w:val="20"/>
                <w:lang w:val="fr-CA"/>
              </w:rPr>
            </w:pPr>
            <w:r w:rsidRPr="00667307">
              <w:rPr>
                <w:rFonts w:eastAsia="Calibri"/>
                <w:sz w:val="20"/>
                <w:lang w:val="fr-CA"/>
              </w:rPr>
              <w:t>(Les juges Blair, Rouleau et Hoy)</w:t>
            </w:r>
          </w:p>
          <w:p w:rsidR="00C415AB" w:rsidRPr="00667307" w:rsidRDefault="00C415AB" w:rsidP="00A0505A">
            <w:pPr>
              <w:jc w:val="both"/>
              <w:rPr>
                <w:rFonts w:eastAsia="Calibri"/>
                <w:sz w:val="20"/>
                <w:lang w:val="fr-CA"/>
              </w:rPr>
            </w:pPr>
            <w:r w:rsidRPr="00667307">
              <w:rPr>
                <w:rFonts w:eastAsia="Calibri"/>
                <w:sz w:val="20"/>
                <w:lang w:val="fr-CA"/>
              </w:rPr>
              <w:t>2012 ONCA 811</w:t>
            </w:r>
          </w:p>
          <w:p w:rsidR="00C415AB" w:rsidRPr="00667307" w:rsidRDefault="00C415AB" w:rsidP="00A0505A">
            <w:pPr>
              <w:jc w:val="both"/>
              <w:rPr>
                <w:rFonts w:eastAsia="Calibri"/>
                <w:sz w:val="20"/>
                <w:lang w:val="fr-CA"/>
              </w:rPr>
            </w:pPr>
          </w:p>
        </w:tc>
        <w:tc>
          <w:tcPr>
            <w:tcW w:w="243" w:type="pct"/>
          </w:tcPr>
          <w:p w:rsidR="00C415AB" w:rsidRPr="00667307" w:rsidRDefault="00C415AB" w:rsidP="00A0505A">
            <w:pPr>
              <w:jc w:val="both"/>
              <w:rPr>
                <w:rFonts w:eastAsia="Calibri"/>
                <w:sz w:val="20"/>
                <w:lang w:val="fr-CA"/>
              </w:rPr>
            </w:pPr>
          </w:p>
        </w:tc>
        <w:tc>
          <w:tcPr>
            <w:tcW w:w="2330" w:type="pct"/>
          </w:tcPr>
          <w:p w:rsidR="00C415AB" w:rsidRPr="00667307" w:rsidRDefault="00C415AB" w:rsidP="00A0505A">
            <w:pPr>
              <w:jc w:val="both"/>
              <w:rPr>
                <w:rFonts w:eastAsia="Calibri"/>
                <w:sz w:val="20"/>
                <w:lang w:val="fr-CA"/>
              </w:rPr>
            </w:pPr>
            <w:r w:rsidRPr="00667307">
              <w:rPr>
                <w:rFonts w:eastAsia="Calibri"/>
                <w:sz w:val="20"/>
                <w:lang w:val="fr-CA"/>
              </w:rPr>
              <w:t>Appel du demandeur rejeté</w:t>
            </w:r>
          </w:p>
          <w:p w:rsidR="00C415AB" w:rsidRPr="00667307" w:rsidRDefault="00C415AB" w:rsidP="00A0505A">
            <w:pPr>
              <w:jc w:val="both"/>
              <w:rPr>
                <w:rFonts w:eastAsia="Calibri"/>
                <w:sz w:val="20"/>
                <w:lang w:val="fr-CA"/>
              </w:rPr>
            </w:pPr>
          </w:p>
        </w:tc>
      </w:tr>
      <w:tr w:rsidR="00C415AB" w:rsidRPr="00667307" w:rsidTr="00A0505A">
        <w:tc>
          <w:tcPr>
            <w:tcW w:w="2427" w:type="pct"/>
          </w:tcPr>
          <w:p w:rsidR="00C415AB" w:rsidRPr="00667307" w:rsidRDefault="00C415AB" w:rsidP="00A0505A">
            <w:pPr>
              <w:jc w:val="both"/>
              <w:rPr>
                <w:rFonts w:eastAsia="Calibri"/>
                <w:sz w:val="20"/>
                <w:lang w:val="fr-CA"/>
              </w:rPr>
            </w:pPr>
            <w:r w:rsidRPr="00667307">
              <w:rPr>
                <w:rFonts w:eastAsia="Calibri"/>
                <w:sz w:val="20"/>
                <w:lang w:val="fr-CA"/>
              </w:rPr>
              <w:t>Le 22 janvier 2013</w:t>
            </w:r>
          </w:p>
          <w:p w:rsidR="00C415AB" w:rsidRPr="00667307" w:rsidRDefault="00C415AB" w:rsidP="00A0505A">
            <w:pPr>
              <w:jc w:val="both"/>
              <w:rPr>
                <w:rFonts w:eastAsia="Calibri"/>
                <w:sz w:val="20"/>
                <w:lang w:val="fr-CA"/>
              </w:rPr>
            </w:pPr>
            <w:r w:rsidRPr="00667307">
              <w:rPr>
                <w:rFonts w:eastAsia="Calibri"/>
                <w:sz w:val="20"/>
                <w:lang w:val="fr-CA"/>
              </w:rPr>
              <w:t>Cour suprême du Canada</w:t>
            </w:r>
          </w:p>
        </w:tc>
        <w:tc>
          <w:tcPr>
            <w:tcW w:w="243" w:type="pct"/>
          </w:tcPr>
          <w:p w:rsidR="00C415AB" w:rsidRPr="00667307" w:rsidRDefault="00C415AB" w:rsidP="00A0505A">
            <w:pPr>
              <w:jc w:val="both"/>
              <w:rPr>
                <w:rFonts w:eastAsia="Calibri"/>
                <w:sz w:val="20"/>
                <w:lang w:val="fr-CA"/>
              </w:rPr>
            </w:pPr>
          </w:p>
        </w:tc>
        <w:tc>
          <w:tcPr>
            <w:tcW w:w="2330" w:type="pct"/>
          </w:tcPr>
          <w:p w:rsidR="00C415AB" w:rsidRPr="00667307" w:rsidRDefault="00C415AB" w:rsidP="00A0505A">
            <w:pPr>
              <w:jc w:val="both"/>
              <w:rPr>
                <w:rFonts w:eastAsia="Calibri"/>
                <w:sz w:val="20"/>
                <w:lang w:val="fr-CA"/>
              </w:rPr>
            </w:pPr>
            <w:r w:rsidRPr="00667307">
              <w:rPr>
                <w:rFonts w:eastAsia="Calibri"/>
                <w:sz w:val="20"/>
                <w:lang w:val="fr-CA"/>
              </w:rPr>
              <w:t>Demande d’autorisation d’appel déposée</w:t>
            </w:r>
          </w:p>
        </w:tc>
      </w:tr>
    </w:tbl>
    <w:p w:rsidR="00AA605C" w:rsidRDefault="00AA605C" w:rsidP="00AA605C">
      <w:pPr>
        <w:rPr>
          <w:sz w:val="20"/>
          <w:szCs w:val="20"/>
        </w:rPr>
      </w:pPr>
    </w:p>
    <w:p w:rsidR="00AA605C" w:rsidRDefault="00B3404D" w:rsidP="00AA605C">
      <w:pPr>
        <w:rPr>
          <w:sz w:val="20"/>
          <w:szCs w:val="20"/>
          <w:lang w:val="fr-CA"/>
        </w:rPr>
      </w:pPr>
      <w:r w:rsidRPr="00B3404D">
        <w:rPr>
          <w:sz w:val="20"/>
          <w:szCs w:val="20"/>
          <w:lang w:val="fr-CA"/>
        </w:rPr>
        <w:pict>
          <v:rect id="_x0000_i1051" style="width:2in;height:1pt" o:hrpct="0" o:hralign="center" o:hrstd="t" o:hrnoshade="t" o:hr="t" fillcolor="black [3213]" stroked="f"/>
        </w:pict>
      </w:r>
    </w:p>
    <w:p w:rsidR="00AA605C" w:rsidRDefault="00AA605C" w:rsidP="00AA605C">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50EC8" w:rsidRPr="00650EC8" w:rsidTr="00A61B52">
        <w:trPr>
          <w:cantSplit/>
        </w:trPr>
        <w:tc>
          <w:tcPr>
            <w:tcW w:w="1458" w:type="dxa"/>
          </w:tcPr>
          <w:p w:rsidR="00650EC8" w:rsidRPr="00650EC8" w:rsidRDefault="00650EC8" w:rsidP="00650EC8">
            <w:pPr>
              <w:rPr>
                <w:sz w:val="20"/>
                <w:szCs w:val="20"/>
              </w:rPr>
            </w:pPr>
            <w:r w:rsidRPr="00650EC8">
              <w:rPr>
                <w:b/>
                <w:sz w:val="20"/>
                <w:lang w:val="fr-CA"/>
              </w:rPr>
              <w:t>35201</w:t>
            </w:r>
          </w:p>
          <w:p w:rsidR="00650EC8" w:rsidRPr="00650EC8" w:rsidRDefault="00650EC8" w:rsidP="00650EC8">
            <w:pPr>
              <w:rPr>
                <w:b/>
                <w:sz w:val="20"/>
                <w:szCs w:val="20"/>
                <w:lang w:val="fr-CA"/>
              </w:rPr>
            </w:pPr>
          </w:p>
        </w:tc>
        <w:tc>
          <w:tcPr>
            <w:tcW w:w="8118" w:type="dxa"/>
          </w:tcPr>
          <w:p w:rsidR="00650EC8" w:rsidRPr="00650EC8" w:rsidRDefault="00650EC8" w:rsidP="00650EC8">
            <w:pPr>
              <w:rPr>
                <w:sz w:val="20"/>
                <w:szCs w:val="20"/>
              </w:rPr>
            </w:pPr>
            <w:r w:rsidRPr="00650EC8">
              <w:rPr>
                <w:b/>
                <w:sz w:val="20"/>
                <w:u w:val="single"/>
              </w:rPr>
              <w:t>Loyola High School</w:t>
            </w:r>
            <w:r w:rsidR="00DC57A6">
              <w:rPr>
                <w:b/>
                <w:sz w:val="20"/>
                <w:u w:val="single"/>
              </w:rPr>
              <w:t xml:space="preserve"> and</w:t>
            </w:r>
            <w:r w:rsidRPr="00650EC8">
              <w:rPr>
                <w:b/>
                <w:sz w:val="20"/>
                <w:u w:val="single"/>
              </w:rPr>
              <w:t xml:space="preserve"> John Zucchi v. Attorney General of Quebec</w:t>
            </w:r>
            <w:r w:rsidRPr="00650EC8">
              <w:rPr>
                <w:sz w:val="20"/>
                <w:szCs w:val="20"/>
              </w:rPr>
              <w:t xml:space="preserve"> (Que.) (Civil) (By Leave)</w:t>
            </w:r>
          </w:p>
          <w:p w:rsidR="00650EC8" w:rsidRPr="00650EC8" w:rsidRDefault="00650EC8" w:rsidP="00650EC8">
            <w:pPr>
              <w:rPr>
                <w:sz w:val="20"/>
                <w:szCs w:val="20"/>
              </w:rPr>
            </w:pPr>
          </w:p>
        </w:tc>
      </w:tr>
      <w:tr w:rsidR="00650EC8" w:rsidRPr="00650EC8" w:rsidTr="00A61B52">
        <w:trPr>
          <w:cantSplit/>
        </w:trPr>
        <w:tc>
          <w:tcPr>
            <w:tcW w:w="1458" w:type="dxa"/>
          </w:tcPr>
          <w:p w:rsidR="00650EC8" w:rsidRPr="00650EC8" w:rsidRDefault="00650EC8" w:rsidP="00650EC8">
            <w:pPr>
              <w:rPr>
                <w:sz w:val="20"/>
                <w:szCs w:val="20"/>
              </w:rPr>
            </w:pPr>
            <w:r w:rsidRPr="00650EC8">
              <w:rPr>
                <w:sz w:val="20"/>
                <w:szCs w:val="20"/>
              </w:rPr>
              <w:t>Coram :</w:t>
            </w:r>
          </w:p>
        </w:tc>
        <w:tc>
          <w:tcPr>
            <w:tcW w:w="8118" w:type="dxa"/>
          </w:tcPr>
          <w:p w:rsidR="00650EC8" w:rsidRPr="00650EC8" w:rsidRDefault="00650EC8" w:rsidP="00650EC8">
            <w:pPr>
              <w:rPr>
                <w:sz w:val="20"/>
                <w:szCs w:val="20"/>
              </w:rPr>
            </w:pPr>
            <w:r w:rsidRPr="00650EC8">
              <w:rPr>
                <w:sz w:val="20"/>
                <w:u w:val="single"/>
              </w:rPr>
              <w:t>McLachlin C.J. and Abella and Cromwell JJ.</w:t>
            </w:r>
          </w:p>
          <w:p w:rsidR="00650EC8" w:rsidRPr="00650EC8" w:rsidRDefault="00650EC8" w:rsidP="00650EC8">
            <w:pPr>
              <w:rPr>
                <w:sz w:val="20"/>
                <w:szCs w:val="20"/>
                <w:u w:val="single"/>
              </w:rPr>
            </w:pPr>
          </w:p>
        </w:tc>
      </w:tr>
      <w:tr w:rsidR="00650EC8" w:rsidRPr="00D41BFD" w:rsidTr="00A61B52">
        <w:trPr>
          <w:cantSplit/>
        </w:trPr>
        <w:tc>
          <w:tcPr>
            <w:tcW w:w="9576" w:type="dxa"/>
            <w:gridSpan w:val="2"/>
          </w:tcPr>
          <w:p w:rsidR="00650EC8" w:rsidRPr="00650EC8" w:rsidRDefault="00650EC8" w:rsidP="00650EC8">
            <w:pPr>
              <w:ind w:firstLine="720"/>
              <w:jc w:val="both"/>
              <w:rPr>
                <w:sz w:val="20"/>
                <w:szCs w:val="20"/>
              </w:rPr>
            </w:pPr>
            <w:r w:rsidRPr="00650EC8">
              <w:rPr>
                <w:sz w:val="20"/>
                <w:szCs w:val="20"/>
              </w:rPr>
              <w:t>The application for leave to appeal from the judgment of the Court of Appeal of Quebec (Montréal), Number 500-09-020854-105, 2012 QCCA 2139, dated December 4, 2012, is granted with costs in the cause.</w:t>
            </w:r>
          </w:p>
          <w:p w:rsidR="00650EC8" w:rsidRPr="00650EC8" w:rsidRDefault="00650EC8" w:rsidP="00650EC8">
            <w:pPr>
              <w:jc w:val="both"/>
              <w:rPr>
                <w:sz w:val="20"/>
                <w:szCs w:val="20"/>
              </w:rPr>
            </w:pPr>
          </w:p>
          <w:p w:rsidR="00650EC8" w:rsidRPr="00650EC8" w:rsidRDefault="00650EC8" w:rsidP="00650EC8">
            <w:pPr>
              <w:ind w:firstLine="720"/>
              <w:jc w:val="both"/>
              <w:rPr>
                <w:sz w:val="20"/>
                <w:szCs w:val="20"/>
                <w:lang w:val="fr-CA"/>
              </w:rPr>
            </w:pPr>
            <w:r w:rsidRPr="00650EC8">
              <w:rPr>
                <w:sz w:val="20"/>
                <w:szCs w:val="20"/>
                <w:lang w:val="fr-CA"/>
              </w:rPr>
              <w:t>La demande d’autorisation d’appel de l’arrêt de la Cour d’appel du Québec (Montréal), numéro 500-09-020854-105, 2012 QCCA 2139, daté du 4 décembre 2012, est accueillie avec dépens suivant l’issue de la cause.</w:t>
            </w:r>
          </w:p>
        </w:tc>
      </w:tr>
    </w:tbl>
    <w:p w:rsidR="00AA605C" w:rsidRPr="00650EC8" w:rsidRDefault="00AA605C" w:rsidP="00AA605C">
      <w:pPr>
        <w:rPr>
          <w:sz w:val="20"/>
          <w:szCs w:val="20"/>
          <w:lang w:val="fr-CA"/>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415AB" w:rsidRPr="00667307" w:rsidTr="00A0505A">
        <w:tc>
          <w:tcPr>
            <w:tcW w:w="5000" w:type="pct"/>
            <w:gridSpan w:val="3"/>
          </w:tcPr>
          <w:p w:rsidR="00C415AB" w:rsidRPr="00667307" w:rsidRDefault="00C415AB" w:rsidP="00A0505A">
            <w:pPr>
              <w:jc w:val="both"/>
              <w:rPr>
                <w:rFonts w:eastAsia="Calibri"/>
                <w:sz w:val="20"/>
              </w:rPr>
            </w:pPr>
            <w:r w:rsidRPr="00667307">
              <w:rPr>
                <w:rFonts w:eastAsia="Calibri"/>
                <w:i/>
                <w:sz w:val="20"/>
              </w:rPr>
              <w:t>Canadian Charter of Rights and Freedoms</w:t>
            </w:r>
            <w:r w:rsidRPr="00667307">
              <w:rPr>
                <w:rFonts w:eastAsia="Calibri"/>
                <w:sz w:val="20"/>
              </w:rPr>
              <w:t xml:space="preserve"> – </w:t>
            </w:r>
            <w:r w:rsidRPr="00667307">
              <w:rPr>
                <w:rFonts w:eastAsia="Calibri"/>
                <w:i/>
                <w:sz w:val="20"/>
              </w:rPr>
              <w:t>Charter of Human Rights and Freedoms</w:t>
            </w:r>
            <w:r w:rsidRPr="00667307">
              <w:rPr>
                <w:rFonts w:eastAsia="Calibri"/>
                <w:sz w:val="20"/>
              </w:rPr>
              <w:t xml:space="preserve"> of Québec – Freedom of conscience and religion – Mandatory ethics and religious culture (“ERC”) program – Catholic school invoking freedom of conscience and religion in support of request for exemption and right to teach ERC subject using its own program – Request for exemption denied by Minister – Whether the Court of Appeal erred in holding that the Minister’s decision was defensible on the applicable standard of review – Whether the Court of Appeal erred in failing to decide that the Applicant, as a religious educational institution, enjoys the fundamental right of freedom of religion entrenched in s. 2a) of the </w:t>
            </w:r>
            <w:r w:rsidRPr="00667307">
              <w:rPr>
                <w:rFonts w:eastAsia="Calibri"/>
                <w:i/>
                <w:sz w:val="20"/>
              </w:rPr>
              <w:t>Canadian Charter of Rights and Freedoms</w:t>
            </w:r>
            <w:r w:rsidRPr="00667307">
              <w:rPr>
                <w:rFonts w:eastAsia="Calibri"/>
                <w:sz w:val="20"/>
              </w:rPr>
              <w:t xml:space="preserve"> and s. 3 of the </w:t>
            </w:r>
            <w:r w:rsidRPr="00667307">
              <w:rPr>
                <w:rFonts w:eastAsia="Calibri"/>
                <w:i/>
                <w:sz w:val="20"/>
              </w:rPr>
              <w:t>Charter of Human Rights and Freedoms</w:t>
            </w:r>
            <w:r w:rsidRPr="00667307">
              <w:rPr>
                <w:rFonts w:eastAsia="Calibri"/>
                <w:sz w:val="20"/>
              </w:rPr>
              <w:t xml:space="preserve"> of Québec – Whether the Court of Appeal erred in holding that, on the substantive issue of freedom of religion, the Applicant’s freedom of religion had not been violated by the Minister’s decision.</w:t>
            </w:r>
          </w:p>
        </w:tc>
      </w:tr>
      <w:tr w:rsidR="00C415AB" w:rsidRPr="00667307" w:rsidTr="00A0505A">
        <w:tc>
          <w:tcPr>
            <w:tcW w:w="5000" w:type="pct"/>
            <w:gridSpan w:val="3"/>
          </w:tcPr>
          <w:p w:rsidR="00C415AB" w:rsidRPr="00667307" w:rsidRDefault="00C415AB" w:rsidP="00A0505A">
            <w:pPr>
              <w:jc w:val="both"/>
              <w:rPr>
                <w:rFonts w:eastAsia="Calibri"/>
                <w:sz w:val="20"/>
              </w:rPr>
            </w:pPr>
          </w:p>
        </w:tc>
      </w:tr>
      <w:tr w:rsidR="00C415AB" w:rsidRPr="00667307" w:rsidTr="00A0505A">
        <w:tc>
          <w:tcPr>
            <w:tcW w:w="5000" w:type="pct"/>
            <w:gridSpan w:val="3"/>
          </w:tcPr>
          <w:p w:rsidR="00C415AB" w:rsidRPr="00667307" w:rsidRDefault="00C415AB" w:rsidP="00A0505A">
            <w:pPr>
              <w:jc w:val="both"/>
              <w:rPr>
                <w:rFonts w:eastAsia="Calibri"/>
                <w:sz w:val="20"/>
              </w:rPr>
            </w:pPr>
            <w:r w:rsidRPr="00667307">
              <w:rPr>
                <w:rFonts w:eastAsia="Calibri"/>
                <w:sz w:val="20"/>
              </w:rPr>
              <w:lastRenderedPageBreak/>
              <w:t xml:space="preserve">In 2008, the ethics and religious culture (“ERC”) program became mandatory in Quebec schools, replacing Catholic and Protestant programs of religious and moral instruction.  Loyola High School (the “Applicant”), is a religious educational institution.  It requested an exemption from the ERC program in order to continue to offer its own program pursuant to section 22 of the </w:t>
            </w:r>
            <w:r w:rsidRPr="00667307">
              <w:rPr>
                <w:rFonts w:eastAsia="Calibri"/>
                <w:i/>
                <w:sz w:val="20"/>
              </w:rPr>
              <w:t>Regulation respecting the application of the Act respecting private education</w:t>
            </w:r>
            <w:r w:rsidRPr="00667307">
              <w:rPr>
                <w:rFonts w:eastAsia="Calibri"/>
                <w:sz w:val="20"/>
              </w:rPr>
              <w:t xml:space="preserve"> (R.R.Q., c. E</w:t>
            </w:r>
            <w:r w:rsidRPr="00667307">
              <w:rPr>
                <w:rFonts w:eastAsia="Calibri"/>
                <w:sz w:val="20"/>
              </w:rPr>
              <w:noBreakHyphen/>
              <w:t xml:space="preserve">9.1, r. 1).  An exemption is available where the institution dispenses programs of studies which the Minister of Education, Recreation and Sports (the “Minister”) judges equivalent.  The Minister denied the exemption on the basis that the Applicant’s program was not equivalent to the ERC program, </w:t>
            </w:r>
            <w:r w:rsidRPr="00667307">
              <w:rPr>
                <w:rFonts w:eastAsia="Calibri"/>
                <w:i/>
                <w:sz w:val="20"/>
              </w:rPr>
              <w:t>inter alia</w:t>
            </w:r>
            <w:r w:rsidRPr="00667307">
              <w:rPr>
                <w:rFonts w:eastAsia="Calibri"/>
                <w:sz w:val="20"/>
              </w:rPr>
              <w:t xml:space="preserve"> on grounds that it is faith-based as opposed to cultural in its approach.  The Applicant brought a motion for judicial review seeking to quash the Minister’s decision and requesting an exemption from the ERC program as well as the right to teach its own program.</w:t>
            </w:r>
          </w:p>
          <w:p w:rsidR="00C415AB" w:rsidRPr="00667307" w:rsidRDefault="00C415AB" w:rsidP="00A0505A">
            <w:pPr>
              <w:jc w:val="both"/>
              <w:rPr>
                <w:rFonts w:eastAsia="Calibri"/>
                <w:sz w:val="20"/>
              </w:rPr>
            </w:pPr>
          </w:p>
        </w:tc>
      </w:tr>
      <w:tr w:rsidR="00C415AB" w:rsidRPr="00667307" w:rsidTr="00A0505A">
        <w:tc>
          <w:tcPr>
            <w:tcW w:w="2427" w:type="pct"/>
          </w:tcPr>
          <w:p w:rsidR="00C415AB" w:rsidRPr="00667307" w:rsidRDefault="00C415AB" w:rsidP="00A0505A">
            <w:pPr>
              <w:jc w:val="both"/>
              <w:rPr>
                <w:rFonts w:eastAsia="Calibri"/>
                <w:sz w:val="20"/>
              </w:rPr>
            </w:pPr>
            <w:r w:rsidRPr="00667307">
              <w:rPr>
                <w:rFonts w:eastAsia="Calibri"/>
                <w:sz w:val="20"/>
              </w:rPr>
              <w:t>June 18, 2010</w:t>
            </w:r>
          </w:p>
          <w:p w:rsidR="00C415AB" w:rsidRPr="00667307" w:rsidRDefault="00C415AB" w:rsidP="00A0505A">
            <w:pPr>
              <w:jc w:val="both"/>
              <w:rPr>
                <w:rFonts w:eastAsia="Calibri"/>
                <w:sz w:val="20"/>
              </w:rPr>
            </w:pPr>
            <w:r w:rsidRPr="00667307">
              <w:rPr>
                <w:rFonts w:eastAsia="Calibri"/>
                <w:sz w:val="20"/>
              </w:rPr>
              <w:t>Superior Court of Quebec</w:t>
            </w:r>
          </w:p>
          <w:p w:rsidR="00C415AB" w:rsidRPr="00667307" w:rsidRDefault="00C415AB" w:rsidP="00A0505A">
            <w:pPr>
              <w:jc w:val="both"/>
              <w:rPr>
                <w:rFonts w:eastAsia="Calibri"/>
                <w:sz w:val="20"/>
              </w:rPr>
            </w:pPr>
            <w:r w:rsidRPr="00667307">
              <w:rPr>
                <w:rFonts w:eastAsia="Calibri"/>
                <w:sz w:val="20"/>
              </w:rPr>
              <w:t>(Dugré J.)</w:t>
            </w:r>
          </w:p>
          <w:p w:rsidR="00C415AB" w:rsidRPr="00667307" w:rsidRDefault="00C415AB" w:rsidP="00A0505A">
            <w:pPr>
              <w:jc w:val="both"/>
              <w:rPr>
                <w:rFonts w:eastAsia="Calibri"/>
                <w:sz w:val="20"/>
              </w:rPr>
            </w:pPr>
            <w:r w:rsidRPr="00667307">
              <w:rPr>
                <w:rFonts w:eastAsia="Calibri"/>
                <w:sz w:val="20"/>
              </w:rPr>
              <w:t>No. 500-17-045278-085</w:t>
            </w:r>
          </w:p>
          <w:p w:rsidR="00C415AB" w:rsidRPr="00667307" w:rsidRDefault="00C415AB" w:rsidP="00A0505A">
            <w:pPr>
              <w:jc w:val="both"/>
              <w:rPr>
                <w:rFonts w:eastAsia="Calibri"/>
                <w:sz w:val="20"/>
              </w:rPr>
            </w:pPr>
            <w:r w:rsidRPr="00667307">
              <w:rPr>
                <w:rFonts w:eastAsia="Calibri"/>
                <w:sz w:val="20"/>
              </w:rPr>
              <w:t>2010 QCCS 2631</w:t>
            </w:r>
          </w:p>
          <w:p w:rsidR="00C415AB" w:rsidRPr="00667307" w:rsidRDefault="00C415AB" w:rsidP="00A0505A">
            <w:pPr>
              <w:jc w:val="both"/>
              <w:rPr>
                <w:rFonts w:eastAsia="Calibri"/>
                <w:sz w:val="20"/>
              </w:rPr>
            </w:pPr>
          </w:p>
        </w:tc>
        <w:tc>
          <w:tcPr>
            <w:tcW w:w="243" w:type="pct"/>
          </w:tcPr>
          <w:p w:rsidR="00C415AB" w:rsidRPr="00667307" w:rsidRDefault="00C415AB" w:rsidP="00A0505A">
            <w:pPr>
              <w:jc w:val="both"/>
              <w:rPr>
                <w:rFonts w:eastAsia="Calibri"/>
                <w:sz w:val="20"/>
              </w:rPr>
            </w:pPr>
          </w:p>
        </w:tc>
        <w:tc>
          <w:tcPr>
            <w:tcW w:w="2330" w:type="pct"/>
          </w:tcPr>
          <w:p w:rsidR="00C415AB" w:rsidRPr="00667307" w:rsidRDefault="00C415AB" w:rsidP="00A0505A">
            <w:pPr>
              <w:jc w:val="both"/>
              <w:rPr>
                <w:rFonts w:eastAsia="Calibri"/>
                <w:sz w:val="20"/>
              </w:rPr>
            </w:pPr>
            <w:r w:rsidRPr="00667307">
              <w:rPr>
                <w:rFonts w:eastAsia="Calibri"/>
                <w:sz w:val="20"/>
              </w:rPr>
              <w:t>Minister’s decision quashed; Applicant declared exempt from using the ERC program established by the Minister; and Applicant authorized to teach ERC subject using its own program.</w:t>
            </w:r>
          </w:p>
          <w:p w:rsidR="00C415AB" w:rsidRPr="00667307" w:rsidRDefault="00C415AB" w:rsidP="00A0505A">
            <w:pPr>
              <w:jc w:val="both"/>
              <w:rPr>
                <w:rFonts w:eastAsia="Calibri"/>
                <w:sz w:val="20"/>
              </w:rPr>
            </w:pPr>
          </w:p>
        </w:tc>
      </w:tr>
      <w:tr w:rsidR="00C415AB" w:rsidRPr="00667307" w:rsidTr="00A0505A">
        <w:tc>
          <w:tcPr>
            <w:tcW w:w="2427" w:type="pct"/>
          </w:tcPr>
          <w:p w:rsidR="00C415AB" w:rsidRPr="00667307" w:rsidRDefault="00C415AB" w:rsidP="00A0505A">
            <w:pPr>
              <w:jc w:val="both"/>
              <w:rPr>
                <w:rFonts w:eastAsia="Calibri"/>
                <w:sz w:val="20"/>
              </w:rPr>
            </w:pPr>
            <w:r w:rsidRPr="00667307">
              <w:rPr>
                <w:rFonts w:eastAsia="Calibri"/>
                <w:sz w:val="20"/>
              </w:rPr>
              <w:t>December 4, 2012</w:t>
            </w:r>
          </w:p>
          <w:p w:rsidR="00C415AB" w:rsidRPr="00667307" w:rsidRDefault="00C415AB" w:rsidP="00A0505A">
            <w:pPr>
              <w:jc w:val="both"/>
              <w:rPr>
                <w:rFonts w:eastAsia="Calibri"/>
                <w:sz w:val="20"/>
              </w:rPr>
            </w:pPr>
            <w:r w:rsidRPr="00667307">
              <w:rPr>
                <w:rFonts w:eastAsia="Calibri"/>
                <w:sz w:val="20"/>
              </w:rPr>
              <w:t>Court of Appeal of Quebec (Montréal)</w:t>
            </w:r>
          </w:p>
          <w:p w:rsidR="00C415AB" w:rsidRPr="00667307" w:rsidRDefault="00C415AB" w:rsidP="00A0505A">
            <w:pPr>
              <w:jc w:val="both"/>
              <w:rPr>
                <w:rFonts w:eastAsia="Calibri"/>
                <w:sz w:val="20"/>
              </w:rPr>
            </w:pPr>
            <w:r w:rsidRPr="00667307">
              <w:rPr>
                <w:rFonts w:eastAsia="Calibri"/>
                <w:sz w:val="20"/>
              </w:rPr>
              <w:t>(Hilton, Wagner and Fournier JJ.A.)</w:t>
            </w:r>
          </w:p>
          <w:p w:rsidR="00C415AB" w:rsidRPr="00667307" w:rsidRDefault="00C415AB" w:rsidP="00A0505A">
            <w:pPr>
              <w:jc w:val="both"/>
              <w:rPr>
                <w:rFonts w:eastAsia="Calibri"/>
                <w:sz w:val="20"/>
              </w:rPr>
            </w:pPr>
            <w:r w:rsidRPr="00667307">
              <w:rPr>
                <w:rFonts w:eastAsia="Calibri"/>
                <w:sz w:val="20"/>
              </w:rPr>
              <w:t xml:space="preserve">No. </w:t>
            </w:r>
            <w:bookmarkStart w:id="1" w:name="NoDossier"/>
            <w:r w:rsidRPr="00667307">
              <w:rPr>
                <w:rFonts w:eastAsia="Calibri"/>
                <w:sz w:val="20"/>
              </w:rPr>
              <w:t>500-09-020854-105</w:t>
            </w:r>
            <w:bookmarkEnd w:id="1"/>
          </w:p>
          <w:p w:rsidR="00C415AB" w:rsidRPr="00667307" w:rsidRDefault="00C415AB" w:rsidP="00A0505A">
            <w:pPr>
              <w:jc w:val="both"/>
              <w:rPr>
                <w:rFonts w:eastAsia="Calibri"/>
                <w:sz w:val="20"/>
              </w:rPr>
            </w:pPr>
            <w:r w:rsidRPr="00667307">
              <w:rPr>
                <w:rFonts w:eastAsia="Calibri"/>
                <w:sz w:val="20"/>
              </w:rPr>
              <w:t>2012 QCCA 2139</w:t>
            </w:r>
          </w:p>
          <w:p w:rsidR="00C415AB" w:rsidRPr="00667307" w:rsidRDefault="00C415AB" w:rsidP="00A0505A">
            <w:pPr>
              <w:jc w:val="both"/>
              <w:rPr>
                <w:rFonts w:eastAsia="Calibri"/>
                <w:sz w:val="20"/>
              </w:rPr>
            </w:pPr>
          </w:p>
        </w:tc>
        <w:tc>
          <w:tcPr>
            <w:tcW w:w="243" w:type="pct"/>
          </w:tcPr>
          <w:p w:rsidR="00C415AB" w:rsidRPr="00667307" w:rsidRDefault="00C415AB" w:rsidP="00A0505A">
            <w:pPr>
              <w:jc w:val="both"/>
              <w:rPr>
                <w:rFonts w:eastAsia="Calibri"/>
                <w:sz w:val="20"/>
              </w:rPr>
            </w:pPr>
          </w:p>
        </w:tc>
        <w:tc>
          <w:tcPr>
            <w:tcW w:w="2330" w:type="pct"/>
          </w:tcPr>
          <w:p w:rsidR="00C415AB" w:rsidRPr="00667307" w:rsidRDefault="00C415AB" w:rsidP="00A0505A">
            <w:pPr>
              <w:jc w:val="both"/>
              <w:rPr>
                <w:rFonts w:eastAsia="Calibri"/>
                <w:sz w:val="20"/>
              </w:rPr>
            </w:pPr>
            <w:r w:rsidRPr="00667307">
              <w:rPr>
                <w:rFonts w:eastAsia="Calibri"/>
                <w:sz w:val="20"/>
              </w:rPr>
              <w:t>Appeal allowed and Minister’s decision confirmed.</w:t>
            </w:r>
          </w:p>
          <w:p w:rsidR="00C415AB" w:rsidRPr="00667307" w:rsidRDefault="00C415AB" w:rsidP="00A0505A">
            <w:pPr>
              <w:jc w:val="both"/>
              <w:rPr>
                <w:rFonts w:eastAsia="Calibri"/>
                <w:sz w:val="20"/>
              </w:rPr>
            </w:pPr>
          </w:p>
        </w:tc>
      </w:tr>
      <w:tr w:rsidR="00C415AB" w:rsidRPr="00667307" w:rsidTr="00A0505A">
        <w:tc>
          <w:tcPr>
            <w:tcW w:w="2427" w:type="pct"/>
          </w:tcPr>
          <w:p w:rsidR="00C415AB" w:rsidRPr="00667307" w:rsidRDefault="00C415AB" w:rsidP="00A0505A">
            <w:pPr>
              <w:jc w:val="both"/>
              <w:rPr>
                <w:rFonts w:eastAsia="Calibri"/>
                <w:sz w:val="20"/>
              </w:rPr>
            </w:pPr>
            <w:r w:rsidRPr="00667307">
              <w:rPr>
                <w:rFonts w:eastAsia="Calibri"/>
                <w:sz w:val="20"/>
              </w:rPr>
              <w:t>February 1, 2013</w:t>
            </w:r>
          </w:p>
          <w:p w:rsidR="00C415AB" w:rsidRPr="00667307" w:rsidRDefault="00C415AB" w:rsidP="00A0505A">
            <w:pPr>
              <w:jc w:val="both"/>
              <w:rPr>
                <w:rFonts w:eastAsia="Calibri"/>
                <w:sz w:val="20"/>
              </w:rPr>
            </w:pPr>
            <w:r w:rsidRPr="00667307">
              <w:rPr>
                <w:rFonts w:eastAsia="Calibri"/>
                <w:sz w:val="20"/>
              </w:rPr>
              <w:t>Supreme Court of Canada</w:t>
            </w:r>
          </w:p>
        </w:tc>
        <w:tc>
          <w:tcPr>
            <w:tcW w:w="243" w:type="pct"/>
          </w:tcPr>
          <w:p w:rsidR="00C415AB" w:rsidRPr="00667307" w:rsidRDefault="00C415AB" w:rsidP="00A0505A">
            <w:pPr>
              <w:jc w:val="both"/>
              <w:rPr>
                <w:rFonts w:eastAsia="Calibri"/>
                <w:sz w:val="20"/>
              </w:rPr>
            </w:pPr>
          </w:p>
        </w:tc>
        <w:tc>
          <w:tcPr>
            <w:tcW w:w="2330" w:type="pct"/>
          </w:tcPr>
          <w:p w:rsidR="00C415AB" w:rsidRPr="00667307" w:rsidRDefault="00C415AB" w:rsidP="00A0505A">
            <w:pPr>
              <w:jc w:val="both"/>
              <w:rPr>
                <w:rFonts w:eastAsia="Calibri"/>
                <w:sz w:val="20"/>
              </w:rPr>
            </w:pPr>
            <w:r w:rsidRPr="00667307">
              <w:rPr>
                <w:rFonts w:eastAsia="Calibri"/>
                <w:sz w:val="20"/>
              </w:rPr>
              <w:t>Application for leave to appeal filed.</w:t>
            </w: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52"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415AB" w:rsidRPr="00D41BFD" w:rsidTr="00A0505A">
        <w:tc>
          <w:tcPr>
            <w:tcW w:w="5000" w:type="pct"/>
            <w:gridSpan w:val="3"/>
          </w:tcPr>
          <w:p w:rsidR="00C415AB" w:rsidRPr="00667307" w:rsidRDefault="00C415AB" w:rsidP="00A0505A">
            <w:pPr>
              <w:jc w:val="both"/>
              <w:rPr>
                <w:rFonts w:eastAsia="Calibri"/>
                <w:sz w:val="20"/>
                <w:lang w:val="fr-FR"/>
              </w:rPr>
            </w:pPr>
            <w:r w:rsidRPr="00667307">
              <w:rPr>
                <w:rFonts w:eastAsia="Calibri"/>
                <w:i/>
                <w:sz w:val="20"/>
                <w:lang w:val="fr-FR"/>
              </w:rPr>
              <w:t>Charte canadienne des droits et libertés</w:t>
            </w:r>
            <w:r w:rsidRPr="00667307">
              <w:rPr>
                <w:rFonts w:eastAsia="Calibri"/>
                <w:sz w:val="20"/>
                <w:lang w:val="fr-FR"/>
              </w:rPr>
              <w:t xml:space="preserve"> – </w:t>
            </w:r>
            <w:r w:rsidRPr="00667307">
              <w:rPr>
                <w:rFonts w:eastAsia="Calibri"/>
                <w:i/>
                <w:sz w:val="20"/>
                <w:lang w:val="fr-FR"/>
              </w:rPr>
              <w:t xml:space="preserve">Charte des droits et libertés de la personne </w:t>
            </w:r>
            <w:r w:rsidRPr="00667307">
              <w:rPr>
                <w:rFonts w:eastAsia="Calibri"/>
                <w:sz w:val="20"/>
                <w:lang w:val="fr-FR"/>
              </w:rPr>
              <w:t>du Québec</w:t>
            </w:r>
            <w:r w:rsidRPr="00667307">
              <w:rPr>
                <w:rFonts w:eastAsia="Calibri"/>
                <w:i/>
                <w:sz w:val="20"/>
                <w:lang w:val="fr-FR"/>
              </w:rPr>
              <w:t xml:space="preserve"> </w:t>
            </w:r>
            <w:r w:rsidRPr="00667307">
              <w:rPr>
                <w:rFonts w:eastAsia="Calibri"/>
                <w:sz w:val="20"/>
                <w:lang w:val="fr-FR"/>
              </w:rPr>
              <w:t>– Liberté de conscience et de religion – Programme obligatoire d’éthique et de culture religieuse (« ÉCR ») – Liberté de conscience et de religion invoquée par une école catholique à l’appui de sa demande d’exemption et de son droit d’enseigner l’ÉCR au moyen de son propre programme – Demande d’exemption refusée par la ministre de l’Éducation, du Loisir et du Sport (la « Ministre ») – La Cour d’appel a-t-elle commis une erreur en concluant que la décision de la Ministre était défendable au regard de la norme de contrôle applicable? – La Cour d’appel a-t-elle fait erreur en ne décidant pas que la demanderesse, en tant qu’établissement d’enseignement, jouit du droit fondamental à la liberté de religion enchâssée à l’al. 2</w:t>
            </w:r>
            <w:r w:rsidRPr="00667307">
              <w:rPr>
                <w:rFonts w:eastAsia="Calibri"/>
                <w:i/>
                <w:sz w:val="20"/>
                <w:lang w:val="fr-FR"/>
              </w:rPr>
              <w:t>a</w:t>
            </w:r>
            <w:r w:rsidRPr="00667307">
              <w:rPr>
                <w:rFonts w:eastAsia="Calibri"/>
                <w:sz w:val="20"/>
                <w:lang w:val="fr-FR"/>
              </w:rPr>
              <w:t xml:space="preserve">) de la </w:t>
            </w:r>
            <w:r w:rsidRPr="00667307">
              <w:rPr>
                <w:rFonts w:eastAsia="Calibri"/>
                <w:i/>
                <w:sz w:val="20"/>
                <w:lang w:val="fr-FR"/>
              </w:rPr>
              <w:t>Charte canadienne des droits et libertés</w:t>
            </w:r>
            <w:r w:rsidRPr="00667307">
              <w:rPr>
                <w:rFonts w:eastAsia="Calibri"/>
                <w:sz w:val="20"/>
                <w:lang w:val="fr-FR"/>
              </w:rPr>
              <w:t xml:space="preserve"> et à l’art. 3 de la </w:t>
            </w:r>
            <w:r w:rsidRPr="00667307">
              <w:rPr>
                <w:rFonts w:eastAsia="Calibri"/>
                <w:i/>
                <w:sz w:val="20"/>
                <w:lang w:val="fr-FR"/>
              </w:rPr>
              <w:t xml:space="preserve">Charte des droits et libertés de la personne </w:t>
            </w:r>
            <w:r w:rsidRPr="00667307">
              <w:rPr>
                <w:rFonts w:eastAsia="Calibri"/>
                <w:sz w:val="20"/>
                <w:lang w:val="fr-FR"/>
              </w:rPr>
              <w:t xml:space="preserve">du Québec? – La Cour d’appel a-t-elle conclu à tort sur le fond que la décision de la Ministre n’avait pas porté atteinte à la liberté de religion de la demanderesse? </w:t>
            </w:r>
          </w:p>
        </w:tc>
      </w:tr>
      <w:tr w:rsidR="00C415AB" w:rsidRPr="00D41BFD" w:rsidTr="00A0505A">
        <w:tc>
          <w:tcPr>
            <w:tcW w:w="5000" w:type="pct"/>
            <w:gridSpan w:val="3"/>
          </w:tcPr>
          <w:p w:rsidR="00C415AB" w:rsidRPr="00667307" w:rsidRDefault="00C415AB" w:rsidP="00A0505A">
            <w:pPr>
              <w:jc w:val="both"/>
              <w:rPr>
                <w:rFonts w:eastAsia="Calibri"/>
                <w:sz w:val="20"/>
                <w:lang w:val="fr-FR"/>
              </w:rPr>
            </w:pPr>
          </w:p>
        </w:tc>
      </w:tr>
      <w:tr w:rsidR="00C415AB" w:rsidRPr="00D41BFD" w:rsidTr="00A0505A">
        <w:tc>
          <w:tcPr>
            <w:tcW w:w="5000" w:type="pct"/>
            <w:gridSpan w:val="3"/>
          </w:tcPr>
          <w:p w:rsidR="00C415AB" w:rsidRPr="00667307" w:rsidRDefault="00C415AB" w:rsidP="00A0505A">
            <w:pPr>
              <w:jc w:val="both"/>
              <w:rPr>
                <w:rFonts w:eastAsia="Calibri"/>
                <w:sz w:val="20"/>
                <w:lang w:val="fr-FR"/>
              </w:rPr>
            </w:pPr>
            <w:r w:rsidRPr="00667307">
              <w:rPr>
                <w:rFonts w:eastAsia="Calibri"/>
                <w:sz w:val="20"/>
                <w:lang w:val="fr-FR"/>
              </w:rPr>
              <w:t xml:space="preserve">Le programme d’ÉCR est devenu obligatoire dans les écoles québécoises en 2008 et a remplacé les programmes d’enseignement religieux et moral catholique et protestant.  Loyola High School (la « demanderesse ») est un </w:t>
            </w:r>
            <w:bookmarkStart w:id="2" w:name="OLE_LINK1"/>
            <w:bookmarkStart w:id="3" w:name="OLE_LINK2"/>
            <w:r w:rsidRPr="00667307">
              <w:rPr>
                <w:rFonts w:eastAsia="Calibri"/>
                <w:sz w:val="20"/>
                <w:lang w:val="fr-FR"/>
              </w:rPr>
              <w:t xml:space="preserve">établissement d’enseignement confessionnel </w:t>
            </w:r>
            <w:bookmarkEnd w:id="2"/>
            <w:bookmarkEnd w:id="3"/>
            <w:r w:rsidRPr="00667307">
              <w:rPr>
                <w:rFonts w:eastAsia="Calibri"/>
                <w:sz w:val="20"/>
                <w:lang w:val="fr-FR"/>
              </w:rPr>
              <w:t xml:space="preserve">qui a demandé à être exempté du programme d’ÉCR pour continuer d’offrir son propre programme conformément à l’article 22 du </w:t>
            </w:r>
            <w:r w:rsidRPr="00667307">
              <w:rPr>
                <w:rFonts w:eastAsia="Calibri"/>
                <w:i/>
                <w:sz w:val="20"/>
                <w:lang w:val="fr-FR"/>
              </w:rPr>
              <w:t>Règlement d’application</w:t>
            </w:r>
            <w:r w:rsidRPr="00667307">
              <w:rPr>
                <w:rFonts w:eastAsia="Calibri"/>
                <w:sz w:val="20"/>
                <w:lang w:val="fr-FR"/>
              </w:rPr>
              <w:t xml:space="preserve"> </w:t>
            </w:r>
            <w:r w:rsidRPr="00667307">
              <w:rPr>
                <w:rFonts w:eastAsia="Calibri"/>
                <w:i/>
                <w:sz w:val="20"/>
                <w:lang w:val="fr-FR"/>
              </w:rPr>
              <w:t xml:space="preserve">de la Loi sur l’enseignement privé </w:t>
            </w:r>
            <w:r w:rsidRPr="00667307">
              <w:rPr>
                <w:rFonts w:eastAsia="Calibri"/>
                <w:sz w:val="20"/>
                <w:lang w:val="fr-FR"/>
              </w:rPr>
              <w:t>(R.R.Q., ch. </w:t>
            </w:r>
            <w:r w:rsidRPr="00667307">
              <w:rPr>
                <w:rFonts w:eastAsia="Calibri"/>
                <w:sz w:val="20"/>
                <w:lang w:val="fr-CA"/>
              </w:rPr>
              <w:t>E</w:t>
            </w:r>
            <w:r w:rsidRPr="00667307">
              <w:rPr>
                <w:rFonts w:eastAsia="Calibri"/>
                <w:sz w:val="20"/>
                <w:lang w:val="fr-CA"/>
              </w:rPr>
              <w:noBreakHyphen/>
              <w:t xml:space="preserve">9.1, r. 1).  </w:t>
            </w:r>
            <w:r w:rsidRPr="00667307">
              <w:rPr>
                <w:rFonts w:eastAsia="Calibri"/>
                <w:sz w:val="20"/>
                <w:lang w:val="fr-FR"/>
              </w:rPr>
              <w:t xml:space="preserve">Une exemption peut être accordée à l’établissement offrant des programmes d’études jugés équivalents par la Ministre.  Cette dernière a refusé l’exemption au motif que le programme de la demanderesse n’était pas équivalent au programme d’ÉCR, entre autres parce que le programme en question repose sur une démarche confessionnelle plutôt que culturelle.  La demanderesse a déposé une requête en contrôle judiciaire visant à faire annuler la décision de la Ministre et sollicitant une exemption du programme d’ÉCR ainsi que le droit d’enseigner son propre programme. </w:t>
            </w:r>
          </w:p>
          <w:p w:rsidR="00C415AB" w:rsidRPr="00667307" w:rsidRDefault="00C415AB" w:rsidP="00A0505A">
            <w:pPr>
              <w:jc w:val="both"/>
              <w:rPr>
                <w:rFonts w:eastAsia="Calibri"/>
                <w:sz w:val="20"/>
                <w:lang w:val="fr-FR"/>
              </w:rPr>
            </w:pPr>
          </w:p>
        </w:tc>
      </w:tr>
      <w:tr w:rsidR="00C415AB" w:rsidRPr="00D41BFD" w:rsidTr="00A0505A">
        <w:tc>
          <w:tcPr>
            <w:tcW w:w="2427" w:type="pct"/>
          </w:tcPr>
          <w:p w:rsidR="00C415AB" w:rsidRPr="00667307" w:rsidRDefault="00C415AB" w:rsidP="00A0505A">
            <w:pPr>
              <w:jc w:val="both"/>
              <w:rPr>
                <w:rFonts w:eastAsia="Calibri"/>
                <w:sz w:val="20"/>
                <w:lang w:val="fr-CA"/>
              </w:rPr>
            </w:pPr>
            <w:r w:rsidRPr="00667307">
              <w:rPr>
                <w:rFonts w:eastAsia="Calibri"/>
                <w:sz w:val="20"/>
                <w:lang w:val="fr-CA"/>
              </w:rPr>
              <w:lastRenderedPageBreak/>
              <w:t>18 juin 2010</w:t>
            </w:r>
          </w:p>
          <w:p w:rsidR="00C415AB" w:rsidRPr="00667307" w:rsidRDefault="00C415AB" w:rsidP="00A0505A">
            <w:pPr>
              <w:jc w:val="both"/>
              <w:rPr>
                <w:rFonts w:eastAsia="Calibri"/>
                <w:sz w:val="20"/>
                <w:lang w:val="fr-CA"/>
              </w:rPr>
            </w:pPr>
            <w:r w:rsidRPr="00667307">
              <w:rPr>
                <w:rFonts w:eastAsia="Calibri"/>
                <w:sz w:val="20"/>
                <w:lang w:val="fr-CA"/>
              </w:rPr>
              <w:t>Cour supérieure du Québec</w:t>
            </w:r>
          </w:p>
          <w:p w:rsidR="00C415AB" w:rsidRPr="00667307" w:rsidRDefault="00C415AB" w:rsidP="00A0505A">
            <w:pPr>
              <w:jc w:val="both"/>
              <w:rPr>
                <w:rFonts w:eastAsia="Calibri"/>
                <w:sz w:val="20"/>
                <w:lang w:val="fr-CA"/>
              </w:rPr>
            </w:pPr>
            <w:r w:rsidRPr="00667307">
              <w:rPr>
                <w:rFonts w:eastAsia="Calibri"/>
                <w:sz w:val="20"/>
                <w:lang w:val="fr-CA"/>
              </w:rPr>
              <w:t>(Juge Dugré)</w:t>
            </w:r>
          </w:p>
          <w:p w:rsidR="00C415AB" w:rsidRPr="00667307" w:rsidRDefault="00C415AB" w:rsidP="00A0505A">
            <w:pPr>
              <w:jc w:val="both"/>
              <w:rPr>
                <w:rFonts w:eastAsia="Calibri"/>
                <w:sz w:val="20"/>
              </w:rPr>
            </w:pPr>
            <w:r w:rsidRPr="00667307">
              <w:rPr>
                <w:rFonts w:eastAsia="Calibri"/>
                <w:sz w:val="20"/>
              </w:rPr>
              <w:t>N</w:t>
            </w:r>
            <w:r w:rsidRPr="00667307">
              <w:rPr>
                <w:rFonts w:eastAsia="Calibri"/>
                <w:sz w:val="20"/>
                <w:vertAlign w:val="superscript"/>
              </w:rPr>
              <w:t>o</w:t>
            </w:r>
            <w:r w:rsidRPr="00667307">
              <w:rPr>
                <w:rFonts w:eastAsia="Calibri"/>
                <w:sz w:val="20"/>
              </w:rPr>
              <w:t xml:space="preserve"> 500-17-045278-085</w:t>
            </w:r>
          </w:p>
          <w:p w:rsidR="00C415AB" w:rsidRPr="00667307" w:rsidRDefault="00C415AB" w:rsidP="00A0505A">
            <w:pPr>
              <w:jc w:val="both"/>
              <w:rPr>
                <w:rFonts w:eastAsia="Calibri"/>
                <w:sz w:val="20"/>
              </w:rPr>
            </w:pPr>
            <w:r w:rsidRPr="00667307">
              <w:rPr>
                <w:rFonts w:eastAsia="Calibri"/>
                <w:sz w:val="20"/>
              </w:rPr>
              <w:t>2010 QCCS 2631</w:t>
            </w:r>
          </w:p>
          <w:p w:rsidR="00C415AB" w:rsidRPr="00667307" w:rsidRDefault="00C415AB" w:rsidP="00A0505A">
            <w:pPr>
              <w:jc w:val="both"/>
              <w:rPr>
                <w:rFonts w:eastAsia="Calibri"/>
                <w:sz w:val="20"/>
              </w:rPr>
            </w:pPr>
          </w:p>
        </w:tc>
        <w:tc>
          <w:tcPr>
            <w:tcW w:w="243" w:type="pct"/>
          </w:tcPr>
          <w:p w:rsidR="00C415AB" w:rsidRPr="00667307" w:rsidRDefault="00C415AB" w:rsidP="00A0505A">
            <w:pPr>
              <w:jc w:val="both"/>
              <w:rPr>
                <w:rFonts w:eastAsia="Calibri"/>
                <w:sz w:val="20"/>
              </w:rPr>
            </w:pPr>
          </w:p>
        </w:tc>
        <w:tc>
          <w:tcPr>
            <w:tcW w:w="2330" w:type="pct"/>
          </w:tcPr>
          <w:p w:rsidR="00C415AB" w:rsidRPr="00667307" w:rsidRDefault="00C415AB" w:rsidP="00A0505A">
            <w:pPr>
              <w:jc w:val="both"/>
              <w:rPr>
                <w:rFonts w:eastAsia="Calibri"/>
                <w:sz w:val="20"/>
                <w:lang w:val="fr-FR"/>
              </w:rPr>
            </w:pPr>
            <w:r w:rsidRPr="00667307">
              <w:rPr>
                <w:rFonts w:eastAsia="Calibri"/>
                <w:sz w:val="20"/>
                <w:lang w:val="fr-FR"/>
              </w:rPr>
              <w:t xml:space="preserve">Décision de la Ministre annulée; demanderesse exemptée d’utiliser le programme d’ÉCR établi par la Ministre et autorisée à enseigner l’ÉCR au moyen de son propre programme. </w:t>
            </w:r>
          </w:p>
          <w:p w:rsidR="00C415AB" w:rsidRPr="00667307" w:rsidRDefault="00C415AB" w:rsidP="00A0505A">
            <w:pPr>
              <w:jc w:val="both"/>
              <w:rPr>
                <w:rFonts w:eastAsia="Calibri"/>
                <w:sz w:val="20"/>
                <w:lang w:val="fr-FR"/>
              </w:rPr>
            </w:pPr>
          </w:p>
        </w:tc>
      </w:tr>
      <w:tr w:rsidR="00C415AB" w:rsidRPr="00D41BFD" w:rsidTr="00A0505A">
        <w:tc>
          <w:tcPr>
            <w:tcW w:w="2427" w:type="pct"/>
          </w:tcPr>
          <w:p w:rsidR="00C415AB" w:rsidRPr="00667307" w:rsidRDefault="00C415AB" w:rsidP="00A0505A">
            <w:pPr>
              <w:jc w:val="both"/>
              <w:rPr>
                <w:rFonts w:eastAsia="Calibri"/>
                <w:sz w:val="20"/>
                <w:lang w:val="fr-FR"/>
              </w:rPr>
            </w:pPr>
            <w:r w:rsidRPr="00667307">
              <w:rPr>
                <w:rFonts w:eastAsia="Calibri"/>
                <w:sz w:val="20"/>
                <w:lang w:val="fr-FR"/>
              </w:rPr>
              <w:t>4 décembre 2012</w:t>
            </w:r>
          </w:p>
          <w:p w:rsidR="00C415AB" w:rsidRPr="00667307" w:rsidRDefault="00C415AB" w:rsidP="00A0505A">
            <w:pPr>
              <w:jc w:val="both"/>
              <w:rPr>
                <w:rFonts w:eastAsia="Calibri"/>
                <w:sz w:val="20"/>
                <w:lang w:val="fr-FR"/>
              </w:rPr>
            </w:pPr>
            <w:r w:rsidRPr="00667307">
              <w:rPr>
                <w:rFonts w:eastAsia="Calibri"/>
                <w:sz w:val="20"/>
                <w:lang w:val="fr-FR"/>
              </w:rPr>
              <w:t>Cour d’appel du Québec (Montréal)</w:t>
            </w:r>
          </w:p>
          <w:p w:rsidR="00C415AB" w:rsidRPr="00667307" w:rsidRDefault="00C415AB" w:rsidP="00A0505A">
            <w:pPr>
              <w:jc w:val="both"/>
              <w:rPr>
                <w:rFonts w:eastAsia="Calibri"/>
                <w:sz w:val="20"/>
                <w:lang w:val="fr-FR"/>
              </w:rPr>
            </w:pPr>
            <w:r w:rsidRPr="00667307">
              <w:rPr>
                <w:rFonts w:eastAsia="Calibri"/>
                <w:sz w:val="20"/>
                <w:lang w:val="fr-FR"/>
              </w:rPr>
              <w:t>(Juges Hilton, Wagner et Fournier)</w:t>
            </w:r>
          </w:p>
          <w:p w:rsidR="00C415AB" w:rsidRPr="00667307" w:rsidRDefault="00C415AB" w:rsidP="00A0505A">
            <w:pPr>
              <w:jc w:val="both"/>
              <w:rPr>
                <w:rFonts w:eastAsia="Calibri"/>
                <w:sz w:val="20"/>
              </w:rPr>
            </w:pPr>
            <w:r w:rsidRPr="00667307">
              <w:rPr>
                <w:rFonts w:eastAsia="Calibri"/>
                <w:sz w:val="20"/>
              </w:rPr>
              <w:t>N</w:t>
            </w:r>
            <w:r w:rsidRPr="00667307">
              <w:rPr>
                <w:rFonts w:eastAsia="Calibri"/>
                <w:sz w:val="20"/>
                <w:vertAlign w:val="superscript"/>
              </w:rPr>
              <w:t>o</w:t>
            </w:r>
            <w:r w:rsidRPr="00667307">
              <w:rPr>
                <w:rFonts w:eastAsia="Calibri"/>
                <w:sz w:val="20"/>
              </w:rPr>
              <w:t xml:space="preserve"> 500-09-020854-105</w:t>
            </w:r>
          </w:p>
          <w:p w:rsidR="00C415AB" w:rsidRPr="00667307" w:rsidRDefault="00C415AB" w:rsidP="00A0505A">
            <w:pPr>
              <w:jc w:val="both"/>
              <w:rPr>
                <w:rFonts w:eastAsia="Calibri"/>
                <w:sz w:val="20"/>
              </w:rPr>
            </w:pPr>
            <w:r w:rsidRPr="00667307">
              <w:rPr>
                <w:rFonts w:eastAsia="Calibri"/>
                <w:sz w:val="20"/>
              </w:rPr>
              <w:t>2012 QCCA 2139</w:t>
            </w:r>
          </w:p>
          <w:p w:rsidR="00C415AB" w:rsidRPr="00667307" w:rsidRDefault="00C415AB" w:rsidP="00A0505A">
            <w:pPr>
              <w:jc w:val="both"/>
              <w:rPr>
                <w:rFonts w:eastAsia="Calibri"/>
                <w:sz w:val="20"/>
              </w:rPr>
            </w:pPr>
          </w:p>
        </w:tc>
        <w:tc>
          <w:tcPr>
            <w:tcW w:w="243" w:type="pct"/>
          </w:tcPr>
          <w:p w:rsidR="00C415AB" w:rsidRPr="00667307" w:rsidRDefault="00C415AB" w:rsidP="00A0505A">
            <w:pPr>
              <w:jc w:val="both"/>
              <w:rPr>
                <w:rFonts w:eastAsia="Calibri"/>
                <w:sz w:val="20"/>
              </w:rPr>
            </w:pPr>
          </w:p>
        </w:tc>
        <w:tc>
          <w:tcPr>
            <w:tcW w:w="2330" w:type="pct"/>
          </w:tcPr>
          <w:p w:rsidR="00C415AB" w:rsidRPr="00667307" w:rsidRDefault="00C415AB" w:rsidP="00A0505A">
            <w:pPr>
              <w:jc w:val="both"/>
              <w:rPr>
                <w:rFonts w:eastAsia="Calibri"/>
                <w:sz w:val="20"/>
                <w:lang w:val="fr-FR"/>
              </w:rPr>
            </w:pPr>
            <w:r w:rsidRPr="00667307">
              <w:rPr>
                <w:rFonts w:eastAsia="Calibri"/>
                <w:sz w:val="20"/>
                <w:lang w:val="fr-FR"/>
              </w:rPr>
              <w:t>Appel accueilli et décision de la Ministre confirmée.</w:t>
            </w:r>
          </w:p>
          <w:p w:rsidR="00C415AB" w:rsidRPr="00667307" w:rsidRDefault="00C415AB" w:rsidP="00A0505A">
            <w:pPr>
              <w:jc w:val="both"/>
              <w:rPr>
                <w:rFonts w:eastAsia="Calibri"/>
                <w:sz w:val="20"/>
                <w:lang w:val="fr-FR"/>
              </w:rPr>
            </w:pPr>
          </w:p>
        </w:tc>
      </w:tr>
      <w:tr w:rsidR="00C415AB" w:rsidRPr="00667307" w:rsidTr="00A0505A">
        <w:tc>
          <w:tcPr>
            <w:tcW w:w="2427" w:type="pct"/>
          </w:tcPr>
          <w:p w:rsidR="00C415AB" w:rsidRPr="00667307" w:rsidRDefault="00C415AB" w:rsidP="00A0505A">
            <w:pPr>
              <w:jc w:val="both"/>
              <w:rPr>
                <w:rFonts w:eastAsia="Calibri"/>
                <w:sz w:val="20"/>
                <w:lang w:val="fr-CA"/>
              </w:rPr>
            </w:pPr>
            <w:r w:rsidRPr="00667307">
              <w:rPr>
                <w:rFonts w:eastAsia="Calibri"/>
                <w:sz w:val="20"/>
                <w:lang w:val="fr-CA"/>
              </w:rPr>
              <w:t>1</w:t>
            </w:r>
            <w:r w:rsidRPr="00667307">
              <w:rPr>
                <w:rFonts w:eastAsia="Calibri"/>
                <w:sz w:val="20"/>
                <w:vertAlign w:val="superscript"/>
                <w:lang w:val="fr-CA"/>
              </w:rPr>
              <w:t>er</w:t>
            </w:r>
            <w:r w:rsidRPr="00667307">
              <w:rPr>
                <w:rFonts w:eastAsia="Calibri"/>
                <w:sz w:val="20"/>
                <w:lang w:val="fr-CA"/>
              </w:rPr>
              <w:t xml:space="preserve"> février 2013</w:t>
            </w:r>
          </w:p>
          <w:p w:rsidR="00C415AB" w:rsidRPr="00667307" w:rsidRDefault="00C415AB" w:rsidP="00A0505A">
            <w:pPr>
              <w:jc w:val="both"/>
              <w:rPr>
                <w:rFonts w:eastAsia="Calibri"/>
                <w:sz w:val="20"/>
                <w:lang w:val="fr-CA"/>
              </w:rPr>
            </w:pPr>
            <w:r w:rsidRPr="00667307">
              <w:rPr>
                <w:rFonts w:eastAsia="Calibri"/>
                <w:sz w:val="20"/>
                <w:lang w:val="fr-CA"/>
              </w:rPr>
              <w:t>Cour suprême du Canada</w:t>
            </w:r>
          </w:p>
        </w:tc>
        <w:tc>
          <w:tcPr>
            <w:tcW w:w="243" w:type="pct"/>
          </w:tcPr>
          <w:p w:rsidR="00C415AB" w:rsidRPr="00667307" w:rsidRDefault="00C415AB" w:rsidP="00A0505A">
            <w:pPr>
              <w:jc w:val="both"/>
              <w:rPr>
                <w:rFonts w:eastAsia="Calibri"/>
                <w:sz w:val="20"/>
                <w:lang w:val="fr-CA"/>
              </w:rPr>
            </w:pPr>
          </w:p>
        </w:tc>
        <w:tc>
          <w:tcPr>
            <w:tcW w:w="2330" w:type="pct"/>
          </w:tcPr>
          <w:p w:rsidR="00C415AB" w:rsidRPr="00667307" w:rsidRDefault="00C415AB" w:rsidP="00A0505A">
            <w:pPr>
              <w:jc w:val="both"/>
              <w:rPr>
                <w:rFonts w:eastAsia="Calibri"/>
                <w:sz w:val="20"/>
                <w:lang w:val="fr-FR"/>
              </w:rPr>
            </w:pPr>
            <w:r w:rsidRPr="00667307">
              <w:rPr>
                <w:rFonts w:eastAsia="Calibri"/>
                <w:sz w:val="20"/>
                <w:lang w:val="fr-FR"/>
              </w:rPr>
              <w:t>Demande d’autorisation d’appel déposée.</w:t>
            </w:r>
          </w:p>
        </w:tc>
      </w:tr>
    </w:tbl>
    <w:p w:rsidR="00AA605C" w:rsidRDefault="00AA605C" w:rsidP="00AA605C">
      <w:pPr>
        <w:rPr>
          <w:sz w:val="20"/>
          <w:szCs w:val="20"/>
        </w:rPr>
      </w:pPr>
    </w:p>
    <w:p w:rsidR="00AA605C" w:rsidRDefault="00B3404D" w:rsidP="00AA605C">
      <w:pPr>
        <w:rPr>
          <w:sz w:val="20"/>
          <w:szCs w:val="20"/>
          <w:lang w:val="fr-CA"/>
        </w:rPr>
      </w:pPr>
      <w:r w:rsidRPr="00B3404D">
        <w:rPr>
          <w:sz w:val="20"/>
          <w:szCs w:val="20"/>
          <w:lang w:val="fr-CA"/>
        </w:rPr>
        <w:pict>
          <v:rect id="_x0000_i1053" style="width:2in;height:1pt" o:hrpct="0" o:hralign="center" o:hrstd="t" o:hrnoshade="t" o:hr="t" fillcolor="black [3213]" stroked="f"/>
        </w:pict>
      </w:r>
    </w:p>
    <w:p w:rsidR="00AA605C" w:rsidRDefault="00AA605C" w:rsidP="00AA605C">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50EC8" w:rsidRPr="00650EC8" w:rsidTr="00A61B52">
        <w:trPr>
          <w:cantSplit/>
        </w:trPr>
        <w:tc>
          <w:tcPr>
            <w:tcW w:w="1458" w:type="dxa"/>
          </w:tcPr>
          <w:p w:rsidR="00650EC8" w:rsidRPr="00650EC8" w:rsidRDefault="00650EC8" w:rsidP="00650EC8">
            <w:pPr>
              <w:rPr>
                <w:sz w:val="20"/>
                <w:szCs w:val="20"/>
              </w:rPr>
            </w:pPr>
            <w:r w:rsidRPr="00650EC8">
              <w:rPr>
                <w:b/>
                <w:sz w:val="20"/>
                <w:lang w:val="fr-CA"/>
              </w:rPr>
              <w:t>35213</w:t>
            </w:r>
          </w:p>
          <w:p w:rsidR="00650EC8" w:rsidRPr="00650EC8" w:rsidRDefault="00650EC8" w:rsidP="00650EC8">
            <w:pPr>
              <w:rPr>
                <w:b/>
                <w:sz w:val="20"/>
                <w:szCs w:val="20"/>
                <w:lang w:val="fr-CA"/>
              </w:rPr>
            </w:pPr>
          </w:p>
        </w:tc>
        <w:tc>
          <w:tcPr>
            <w:tcW w:w="8118" w:type="dxa"/>
          </w:tcPr>
          <w:p w:rsidR="00650EC8" w:rsidRPr="00650EC8" w:rsidRDefault="00650EC8" w:rsidP="00650EC8">
            <w:pPr>
              <w:jc w:val="both"/>
              <w:rPr>
                <w:sz w:val="20"/>
                <w:szCs w:val="20"/>
              </w:rPr>
            </w:pPr>
            <w:r w:rsidRPr="00650EC8">
              <w:rPr>
                <w:b/>
                <w:sz w:val="20"/>
                <w:u w:val="single"/>
              </w:rPr>
              <w:t>National Automobile, Aerospace, Transportation and General Workers Union of Canada (CAW-Canada) and its Local 114 v. Pacific Coach Lines Ltd.</w:t>
            </w:r>
            <w:r w:rsidR="006D5ED5">
              <w:rPr>
                <w:b/>
                <w:sz w:val="20"/>
                <w:u w:val="single"/>
              </w:rPr>
              <w:t xml:space="preserve"> and</w:t>
            </w:r>
            <w:r w:rsidRPr="00650EC8">
              <w:rPr>
                <w:b/>
                <w:sz w:val="20"/>
                <w:u w:val="single"/>
              </w:rPr>
              <w:t xml:space="preserve"> Cantrail Coach Lines Ltd.</w:t>
            </w:r>
            <w:r w:rsidRPr="00650EC8">
              <w:rPr>
                <w:sz w:val="20"/>
                <w:szCs w:val="20"/>
              </w:rPr>
              <w:t xml:space="preserve"> (F.C.) (Civil) (By Leave)</w:t>
            </w:r>
          </w:p>
          <w:p w:rsidR="00650EC8" w:rsidRPr="00650EC8" w:rsidRDefault="00650EC8" w:rsidP="00650EC8">
            <w:pPr>
              <w:jc w:val="both"/>
              <w:rPr>
                <w:sz w:val="20"/>
                <w:szCs w:val="20"/>
              </w:rPr>
            </w:pPr>
          </w:p>
        </w:tc>
      </w:tr>
      <w:tr w:rsidR="00650EC8" w:rsidRPr="00650EC8" w:rsidTr="00A61B52">
        <w:trPr>
          <w:cantSplit/>
        </w:trPr>
        <w:tc>
          <w:tcPr>
            <w:tcW w:w="1458" w:type="dxa"/>
          </w:tcPr>
          <w:p w:rsidR="00650EC8" w:rsidRPr="00650EC8" w:rsidRDefault="00650EC8" w:rsidP="00650EC8">
            <w:pPr>
              <w:rPr>
                <w:sz w:val="20"/>
                <w:szCs w:val="20"/>
              </w:rPr>
            </w:pPr>
            <w:r w:rsidRPr="00650EC8">
              <w:rPr>
                <w:sz w:val="20"/>
                <w:szCs w:val="20"/>
              </w:rPr>
              <w:t>Coram :</w:t>
            </w:r>
          </w:p>
        </w:tc>
        <w:tc>
          <w:tcPr>
            <w:tcW w:w="8118" w:type="dxa"/>
          </w:tcPr>
          <w:p w:rsidR="00650EC8" w:rsidRPr="00650EC8" w:rsidRDefault="00650EC8" w:rsidP="00650EC8">
            <w:pPr>
              <w:rPr>
                <w:sz w:val="20"/>
                <w:szCs w:val="20"/>
              </w:rPr>
            </w:pPr>
            <w:r w:rsidRPr="00650EC8">
              <w:rPr>
                <w:sz w:val="20"/>
                <w:u w:val="single"/>
              </w:rPr>
              <w:t>McLachlin C.J. and Abella and Cromwell JJ.</w:t>
            </w:r>
          </w:p>
          <w:p w:rsidR="00650EC8" w:rsidRPr="00650EC8" w:rsidRDefault="00650EC8" w:rsidP="00650EC8">
            <w:pPr>
              <w:rPr>
                <w:sz w:val="20"/>
                <w:szCs w:val="20"/>
                <w:u w:val="single"/>
              </w:rPr>
            </w:pPr>
          </w:p>
        </w:tc>
      </w:tr>
      <w:tr w:rsidR="00650EC8" w:rsidRPr="00D41BFD" w:rsidTr="00A61B52">
        <w:trPr>
          <w:cantSplit/>
        </w:trPr>
        <w:tc>
          <w:tcPr>
            <w:tcW w:w="9576" w:type="dxa"/>
            <w:gridSpan w:val="2"/>
          </w:tcPr>
          <w:p w:rsidR="00650EC8" w:rsidRPr="00650EC8" w:rsidRDefault="00650EC8" w:rsidP="00650EC8">
            <w:pPr>
              <w:ind w:firstLine="720"/>
              <w:jc w:val="both"/>
              <w:rPr>
                <w:sz w:val="20"/>
                <w:szCs w:val="20"/>
              </w:rPr>
            </w:pPr>
            <w:r w:rsidRPr="00650EC8">
              <w:rPr>
                <w:sz w:val="20"/>
                <w:szCs w:val="20"/>
              </w:rPr>
              <w:t>The application for leave to appeal from the judgment of the Federal Court of Appeal, Number A-67-12, 2012 FCA 329, dated December 14, 2012, is dismissed with costs.</w:t>
            </w:r>
          </w:p>
          <w:p w:rsidR="00650EC8" w:rsidRPr="00650EC8" w:rsidRDefault="00650EC8" w:rsidP="00650EC8">
            <w:pPr>
              <w:jc w:val="both"/>
              <w:rPr>
                <w:sz w:val="20"/>
                <w:szCs w:val="20"/>
              </w:rPr>
            </w:pPr>
          </w:p>
          <w:p w:rsidR="00650EC8" w:rsidRPr="00650EC8" w:rsidRDefault="00650EC8" w:rsidP="00650EC8">
            <w:pPr>
              <w:ind w:firstLine="720"/>
              <w:jc w:val="both"/>
              <w:rPr>
                <w:sz w:val="20"/>
                <w:szCs w:val="20"/>
                <w:lang w:val="fr-CA"/>
              </w:rPr>
            </w:pPr>
            <w:r w:rsidRPr="00650EC8">
              <w:rPr>
                <w:sz w:val="20"/>
                <w:szCs w:val="20"/>
                <w:lang w:val="fr-CA"/>
              </w:rPr>
              <w:t>La demande d’autorisation d’appel de l’arrêt de la Cour d’appel fédérale, numéro A-67-12, 2012 CAF 329, daté du 14 décembre 2012, est rejetée avec dépens.</w:t>
            </w:r>
          </w:p>
        </w:tc>
      </w:tr>
    </w:tbl>
    <w:p w:rsidR="00AA605C" w:rsidRPr="00650EC8" w:rsidRDefault="00AA605C" w:rsidP="00AA605C">
      <w:pPr>
        <w:rPr>
          <w:sz w:val="20"/>
          <w:szCs w:val="20"/>
          <w:lang w:val="fr-CA"/>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2011A" w:rsidRPr="00667307" w:rsidTr="00A0505A">
        <w:tc>
          <w:tcPr>
            <w:tcW w:w="5000" w:type="pct"/>
            <w:gridSpan w:val="3"/>
          </w:tcPr>
          <w:p w:rsidR="00E2011A" w:rsidRPr="00667307" w:rsidRDefault="00E2011A" w:rsidP="00A0505A">
            <w:pPr>
              <w:jc w:val="both"/>
              <w:rPr>
                <w:rFonts w:eastAsia="Calibri"/>
                <w:sz w:val="20"/>
              </w:rPr>
            </w:pPr>
            <w:r w:rsidRPr="00667307">
              <w:rPr>
                <w:rFonts w:eastAsia="Calibri"/>
                <w:sz w:val="20"/>
              </w:rPr>
              <w:t xml:space="preserve">Administrative law – Boards and tribunals – Jurisdiction – Relevant date for which the Board’s jurisdiction should be determined – Test for federal undertaking – Single employer declaration – Was the Board correct that it had no jurisdiction because of events arising during litigation but after the facts giving rise to the application – Is the purpose of section 35 of the </w:t>
            </w:r>
            <w:r w:rsidRPr="00667307">
              <w:rPr>
                <w:rFonts w:eastAsia="Calibri"/>
                <w:i/>
                <w:sz w:val="20"/>
              </w:rPr>
              <w:t>Code</w:t>
            </w:r>
            <w:r w:rsidRPr="00667307">
              <w:rPr>
                <w:rFonts w:eastAsia="Calibri"/>
                <w:sz w:val="20"/>
              </w:rPr>
              <w:t xml:space="preserve"> limited to addressing harm from the transfer of work from a unionized company to a non-union company for anti-union reasons or to avoid collective bargaining obligations, or was s. 35 enacted to address a broader set of labour relations concerns – Was the Board correct in its application of the “single enterprise” test for constitutional jurisdiction – Did the Board err by adopting a formalistic approach to determining functional integration and in focusing on the issue of employer intent – </w:t>
            </w:r>
            <w:r w:rsidRPr="00667307">
              <w:rPr>
                <w:rFonts w:eastAsia="Calibri"/>
                <w:i/>
                <w:sz w:val="20"/>
              </w:rPr>
              <w:t>Canada Labour Code</w:t>
            </w:r>
            <w:r w:rsidRPr="00667307">
              <w:rPr>
                <w:rFonts w:eastAsia="Calibri"/>
                <w:sz w:val="20"/>
              </w:rPr>
              <w:t>, R.S.C., 1985, c. L-2 (“</w:t>
            </w:r>
            <w:r w:rsidRPr="00667307">
              <w:rPr>
                <w:rFonts w:eastAsia="Calibri"/>
                <w:i/>
                <w:sz w:val="20"/>
              </w:rPr>
              <w:t>Code</w:t>
            </w:r>
            <w:r w:rsidRPr="00667307">
              <w:rPr>
                <w:rFonts w:eastAsia="Calibri"/>
                <w:sz w:val="20"/>
              </w:rPr>
              <w:t>”), ss. 35 and 44.</w:t>
            </w:r>
          </w:p>
        </w:tc>
      </w:tr>
      <w:tr w:rsidR="00E2011A" w:rsidRPr="00667307" w:rsidTr="00A0505A">
        <w:tc>
          <w:tcPr>
            <w:tcW w:w="5000" w:type="pct"/>
            <w:gridSpan w:val="3"/>
          </w:tcPr>
          <w:p w:rsidR="00E2011A" w:rsidRPr="00667307" w:rsidRDefault="00E2011A" w:rsidP="00A0505A">
            <w:pPr>
              <w:jc w:val="both"/>
              <w:rPr>
                <w:rFonts w:eastAsia="Calibri"/>
                <w:sz w:val="20"/>
              </w:rPr>
            </w:pPr>
          </w:p>
        </w:tc>
      </w:tr>
      <w:tr w:rsidR="00E2011A" w:rsidRPr="00667307" w:rsidTr="00A0505A">
        <w:tc>
          <w:tcPr>
            <w:tcW w:w="5000" w:type="pct"/>
            <w:gridSpan w:val="3"/>
          </w:tcPr>
          <w:p w:rsidR="00E2011A" w:rsidRPr="00667307" w:rsidRDefault="00E2011A" w:rsidP="00A0505A">
            <w:pPr>
              <w:jc w:val="both"/>
              <w:rPr>
                <w:rFonts w:eastAsia="Calibri"/>
                <w:sz w:val="20"/>
              </w:rPr>
            </w:pPr>
            <w:r w:rsidRPr="00667307">
              <w:rPr>
                <w:rFonts w:eastAsia="Calibri"/>
                <w:sz w:val="20"/>
              </w:rPr>
              <w:t>Pacific Coach Lines Ltd. (“PCL”) is a privately owned company whose workers are unionized. Its primary business is operating regularly scheduled bus services and charter services within British Columbia, but it also provided extra-provincial services.  PCL acquired Cantrail Coach Lines Ltd. (“Cantrail”), an independent corporation with non unionized workers.  Cantrail continues to operate as a separate entity, with its own buses, employees, corporate branding, and intra and extra-provincial activities.</w:t>
            </w:r>
          </w:p>
          <w:p w:rsidR="00E2011A" w:rsidRPr="00667307" w:rsidRDefault="00E2011A" w:rsidP="00A0505A">
            <w:pPr>
              <w:jc w:val="both"/>
              <w:rPr>
                <w:rFonts w:eastAsia="Calibri"/>
                <w:sz w:val="20"/>
              </w:rPr>
            </w:pPr>
          </w:p>
          <w:p w:rsidR="00E2011A" w:rsidRPr="00667307" w:rsidRDefault="00E2011A" w:rsidP="00A0505A">
            <w:pPr>
              <w:jc w:val="both"/>
              <w:rPr>
                <w:rFonts w:eastAsia="Calibri"/>
                <w:sz w:val="20"/>
              </w:rPr>
            </w:pPr>
            <w:r w:rsidRPr="00667307">
              <w:rPr>
                <w:rFonts w:eastAsia="Calibri"/>
                <w:sz w:val="20"/>
              </w:rPr>
              <w:t xml:space="preserve">The applicant brought an application for a declaration of single employer and a declaration of sale of business pursuant to ss. 35 and 44 of the </w:t>
            </w:r>
            <w:r w:rsidRPr="00667307">
              <w:rPr>
                <w:rFonts w:eastAsia="Calibri"/>
                <w:i/>
                <w:sz w:val="20"/>
              </w:rPr>
              <w:t>Code.</w:t>
            </w:r>
            <w:r w:rsidRPr="00667307">
              <w:rPr>
                <w:rFonts w:eastAsia="Calibri"/>
                <w:sz w:val="20"/>
              </w:rPr>
              <w:t xml:space="preserve"> The Canada Industrial Relations Board (the “Board”) issued an interim decision that both PCL and Cantrail were subject to federal jurisdiction for labour purposes.  In January 2011, PCL ceased offering extra-provincial services.  The issue became whether the Board had jurisdiction to consider the application, </w:t>
            </w:r>
            <w:r w:rsidRPr="00667307">
              <w:rPr>
                <w:rFonts w:eastAsia="Calibri"/>
                <w:sz w:val="20"/>
              </w:rPr>
              <w:lastRenderedPageBreak/>
              <w:t>where one of the two employers was allegedly no longer a federal undertaking.  The Union filed an unfair labour practise complaint, which was consolidated with the earlier application. The Board concluded that PCL and Cantrail were not a single federal work or undertaking and that PCL was not integral to Cantrail’s operations.  The Board held that it had no jurisdiction to entertain the application and that the unfair labour practice was moot.  The Federal Court of Appeal dismissed the application for judicial review.</w:t>
            </w:r>
          </w:p>
          <w:p w:rsidR="00E2011A" w:rsidRPr="00667307" w:rsidRDefault="00E2011A" w:rsidP="00A0505A">
            <w:pPr>
              <w:jc w:val="both"/>
              <w:rPr>
                <w:rFonts w:eastAsia="Calibri"/>
                <w:sz w:val="20"/>
              </w:rPr>
            </w:pPr>
          </w:p>
        </w:tc>
      </w:tr>
      <w:tr w:rsidR="00E2011A" w:rsidRPr="00667307" w:rsidTr="00A0505A">
        <w:tc>
          <w:tcPr>
            <w:tcW w:w="2427" w:type="pct"/>
          </w:tcPr>
          <w:p w:rsidR="00E2011A" w:rsidRPr="00667307" w:rsidRDefault="00E2011A" w:rsidP="00A0505A">
            <w:pPr>
              <w:jc w:val="both"/>
              <w:rPr>
                <w:rFonts w:eastAsia="Calibri"/>
                <w:sz w:val="20"/>
              </w:rPr>
            </w:pPr>
            <w:r w:rsidRPr="00667307">
              <w:rPr>
                <w:rFonts w:eastAsia="Calibri"/>
                <w:sz w:val="20"/>
              </w:rPr>
              <w:lastRenderedPageBreak/>
              <w:t>January 24, 2012</w:t>
            </w:r>
          </w:p>
          <w:p w:rsidR="00E2011A" w:rsidRPr="00667307" w:rsidRDefault="00E2011A" w:rsidP="00A0505A">
            <w:pPr>
              <w:jc w:val="both"/>
              <w:rPr>
                <w:rFonts w:eastAsia="Calibri"/>
                <w:sz w:val="20"/>
              </w:rPr>
            </w:pPr>
            <w:r w:rsidRPr="00667307">
              <w:rPr>
                <w:rFonts w:eastAsia="Calibri"/>
                <w:sz w:val="20"/>
              </w:rPr>
              <w:t>Canada Industrial Relations Board</w:t>
            </w:r>
          </w:p>
          <w:p w:rsidR="00E2011A" w:rsidRPr="00667307" w:rsidRDefault="00E2011A" w:rsidP="00A0505A">
            <w:pPr>
              <w:jc w:val="both"/>
              <w:rPr>
                <w:rFonts w:eastAsia="Calibri"/>
                <w:sz w:val="20"/>
              </w:rPr>
            </w:pPr>
            <w:r w:rsidRPr="00667307">
              <w:rPr>
                <w:rFonts w:eastAsia="Calibri"/>
                <w:sz w:val="20"/>
              </w:rPr>
              <w:t xml:space="preserve">(MacPherson Elizabeth, Lecavalier André, </w:t>
            </w:r>
          </w:p>
          <w:p w:rsidR="00E2011A" w:rsidRPr="00667307" w:rsidRDefault="00E2011A" w:rsidP="00A0505A">
            <w:pPr>
              <w:jc w:val="both"/>
              <w:rPr>
                <w:rFonts w:eastAsia="Calibri"/>
                <w:sz w:val="20"/>
              </w:rPr>
            </w:pPr>
            <w:r w:rsidRPr="00667307">
              <w:rPr>
                <w:rFonts w:eastAsia="Calibri"/>
                <w:sz w:val="20"/>
              </w:rPr>
              <w:t>Rivard Normand)</w:t>
            </w:r>
          </w:p>
          <w:p w:rsidR="00E2011A" w:rsidRPr="00667307" w:rsidRDefault="00E2011A" w:rsidP="00A0505A">
            <w:pPr>
              <w:jc w:val="both"/>
              <w:rPr>
                <w:rFonts w:eastAsia="Calibri"/>
                <w:sz w:val="20"/>
              </w:rPr>
            </w:pPr>
          </w:p>
        </w:tc>
        <w:tc>
          <w:tcPr>
            <w:tcW w:w="243" w:type="pct"/>
          </w:tcPr>
          <w:p w:rsidR="00E2011A" w:rsidRPr="00667307" w:rsidRDefault="00E2011A" w:rsidP="00A0505A">
            <w:pPr>
              <w:jc w:val="both"/>
              <w:rPr>
                <w:rFonts w:eastAsia="Calibri"/>
                <w:sz w:val="20"/>
              </w:rPr>
            </w:pPr>
          </w:p>
        </w:tc>
        <w:tc>
          <w:tcPr>
            <w:tcW w:w="2330" w:type="pct"/>
          </w:tcPr>
          <w:p w:rsidR="00E2011A" w:rsidRPr="00667307" w:rsidRDefault="00E2011A" w:rsidP="00A0505A">
            <w:pPr>
              <w:jc w:val="both"/>
              <w:rPr>
                <w:rFonts w:eastAsia="Calibri"/>
                <w:sz w:val="20"/>
              </w:rPr>
            </w:pPr>
            <w:r w:rsidRPr="00667307">
              <w:rPr>
                <w:rFonts w:eastAsia="Calibri"/>
                <w:sz w:val="20"/>
              </w:rPr>
              <w:t>Application for a declaration of single employer and complaint of unfair labour practice dismissed for lack of jurisdiction</w:t>
            </w:r>
          </w:p>
          <w:p w:rsidR="00E2011A" w:rsidRPr="00667307" w:rsidRDefault="00E2011A" w:rsidP="00A0505A">
            <w:pPr>
              <w:jc w:val="both"/>
              <w:rPr>
                <w:rFonts w:eastAsia="Calibri"/>
                <w:sz w:val="20"/>
              </w:rPr>
            </w:pPr>
          </w:p>
        </w:tc>
      </w:tr>
      <w:tr w:rsidR="00E2011A" w:rsidRPr="00667307" w:rsidTr="00A0505A">
        <w:tc>
          <w:tcPr>
            <w:tcW w:w="2427" w:type="pct"/>
          </w:tcPr>
          <w:p w:rsidR="00E2011A" w:rsidRPr="00667307" w:rsidRDefault="00E2011A" w:rsidP="00A0505A">
            <w:pPr>
              <w:jc w:val="both"/>
              <w:rPr>
                <w:rFonts w:eastAsia="Calibri"/>
                <w:sz w:val="20"/>
              </w:rPr>
            </w:pPr>
            <w:r w:rsidRPr="00667307">
              <w:rPr>
                <w:rFonts w:eastAsia="Calibri"/>
                <w:sz w:val="20"/>
              </w:rPr>
              <w:t>December 14, 2012</w:t>
            </w:r>
          </w:p>
          <w:p w:rsidR="00E2011A" w:rsidRPr="00667307" w:rsidRDefault="00E2011A" w:rsidP="00A0505A">
            <w:pPr>
              <w:jc w:val="both"/>
              <w:rPr>
                <w:rFonts w:eastAsia="Calibri"/>
                <w:sz w:val="20"/>
              </w:rPr>
            </w:pPr>
            <w:r w:rsidRPr="00667307">
              <w:rPr>
                <w:rFonts w:eastAsia="Calibri"/>
                <w:sz w:val="20"/>
              </w:rPr>
              <w:t>Federal Court of Appeal</w:t>
            </w:r>
          </w:p>
          <w:p w:rsidR="00E2011A" w:rsidRPr="00667307" w:rsidRDefault="00E2011A" w:rsidP="00A0505A">
            <w:pPr>
              <w:jc w:val="both"/>
              <w:rPr>
                <w:rFonts w:eastAsia="Calibri"/>
                <w:sz w:val="20"/>
              </w:rPr>
            </w:pPr>
            <w:r w:rsidRPr="00667307">
              <w:rPr>
                <w:rFonts w:eastAsia="Calibri"/>
                <w:sz w:val="20"/>
              </w:rPr>
              <w:t>(Blais, Nadon and Trudel JJ.A.)</w:t>
            </w:r>
          </w:p>
          <w:p w:rsidR="00E2011A" w:rsidRPr="00667307" w:rsidRDefault="00E2011A" w:rsidP="00A0505A">
            <w:pPr>
              <w:jc w:val="both"/>
              <w:rPr>
                <w:rFonts w:eastAsia="Calibri"/>
                <w:sz w:val="20"/>
              </w:rPr>
            </w:pPr>
            <w:r w:rsidRPr="00667307">
              <w:rPr>
                <w:rFonts w:eastAsia="Calibri"/>
                <w:sz w:val="20"/>
              </w:rPr>
              <w:t>2012 FCA 329; A-67-12</w:t>
            </w:r>
          </w:p>
          <w:p w:rsidR="00E2011A" w:rsidRPr="00667307" w:rsidRDefault="00E2011A" w:rsidP="00A0505A">
            <w:pPr>
              <w:jc w:val="both"/>
              <w:rPr>
                <w:rFonts w:eastAsia="Calibri"/>
                <w:sz w:val="20"/>
              </w:rPr>
            </w:pPr>
          </w:p>
        </w:tc>
        <w:tc>
          <w:tcPr>
            <w:tcW w:w="243" w:type="pct"/>
          </w:tcPr>
          <w:p w:rsidR="00E2011A" w:rsidRPr="00667307" w:rsidRDefault="00E2011A" w:rsidP="00A0505A">
            <w:pPr>
              <w:jc w:val="both"/>
              <w:rPr>
                <w:rFonts w:eastAsia="Calibri"/>
                <w:sz w:val="20"/>
              </w:rPr>
            </w:pPr>
          </w:p>
        </w:tc>
        <w:tc>
          <w:tcPr>
            <w:tcW w:w="2330" w:type="pct"/>
          </w:tcPr>
          <w:p w:rsidR="00E2011A" w:rsidRPr="00667307" w:rsidRDefault="00E2011A" w:rsidP="00A0505A">
            <w:pPr>
              <w:jc w:val="both"/>
              <w:rPr>
                <w:rFonts w:eastAsia="Calibri"/>
                <w:sz w:val="20"/>
              </w:rPr>
            </w:pPr>
            <w:r w:rsidRPr="00667307">
              <w:rPr>
                <w:rFonts w:eastAsia="Calibri"/>
                <w:sz w:val="20"/>
              </w:rPr>
              <w:t>Application for judicial review dismissed</w:t>
            </w:r>
          </w:p>
          <w:p w:rsidR="00E2011A" w:rsidRPr="00667307" w:rsidRDefault="00E2011A" w:rsidP="00A0505A">
            <w:pPr>
              <w:jc w:val="both"/>
              <w:rPr>
                <w:rFonts w:eastAsia="Calibri"/>
                <w:sz w:val="20"/>
              </w:rPr>
            </w:pPr>
          </w:p>
        </w:tc>
      </w:tr>
      <w:tr w:rsidR="00E2011A" w:rsidRPr="00667307" w:rsidTr="00A0505A">
        <w:tc>
          <w:tcPr>
            <w:tcW w:w="2427" w:type="pct"/>
          </w:tcPr>
          <w:p w:rsidR="00E2011A" w:rsidRPr="00667307" w:rsidRDefault="00E2011A" w:rsidP="00A0505A">
            <w:pPr>
              <w:jc w:val="both"/>
              <w:rPr>
                <w:rFonts w:eastAsia="Calibri"/>
                <w:sz w:val="20"/>
              </w:rPr>
            </w:pPr>
            <w:r w:rsidRPr="00667307">
              <w:rPr>
                <w:rFonts w:eastAsia="Calibri"/>
                <w:sz w:val="20"/>
              </w:rPr>
              <w:t>February 6, 2013</w:t>
            </w:r>
          </w:p>
          <w:p w:rsidR="00E2011A" w:rsidRPr="00667307" w:rsidRDefault="00E2011A" w:rsidP="00A0505A">
            <w:pPr>
              <w:jc w:val="both"/>
              <w:rPr>
                <w:rFonts w:eastAsia="Calibri"/>
                <w:sz w:val="20"/>
              </w:rPr>
            </w:pPr>
            <w:r w:rsidRPr="00667307">
              <w:rPr>
                <w:rFonts w:eastAsia="Calibri"/>
                <w:sz w:val="20"/>
              </w:rPr>
              <w:t>Supreme Court of Canada</w:t>
            </w:r>
          </w:p>
        </w:tc>
        <w:tc>
          <w:tcPr>
            <w:tcW w:w="243" w:type="pct"/>
          </w:tcPr>
          <w:p w:rsidR="00E2011A" w:rsidRPr="00667307" w:rsidRDefault="00E2011A" w:rsidP="00A0505A">
            <w:pPr>
              <w:jc w:val="both"/>
              <w:rPr>
                <w:rFonts w:eastAsia="Calibri"/>
                <w:sz w:val="20"/>
              </w:rPr>
            </w:pPr>
          </w:p>
        </w:tc>
        <w:tc>
          <w:tcPr>
            <w:tcW w:w="2330" w:type="pct"/>
          </w:tcPr>
          <w:p w:rsidR="00E2011A" w:rsidRPr="00667307" w:rsidRDefault="00E2011A" w:rsidP="00A0505A">
            <w:pPr>
              <w:jc w:val="both"/>
              <w:rPr>
                <w:rFonts w:eastAsia="Calibri"/>
                <w:sz w:val="20"/>
              </w:rPr>
            </w:pPr>
            <w:r w:rsidRPr="00667307">
              <w:rPr>
                <w:rFonts w:eastAsia="Calibri"/>
                <w:sz w:val="20"/>
              </w:rPr>
              <w:t>Application for leave to appeal filed</w:t>
            </w: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54"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2011A" w:rsidRPr="00667307" w:rsidTr="00A0505A">
        <w:tc>
          <w:tcPr>
            <w:tcW w:w="5000" w:type="pct"/>
            <w:gridSpan w:val="3"/>
          </w:tcPr>
          <w:p w:rsidR="00E2011A" w:rsidRPr="00667307" w:rsidRDefault="00E2011A" w:rsidP="00A0505A">
            <w:pPr>
              <w:jc w:val="both"/>
              <w:rPr>
                <w:rFonts w:eastAsia="Calibri"/>
                <w:sz w:val="20"/>
                <w:lang w:val="fr-CA"/>
              </w:rPr>
            </w:pPr>
            <w:r w:rsidRPr="00667307">
              <w:rPr>
                <w:rFonts w:eastAsia="Calibri"/>
                <w:sz w:val="20"/>
                <w:lang w:val="fr-CA"/>
              </w:rPr>
              <w:t xml:space="preserve">Droit administratif – Organismes et tribunaux administratifs – Compétence – Date pertinente à laquelle la compétence du Conseil doit être appréciée – Critère pour déterminer s’il s’agit d’une entreprise fédérale – Déclaration d’employeur unique – Le Conseil a-t-il eu raison de conclure qu’il n’avait pas compétence en raison d’événements survenus pendant l’instance, mais après les faits qui ont donné lieu à la demande? – L’article 35 du </w:t>
            </w:r>
            <w:r w:rsidRPr="00667307">
              <w:rPr>
                <w:rFonts w:eastAsia="Calibri"/>
                <w:i/>
                <w:sz w:val="20"/>
                <w:lang w:val="fr-CA"/>
              </w:rPr>
              <w:t>Code</w:t>
            </w:r>
            <w:r w:rsidRPr="00667307">
              <w:rPr>
                <w:rFonts w:eastAsia="Calibri"/>
                <w:sz w:val="20"/>
                <w:lang w:val="fr-CA"/>
              </w:rPr>
              <w:t xml:space="preserve"> a-t-il pour seul objet le préjudice causé par le transfert de l’entreprise d’une société syndiquée à une société non syndiquée pour des raisons antisyndicales ou pour éviter des obligations en matière de négociation collective, ou l’art. 35 a-t-il plutôt été édicté pour s’attaquer à un ensemble plus large de problèmes en matière de relations du travail? – Le Conseil a-t-il appliqué correctement le critère de « l’entreprise unique » pour statuer sur sa compétence constitutionnelle? – Le Conseil a-t-il eu tort d’adopter une approche formaliste pour statuer sur l’intégration fonctionnelle en portant spécialement son attention sur la question de l’intention de l’employeur? – </w:t>
            </w:r>
            <w:r w:rsidRPr="00667307">
              <w:rPr>
                <w:rFonts w:eastAsia="Calibri"/>
                <w:i/>
                <w:sz w:val="20"/>
                <w:lang w:val="fr-CA"/>
              </w:rPr>
              <w:t>Code canadien du travail</w:t>
            </w:r>
            <w:r w:rsidRPr="00667307">
              <w:rPr>
                <w:rFonts w:eastAsia="Calibri"/>
                <w:sz w:val="20"/>
                <w:lang w:val="fr-CA"/>
              </w:rPr>
              <w:t>, L.R.C., 1985, ch. L-2 (« </w:t>
            </w:r>
            <w:r w:rsidRPr="00667307">
              <w:rPr>
                <w:rFonts w:eastAsia="Calibri"/>
                <w:i/>
                <w:sz w:val="20"/>
                <w:lang w:val="fr-CA"/>
              </w:rPr>
              <w:t>Code</w:t>
            </w:r>
            <w:r w:rsidRPr="00667307">
              <w:rPr>
                <w:rFonts w:eastAsia="Calibri"/>
                <w:sz w:val="20"/>
                <w:lang w:val="fr-CA"/>
              </w:rPr>
              <w:t> »), art. 35 et 44.</w:t>
            </w:r>
          </w:p>
        </w:tc>
      </w:tr>
      <w:tr w:rsidR="00E2011A" w:rsidRPr="00667307" w:rsidTr="00A0505A">
        <w:tc>
          <w:tcPr>
            <w:tcW w:w="5000" w:type="pct"/>
            <w:gridSpan w:val="3"/>
          </w:tcPr>
          <w:p w:rsidR="00E2011A" w:rsidRPr="00667307" w:rsidRDefault="00E2011A" w:rsidP="00A0505A">
            <w:pPr>
              <w:jc w:val="both"/>
              <w:rPr>
                <w:rFonts w:eastAsia="Calibri"/>
                <w:sz w:val="20"/>
                <w:lang w:val="fr-CA"/>
              </w:rPr>
            </w:pPr>
          </w:p>
        </w:tc>
      </w:tr>
      <w:tr w:rsidR="00E2011A" w:rsidRPr="00D41BFD" w:rsidTr="00A0505A">
        <w:tc>
          <w:tcPr>
            <w:tcW w:w="5000" w:type="pct"/>
            <w:gridSpan w:val="3"/>
          </w:tcPr>
          <w:p w:rsidR="00E2011A" w:rsidRPr="00667307" w:rsidRDefault="00E2011A" w:rsidP="00A0505A">
            <w:pPr>
              <w:jc w:val="both"/>
              <w:rPr>
                <w:rFonts w:eastAsia="Calibri"/>
                <w:sz w:val="20"/>
                <w:lang w:val="fr-CA"/>
              </w:rPr>
            </w:pPr>
            <w:r w:rsidRPr="00667307">
              <w:rPr>
                <w:rFonts w:eastAsia="Calibri"/>
                <w:sz w:val="20"/>
                <w:lang w:val="fr-CA"/>
              </w:rPr>
              <w:t>Pacific Coach Lines Ltd. (« PCL ») est une société privée dont les travailleurs sont syndiqués.   Son activité principale consiste à offrir des services d’autocars à horaire fixe et des services de transport nolisé sur le territoire de la Colombie-Britannique, mais elle fournissait aussi des services extraprovinciaux.  PCL a acquis Cantrail Coach Lines Ltd. (« Cantrail »), une société indépendante dont les travailleurs ne sont pas syndiqués.  Cantrail continue d’être exploitée comme une entité distincte munie de ses propres autocars, de ses propres employés, de sa propre image de marque, exerçant des activités intraprovinciales et extraprovinciales.</w:t>
            </w:r>
          </w:p>
          <w:p w:rsidR="00E2011A" w:rsidRPr="00667307" w:rsidRDefault="00E2011A" w:rsidP="00A0505A">
            <w:pPr>
              <w:jc w:val="both"/>
              <w:rPr>
                <w:rFonts w:eastAsia="Calibri"/>
                <w:sz w:val="20"/>
                <w:lang w:val="fr-CA"/>
              </w:rPr>
            </w:pPr>
          </w:p>
          <w:p w:rsidR="00E2011A" w:rsidRPr="00667307" w:rsidRDefault="00E2011A" w:rsidP="00A0505A">
            <w:pPr>
              <w:jc w:val="both"/>
              <w:rPr>
                <w:rFonts w:eastAsia="Calibri"/>
                <w:sz w:val="20"/>
                <w:lang w:val="fr-CA"/>
              </w:rPr>
            </w:pPr>
            <w:r w:rsidRPr="00667307">
              <w:rPr>
                <w:rFonts w:eastAsia="Calibri"/>
                <w:sz w:val="20"/>
                <w:lang w:val="fr-CA"/>
              </w:rPr>
              <w:t xml:space="preserve">Le demandeur a présenté une demande de déclaration d’employeur unique et de vente d’entreprise en application des art. 35 et 44 du </w:t>
            </w:r>
            <w:r w:rsidRPr="00667307">
              <w:rPr>
                <w:rFonts w:eastAsia="Calibri"/>
                <w:i/>
                <w:sz w:val="20"/>
                <w:lang w:val="fr-CA"/>
              </w:rPr>
              <w:t>Code.</w:t>
            </w:r>
            <w:r w:rsidRPr="00667307">
              <w:rPr>
                <w:rFonts w:eastAsia="Calibri"/>
                <w:sz w:val="20"/>
                <w:lang w:val="fr-CA"/>
              </w:rPr>
              <w:t xml:space="preserve"> Le Conseil canadien des relations industrielles (le « Conseil ») a rendu une décision provisoire portant que PCL et Canrail relevaient toutes les deux de la compétence fédérale en matière de relations du travail.  En janvier 2011, PCL a cessé d’offrir des services extraprovinciaux.  Il s’agissait alors de statuer sur la question de savoir si le Conseil avait compétence pour examiner la demande, alors que l’un des deux employeurs ne serait plus une entreprise fédérale.  Le syndicat a déposé une plainte de pratique déloyale de travail, qui a été jointe à la demande antérieure.  Le Conseil a conclu que PCL et Cantrail ne constituaient pas une entreprise fédérale unique et que PCL n’était pas partie intégrante des activités de Cantrail.  Le Conseil a statué qu’il n’avait pas compétence et que la pratique déloyale était théorique.  La Cour d’appel fédérale a rejeté la demande de contrôle judiciaire.</w:t>
            </w:r>
          </w:p>
          <w:p w:rsidR="00E2011A" w:rsidRPr="00667307" w:rsidRDefault="00E2011A" w:rsidP="00A0505A">
            <w:pPr>
              <w:jc w:val="both"/>
              <w:rPr>
                <w:rFonts w:eastAsia="Calibri"/>
                <w:sz w:val="20"/>
                <w:lang w:val="fr-CA"/>
              </w:rPr>
            </w:pPr>
          </w:p>
        </w:tc>
      </w:tr>
      <w:tr w:rsidR="00E2011A" w:rsidRPr="00D41BFD" w:rsidTr="00650EC8">
        <w:trPr>
          <w:cantSplit/>
        </w:trPr>
        <w:tc>
          <w:tcPr>
            <w:tcW w:w="2427" w:type="pct"/>
          </w:tcPr>
          <w:p w:rsidR="00E2011A" w:rsidRPr="00667307" w:rsidRDefault="00E2011A" w:rsidP="00A0505A">
            <w:pPr>
              <w:jc w:val="both"/>
              <w:rPr>
                <w:rFonts w:eastAsia="Calibri"/>
                <w:sz w:val="20"/>
                <w:lang w:val="fr-CA"/>
              </w:rPr>
            </w:pPr>
            <w:r w:rsidRPr="00667307">
              <w:rPr>
                <w:rFonts w:eastAsia="Calibri"/>
                <w:sz w:val="20"/>
                <w:lang w:val="fr-CA"/>
              </w:rPr>
              <w:lastRenderedPageBreak/>
              <w:t>24 janvier 2012</w:t>
            </w:r>
          </w:p>
          <w:p w:rsidR="00E2011A" w:rsidRPr="00667307" w:rsidRDefault="00E2011A" w:rsidP="00A0505A">
            <w:pPr>
              <w:jc w:val="both"/>
              <w:rPr>
                <w:rFonts w:eastAsia="Calibri"/>
                <w:sz w:val="20"/>
                <w:lang w:val="fr-CA"/>
              </w:rPr>
            </w:pPr>
            <w:r w:rsidRPr="00667307">
              <w:rPr>
                <w:rFonts w:eastAsia="Calibri"/>
                <w:sz w:val="20"/>
                <w:lang w:val="fr-CA"/>
              </w:rPr>
              <w:t>Conseil canadien des relations industrielles</w:t>
            </w:r>
          </w:p>
          <w:p w:rsidR="00E2011A" w:rsidRPr="00667307" w:rsidRDefault="00E2011A" w:rsidP="00A0505A">
            <w:pPr>
              <w:jc w:val="both"/>
              <w:rPr>
                <w:rFonts w:eastAsia="Calibri"/>
                <w:sz w:val="20"/>
                <w:lang w:val="fr-CA"/>
              </w:rPr>
            </w:pPr>
            <w:r w:rsidRPr="00667307">
              <w:rPr>
                <w:rFonts w:eastAsia="Calibri"/>
                <w:sz w:val="20"/>
                <w:lang w:val="fr-CA"/>
              </w:rPr>
              <w:t xml:space="preserve">(Elizabeth MacPherson, André Lecavalier, </w:t>
            </w:r>
          </w:p>
          <w:p w:rsidR="00E2011A" w:rsidRPr="00667307" w:rsidRDefault="00E2011A" w:rsidP="00A0505A">
            <w:pPr>
              <w:jc w:val="both"/>
              <w:rPr>
                <w:rFonts w:eastAsia="Calibri"/>
                <w:sz w:val="20"/>
                <w:lang w:val="fr-CA"/>
              </w:rPr>
            </w:pPr>
            <w:r w:rsidRPr="00667307">
              <w:rPr>
                <w:rFonts w:eastAsia="Calibri"/>
                <w:sz w:val="20"/>
                <w:lang w:val="fr-CA"/>
              </w:rPr>
              <w:t>Normand Rivard)</w:t>
            </w:r>
          </w:p>
          <w:p w:rsidR="00E2011A" w:rsidRPr="00667307" w:rsidRDefault="00E2011A" w:rsidP="00A0505A">
            <w:pPr>
              <w:jc w:val="both"/>
              <w:rPr>
                <w:rFonts w:eastAsia="Calibri"/>
                <w:sz w:val="20"/>
                <w:lang w:val="fr-CA"/>
              </w:rPr>
            </w:pPr>
          </w:p>
        </w:tc>
        <w:tc>
          <w:tcPr>
            <w:tcW w:w="243" w:type="pct"/>
          </w:tcPr>
          <w:p w:rsidR="00E2011A" w:rsidRPr="00667307" w:rsidRDefault="00E2011A" w:rsidP="00A0505A">
            <w:pPr>
              <w:jc w:val="both"/>
              <w:rPr>
                <w:rFonts w:eastAsia="Calibri"/>
                <w:sz w:val="20"/>
                <w:lang w:val="fr-CA"/>
              </w:rPr>
            </w:pPr>
          </w:p>
        </w:tc>
        <w:tc>
          <w:tcPr>
            <w:tcW w:w="2330" w:type="pct"/>
          </w:tcPr>
          <w:p w:rsidR="00E2011A" w:rsidRPr="00667307" w:rsidRDefault="00E2011A" w:rsidP="00A0505A">
            <w:pPr>
              <w:jc w:val="both"/>
              <w:rPr>
                <w:rFonts w:eastAsia="Calibri"/>
                <w:sz w:val="20"/>
                <w:lang w:val="fr-CA"/>
              </w:rPr>
            </w:pPr>
            <w:r w:rsidRPr="00667307">
              <w:rPr>
                <w:rFonts w:eastAsia="Calibri"/>
                <w:sz w:val="20"/>
                <w:lang w:val="fr-CA"/>
              </w:rPr>
              <w:t xml:space="preserve">Demande de déclaration d’employeur unique et plainte de pratique déloyale de travail, rejetées pour absence de compétence </w:t>
            </w:r>
          </w:p>
          <w:p w:rsidR="00E2011A" w:rsidRPr="00667307" w:rsidRDefault="00E2011A" w:rsidP="00A0505A">
            <w:pPr>
              <w:jc w:val="both"/>
              <w:rPr>
                <w:rFonts w:eastAsia="Calibri"/>
                <w:sz w:val="20"/>
                <w:lang w:val="fr-CA"/>
              </w:rPr>
            </w:pPr>
          </w:p>
        </w:tc>
      </w:tr>
      <w:tr w:rsidR="00E2011A" w:rsidRPr="00667307" w:rsidTr="00650EC8">
        <w:trPr>
          <w:cantSplit/>
        </w:trPr>
        <w:tc>
          <w:tcPr>
            <w:tcW w:w="2427" w:type="pct"/>
          </w:tcPr>
          <w:p w:rsidR="00E2011A" w:rsidRPr="00667307" w:rsidRDefault="00E2011A" w:rsidP="00A0505A">
            <w:pPr>
              <w:jc w:val="both"/>
              <w:rPr>
                <w:rFonts w:eastAsia="Calibri"/>
                <w:sz w:val="20"/>
                <w:lang w:val="fr-CA"/>
              </w:rPr>
            </w:pPr>
            <w:r w:rsidRPr="00667307">
              <w:rPr>
                <w:rFonts w:eastAsia="Calibri"/>
                <w:sz w:val="20"/>
                <w:lang w:val="fr-CA"/>
              </w:rPr>
              <w:t>14 décembre 2012</w:t>
            </w:r>
          </w:p>
          <w:p w:rsidR="00E2011A" w:rsidRPr="00667307" w:rsidRDefault="00E2011A" w:rsidP="00A0505A">
            <w:pPr>
              <w:jc w:val="both"/>
              <w:rPr>
                <w:rFonts w:eastAsia="Calibri"/>
                <w:sz w:val="20"/>
                <w:lang w:val="fr-CA"/>
              </w:rPr>
            </w:pPr>
            <w:r w:rsidRPr="00667307">
              <w:rPr>
                <w:rFonts w:eastAsia="Calibri"/>
                <w:sz w:val="20"/>
                <w:lang w:val="fr-CA"/>
              </w:rPr>
              <w:t>Cour d’appel fédérale</w:t>
            </w:r>
          </w:p>
          <w:p w:rsidR="00E2011A" w:rsidRPr="00667307" w:rsidRDefault="00E2011A" w:rsidP="00A0505A">
            <w:pPr>
              <w:jc w:val="both"/>
              <w:rPr>
                <w:rFonts w:eastAsia="Calibri"/>
                <w:sz w:val="20"/>
                <w:lang w:val="fr-CA"/>
              </w:rPr>
            </w:pPr>
            <w:r w:rsidRPr="00667307">
              <w:rPr>
                <w:rFonts w:eastAsia="Calibri"/>
                <w:sz w:val="20"/>
                <w:lang w:val="fr-CA"/>
              </w:rPr>
              <w:t>(Juges Blais, Nadon et Trudel)</w:t>
            </w:r>
          </w:p>
          <w:p w:rsidR="00E2011A" w:rsidRPr="00667307" w:rsidRDefault="00E2011A" w:rsidP="00A0505A">
            <w:pPr>
              <w:jc w:val="both"/>
              <w:rPr>
                <w:rFonts w:eastAsia="Calibri"/>
                <w:sz w:val="20"/>
                <w:lang w:val="fr-CA"/>
              </w:rPr>
            </w:pPr>
            <w:r w:rsidRPr="00667307">
              <w:rPr>
                <w:rFonts w:eastAsia="Calibri"/>
                <w:sz w:val="20"/>
                <w:lang w:val="fr-CA"/>
              </w:rPr>
              <w:t>2012 FCA 329; A-67-12</w:t>
            </w:r>
          </w:p>
          <w:p w:rsidR="00E2011A" w:rsidRPr="00667307" w:rsidRDefault="00E2011A" w:rsidP="00A0505A">
            <w:pPr>
              <w:jc w:val="both"/>
              <w:rPr>
                <w:rFonts w:eastAsia="Calibri"/>
                <w:sz w:val="20"/>
                <w:lang w:val="fr-CA"/>
              </w:rPr>
            </w:pPr>
          </w:p>
        </w:tc>
        <w:tc>
          <w:tcPr>
            <w:tcW w:w="243" w:type="pct"/>
          </w:tcPr>
          <w:p w:rsidR="00E2011A" w:rsidRPr="00667307" w:rsidRDefault="00E2011A" w:rsidP="00A0505A">
            <w:pPr>
              <w:jc w:val="both"/>
              <w:rPr>
                <w:rFonts w:eastAsia="Calibri"/>
                <w:sz w:val="20"/>
                <w:lang w:val="fr-CA"/>
              </w:rPr>
            </w:pPr>
          </w:p>
        </w:tc>
        <w:tc>
          <w:tcPr>
            <w:tcW w:w="2330" w:type="pct"/>
          </w:tcPr>
          <w:p w:rsidR="00E2011A" w:rsidRPr="00667307" w:rsidRDefault="00E2011A" w:rsidP="00A0505A">
            <w:pPr>
              <w:jc w:val="both"/>
              <w:rPr>
                <w:rFonts w:eastAsia="Calibri"/>
                <w:sz w:val="20"/>
                <w:lang w:val="fr-CA"/>
              </w:rPr>
            </w:pPr>
            <w:r w:rsidRPr="00667307">
              <w:rPr>
                <w:rFonts w:eastAsia="Calibri"/>
                <w:sz w:val="20"/>
                <w:lang w:val="fr-CA"/>
              </w:rPr>
              <w:t>Demande de contrôle judiciaire, rejetée</w:t>
            </w:r>
          </w:p>
          <w:p w:rsidR="00E2011A" w:rsidRPr="00667307" w:rsidRDefault="00E2011A" w:rsidP="00A0505A">
            <w:pPr>
              <w:jc w:val="both"/>
              <w:rPr>
                <w:rFonts w:eastAsia="Calibri"/>
                <w:sz w:val="20"/>
                <w:lang w:val="fr-CA"/>
              </w:rPr>
            </w:pPr>
          </w:p>
        </w:tc>
      </w:tr>
      <w:tr w:rsidR="00E2011A" w:rsidRPr="00667307" w:rsidTr="00650EC8">
        <w:trPr>
          <w:cantSplit/>
        </w:trPr>
        <w:tc>
          <w:tcPr>
            <w:tcW w:w="2427" w:type="pct"/>
          </w:tcPr>
          <w:p w:rsidR="00E2011A" w:rsidRPr="00667307" w:rsidRDefault="00E2011A" w:rsidP="00A0505A">
            <w:pPr>
              <w:jc w:val="both"/>
              <w:rPr>
                <w:rFonts w:eastAsia="Calibri"/>
                <w:sz w:val="20"/>
                <w:lang w:val="fr-CA"/>
              </w:rPr>
            </w:pPr>
            <w:r w:rsidRPr="00667307">
              <w:rPr>
                <w:rFonts w:eastAsia="Calibri"/>
                <w:sz w:val="20"/>
                <w:lang w:val="fr-CA"/>
              </w:rPr>
              <w:t>6 février 2013</w:t>
            </w:r>
          </w:p>
          <w:p w:rsidR="00E2011A" w:rsidRPr="00667307" w:rsidRDefault="00E2011A" w:rsidP="00A0505A">
            <w:pPr>
              <w:jc w:val="both"/>
              <w:rPr>
                <w:rFonts w:eastAsia="Calibri"/>
                <w:sz w:val="20"/>
                <w:lang w:val="fr-CA"/>
              </w:rPr>
            </w:pPr>
            <w:r w:rsidRPr="00667307">
              <w:rPr>
                <w:rFonts w:eastAsia="Calibri"/>
                <w:sz w:val="20"/>
                <w:lang w:val="fr-CA"/>
              </w:rPr>
              <w:t>Cour suprême du Canada</w:t>
            </w:r>
          </w:p>
        </w:tc>
        <w:tc>
          <w:tcPr>
            <w:tcW w:w="243" w:type="pct"/>
          </w:tcPr>
          <w:p w:rsidR="00E2011A" w:rsidRPr="00667307" w:rsidRDefault="00E2011A" w:rsidP="00A0505A">
            <w:pPr>
              <w:jc w:val="both"/>
              <w:rPr>
                <w:rFonts w:eastAsia="Calibri"/>
                <w:sz w:val="20"/>
                <w:lang w:val="fr-CA"/>
              </w:rPr>
            </w:pPr>
          </w:p>
        </w:tc>
        <w:tc>
          <w:tcPr>
            <w:tcW w:w="2330" w:type="pct"/>
          </w:tcPr>
          <w:p w:rsidR="00E2011A" w:rsidRPr="00667307" w:rsidRDefault="00E2011A" w:rsidP="00A0505A">
            <w:pPr>
              <w:jc w:val="both"/>
              <w:rPr>
                <w:rFonts w:eastAsia="Calibri"/>
                <w:sz w:val="20"/>
                <w:lang w:val="fr-CA"/>
              </w:rPr>
            </w:pPr>
            <w:r w:rsidRPr="00667307">
              <w:rPr>
                <w:rFonts w:eastAsia="Calibri"/>
                <w:sz w:val="20"/>
                <w:lang w:val="fr-CA"/>
              </w:rPr>
              <w:t>Demande d’autorisation d’appel, déposée</w:t>
            </w:r>
          </w:p>
        </w:tc>
      </w:tr>
    </w:tbl>
    <w:p w:rsidR="00AA605C" w:rsidRDefault="00AA605C" w:rsidP="00AA605C">
      <w:pPr>
        <w:rPr>
          <w:sz w:val="20"/>
          <w:szCs w:val="20"/>
        </w:rPr>
      </w:pPr>
    </w:p>
    <w:p w:rsidR="00AA605C" w:rsidRDefault="00B3404D" w:rsidP="00AA605C">
      <w:pPr>
        <w:rPr>
          <w:sz w:val="20"/>
          <w:szCs w:val="20"/>
          <w:lang w:val="fr-CA"/>
        </w:rPr>
      </w:pPr>
      <w:r w:rsidRPr="00B3404D">
        <w:rPr>
          <w:sz w:val="20"/>
          <w:szCs w:val="20"/>
          <w:lang w:val="fr-CA"/>
        </w:rPr>
        <w:pict>
          <v:rect id="_x0000_i1055" style="width:2in;height:1pt" o:hrpct="0" o:hralign="center" o:hrstd="t" o:hrnoshade="t" o:hr="t" fillcolor="black [3213]" stroked="f"/>
        </w:pict>
      </w:r>
    </w:p>
    <w:p w:rsidR="00AA605C" w:rsidRDefault="00AA605C" w:rsidP="00AA605C">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50EC8" w:rsidRPr="00650EC8" w:rsidTr="00A61B52">
        <w:trPr>
          <w:cantSplit/>
        </w:trPr>
        <w:tc>
          <w:tcPr>
            <w:tcW w:w="1458" w:type="dxa"/>
          </w:tcPr>
          <w:p w:rsidR="00650EC8" w:rsidRPr="00650EC8" w:rsidRDefault="00650EC8" w:rsidP="00650EC8">
            <w:pPr>
              <w:rPr>
                <w:sz w:val="20"/>
                <w:szCs w:val="20"/>
              </w:rPr>
            </w:pPr>
            <w:r w:rsidRPr="00650EC8">
              <w:rPr>
                <w:b/>
                <w:sz w:val="20"/>
                <w:lang w:val="fr-CA"/>
              </w:rPr>
              <w:t>35228</w:t>
            </w:r>
          </w:p>
          <w:p w:rsidR="00650EC8" w:rsidRPr="00650EC8" w:rsidRDefault="00650EC8" w:rsidP="00650EC8">
            <w:pPr>
              <w:rPr>
                <w:b/>
                <w:sz w:val="20"/>
                <w:szCs w:val="20"/>
                <w:lang w:val="fr-CA"/>
              </w:rPr>
            </w:pPr>
          </w:p>
        </w:tc>
        <w:tc>
          <w:tcPr>
            <w:tcW w:w="8118" w:type="dxa"/>
          </w:tcPr>
          <w:p w:rsidR="00650EC8" w:rsidRPr="00650EC8" w:rsidRDefault="00650EC8" w:rsidP="00650EC8">
            <w:pPr>
              <w:rPr>
                <w:sz w:val="20"/>
                <w:szCs w:val="20"/>
              </w:rPr>
            </w:pPr>
            <w:r w:rsidRPr="00650EC8">
              <w:rPr>
                <w:b/>
                <w:sz w:val="20"/>
                <w:u w:val="single"/>
              </w:rPr>
              <w:t>Barry Boyne v. Her Majesty the Queen</w:t>
            </w:r>
            <w:r w:rsidRPr="00650EC8">
              <w:rPr>
                <w:sz w:val="20"/>
                <w:szCs w:val="20"/>
              </w:rPr>
              <w:t xml:space="preserve"> (Sask.) (Criminal) (By Leave)</w:t>
            </w:r>
          </w:p>
          <w:p w:rsidR="00650EC8" w:rsidRPr="00650EC8" w:rsidRDefault="00650EC8" w:rsidP="00650EC8">
            <w:pPr>
              <w:rPr>
                <w:sz w:val="20"/>
                <w:szCs w:val="20"/>
              </w:rPr>
            </w:pPr>
          </w:p>
        </w:tc>
      </w:tr>
      <w:tr w:rsidR="00650EC8" w:rsidRPr="00650EC8" w:rsidTr="00A61B52">
        <w:trPr>
          <w:cantSplit/>
        </w:trPr>
        <w:tc>
          <w:tcPr>
            <w:tcW w:w="1458" w:type="dxa"/>
          </w:tcPr>
          <w:p w:rsidR="00650EC8" w:rsidRPr="00650EC8" w:rsidRDefault="00650EC8" w:rsidP="00650EC8">
            <w:pPr>
              <w:rPr>
                <w:sz w:val="20"/>
                <w:szCs w:val="20"/>
              </w:rPr>
            </w:pPr>
            <w:r w:rsidRPr="00650EC8">
              <w:rPr>
                <w:sz w:val="20"/>
                <w:szCs w:val="20"/>
              </w:rPr>
              <w:t>Coram :</w:t>
            </w:r>
          </w:p>
        </w:tc>
        <w:tc>
          <w:tcPr>
            <w:tcW w:w="8118" w:type="dxa"/>
          </w:tcPr>
          <w:p w:rsidR="00650EC8" w:rsidRPr="00650EC8" w:rsidRDefault="00650EC8" w:rsidP="00650EC8">
            <w:pPr>
              <w:rPr>
                <w:sz w:val="20"/>
                <w:szCs w:val="20"/>
              </w:rPr>
            </w:pPr>
            <w:r w:rsidRPr="00650EC8">
              <w:rPr>
                <w:sz w:val="20"/>
                <w:u w:val="single"/>
              </w:rPr>
              <w:t>McLachlin C.J. and Abella and Cromwell JJ.</w:t>
            </w:r>
          </w:p>
          <w:p w:rsidR="00650EC8" w:rsidRPr="00650EC8" w:rsidRDefault="00650EC8" w:rsidP="00650EC8">
            <w:pPr>
              <w:rPr>
                <w:sz w:val="20"/>
                <w:szCs w:val="20"/>
                <w:u w:val="single"/>
              </w:rPr>
            </w:pPr>
          </w:p>
        </w:tc>
      </w:tr>
      <w:tr w:rsidR="00650EC8" w:rsidRPr="00D41BFD" w:rsidTr="00A61B52">
        <w:trPr>
          <w:cantSplit/>
        </w:trPr>
        <w:tc>
          <w:tcPr>
            <w:tcW w:w="9576" w:type="dxa"/>
            <w:gridSpan w:val="2"/>
          </w:tcPr>
          <w:p w:rsidR="00650EC8" w:rsidRPr="00650EC8" w:rsidRDefault="00650EC8" w:rsidP="00650EC8">
            <w:pPr>
              <w:ind w:firstLine="720"/>
              <w:jc w:val="both"/>
              <w:rPr>
                <w:sz w:val="20"/>
                <w:szCs w:val="20"/>
              </w:rPr>
            </w:pPr>
            <w:r w:rsidRPr="00650EC8">
              <w:rPr>
                <w:sz w:val="20"/>
                <w:szCs w:val="20"/>
              </w:rPr>
              <w:t>The application for leave to appeal from the judgment of the Court of Appeal for Saskatchewan, Number CACR2050, 2012 SKCA 124, dated December 17, 2012, is dismissed without costs.</w:t>
            </w:r>
          </w:p>
          <w:p w:rsidR="00650EC8" w:rsidRPr="00650EC8" w:rsidRDefault="00650EC8" w:rsidP="00650EC8">
            <w:pPr>
              <w:jc w:val="both"/>
              <w:rPr>
                <w:sz w:val="20"/>
                <w:szCs w:val="20"/>
              </w:rPr>
            </w:pPr>
          </w:p>
          <w:p w:rsidR="00650EC8" w:rsidRPr="00650EC8" w:rsidRDefault="00650EC8" w:rsidP="00650EC8">
            <w:pPr>
              <w:ind w:firstLine="720"/>
              <w:jc w:val="both"/>
              <w:rPr>
                <w:sz w:val="20"/>
                <w:szCs w:val="20"/>
                <w:lang w:val="fr-CA"/>
              </w:rPr>
            </w:pPr>
            <w:r w:rsidRPr="00650EC8">
              <w:rPr>
                <w:sz w:val="20"/>
                <w:szCs w:val="20"/>
                <w:lang w:val="fr-CA"/>
              </w:rPr>
              <w:t>La demande d’autorisation d’appel de l’arrêt de la Cour d’appel de la Saskatchewan, numéro CACR2050, 2012 SKCA 124, daté du 17 décembre 2012, est rejetée sans dépens.</w:t>
            </w:r>
          </w:p>
        </w:tc>
      </w:tr>
    </w:tbl>
    <w:p w:rsidR="00AA605C" w:rsidRPr="00650EC8" w:rsidRDefault="00AA605C" w:rsidP="00AA605C">
      <w:pPr>
        <w:rPr>
          <w:sz w:val="20"/>
          <w:szCs w:val="20"/>
          <w:lang w:val="fr-CA"/>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2011A" w:rsidRPr="00667307" w:rsidTr="00A0505A">
        <w:tc>
          <w:tcPr>
            <w:tcW w:w="5000" w:type="pct"/>
            <w:gridSpan w:val="3"/>
          </w:tcPr>
          <w:p w:rsidR="00E2011A" w:rsidRPr="00667307" w:rsidRDefault="00E2011A" w:rsidP="00A0505A">
            <w:pPr>
              <w:jc w:val="both"/>
              <w:rPr>
                <w:rFonts w:eastAsia="Calibri"/>
                <w:sz w:val="20"/>
              </w:rPr>
            </w:pPr>
            <w:r w:rsidRPr="00667307">
              <w:rPr>
                <w:rFonts w:eastAsia="Calibri"/>
                <w:i/>
                <w:sz w:val="20"/>
              </w:rPr>
              <w:t>Charter of Rights</w:t>
            </w:r>
            <w:r w:rsidRPr="00667307">
              <w:rPr>
                <w:rFonts w:eastAsia="Calibri"/>
                <w:sz w:val="20"/>
              </w:rPr>
              <w:t xml:space="preserve"> – Fundamental Justice – Right to full answer and defence – Right to disclosure of police service records – Release of judgment before issue of non-disclosure addressed by trial judge – Did Court of Appeal err in holding that Summary Conviction Appeal Court erred by concluding that applicant’s counsel had not received full disclosure and that trial judge further erred by delivering written reasons convicting the applicant, all before even discussing any opportunity to obtain sufficient information respecting what further disclosure should have been forthcoming from the Crown in relation to a police officer’s discipline record as it affected his credibility issues?</w:t>
            </w:r>
          </w:p>
        </w:tc>
      </w:tr>
      <w:tr w:rsidR="00E2011A" w:rsidRPr="00667307" w:rsidTr="00A0505A">
        <w:tc>
          <w:tcPr>
            <w:tcW w:w="5000" w:type="pct"/>
            <w:gridSpan w:val="3"/>
          </w:tcPr>
          <w:p w:rsidR="00E2011A" w:rsidRPr="00667307" w:rsidRDefault="00E2011A" w:rsidP="00A0505A">
            <w:pPr>
              <w:jc w:val="both"/>
              <w:rPr>
                <w:rFonts w:eastAsia="Calibri"/>
                <w:sz w:val="20"/>
              </w:rPr>
            </w:pPr>
          </w:p>
        </w:tc>
      </w:tr>
      <w:tr w:rsidR="00E2011A" w:rsidRPr="00667307" w:rsidTr="00A0505A">
        <w:tc>
          <w:tcPr>
            <w:tcW w:w="5000" w:type="pct"/>
            <w:gridSpan w:val="3"/>
          </w:tcPr>
          <w:p w:rsidR="00E2011A" w:rsidRPr="00667307" w:rsidRDefault="00E2011A" w:rsidP="00A0505A">
            <w:pPr>
              <w:jc w:val="both"/>
              <w:rPr>
                <w:rFonts w:eastAsia="Calibri"/>
                <w:sz w:val="20"/>
              </w:rPr>
            </w:pPr>
            <w:r w:rsidRPr="00667307">
              <w:rPr>
                <w:rFonts w:eastAsia="Calibri"/>
                <w:sz w:val="20"/>
              </w:rPr>
              <w:t>The applicant failed to stop at a police highway check point and collided with two vehicles.  He was charged with impaired driving, driving over .08, dangerous driving, and failing to stop with intent to avoid civil or criminal liability.  Testimony conflicted regarding the distance between the check point and a preceding overpass that obstructed oncoming traffic’s view.  The trial judge found that there was ample time for a driver to identify the check point and to safely stop, in large part based on the testimony of the police officer who organized the check stop.  After trial adjourned for the trial judge’s deliberations, defence counsel read a newspaper article indicating that the police officer had been disciplined in the past.  He queried Crown counsel. Crown counsel discovered that the RCMP had failed to notify the Crown that the officer had been disciplined for disgraceful conduct following a motor vehicle accident involving alcohol.  The Crown disclosed this to defence counsel on the day before the adjourned date but refused to disclose the officer’s service and discipline records.  On the adjourned hearing date, before defence counsel raised the non-disclosure issue, the trial judge released written reasons convicting the applicant.  The trial judge then heard argument on the disclosure issue, refused to order further disclosure and proceeded to convict the applicant.</w:t>
            </w:r>
          </w:p>
          <w:p w:rsidR="00E2011A" w:rsidRPr="00667307" w:rsidRDefault="00E2011A" w:rsidP="00A0505A">
            <w:pPr>
              <w:jc w:val="both"/>
              <w:rPr>
                <w:rFonts w:eastAsia="Calibri"/>
                <w:sz w:val="20"/>
              </w:rPr>
            </w:pPr>
          </w:p>
        </w:tc>
      </w:tr>
      <w:tr w:rsidR="00E2011A" w:rsidRPr="00667307" w:rsidTr="00650EC8">
        <w:trPr>
          <w:cantSplit/>
        </w:trPr>
        <w:tc>
          <w:tcPr>
            <w:tcW w:w="2427" w:type="pct"/>
          </w:tcPr>
          <w:p w:rsidR="00E2011A" w:rsidRPr="00667307" w:rsidRDefault="00E2011A" w:rsidP="00A0505A">
            <w:pPr>
              <w:jc w:val="both"/>
              <w:rPr>
                <w:rFonts w:eastAsia="Calibri"/>
                <w:sz w:val="20"/>
              </w:rPr>
            </w:pPr>
            <w:r w:rsidRPr="00667307">
              <w:rPr>
                <w:rFonts w:eastAsia="Calibri"/>
                <w:sz w:val="20"/>
              </w:rPr>
              <w:lastRenderedPageBreak/>
              <w:t>August 11, 2010</w:t>
            </w:r>
          </w:p>
          <w:p w:rsidR="00E2011A" w:rsidRPr="00667307" w:rsidRDefault="00E2011A" w:rsidP="00A0505A">
            <w:pPr>
              <w:jc w:val="both"/>
              <w:rPr>
                <w:rFonts w:eastAsia="Calibri"/>
                <w:sz w:val="20"/>
              </w:rPr>
            </w:pPr>
            <w:r w:rsidRPr="00667307">
              <w:rPr>
                <w:rFonts w:eastAsia="Calibri"/>
                <w:sz w:val="20"/>
              </w:rPr>
              <w:t>Provincial Court of Saskatchewan</w:t>
            </w:r>
          </w:p>
          <w:p w:rsidR="00E2011A" w:rsidRPr="00667307" w:rsidRDefault="00E2011A" w:rsidP="00A0505A">
            <w:pPr>
              <w:jc w:val="both"/>
              <w:rPr>
                <w:rFonts w:eastAsia="Calibri"/>
                <w:sz w:val="20"/>
              </w:rPr>
            </w:pPr>
            <w:r w:rsidRPr="00667307">
              <w:rPr>
                <w:rFonts w:eastAsia="Calibri"/>
                <w:sz w:val="20"/>
              </w:rPr>
              <w:t>(Agnew J.)</w:t>
            </w:r>
          </w:p>
          <w:p w:rsidR="00E2011A" w:rsidRPr="00667307" w:rsidRDefault="00E2011A" w:rsidP="00A0505A">
            <w:pPr>
              <w:jc w:val="both"/>
              <w:rPr>
                <w:rFonts w:eastAsia="Calibri"/>
                <w:sz w:val="20"/>
              </w:rPr>
            </w:pPr>
            <w:r w:rsidRPr="00667307">
              <w:rPr>
                <w:rFonts w:eastAsia="Calibri"/>
                <w:sz w:val="20"/>
              </w:rPr>
              <w:t>2010 SKPC  109</w:t>
            </w:r>
          </w:p>
          <w:p w:rsidR="00E2011A" w:rsidRPr="00667307" w:rsidRDefault="00E2011A" w:rsidP="00A0505A">
            <w:pPr>
              <w:jc w:val="both"/>
              <w:rPr>
                <w:rFonts w:eastAsia="Calibri"/>
                <w:sz w:val="20"/>
              </w:rPr>
            </w:pPr>
          </w:p>
        </w:tc>
        <w:tc>
          <w:tcPr>
            <w:tcW w:w="243" w:type="pct"/>
          </w:tcPr>
          <w:p w:rsidR="00E2011A" w:rsidRPr="00667307" w:rsidRDefault="00E2011A" w:rsidP="00A0505A">
            <w:pPr>
              <w:jc w:val="both"/>
              <w:rPr>
                <w:rFonts w:eastAsia="Calibri"/>
                <w:sz w:val="20"/>
              </w:rPr>
            </w:pPr>
          </w:p>
        </w:tc>
        <w:tc>
          <w:tcPr>
            <w:tcW w:w="2330" w:type="pct"/>
          </w:tcPr>
          <w:p w:rsidR="00E2011A" w:rsidRPr="00667307" w:rsidRDefault="00E2011A" w:rsidP="00A0505A">
            <w:pPr>
              <w:jc w:val="both"/>
              <w:rPr>
                <w:rFonts w:eastAsia="Calibri"/>
                <w:sz w:val="20"/>
              </w:rPr>
            </w:pPr>
            <w:r w:rsidRPr="00667307">
              <w:rPr>
                <w:rFonts w:eastAsia="Calibri"/>
                <w:sz w:val="20"/>
              </w:rPr>
              <w:t>Convictions for operating a motor vehicle while impaired (s. 253(1)(a)) and operating a motor vehicle in manner dangerous to the public (s. 249(1)(a))</w:t>
            </w:r>
          </w:p>
        </w:tc>
      </w:tr>
      <w:tr w:rsidR="00E2011A" w:rsidRPr="00667307" w:rsidTr="00650EC8">
        <w:trPr>
          <w:cantSplit/>
        </w:trPr>
        <w:tc>
          <w:tcPr>
            <w:tcW w:w="2427" w:type="pct"/>
          </w:tcPr>
          <w:p w:rsidR="00E2011A" w:rsidRPr="00667307" w:rsidRDefault="00E2011A" w:rsidP="00A0505A">
            <w:pPr>
              <w:jc w:val="both"/>
              <w:rPr>
                <w:rFonts w:eastAsia="Calibri"/>
                <w:sz w:val="20"/>
              </w:rPr>
            </w:pPr>
            <w:r w:rsidRPr="00667307">
              <w:rPr>
                <w:rFonts w:eastAsia="Calibri"/>
                <w:sz w:val="20"/>
              </w:rPr>
              <w:t>July 28, 2011</w:t>
            </w:r>
          </w:p>
          <w:p w:rsidR="00E2011A" w:rsidRPr="00667307" w:rsidRDefault="00E2011A" w:rsidP="00A0505A">
            <w:pPr>
              <w:jc w:val="both"/>
              <w:rPr>
                <w:rFonts w:eastAsia="Calibri"/>
                <w:sz w:val="20"/>
              </w:rPr>
            </w:pPr>
            <w:r w:rsidRPr="00667307">
              <w:rPr>
                <w:rFonts w:eastAsia="Calibri"/>
                <w:sz w:val="20"/>
              </w:rPr>
              <w:t>Court of Queen’s Bench of Saskatchewan</w:t>
            </w:r>
          </w:p>
          <w:p w:rsidR="00E2011A" w:rsidRPr="00667307" w:rsidRDefault="00E2011A" w:rsidP="00A0505A">
            <w:pPr>
              <w:jc w:val="both"/>
              <w:rPr>
                <w:rFonts w:eastAsia="Calibri"/>
                <w:sz w:val="20"/>
              </w:rPr>
            </w:pPr>
            <w:r w:rsidRPr="00667307">
              <w:rPr>
                <w:rFonts w:eastAsia="Calibri"/>
                <w:sz w:val="20"/>
              </w:rPr>
              <w:t>(Mills J.)</w:t>
            </w:r>
          </w:p>
          <w:p w:rsidR="00E2011A" w:rsidRPr="00667307" w:rsidRDefault="00E2011A" w:rsidP="00A0505A">
            <w:pPr>
              <w:jc w:val="both"/>
              <w:rPr>
                <w:rFonts w:eastAsia="Calibri"/>
                <w:sz w:val="20"/>
              </w:rPr>
            </w:pPr>
            <w:r w:rsidRPr="00667307">
              <w:rPr>
                <w:rFonts w:eastAsia="Calibri"/>
                <w:sz w:val="20"/>
              </w:rPr>
              <w:t>2011 SKQB 295</w:t>
            </w:r>
          </w:p>
          <w:p w:rsidR="00E2011A" w:rsidRPr="00667307" w:rsidRDefault="00E2011A" w:rsidP="00A0505A">
            <w:pPr>
              <w:jc w:val="both"/>
              <w:rPr>
                <w:rFonts w:eastAsia="Calibri"/>
                <w:sz w:val="20"/>
              </w:rPr>
            </w:pPr>
          </w:p>
        </w:tc>
        <w:tc>
          <w:tcPr>
            <w:tcW w:w="243" w:type="pct"/>
          </w:tcPr>
          <w:p w:rsidR="00E2011A" w:rsidRPr="00667307" w:rsidRDefault="00E2011A" w:rsidP="00A0505A">
            <w:pPr>
              <w:jc w:val="both"/>
              <w:rPr>
                <w:rFonts w:eastAsia="Calibri"/>
                <w:sz w:val="20"/>
              </w:rPr>
            </w:pPr>
          </w:p>
        </w:tc>
        <w:tc>
          <w:tcPr>
            <w:tcW w:w="2330" w:type="pct"/>
          </w:tcPr>
          <w:p w:rsidR="00E2011A" w:rsidRPr="00667307" w:rsidRDefault="00E2011A" w:rsidP="00A0505A">
            <w:pPr>
              <w:jc w:val="both"/>
              <w:rPr>
                <w:rFonts w:eastAsia="Calibri"/>
                <w:sz w:val="20"/>
              </w:rPr>
            </w:pPr>
            <w:r w:rsidRPr="00667307">
              <w:rPr>
                <w:rFonts w:eastAsia="Calibri"/>
                <w:sz w:val="20"/>
              </w:rPr>
              <w:t>Summary conviction appeal allowed, convictions set aside, new trial ordered</w:t>
            </w:r>
          </w:p>
          <w:p w:rsidR="00E2011A" w:rsidRPr="00667307" w:rsidRDefault="00E2011A" w:rsidP="00A0505A">
            <w:pPr>
              <w:jc w:val="both"/>
              <w:rPr>
                <w:rFonts w:eastAsia="Calibri"/>
                <w:sz w:val="20"/>
              </w:rPr>
            </w:pPr>
          </w:p>
        </w:tc>
      </w:tr>
      <w:tr w:rsidR="00E2011A" w:rsidRPr="00667307" w:rsidTr="00650EC8">
        <w:trPr>
          <w:cantSplit/>
        </w:trPr>
        <w:tc>
          <w:tcPr>
            <w:tcW w:w="2427" w:type="pct"/>
          </w:tcPr>
          <w:p w:rsidR="00E2011A" w:rsidRPr="00667307" w:rsidRDefault="00E2011A" w:rsidP="00A0505A">
            <w:pPr>
              <w:jc w:val="both"/>
              <w:rPr>
                <w:rFonts w:eastAsia="Calibri"/>
                <w:sz w:val="20"/>
              </w:rPr>
            </w:pPr>
            <w:r w:rsidRPr="00667307">
              <w:rPr>
                <w:rFonts w:eastAsia="Calibri"/>
                <w:sz w:val="20"/>
              </w:rPr>
              <w:t>December 17, 2012</w:t>
            </w:r>
          </w:p>
          <w:p w:rsidR="00E2011A" w:rsidRPr="00667307" w:rsidRDefault="00E2011A" w:rsidP="00A0505A">
            <w:pPr>
              <w:jc w:val="both"/>
              <w:rPr>
                <w:rFonts w:eastAsia="Calibri"/>
                <w:sz w:val="20"/>
              </w:rPr>
            </w:pPr>
            <w:r w:rsidRPr="00667307">
              <w:rPr>
                <w:rFonts w:eastAsia="Calibri"/>
                <w:sz w:val="20"/>
              </w:rPr>
              <w:t>Court of Appeal for Saskatchewan</w:t>
            </w:r>
          </w:p>
          <w:p w:rsidR="00E2011A" w:rsidRPr="00667307" w:rsidRDefault="00E2011A" w:rsidP="00A0505A">
            <w:pPr>
              <w:jc w:val="both"/>
              <w:rPr>
                <w:rFonts w:eastAsia="Calibri"/>
                <w:sz w:val="20"/>
              </w:rPr>
            </w:pPr>
            <w:r w:rsidRPr="00667307">
              <w:rPr>
                <w:rFonts w:eastAsia="Calibri"/>
                <w:sz w:val="20"/>
              </w:rPr>
              <w:t>(Richards, Ottenbreit, Caldwell JJ.A.)</w:t>
            </w:r>
          </w:p>
          <w:p w:rsidR="00E2011A" w:rsidRPr="00667307" w:rsidRDefault="00E2011A" w:rsidP="00A0505A">
            <w:pPr>
              <w:jc w:val="both"/>
              <w:rPr>
                <w:rFonts w:eastAsia="Calibri"/>
                <w:sz w:val="20"/>
              </w:rPr>
            </w:pPr>
            <w:r w:rsidRPr="00667307">
              <w:rPr>
                <w:rFonts w:eastAsia="Calibri"/>
                <w:sz w:val="20"/>
              </w:rPr>
              <w:t>CACR2050;  2012 SKCA 124</w:t>
            </w:r>
          </w:p>
          <w:p w:rsidR="00E2011A" w:rsidRPr="00667307" w:rsidRDefault="00E2011A" w:rsidP="00A0505A">
            <w:pPr>
              <w:jc w:val="both"/>
              <w:rPr>
                <w:rFonts w:eastAsia="Calibri"/>
                <w:sz w:val="20"/>
              </w:rPr>
            </w:pPr>
          </w:p>
        </w:tc>
        <w:tc>
          <w:tcPr>
            <w:tcW w:w="243" w:type="pct"/>
          </w:tcPr>
          <w:p w:rsidR="00E2011A" w:rsidRPr="00667307" w:rsidRDefault="00E2011A" w:rsidP="00A0505A">
            <w:pPr>
              <w:jc w:val="both"/>
              <w:rPr>
                <w:rFonts w:eastAsia="Calibri"/>
                <w:sz w:val="20"/>
              </w:rPr>
            </w:pPr>
          </w:p>
        </w:tc>
        <w:tc>
          <w:tcPr>
            <w:tcW w:w="2330" w:type="pct"/>
          </w:tcPr>
          <w:p w:rsidR="00E2011A" w:rsidRPr="00667307" w:rsidRDefault="00E2011A" w:rsidP="00A0505A">
            <w:pPr>
              <w:jc w:val="both"/>
              <w:rPr>
                <w:rFonts w:eastAsia="Calibri"/>
                <w:sz w:val="20"/>
              </w:rPr>
            </w:pPr>
            <w:r w:rsidRPr="00667307">
              <w:rPr>
                <w:rFonts w:eastAsia="Calibri"/>
                <w:sz w:val="20"/>
              </w:rPr>
              <w:t>Appeal allowed, convictions restored</w:t>
            </w:r>
          </w:p>
          <w:p w:rsidR="00E2011A" w:rsidRPr="00667307" w:rsidRDefault="00E2011A" w:rsidP="00A0505A">
            <w:pPr>
              <w:jc w:val="both"/>
              <w:rPr>
                <w:rFonts w:eastAsia="Calibri"/>
                <w:sz w:val="20"/>
              </w:rPr>
            </w:pPr>
          </w:p>
        </w:tc>
      </w:tr>
      <w:tr w:rsidR="00E2011A" w:rsidRPr="00667307" w:rsidTr="00650EC8">
        <w:trPr>
          <w:cantSplit/>
        </w:trPr>
        <w:tc>
          <w:tcPr>
            <w:tcW w:w="2427" w:type="pct"/>
          </w:tcPr>
          <w:p w:rsidR="00E2011A" w:rsidRPr="00667307" w:rsidRDefault="00E2011A" w:rsidP="00A0505A">
            <w:pPr>
              <w:jc w:val="both"/>
              <w:rPr>
                <w:rFonts w:eastAsia="Calibri"/>
                <w:sz w:val="20"/>
              </w:rPr>
            </w:pPr>
            <w:r w:rsidRPr="00667307">
              <w:rPr>
                <w:rFonts w:eastAsia="Calibri"/>
                <w:sz w:val="20"/>
              </w:rPr>
              <w:t>February 15, 2013</w:t>
            </w:r>
          </w:p>
          <w:p w:rsidR="00E2011A" w:rsidRPr="00667307" w:rsidRDefault="00E2011A" w:rsidP="00A0505A">
            <w:pPr>
              <w:jc w:val="both"/>
              <w:rPr>
                <w:rFonts w:eastAsia="Calibri"/>
                <w:sz w:val="20"/>
              </w:rPr>
            </w:pPr>
            <w:r w:rsidRPr="00667307">
              <w:rPr>
                <w:rFonts w:eastAsia="Calibri"/>
                <w:sz w:val="20"/>
              </w:rPr>
              <w:t>Supreme Court of Canada</w:t>
            </w:r>
          </w:p>
        </w:tc>
        <w:tc>
          <w:tcPr>
            <w:tcW w:w="243" w:type="pct"/>
          </w:tcPr>
          <w:p w:rsidR="00E2011A" w:rsidRPr="00667307" w:rsidRDefault="00E2011A" w:rsidP="00A0505A">
            <w:pPr>
              <w:jc w:val="both"/>
              <w:rPr>
                <w:rFonts w:eastAsia="Calibri"/>
                <w:sz w:val="20"/>
              </w:rPr>
            </w:pPr>
          </w:p>
        </w:tc>
        <w:tc>
          <w:tcPr>
            <w:tcW w:w="2330" w:type="pct"/>
          </w:tcPr>
          <w:p w:rsidR="00E2011A" w:rsidRPr="00667307" w:rsidRDefault="00E2011A" w:rsidP="00A0505A">
            <w:pPr>
              <w:jc w:val="both"/>
              <w:rPr>
                <w:rFonts w:eastAsia="Calibri"/>
                <w:sz w:val="20"/>
              </w:rPr>
            </w:pPr>
            <w:r w:rsidRPr="00667307">
              <w:rPr>
                <w:rFonts w:eastAsia="Calibri"/>
                <w:sz w:val="20"/>
              </w:rPr>
              <w:t>Application for leave to appeal filed</w:t>
            </w:r>
          </w:p>
          <w:p w:rsidR="00E2011A" w:rsidRPr="00667307" w:rsidRDefault="00E2011A" w:rsidP="00A0505A">
            <w:pPr>
              <w:jc w:val="both"/>
              <w:rPr>
                <w:rFonts w:eastAsia="Calibri"/>
                <w:sz w:val="20"/>
              </w:rPr>
            </w:pP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56"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2011A" w:rsidRPr="00D41BFD" w:rsidTr="00A0505A">
        <w:tc>
          <w:tcPr>
            <w:tcW w:w="5000" w:type="pct"/>
            <w:gridSpan w:val="3"/>
          </w:tcPr>
          <w:p w:rsidR="00E2011A" w:rsidRPr="00667307" w:rsidRDefault="00E2011A" w:rsidP="00A0505A">
            <w:pPr>
              <w:jc w:val="both"/>
              <w:rPr>
                <w:rFonts w:eastAsia="Calibri"/>
                <w:sz w:val="20"/>
                <w:lang w:val="fr-CA"/>
              </w:rPr>
            </w:pPr>
            <w:r w:rsidRPr="00667307">
              <w:rPr>
                <w:rFonts w:eastAsia="Calibri"/>
                <w:i/>
                <w:sz w:val="20"/>
                <w:lang w:val="fr-CA"/>
              </w:rPr>
              <w:t>Charte des droits</w:t>
            </w:r>
            <w:r w:rsidRPr="00667307">
              <w:rPr>
                <w:rFonts w:eastAsia="Calibri"/>
                <w:sz w:val="20"/>
                <w:lang w:val="fr-CA"/>
              </w:rPr>
              <w:t xml:space="preserve"> – Justice fondamentale – Droit à une défense pleine et entière – Droit à la communication des états de service d’un policier – Publication du jugement avant que le juge du procès se penche sur la question de la non-communication  – La Cour d’appel a-t-elle eu tort de statuer que la cour d’appel en matière de poursuites sommaires avait commis une erreur en concluant que l’avocat du demandeur n’avait pas obtenu la communication complète et que le juge du procès avait commis une autre erreur en rendant des motifs écrits déclarant le demandeur coupable, le tout avant même de discuter de l’occasion d’obtenir des renseignements suffisants relativement aux autres communications qui auraient dû être faites par le ministère public en lien avec le dossier disciplinaire d’un policier en ce qui concerne les questions de sa crédibilité?</w:t>
            </w:r>
          </w:p>
        </w:tc>
      </w:tr>
      <w:tr w:rsidR="00E2011A" w:rsidRPr="00D41BFD" w:rsidTr="00A0505A">
        <w:tc>
          <w:tcPr>
            <w:tcW w:w="5000" w:type="pct"/>
            <w:gridSpan w:val="3"/>
          </w:tcPr>
          <w:p w:rsidR="00E2011A" w:rsidRPr="00667307" w:rsidRDefault="00E2011A" w:rsidP="00A0505A">
            <w:pPr>
              <w:jc w:val="both"/>
              <w:rPr>
                <w:rFonts w:eastAsia="Calibri"/>
                <w:sz w:val="20"/>
                <w:lang w:val="fr-CA"/>
              </w:rPr>
            </w:pPr>
          </w:p>
        </w:tc>
      </w:tr>
      <w:tr w:rsidR="00E2011A" w:rsidRPr="00D41BFD" w:rsidTr="00A0505A">
        <w:tc>
          <w:tcPr>
            <w:tcW w:w="5000" w:type="pct"/>
            <w:gridSpan w:val="3"/>
          </w:tcPr>
          <w:p w:rsidR="00E2011A" w:rsidRPr="00667307" w:rsidRDefault="00E2011A" w:rsidP="00A0505A">
            <w:pPr>
              <w:jc w:val="both"/>
              <w:rPr>
                <w:rFonts w:eastAsia="Calibri"/>
                <w:sz w:val="20"/>
                <w:lang w:val="fr-CA"/>
              </w:rPr>
            </w:pPr>
            <w:r w:rsidRPr="00667307">
              <w:rPr>
                <w:rFonts w:eastAsia="Calibri"/>
                <w:sz w:val="20"/>
                <w:lang w:val="fr-CA"/>
              </w:rPr>
              <w:t>Le demandeur a omis de s’arrêter à un barrage routier de la police et est entré en collision avec deux véhicules.  Il a été accusé de conduite avec facultés affaiblies, de conduite avec une alcoolémie supérieure à ,08, de conduite dangereuse et d’avoir omis de s’arrêter avec l’intention d’éviter la responsabilité civile ou criminelle.  Les témoignages divergeaient sur la distance entre le barrage routier et un saut-de-mouton qui le précédait et qui obstruait la visibilité des véhicules venant en sens inverse.  Le juge du procès a conclu qu’un conducteur avait amplement le temps d’apercevoir le barrage routier et de s’arrêter en toute sécurité, en s’appuyant dans une large mesure sur le témoignage du policier qui avait organisé le barrage routier.  Après l’ajournement du procès pour permettre au juge de prendre l’affaire en délibéré, l’avocat de la défense a lu un article de journal indiquant que le policier en question avait été l’objet de mesures disciplinaires par le passé.  Il a posé des questions au procureur de la Couronne. Le procureur de la Couronne a découvert que la GRC avait omis d’aviser le ministère public que l’agent en question avait été l’objet de mesures disciplinaires pour conduite déshonorante à la suite d’un accident de la route où l’alcool était en cause.  Le ministère public a communiqué ce renseignement à l’avocat de la défense la veille de la date de reprise du procès, mais a refusé de divulguer les états de service et le dossier disciplinaire de l’agent.  À la date de reprise du procès, avant que l’avocat de la défense soulève la question de la non-communication, le juge du procès a publié les motifs écrits pour lesquels il déclarait le demandeur coupable.  Le juge du procès a alors entendu les arguments sur la question de la communication, il refusé d’ordonner toute autre communication et a déclaré le demandeur coupable.</w:t>
            </w:r>
          </w:p>
          <w:p w:rsidR="00E2011A" w:rsidRPr="00667307" w:rsidRDefault="00E2011A" w:rsidP="00A0505A">
            <w:pPr>
              <w:jc w:val="both"/>
              <w:rPr>
                <w:rFonts w:eastAsia="Calibri"/>
                <w:sz w:val="20"/>
                <w:lang w:val="fr-CA"/>
              </w:rPr>
            </w:pPr>
          </w:p>
        </w:tc>
      </w:tr>
      <w:tr w:rsidR="00E2011A" w:rsidRPr="00916DDE" w:rsidTr="00650EC8">
        <w:trPr>
          <w:cantSplit/>
        </w:trPr>
        <w:tc>
          <w:tcPr>
            <w:tcW w:w="2427" w:type="pct"/>
          </w:tcPr>
          <w:p w:rsidR="00E2011A" w:rsidRPr="00667307" w:rsidRDefault="00E2011A" w:rsidP="00A0505A">
            <w:pPr>
              <w:jc w:val="both"/>
              <w:rPr>
                <w:rFonts w:eastAsia="Calibri"/>
                <w:sz w:val="20"/>
                <w:lang w:val="fr-CA"/>
              </w:rPr>
            </w:pPr>
            <w:r w:rsidRPr="00667307">
              <w:rPr>
                <w:rFonts w:eastAsia="Calibri"/>
                <w:sz w:val="20"/>
                <w:lang w:val="fr-CA"/>
              </w:rPr>
              <w:lastRenderedPageBreak/>
              <w:t>11 août 2010</w:t>
            </w:r>
          </w:p>
          <w:p w:rsidR="00E2011A" w:rsidRPr="00667307" w:rsidRDefault="00E2011A" w:rsidP="00A0505A">
            <w:pPr>
              <w:jc w:val="both"/>
              <w:rPr>
                <w:rFonts w:eastAsia="Calibri"/>
                <w:sz w:val="20"/>
                <w:lang w:val="fr-CA"/>
              </w:rPr>
            </w:pPr>
            <w:r w:rsidRPr="00667307">
              <w:rPr>
                <w:rFonts w:eastAsia="Calibri"/>
                <w:sz w:val="20"/>
                <w:lang w:val="fr-CA"/>
              </w:rPr>
              <w:t>Cour provinciale de la Saskatchewan</w:t>
            </w:r>
          </w:p>
          <w:p w:rsidR="00E2011A" w:rsidRPr="00667307" w:rsidRDefault="00E2011A" w:rsidP="00A0505A">
            <w:pPr>
              <w:jc w:val="both"/>
              <w:rPr>
                <w:rFonts w:eastAsia="Calibri"/>
                <w:sz w:val="20"/>
                <w:lang w:val="fr-CA"/>
              </w:rPr>
            </w:pPr>
            <w:r w:rsidRPr="00667307">
              <w:rPr>
                <w:rFonts w:eastAsia="Calibri"/>
                <w:sz w:val="20"/>
                <w:lang w:val="fr-CA"/>
              </w:rPr>
              <w:t>(Juge Agnew)</w:t>
            </w:r>
          </w:p>
          <w:p w:rsidR="00E2011A" w:rsidRPr="00667307" w:rsidRDefault="00E2011A" w:rsidP="00A0505A">
            <w:pPr>
              <w:jc w:val="both"/>
              <w:rPr>
                <w:rFonts w:eastAsia="Calibri"/>
                <w:sz w:val="20"/>
                <w:lang w:val="fr-CA"/>
              </w:rPr>
            </w:pPr>
            <w:r w:rsidRPr="00667307">
              <w:rPr>
                <w:rFonts w:eastAsia="Calibri"/>
                <w:sz w:val="20"/>
                <w:lang w:val="fr-CA"/>
              </w:rPr>
              <w:t>2010 SKPC  109</w:t>
            </w:r>
          </w:p>
          <w:p w:rsidR="00E2011A" w:rsidRPr="00667307" w:rsidRDefault="00E2011A" w:rsidP="00A0505A">
            <w:pPr>
              <w:jc w:val="both"/>
              <w:rPr>
                <w:rFonts w:eastAsia="Calibri"/>
                <w:sz w:val="20"/>
                <w:lang w:val="fr-CA"/>
              </w:rPr>
            </w:pPr>
          </w:p>
        </w:tc>
        <w:tc>
          <w:tcPr>
            <w:tcW w:w="243" w:type="pct"/>
          </w:tcPr>
          <w:p w:rsidR="00E2011A" w:rsidRPr="00667307" w:rsidRDefault="00E2011A" w:rsidP="00A0505A">
            <w:pPr>
              <w:jc w:val="both"/>
              <w:rPr>
                <w:rFonts w:eastAsia="Calibri"/>
                <w:sz w:val="20"/>
                <w:lang w:val="fr-CA"/>
              </w:rPr>
            </w:pPr>
          </w:p>
        </w:tc>
        <w:tc>
          <w:tcPr>
            <w:tcW w:w="2330" w:type="pct"/>
          </w:tcPr>
          <w:p w:rsidR="00E2011A" w:rsidRPr="00667307" w:rsidRDefault="00E2011A" w:rsidP="00A0505A">
            <w:pPr>
              <w:jc w:val="both"/>
              <w:rPr>
                <w:rFonts w:eastAsia="Calibri"/>
                <w:sz w:val="20"/>
                <w:lang w:val="fr-CA"/>
              </w:rPr>
            </w:pPr>
            <w:r w:rsidRPr="00667307">
              <w:rPr>
                <w:rFonts w:eastAsia="Calibri"/>
                <w:sz w:val="20"/>
                <w:lang w:val="fr-CA"/>
              </w:rPr>
              <w:t>Déclarations de culpabilité de conduite avec facultés affaiblies (al. 253(1)</w:t>
            </w:r>
            <w:r w:rsidRPr="00667307">
              <w:rPr>
                <w:rFonts w:eastAsia="Calibri"/>
                <w:i/>
                <w:sz w:val="20"/>
                <w:lang w:val="fr-CA"/>
              </w:rPr>
              <w:t>a)</w:t>
            </w:r>
            <w:r w:rsidRPr="00667307">
              <w:rPr>
                <w:rFonts w:eastAsia="Calibri"/>
                <w:sz w:val="20"/>
                <w:lang w:val="fr-CA"/>
              </w:rPr>
              <w:t>) et de conduite d’une façon dangereuse pour le public (al. 249(1)</w:t>
            </w:r>
            <w:r w:rsidRPr="00667307">
              <w:rPr>
                <w:rFonts w:eastAsia="Calibri"/>
                <w:i/>
                <w:sz w:val="20"/>
                <w:lang w:val="fr-CA"/>
              </w:rPr>
              <w:t>a)</w:t>
            </w:r>
            <w:r w:rsidRPr="00667307">
              <w:rPr>
                <w:rFonts w:eastAsia="Calibri"/>
                <w:sz w:val="20"/>
                <w:lang w:val="fr-CA"/>
              </w:rPr>
              <w:t>)</w:t>
            </w:r>
          </w:p>
        </w:tc>
      </w:tr>
      <w:tr w:rsidR="00E2011A" w:rsidRPr="00D41BFD" w:rsidTr="00650EC8">
        <w:trPr>
          <w:cantSplit/>
        </w:trPr>
        <w:tc>
          <w:tcPr>
            <w:tcW w:w="2427" w:type="pct"/>
          </w:tcPr>
          <w:p w:rsidR="00E2011A" w:rsidRPr="00667307" w:rsidRDefault="00E2011A" w:rsidP="00A0505A">
            <w:pPr>
              <w:jc w:val="both"/>
              <w:rPr>
                <w:rFonts w:eastAsia="Calibri"/>
                <w:sz w:val="20"/>
                <w:lang w:val="fr-CA"/>
              </w:rPr>
            </w:pPr>
            <w:r w:rsidRPr="00667307">
              <w:rPr>
                <w:rFonts w:eastAsia="Calibri"/>
                <w:sz w:val="20"/>
                <w:lang w:val="fr-CA"/>
              </w:rPr>
              <w:t>28 juillet 2011</w:t>
            </w:r>
          </w:p>
          <w:p w:rsidR="00E2011A" w:rsidRPr="00667307" w:rsidRDefault="00E2011A" w:rsidP="00A0505A">
            <w:pPr>
              <w:jc w:val="both"/>
              <w:rPr>
                <w:rFonts w:eastAsia="Calibri"/>
                <w:sz w:val="20"/>
                <w:lang w:val="fr-CA"/>
              </w:rPr>
            </w:pPr>
            <w:r w:rsidRPr="00667307">
              <w:rPr>
                <w:rFonts w:eastAsia="Calibri"/>
                <w:sz w:val="20"/>
                <w:lang w:val="fr-CA"/>
              </w:rPr>
              <w:t>Cour du Banc de la Reine de la Saskatchewan</w:t>
            </w:r>
          </w:p>
          <w:p w:rsidR="00E2011A" w:rsidRPr="00667307" w:rsidRDefault="00E2011A" w:rsidP="00A0505A">
            <w:pPr>
              <w:jc w:val="both"/>
              <w:rPr>
                <w:rFonts w:eastAsia="Calibri"/>
                <w:sz w:val="20"/>
                <w:lang w:val="fr-CA"/>
              </w:rPr>
            </w:pPr>
            <w:r w:rsidRPr="00667307">
              <w:rPr>
                <w:rFonts w:eastAsia="Calibri"/>
                <w:sz w:val="20"/>
                <w:lang w:val="fr-CA"/>
              </w:rPr>
              <w:t>(Juge Mills</w:t>
            </w:r>
            <w:bookmarkStart w:id="4" w:name="_GoBack"/>
            <w:bookmarkEnd w:id="4"/>
            <w:r w:rsidRPr="00667307">
              <w:rPr>
                <w:rFonts w:eastAsia="Calibri"/>
                <w:sz w:val="20"/>
                <w:lang w:val="fr-CA"/>
              </w:rPr>
              <w:t>)</w:t>
            </w:r>
          </w:p>
          <w:p w:rsidR="00E2011A" w:rsidRPr="00667307" w:rsidRDefault="00E2011A" w:rsidP="00A0505A">
            <w:pPr>
              <w:jc w:val="both"/>
              <w:rPr>
                <w:rFonts w:eastAsia="Calibri"/>
                <w:sz w:val="20"/>
                <w:lang w:val="fr-CA"/>
              </w:rPr>
            </w:pPr>
            <w:r w:rsidRPr="00667307">
              <w:rPr>
                <w:rFonts w:eastAsia="Calibri"/>
                <w:sz w:val="20"/>
                <w:lang w:val="fr-CA"/>
              </w:rPr>
              <w:t>2011 SKQB 295</w:t>
            </w:r>
          </w:p>
          <w:p w:rsidR="00E2011A" w:rsidRPr="00667307" w:rsidRDefault="00E2011A" w:rsidP="00A0505A">
            <w:pPr>
              <w:jc w:val="both"/>
              <w:rPr>
                <w:rFonts w:eastAsia="Calibri"/>
                <w:sz w:val="20"/>
                <w:lang w:val="fr-CA"/>
              </w:rPr>
            </w:pPr>
          </w:p>
        </w:tc>
        <w:tc>
          <w:tcPr>
            <w:tcW w:w="243" w:type="pct"/>
          </w:tcPr>
          <w:p w:rsidR="00E2011A" w:rsidRPr="00667307" w:rsidRDefault="00E2011A" w:rsidP="00A0505A">
            <w:pPr>
              <w:jc w:val="both"/>
              <w:rPr>
                <w:rFonts w:eastAsia="Calibri"/>
                <w:sz w:val="20"/>
                <w:lang w:val="fr-CA"/>
              </w:rPr>
            </w:pPr>
          </w:p>
        </w:tc>
        <w:tc>
          <w:tcPr>
            <w:tcW w:w="2330" w:type="pct"/>
          </w:tcPr>
          <w:p w:rsidR="00E2011A" w:rsidRPr="00667307" w:rsidRDefault="00E2011A" w:rsidP="00A0505A">
            <w:pPr>
              <w:jc w:val="both"/>
              <w:rPr>
                <w:rFonts w:eastAsia="Calibri"/>
                <w:sz w:val="20"/>
                <w:lang w:val="fr-CA"/>
              </w:rPr>
            </w:pPr>
            <w:r w:rsidRPr="00667307">
              <w:rPr>
                <w:rFonts w:eastAsia="Calibri"/>
                <w:sz w:val="20"/>
                <w:lang w:val="fr-CA"/>
              </w:rPr>
              <w:t xml:space="preserve">Appel en matière de poursuites sommaires, accueilli, déclarations de culpabilité annulées, nouveau procès ordonné </w:t>
            </w:r>
          </w:p>
          <w:p w:rsidR="00E2011A" w:rsidRPr="00667307" w:rsidRDefault="00E2011A" w:rsidP="00A0505A">
            <w:pPr>
              <w:jc w:val="both"/>
              <w:rPr>
                <w:rFonts w:eastAsia="Calibri"/>
                <w:sz w:val="20"/>
                <w:lang w:val="fr-CA"/>
              </w:rPr>
            </w:pPr>
          </w:p>
        </w:tc>
      </w:tr>
      <w:tr w:rsidR="00E2011A" w:rsidRPr="00D41BFD" w:rsidTr="00650EC8">
        <w:trPr>
          <w:cantSplit/>
        </w:trPr>
        <w:tc>
          <w:tcPr>
            <w:tcW w:w="2427" w:type="pct"/>
          </w:tcPr>
          <w:p w:rsidR="00E2011A" w:rsidRPr="00667307" w:rsidRDefault="00E2011A" w:rsidP="00A0505A">
            <w:pPr>
              <w:jc w:val="both"/>
              <w:rPr>
                <w:rFonts w:eastAsia="Calibri"/>
                <w:sz w:val="20"/>
                <w:lang w:val="fr-CA"/>
              </w:rPr>
            </w:pPr>
            <w:r w:rsidRPr="00667307">
              <w:rPr>
                <w:rFonts w:eastAsia="Calibri"/>
                <w:sz w:val="20"/>
                <w:lang w:val="fr-CA"/>
              </w:rPr>
              <w:t>17 décembre 2012</w:t>
            </w:r>
          </w:p>
          <w:p w:rsidR="00E2011A" w:rsidRPr="00667307" w:rsidRDefault="00E2011A" w:rsidP="00A0505A">
            <w:pPr>
              <w:jc w:val="both"/>
              <w:rPr>
                <w:rFonts w:eastAsia="Calibri"/>
                <w:sz w:val="20"/>
                <w:lang w:val="fr-CA"/>
              </w:rPr>
            </w:pPr>
            <w:r w:rsidRPr="00667307">
              <w:rPr>
                <w:rFonts w:eastAsia="Calibri"/>
                <w:sz w:val="20"/>
                <w:lang w:val="fr-CA"/>
              </w:rPr>
              <w:t>Cour d’appel de la Saskatchewan</w:t>
            </w:r>
          </w:p>
          <w:p w:rsidR="00E2011A" w:rsidRPr="00667307" w:rsidRDefault="00E2011A" w:rsidP="00A0505A">
            <w:pPr>
              <w:jc w:val="both"/>
              <w:rPr>
                <w:rFonts w:eastAsia="Calibri"/>
                <w:sz w:val="20"/>
                <w:lang w:val="fr-CA"/>
              </w:rPr>
            </w:pPr>
            <w:r w:rsidRPr="00667307">
              <w:rPr>
                <w:rFonts w:eastAsia="Calibri"/>
                <w:sz w:val="20"/>
                <w:lang w:val="fr-CA"/>
              </w:rPr>
              <w:t>(Juges Richards, Ottenbreit et Caldwell)</w:t>
            </w:r>
          </w:p>
          <w:p w:rsidR="00E2011A" w:rsidRPr="00667307" w:rsidRDefault="00E2011A" w:rsidP="00A0505A">
            <w:pPr>
              <w:jc w:val="both"/>
              <w:rPr>
                <w:rFonts w:eastAsia="Calibri"/>
                <w:sz w:val="20"/>
                <w:lang w:val="fr-CA"/>
              </w:rPr>
            </w:pPr>
            <w:r w:rsidRPr="00667307">
              <w:rPr>
                <w:rFonts w:eastAsia="Calibri"/>
                <w:sz w:val="20"/>
                <w:lang w:val="fr-CA"/>
              </w:rPr>
              <w:t>CACR2050;  2012 SKCA 124</w:t>
            </w:r>
          </w:p>
          <w:p w:rsidR="00E2011A" w:rsidRPr="00667307" w:rsidRDefault="00E2011A" w:rsidP="00A0505A">
            <w:pPr>
              <w:jc w:val="both"/>
              <w:rPr>
                <w:rFonts w:eastAsia="Calibri"/>
                <w:sz w:val="20"/>
                <w:lang w:val="fr-CA"/>
              </w:rPr>
            </w:pPr>
          </w:p>
        </w:tc>
        <w:tc>
          <w:tcPr>
            <w:tcW w:w="243" w:type="pct"/>
          </w:tcPr>
          <w:p w:rsidR="00E2011A" w:rsidRPr="00667307" w:rsidRDefault="00E2011A" w:rsidP="00A0505A">
            <w:pPr>
              <w:jc w:val="both"/>
              <w:rPr>
                <w:rFonts w:eastAsia="Calibri"/>
                <w:sz w:val="20"/>
                <w:lang w:val="fr-CA"/>
              </w:rPr>
            </w:pPr>
          </w:p>
        </w:tc>
        <w:tc>
          <w:tcPr>
            <w:tcW w:w="2330" w:type="pct"/>
          </w:tcPr>
          <w:p w:rsidR="00E2011A" w:rsidRPr="00667307" w:rsidRDefault="00E2011A" w:rsidP="00A0505A">
            <w:pPr>
              <w:jc w:val="both"/>
              <w:rPr>
                <w:rFonts w:eastAsia="Calibri"/>
                <w:sz w:val="20"/>
                <w:lang w:val="fr-CA"/>
              </w:rPr>
            </w:pPr>
            <w:r w:rsidRPr="00667307">
              <w:rPr>
                <w:rFonts w:eastAsia="Calibri"/>
                <w:sz w:val="20"/>
                <w:lang w:val="fr-CA"/>
              </w:rPr>
              <w:t>Appel accueilli, déclarations de culpabilité rétablies</w:t>
            </w:r>
          </w:p>
          <w:p w:rsidR="00E2011A" w:rsidRPr="00667307" w:rsidRDefault="00E2011A" w:rsidP="00A0505A">
            <w:pPr>
              <w:jc w:val="both"/>
              <w:rPr>
                <w:rFonts w:eastAsia="Calibri"/>
                <w:sz w:val="20"/>
                <w:lang w:val="fr-CA"/>
              </w:rPr>
            </w:pPr>
          </w:p>
        </w:tc>
      </w:tr>
      <w:tr w:rsidR="00E2011A" w:rsidRPr="00667307" w:rsidTr="00650EC8">
        <w:trPr>
          <w:cantSplit/>
        </w:trPr>
        <w:tc>
          <w:tcPr>
            <w:tcW w:w="2427" w:type="pct"/>
          </w:tcPr>
          <w:p w:rsidR="00E2011A" w:rsidRPr="00667307" w:rsidRDefault="00E2011A" w:rsidP="00A0505A">
            <w:pPr>
              <w:jc w:val="both"/>
              <w:rPr>
                <w:rFonts w:eastAsia="Calibri"/>
                <w:sz w:val="20"/>
                <w:lang w:val="fr-CA"/>
              </w:rPr>
            </w:pPr>
            <w:r w:rsidRPr="00667307">
              <w:rPr>
                <w:rFonts w:eastAsia="Calibri"/>
                <w:sz w:val="20"/>
                <w:lang w:val="fr-CA"/>
              </w:rPr>
              <w:t>15 février 2013</w:t>
            </w:r>
          </w:p>
          <w:p w:rsidR="00E2011A" w:rsidRPr="00667307" w:rsidRDefault="00E2011A" w:rsidP="00A0505A">
            <w:pPr>
              <w:jc w:val="both"/>
              <w:rPr>
                <w:rFonts w:eastAsia="Calibri"/>
                <w:sz w:val="20"/>
                <w:lang w:val="fr-CA"/>
              </w:rPr>
            </w:pPr>
            <w:r w:rsidRPr="00667307">
              <w:rPr>
                <w:rFonts w:eastAsia="Calibri"/>
                <w:sz w:val="20"/>
                <w:lang w:val="fr-CA"/>
              </w:rPr>
              <w:t>Cour suprême du Canada</w:t>
            </w:r>
          </w:p>
        </w:tc>
        <w:tc>
          <w:tcPr>
            <w:tcW w:w="243" w:type="pct"/>
          </w:tcPr>
          <w:p w:rsidR="00E2011A" w:rsidRPr="00667307" w:rsidRDefault="00E2011A" w:rsidP="00A0505A">
            <w:pPr>
              <w:jc w:val="both"/>
              <w:rPr>
                <w:rFonts w:eastAsia="Calibri"/>
                <w:sz w:val="20"/>
                <w:lang w:val="fr-CA"/>
              </w:rPr>
            </w:pPr>
          </w:p>
        </w:tc>
        <w:tc>
          <w:tcPr>
            <w:tcW w:w="2330" w:type="pct"/>
          </w:tcPr>
          <w:p w:rsidR="00E2011A" w:rsidRPr="00667307" w:rsidRDefault="00E2011A" w:rsidP="00A0505A">
            <w:pPr>
              <w:jc w:val="both"/>
              <w:rPr>
                <w:rFonts w:eastAsia="Calibri"/>
                <w:sz w:val="20"/>
                <w:lang w:val="fr-CA"/>
              </w:rPr>
            </w:pPr>
            <w:r w:rsidRPr="00667307">
              <w:rPr>
                <w:rFonts w:eastAsia="Calibri"/>
                <w:sz w:val="20"/>
                <w:lang w:val="fr-CA"/>
              </w:rPr>
              <w:t>Demande d’autorisation d’appel, déposée</w:t>
            </w:r>
          </w:p>
          <w:p w:rsidR="00E2011A" w:rsidRPr="00667307" w:rsidRDefault="00E2011A" w:rsidP="00A0505A">
            <w:pPr>
              <w:jc w:val="both"/>
              <w:rPr>
                <w:rFonts w:eastAsia="Calibri"/>
                <w:sz w:val="20"/>
                <w:lang w:val="fr-CA"/>
              </w:rPr>
            </w:pPr>
          </w:p>
        </w:tc>
      </w:tr>
    </w:tbl>
    <w:p w:rsidR="00AA605C" w:rsidRDefault="00AA605C" w:rsidP="00AA605C">
      <w:pPr>
        <w:rPr>
          <w:sz w:val="20"/>
          <w:szCs w:val="20"/>
        </w:rPr>
      </w:pPr>
    </w:p>
    <w:p w:rsidR="00AA605C" w:rsidRDefault="00B3404D" w:rsidP="00AA605C">
      <w:pPr>
        <w:rPr>
          <w:sz w:val="20"/>
          <w:szCs w:val="20"/>
          <w:lang w:val="fr-CA"/>
        </w:rPr>
      </w:pPr>
      <w:r w:rsidRPr="00B3404D">
        <w:rPr>
          <w:sz w:val="20"/>
          <w:szCs w:val="20"/>
          <w:lang w:val="fr-CA"/>
        </w:rPr>
        <w:pict>
          <v:rect id="_x0000_i1057" style="width:2in;height:1pt" o:hrpct="0" o:hralign="center" o:hrstd="t" o:hrnoshade="t" o:hr="t" fillcolor="black [3213]" stroked="f"/>
        </w:pict>
      </w:r>
    </w:p>
    <w:p w:rsidR="00AA605C" w:rsidRDefault="00AA605C" w:rsidP="00AA605C">
      <w:pPr>
        <w:rPr>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50EC8" w:rsidRPr="00650EC8" w:rsidTr="00A61B52">
        <w:trPr>
          <w:cantSplit/>
        </w:trPr>
        <w:tc>
          <w:tcPr>
            <w:tcW w:w="1458" w:type="dxa"/>
          </w:tcPr>
          <w:p w:rsidR="00650EC8" w:rsidRPr="00650EC8" w:rsidRDefault="00650EC8" w:rsidP="00650EC8">
            <w:pPr>
              <w:rPr>
                <w:sz w:val="20"/>
                <w:szCs w:val="20"/>
              </w:rPr>
            </w:pPr>
            <w:r w:rsidRPr="00650EC8">
              <w:rPr>
                <w:b/>
                <w:sz w:val="20"/>
                <w:lang w:val="fr-CA"/>
              </w:rPr>
              <w:t>35243</w:t>
            </w:r>
          </w:p>
          <w:p w:rsidR="00650EC8" w:rsidRPr="00650EC8" w:rsidRDefault="00650EC8" w:rsidP="00650EC8">
            <w:pPr>
              <w:rPr>
                <w:b/>
                <w:sz w:val="20"/>
                <w:szCs w:val="20"/>
                <w:lang w:val="fr-CA"/>
              </w:rPr>
            </w:pPr>
          </w:p>
        </w:tc>
        <w:tc>
          <w:tcPr>
            <w:tcW w:w="8118" w:type="dxa"/>
          </w:tcPr>
          <w:p w:rsidR="00650EC8" w:rsidRPr="00650EC8" w:rsidRDefault="00650EC8" w:rsidP="00650EC8">
            <w:pPr>
              <w:rPr>
                <w:sz w:val="20"/>
                <w:szCs w:val="20"/>
              </w:rPr>
            </w:pPr>
            <w:r w:rsidRPr="00650EC8">
              <w:rPr>
                <w:b/>
                <w:sz w:val="20"/>
                <w:u w:val="single"/>
              </w:rPr>
              <w:t>Edward Leonard Finley Hilts v. Minister of Justice</w:t>
            </w:r>
            <w:r w:rsidRPr="00650EC8">
              <w:rPr>
                <w:sz w:val="20"/>
                <w:szCs w:val="20"/>
              </w:rPr>
              <w:t xml:space="preserve"> (B.C.) (Criminal) (By Leave)</w:t>
            </w:r>
          </w:p>
          <w:p w:rsidR="00650EC8" w:rsidRPr="00650EC8" w:rsidRDefault="00650EC8" w:rsidP="00650EC8">
            <w:pPr>
              <w:rPr>
                <w:sz w:val="20"/>
                <w:szCs w:val="20"/>
              </w:rPr>
            </w:pPr>
          </w:p>
        </w:tc>
      </w:tr>
      <w:tr w:rsidR="00650EC8" w:rsidRPr="00650EC8" w:rsidTr="00A61B52">
        <w:trPr>
          <w:cantSplit/>
        </w:trPr>
        <w:tc>
          <w:tcPr>
            <w:tcW w:w="1458" w:type="dxa"/>
          </w:tcPr>
          <w:p w:rsidR="00650EC8" w:rsidRPr="00650EC8" w:rsidRDefault="00650EC8" w:rsidP="00650EC8">
            <w:pPr>
              <w:rPr>
                <w:sz w:val="20"/>
                <w:szCs w:val="20"/>
              </w:rPr>
            </w:pPr>
            <w:r w:rsidRPr="00650EC8">
              <w:rPr>
                <w:sz w:val="20"/>
                <w:szCs w:val="20"/>
              </w:rPr>
              <w:t>Coram :</w:t>
            </w:r>
          </w:p>
        </w:tc>
        <w:tc>
          <w:tcPr>
            <w:tcW w:w="8118" w:type="dxa"/>
          </w:tcPr>
          <w:p w:rsidR="00650EC8" w:rsidRPr="00650EC8" w:rsidRDefault="00650EC8" w:rsidP="00650EC8">
            <w:pPr>
              <w:rPr>
                <w:sz w:val="20"/>
                <w:szCs w:val="20"/>
              </w:rPr>
            </w:pPr>
            <w:r w:rsidRPr="00650EC8">
              <w:rPr>
                <w:sz w:val="20"/>
                <w:u w:val="single"/>
              </w:rPr>
              <w:t>Fish, Rothstein and Moldaver JJ.</w:t>
            </w:r>
          </w:p>
          <w:p w:rsidR="00650EC8" w:rsidRPr="00650EC8" w:rsidRDefault="00650EC8" w:rsidP="00650EC8">
            <w:pPr>
              <w:rPr>
                <w:sz w:val="20"/>
                <w:szCs w:val="20"/>
                <w:u w:val="single"/>
              </w:rPr>
            </w:pPr>
          </w:p>
        </w:tc>
      </w:tr>
      <w:tr w:rsidR="00650EC8" w:rsidRPr="00D41BFD" w:rsidTr="00A61B52">
        <w:trPr>
          <w:cantSplit/>
        </w:trPr>
        <w:tc>
          <w:tcPr>
            <w:tcW w:w="9576" w:type="dxa"/>
            <w:gridSpan w:val="2"/>
          </w:tcPr>
          <w:p w:rsidR="00650EC8" w:rsidRPr="00650EC8" w:rsidRDefault="00650EC8" w:rsidP="00650EC8">
            <w:pPr>
              <w:ind w:firstLine="720"/>
              <w:jc w:val="both"/>
              <w:rPr>
                <w:sz w:val="20"/>
                <w:szCs w:val="20"/>
              </w:rPr>
            </w:pPr>
            <w:r w:rsidRPr="00650EC8">
              <w:rPr>
                <w:sz w:val="20"/>
                <w:szCs w:val="20"/>
              </w:rPr>
              <w:t>The application for leave to appeal from the judgment of the Court of Appeal for British Columbia (Vancouver), Number CA039956, 2013 BCCA 42, dated February 1, 2013, is dismissed without costs.</w:t>
            </w:r>
          </w:p>
          <w:p w:rsidR="00650EC8" w:rsidRPr="00650EC8" w:rsidRDefault="00650EC8" w:rsidP="00650EC8">
            <w:pPr>
              <w:jc w:val="both"/>
              <w:rPr>
                <w:sz w:val="20"/>
                <w:szCs w:val="20"/>
              </w:rPr>
            </w:pPr>
          </w:p>
          <w:p w:rsidR="00650EC8" w:rsidRPr="00650EC8" w:rsidRDefault="00650EC8" w:rsidP="00650EC8">
            <w:pPr>
              <w:ind w:firstLine="720"/>
              <w:jc w:val="both"/>
              <w:rPr>
                <w:sz w:val="20"/>
                <w:szCs w:val="20"/>
                <w:lang w:val="fr-CA"/>
              </w:rPr>
            </w:pPr>
            <w:r w:rsidRPr="00650EC8">
              <w:rPr>
                <w:sz w:val="20"/>
                <w:szCs w:val="20"/>
                <w:lang w:val="fr-CA"/>
              </w:rPr>
              <w:t>La demande d’autorisation d’appel de l’arrêt de la Cour d’appel de la Colombie-Britannique (Vancouver), numéro CA039956, 2013 BCCA 42, daté du 1</w:t>
            </w:r>
            <w:r w:rsidRPr="006366B1">
              <w:rPr>
                <w:sz w:val="20"/>
                <w:szCs w:val="20"/>
                <w:vertAlign w:val="superscript"/>
                <w:lang w:val="fr-CA"/>
              </w:rPr>
              <w:t>er</w:t>
            </w:r>
            <w:r w:rsidRPr="00650EC8">
              <w:rPr>
                <w:sz w:val="20"/>
                <w:szCs w:val="20"/>
                <w:lang w:val="fr-CA"/>
              </w:rPr>
              <w:t xml:space="preserve"> février 2013, est rejetée sans dépens.</w:t>
            </w:r>
          </w:p>
        </w:tc>
      </w:tr>
    </w:tbl>
    <w:p w:rsidR="00AA605C" w:rsidRPr="00650EC8" w:rsidRDefault="00AA605C" w:rsidP="00AA605C">
      <w:pPr>
        <w:rPr>
          <w:sz w:val="20"/>
          <w:szCs w:val="20"/>
          <w:lang w:val="fr-CA"/>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2011A" w:rsidRPr="00667307" w:rsidTr="00A0505A">
        <w:tc>
          <w:tcPr>
            <w:tcW w:w="5000" w:type="pct"/>
            <w:gridSpan w:val="3"/>
          </w:tcPr>
          <w:p w:rsidR="00E2011A" w:rsidRPr="00667307" w:rsidRDefault="00E2011A" w:rsidP="00A0505A">
            <w:pPr>
              <w:jc w:val="both"/>
              <w:rPr>
                <w:rFonts w:eastAsia="Calibri"/>
                <w:sz w:val="20"/>
              </w:rPr>
            </w:pPr>
            <w:r w:rsidRPr="00667307">
              <w:rPr>
                <w:rFonts w:eastAsia="Calibri"/>
                <w:sz w:val="20"/>
              </w:rPr>
              <w:t xml:space="preserve">Extradition — Accused ordered surrendered to United States on four charges for conduct involving communicating online with undercover officer accused thought was underage girl and travelling across state lines to meet with her for sex while in possession of child pornography — Authority to proceed referred only to two Canadian offences, internet luring and possession of child pornography — Whether Canadian Minister of Justice must isolate specific conduct relating to each United States offence and then conduct double-criminality assessment for each offence on basis of conduct — Whether Court of Appeal’s application of double criminality principle was consistent with this Court’s decision in </w:t>
            </w:r>
            <w:r w:rsidRPr="00667307">
              <w:rPr>
                <w:rFonts w:eastAsia="Calibri"/>
                <w:i/>
                <w:sz w:val="20"/>
              </w:rPr>
              <w:t>Canada v. Fischbacher</w:t>
            </w:r>
            <w:r w:rsidRPr="00667307">
              <w:rPr>
                <w:rFonts w:eastAsia="Calibri"/>
                <w:sz w:val="20"/>
              </w:rPr>
              <w:t>, 2009 SCC 46, [2009] 3 S.C.R. 170 — Whether Minister of Justice’s surrender decision was unreasonable —</w:t>
            </w:r>
            <w:r w:rsidRPr="00667307">
              <w:rPr>
                <w:rFonts w:eastAsia="Calibri"/>
                <w:i/>
                <w:sz w:val="20"/>
              </w:rPr>
              <w:t xml:space="preserve"> Extradition Act</w:t>
            </w:r>
            <w:r w:rsidRPr="00667307">
              <w:rPr>
                <w:rFonts w:eastAsia="Calibri"/>
                <w:sz w:val="20"/>
              </w:rPr>
              <w:t>, S.C. 1999, c. 18.</w:t>
            </w:r>
          </w:p>
        </w:tc>
      </w:tr>
      <w:tr w:rsidR="00E2011A" w:rsidRPr="00667307" w:rsidTr="00A0505A">
        <w:tc>
          <w:tcPr>
            <w:tcW w:w="5000" w:type="pct"/>
            <w:gridSpan w:val="3"/>
          </w:tcPr>
          <w:p w:rsidR="00E2011A" w:rsidRPr="00667307" w:rsidRDefault="00E2011A" w:rsidP="00A0505A">
            <w:pPr>
              <w:jc w:val="both"/>
              <w:rPr>
                <w:rFonts w:eastAsia="Calibri"/>
                <w:sz w:val="20"/>
              </w:rPr>
            </w:pPr>
          </w:p>
        </w:tc>
      </w:tr>
      <w:tr w:rsidR="00E2011A" w:rsidRPr="00667307" w:rsidTr="00A0505A">
        <w:tc>
          <w:tcPr>
            <w:tcW w:w="5000" w:type="pct"/>
            <w:gridSpan w:val="3"/>
          </w:tcPr>
          <w:p w:rsidR="00E2011A" w:rsidRPr="00667307" w:rsidRDefault="00E2011A" w:rsidP="00A0505A">
            <w:pPr>
              <w:jc w:val="both"/>
              <w:rPr>
                <w:rFonts w:eastAsia="Calibri"/>
                <w:sz w:val="20"/>
              </w:rPr>
            </w:pPr>
            <w:r w:rsidRPr="00667307">
              <w:rPr>
                <w:rFonts w:eastAsia="Calibri"/>
                <w:sz w:val="20"/>
              </w:rPr>
              <w:t xml:space="preserve">It is alleged that the Applicant, Mr. Hilts, who is an American citizen, engaged in on-line communications with an American police officer who portrayed herself as a 14-year-old girl.  It is also alleged that Mr. Hilts eventually flew across state lines to engage in sexual activity with the girl, taking a computer with child pornography with him.  He was charged in the United States with interstate internet luring, interstate travel to engage in illicit sexual contact, interstate transportation of child pornography and possession of child pornography that had been transported interstate.  He was later arrested in Canada on an immigration warrant and the Minister of Justice of Canada ordered his surrender to the United States to stand trial on the four charges above.  On judicial review, Mr. Hilts did not contest his surrender on the internet luring or possession of child pornography charges, but did contest the two interstate charges as unlawful because they did not exist under Canadian law.  The authority to proceed identified only two Canadian </w:t>
            </w:r>
            <w:r w:rsidRPr="00667307">
              <w:rPr>
                <w:rFonts w:eastAsia="Calibri"/>
                <w:sz w:val="20"/>
              </w:rPr>
              <w:lastRenderedPageBreak/>
              <w:t xml:space="preserve">offences corresponding to the conduct alleged against Mr. Hilts, internet luring and possession of child pornography.  The Court of Appeal, however, dismissed Mr. Hilts’ application for judicial review. Relying on this Court’s decision in </w:t>
            </w:r>
            <w:r w:rsidRPr="00667307">
              <w:rPr>
                <w:rFonts w:eastAsia="Calibri"/>
                <w:i/>
                <w:sz w:val="20"/>
              </w:rPr>
              <w:t>Canada v. Fischbacher</w:t>
            </w:r>
            <w:r w:rsidRPr="00667307">
              <w:rPr>
                <w:rFonts w:eastAsia="Calibri"/>
                <w:sz w:val="20"/>
              </w:rPr>
              <w:t>, 2009 SCC 46, [2009] 3 S.C.R. 170, the Court of Appeal held that the Minister was not obliged to isolate the specific conduct relating to each United States offence and then conduct a double-criminality assessment for each offence on the basis of that conduct.  The Court of Appeal held that Mr. Hilts’ overall conduct would have been criminal had it occurred in Canada and his surrender on all the offences did not offend the double-criminality principle.</w:t>
            </w:r>
          </w:p>
          <w:p w:rsidR="00E2011A" w:rsidRPr="00667307" w:rsidRDefault="00E2011A" w:rsidP="00A0505A">
            <w:pPr>
              <w:jc w:val="both"/>
              <w:rPr>
                <w:rFonts w:eastAsia="Calibri"/>
                <w:sz w:val="20"/>
              </w:rPr>
            </w:pPr>
          </w:p>
        </w:tc>
      </w:tr>
      <w:tr w:rsidR="00E2011A" w:rsidRPr="00667307" w:rsidTr="00A0505A">
        <w:tc>
          <w:tcPr>
            <w:tcW w:w="2427" w:type="pct"/>
          </w:tcPr>
          <w:p w:rsidR="00E2011A" w:rsidRPr="00667307" w:rsidRDefault="00E2011A" w:rsidP="00A0505A">
            <w:pPr>
              <w:jc w:val="both"/>
              <w:rPr>
                <w:rFonts w:eastAsia="Calibri"/>
                <w:sz w:val="20"/>
              </w:rPr>
            </w:pPr>
            <w:r w:rsidRPr="00667307">
              <w:rPr>
                <w:rFonts w:eastAsia="Calibri"/>
                <w:sz w:val="20"/>
              </w:rPr>
              <w:lastRenderedPageBreak/>
              <w:t>April 25, 2012</w:t>
            </w:r>
          </w:p>
          <w:p w:rsidR="00E2011A" w:rsidRPr="00667307" w:rsidRDefault="00E2011A" w:rsidP="00A0505A">
            <w:pPr>
              <w:jc w:val="both"/>
              <w:rPr>
                <w:rFonts w:eastAsia="Calibri"/>
                <w:sz w:val="20"/>
              </w:rPr>
            </w:pPr>
            <w:r w:rsidRPr="00667307">
              <w:rPr>
                <w:rFonts w:eastAsia="Calibri"/>
                <w:sz w:val="20"/>
              </w:rPr>
              <w:t>Minister of Justice of Canada</w:t>
            </w:r>
          </w:p>
          <w:p w:rsidR="00E2011A" w:rsidRPr="00667307" w:rsidRDefault="00E2011A" w:rsidP="00A0505A">
            <w:pPr>
              <w:jc w:val="both"/>
              <w:rPr>
                <w:rFonts w:eastAsia="Calibri"/>
                <w:sz w:val="20"/>
              </w:rPr>
            </w:pPr>
          </w:p>
        </w:tc>
        <w:tc>
          <w:tcPr>
            <w:tcW w:w="243" w:type="pct"/>
          </w:tcPr>
          <w:p w:rsidR="00E2011A" w:rsidRPr="00667307" w:rsidRDefault="00E2011A" w:rsidP="00A0505A">
            <w:pPr>
              <w:jc w:val="both"/>
              <w:rPr>
                <w:rFonts w:eastAsia="Calibri"/>
                <w:sz w:val="20"/>
              </w:rPr>
            </w:pPr>
          </w:p>
        </w:tc>
        <w:tc>
          <w:tcPr>
            <w:tcW w:w="2330" w:type="pct"/>
          </w:tcPr>
          <w:p w:rsidR="00E2011A" w:rsidRPr="00667307" w:rsidRDefault="00E2011A" w:rsidP="00A0505A">
            <w:pPr>
              <w:jc w:val="both"/>
              <w:rPr>
                <w:rFonts w:eastAsia="Calibri"/>
                <w:sz w:val="20"/>
              </w:rPr>
            </w:pPr>
            <w:r w:rsidRPr="00667307">
              <w:rPr>
                <w:rFonts w:eastAsia="Calibri"/>
                <w:sz w:val="20"/>
              </w:rPr>
              <w:t>Surrender order issued.</w:t>
            </w:r>
          </w:p>
          <w:p w:rsidR="00E2011A" w:rsidRPr="00667307" w:rsidRDefault="00E2011A" w:rsidP="00A0505A">
            <w:pPr>
              <w:jc w:val="both"/>
              <w:rPr>
                <w:rFonts w:eastAsia="Calibri"/>
                <w:sz w:val="20"/>
              </w:rPr>
            </w:pPr>
          </w:p>
        </w:tc>
      </w:tr>
      <w:tr w:rsidR="00E2011A" w:rsidRPr="00667307" w:rsidTr="00A0505A">
        <w:tc>
          <w:tcPr>
            <w:tcW w:w="2427" w:type="pct"/>
          </w:tcPr>
          <w:p w:rsidR="00E2011A" w:rsidRPr="00667307" w:rsidRDefault="00E2011A" w:rsidP="00A0505A">
            <w:pPr>
              <w:jc w:val="both"/>
              <w:rPr>
                <w:rFonts w:eastAsia="Calibri"/>
                <w:sz w:val="20"/>
              </w:rPr>
            </w:pPr>
            <w:r w:rsidRPr="00667307">
              <w:rPr>
                <w:rFonts w:eastAsia="Calibri"/>
                <w:sz w:val="20"/>
              </w:rPr>
              <w:t>February 1, 2013</w:t>
            </w:r>
          </w:p>
          <w:p w:rsidR="00E2011A" w:rsidRPr="00667307" w:rsidRDefault="00E2011A" w:rsidP="00A0505A">
            <w:pPr>
              <w:jc w:val="both"/>
              <w:rPr>
                <w:rFonts w:eastAsia="Calibri"/>
                <w:sz w:val="20"/>
              </w:rPr>
            </w:pPr>
            <w:r w:rsidRPr="00667307">
              <w:rPr>
                <w:rFonts w:eastAsia="Calibri"/>
                <w:sz w:val="20"/>
              </w:rPr>
              <w:t xml:space="preserve">Court of Appeal for British Columbia </w:t>
            </w:r>
          </w:p>
          <w:p w:rsidR="00E2011A" w:rsidRPr="00667307" w:rsidRDefault="00E2011A" w:rsidP="00A0505A">
            <w:pPr>
              <w:jc w:val="both"/>
              <w:rPr>
                <w:rFonts w:eastAsia="Calibri"/>
                <w:sz w:val="20"/>
              </w:rPr>
            </w:pPr>
            <w:r w:rsidRPr="00667307">
              <w:rPr>
                <w:rFonts w:eastAsia="Calibri"/>
                <w:sz w:val="20"/>
              </w:rPr>
              <w:t>(Vancouver)</w:t>
            </w:r>
          </w:p>
          <w:p w:rsidR="00E2011A" w:rsidRPr="00667307" w:rsidRDefault="00E2011A" w:rsidP="00A0505A">
            <w:pPr>
              <w:jc w:val="both"/>
              <w:rPr>
                <w:rFonts w:eastAsia="Calibri"/>
                <w:sz w:val="20"/>
              </w:rPr>
            </w:pPr>
            <w:r w:rsidRPr="00667307">
              <w:rPr>
                <w:rFonts w:eastAsia="Calibri"/>
                <w:sz w:val="20"/>
              </w:rPr>
              <w:t>(Saunders, Frankel and MacKenzie JJ.A.)</w:t>
            </w:r>
          </w:p>
          <w:p w:rsidR="00E2011A" w:rsidRPr="00667307" w:rsidRDefault="00E2011A" w:rsidP="00A0505A">
            <w:pPr>
              <w:jc w:val="both"/>
              <w:rPr>
                <w:rFonts w:eastAsia="Calibri"/>
                <w:sz w:val="20"/>
              </w:rPr>
            </w:pPr>
            <w:r w:rsidRPr="00667307">
              <w:rPr>
                <w:rFonts w:eastAsia="Calibri"/>
                <w:sz w:val="20"/>
              </w:rPr>
              <w:t>2013 BCCA 42</w:t>
            </w:r>
          </w:p>
          <w:p w:rsidR="00E2011A" w:rsidRPr="00667307" w:rsidRDefault="00E2011A" w:rsidP="00A0505A">
            <w:pPr>
              <w:jc w:val="both"/>
              <w:rPr>
                <w:rFonts w:eastAsia="Calibri"/>
                <w:sz w:val="20"/>
              </w:rPr>
            </w:pPr>
          </w:p>
        </w:tc>
        <w:tc>
          <w:tcPr>
            <w:tcW w:w="243" w:type="pct"/>
          </w:tcPr>
          <w:p w:rsidR="00E2011A" w:rsidRPr="00667307" w:rsidRDefault="00E2011A" w:rsidP="00A0505A">
            <w:pPr>
              <w:jc w:val="both"/>
              <w:rPr>
                <w:rFonts w:eastAsia="Calibri"/>
                <w:sz w:val="20"/>
              </w:rPr>
            </w:pPr>
          </w:p>
        </w:tc>
        <w:tc>
          <w:tcPr>
            <w:tcW w:w="2330" w:type="pct"/>
          </w:tcPr>
          <w:p w:rsidR="00E2011A" w:rsidRPr="00667307" w:rsidRDefault="00E2011A" w:rsidP="00A0505A">
            <w:pPr>
              <w:jc w:val="both"/>
              <w:rPr>
                <w:rFonts w:eastAsia="Calibri"/>
                <w:sz w:val="20"/>
              </w:rPr>
            </w:pPr>
            <w:r w:rsidRPr="00667307">
              <w:rPr>
                <w:rFonts w:eastAsia="Calibri"/>
                <w:sz w:val="20"/>
              </w:rPr>
              <w:t>Judicial review of surrender order dismissed.</w:t>
            </w:r>
          </w:p>
          <w:p w:rsidR="00E2011A" w:rsidRPr="00667307" w:rsidRDefault="00E2011A" w:rsidP="00A0505A">
            <w:pPr>
              <w:jc w:val="both"/>
              <w:rPr>
                <w:rFonts w:eastAsia="Calibri"/>
                <w:sz w:val="20"/>
              </w:rPr>
            </w:pPr>
          </w:p>
        </w:tc>
      </w:tr>
      <w:tr w:rsidR="00E2011A" w:rsidRPr="00667307" w:rsidTr="00A0505A">
        <w:tc>
          <w:tcPr>
            <w:tcW w:w="2427" w:type="pct"/>
          </w:tcPr>
          <w:p w:rsidR="00E2011A" w:rsidRPr="00667307" w:rsidRDefault="00E2011A" w:rsidP="00A0505A">
            <w:pPr>
              <w:jc w:val="both"/>
              <w:rPr>
                <w:rFonts w:eastAsia="Calibri"/>
                <w:sz w:val="20"/>
              </w:rPr>
            </w:pPr>
            <w:r w:rsidRPr="00667307">
              <w:rPr>
                <w:rFonts w:eastAsia="Calibri"/>
                <w:sz w:val="20"/>
              </w:rPr>
              <w:t>March 26, 2013</w:t>
            </w:r>
          </w:p>
          <w:p w:rsidR="00E2011A" w:rsidRPr="00667307" w:rsidRDefault="00E2011A" w:rsidP="00A0505A">
            <w:pPr>
              <w:jc w:val="both"/>
              <w:rPr>
                <w:rFonts w:eastAsia="Calibri"/>
                <w:sz w:val="20"/>
              </w:rPr>
            </w:pPr>
            <w:r w:rsidRPr="00667307">
              <w:rPr>
                <w:rFonts w:eastAsia="Calibri"/>
                <w:sz w:val="20"/>
              </w:rPr>
              <w:t>Supreme Court of Canada</w:t>
            </w:r>
          </w:p>
        </w:tc>
        <w:tc>
          <w:tcPr>
            <w:tcW w:w="243" w:type="pct"/>
          </w:tcPr>
          <w:p w:rsidR="00E2011A" w:rsidRPr="00667307" w:rsidRDefault="00E2011A" w:rsidP="00A0505A">
            <w:pPr>
              <w:jc w:val="both"/>
              <w:rPr>
                <w:rFonts w:eastAsia="Calibri"/>
                <w:sz w:val="20"/>
              </w:rPr>
            </w:pPr>
          </w:p>
        </w:tc>
        <w:tc>
          <w:tcPr>
            <w:tcW w:w="2330" w:type="pct"/>
          </w:tcPr>
          <w:p w:rsidR="00E2011A" w:rsidRPr="00667307" w:rsidRDefault="00E2011A" w:rsidP="00A0505A">
            <w:pPr>
              <w:jc w:val="both"/>
              <w:rPr>
                <w:rFonts w:eastAsia="Calibri"/>
                <w:sz w:val="20"/>
              </w:rPr>
            </w:pPr>
            <w:r w:rsidRPr="00667307">
              <w:rPr>
                <w:rFonts w:eastAsia="Calibri"/>
                <w:sz w:val="20"/>
              </w:rPr>
              <w:t>Application for leave to appeal filed</w:t>
            </w:r>
          </w:p>
          <w:p w:rsidR="00E2011A" w:rsidRPr="00667307" w:rsidRDefault="00E2011A" w:rsidP="00A0505A">
            <w:pPr>
              <w:jc w:val="both"/>
              <w:rPr>
                <w:rFonts w:eastAsia="Calibri"/>
                <w:sz w:val="20"/>
              </w:rPr>
            </w:pP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58"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2011A" w:rsidRPr="00D41BFD" w:rsidTr="00A0505A">
        <w:tc>
          <w:tcPr>
            <w:tcW w:w="5000" w:type="pct"/>
            <w:gridSpan w:val="3"/>
          </w:tcPr>
          <w:p w:rsidR="00E2011A" w:rsidRPr="00667307" w:rsidRDefault="00E2011A" w:rsidP="00A0505A">
            <w:pPr>
              <w:jc w:val="both"/>
              <w:rPr>
                <w:rFonts w:eastAsia="Calibri"/>
                <w:sz w:val="20"/>
                <w:lang w:val="fr-CA"/>
              </w:rPr>
            </w:pPr>
            <w:r w:rsidRPr="00667307">
              <w:rPr>
                <w:rFonts w:eastAsia="Calibri"/>
                <w:sz w:val="20"/>
                <w:lang w:val="fr-CA"/>
              </w:rPr>
              <w:t>Extradition — Extradition de l’accusé vers les États</w:t>
            </w:r>
            <w:r w:rsidRPr="00667307">
              <w:rPr>
                <w:rFonts w:eastAsia="Calibri"/>
                <w:sz w:val="20"/>
                <w:lang w:val="fr-CA"/>
              </w:rPr>
              <w:noBreakHyphen/>
              <w:t>Unis ordonnée relativement à quatre chefs d’avoir communiqué en ligne avec une agente d’infiltration que l’accusé prenait pour une mineure et d’avoir traversé des frontières inter</w:t>
            </w:r>
            <w:r w:rsidRPr="00667307">
              <w:rPr>
                <w:rFonts w:eastAsia="Calibri"/>
                <w:sz w:val="20"/>
                <w:lang w:val="fr-CA"/>
              </w:rPr>
              <w:noBreakHyphen/>
              <w:t>États pour la rencontrer dans le but d’avoir des relations sexuelles avec elle alors qu’il était en possession de pornographie juvénile — L’arrêté introductif d’instance ne faisait mention que de deux infractions à la loi canadienne, à savoir le leurre sur internet et la possession de pornographie juvénile — Le ministre canadien de la Justice doit</w:t>
            </w:r>
            <w:r w:rsidRPr="00667307">
              <w:rPr>
                <w:rFonts w:eastAsia="Calibri"/>
                <w:sz w:val="20"/>
                <w:lang w:val="fr-CA"/>
              </w:rPr>
              <w:noBreakHyphen/>
              <w:t>il isoler le comportement particulier qui a trait à chaque infraction à la loi des États</w:t>
            </w:r>
            <w:r w:rsidRPr="00667307">
              <w:rPr>
                <w:rFonts w:eastAsia="Calibri"/>
                <w:sz w:val="20"/>
                <w:lang w:val="fr-CA"/>
              </w:rPr>
              <w:noBreakHyphen/>
              <w:t>Unis, puis faire une appréciation de la double incrimination relativement à chaque infraction sur le fondement du comportement? — La Cour d’appel a</w:t>
            </w:r>
            <w:r w:rsidRPr="00667307">
              <w:rPr>
                <w:rFonts w:eastAsia="Calibri"/>
                <w:sz w:val="20"/>
                <w:lang w:val="fr-CA"/>
              </w:rPr>
              <w:noBreakHyphen/>
              <w:t>t</w:t>
            </w:r>
            <w:r w:rsidRPr="00667307">
              <w:rPr>
                <w:rFonts w:eastAsia="Calibri"/>
                <w:sz w:val="20"/>
                <w:lang w:val="fr-CA"/>
              </w:rPr>
              <w:noBreakHyphen/>
              <w:t xml:space="preserve">elle appliqué le principe de la double incrimination de manière conforme à l’arrêt de cette Cour dans </w:t>
            </w:r>
            <w:r w:rsidRPr="00667307">
              <w:rPr>
                <w:rFonts w:eastAsia="Calibri"/>
                <w:i/>
                <w:sz w:val="20"/>
                <w:lang w:val="fr-CA"/>
              </w:rPr>
              <w:t>Canada c. Fischbacher</w:t>
            </w:r>
            <w:r w:rsidRPr="00667307">
              <w:rPr>
                <w:rFonts w:eastAsia="Calibri"/>
                <w:sz w:val="20"/>
                <w:lang w:val="fr-CA"/>
              </w:rPr>
              <w:t>, 2009 CSC 46, [2009] 3 R.C.S. 170? — La décision du ministre de la Justice d’ordonner l’extradition était</w:t>
            </w:r>
            <w:r w:rsidRPr="00667307">
              <w:rPr>
                <w:rFonts w:eastAsia="Calibri"/>
                <w:sz w:val="20"/>
                <w:lang w:val="fr-CA"/>
              </w:rPr>
              <w:noBreakHyphen/>
              <w:t>elle déraisonnable? —</w:t>
            </w:r>
            <w:r w:rsidRPr="00667307">
              <w:rPr>
                <w:rFonts w:eastAsia="Calibri"/>
                <w:i/>
                <w:sz w:val="20"/>
                <w:lang w:val="fr-CA"/>
              </w:rPr>
              <w:t xml:space="preserve"> Loi sur l’extradition</w:t>
            </w:r>
            <w:r w:rsidRPr="00667307">
              <w:rPr>
                <w:rFonts w:eastAsia="Calibri"/>
                <w:sz w:val="20"/>
                <w:lang w:val="fr-CA"/>
              </w:rPr>
              <w:t>, L.C. 1999, ch. 18.</w:t>
            </w:r>
          </w:p>
        </w:tc>
      </w:tr>
      <w:tr w:rsidR="00E2011A" w:rsidRPr="00D41BFD" w:rsidTr="00A0505A">
        <w:tc>
          <w:tcPr>
            <w:tcW w:w="5000" w:type="pct"/>
            <w:gridSpan w:val="3"/>
          </w:tcPr>
          <w:p w:rsidR="00E2011A" w:rsidRPr="00667307" w:rsidRDefault="00E2011A" w:rsidP="00A0505A">
            <w:pPr>
              <w:jc w:val="both"/>
              <w:rPr>
                <w:rFonts w:eastAsia="Calibri"/>
                <w:sz w:val="20"/>
                <w:lang w:val="fr-CA"/>
              </w:rPr>
            </w:pPr>
          </w:p>
        </w:tc>
      </w:tr>
      <w:tr w:rsidR="00E2011A" w:rsidRPr="00D41BFD" w:rsidTr="00A0505A">
        <w:tc>
          <w:tcPr>
            <w:tcW w:w="5000" w:type="pct"/>
            <w:gridSpan w:val="3"/>
          </w:tcPr>
          <w:p w:rsidR="00E2011A" w:rsidRPr="00667307" w:rsidRDefault="00E2011A" w:rsidP="00A0505A">
            <w:pPr>
              <w:jc w:val="both"/>
              <w:rPr>
                <w:rFonts w:eastAsia="Calibri"/>
                <w:sz w:val="20"/>
                <w:lang w:val="fr-CA"/>
              </w:rPr>
            </w:pPr>
            <w:r w:rsidRPr="00667307">
              <w:rPr>
                <w:rFonts w:eastAsia="Calibri"/>
                <w:sz w:val="20"/>
                <w:lang w:val="fr-CA"/>
              </w:rPr>
              <w:t>On reproche au demandeur, M. Hilts, un citoyen américain, de s’être livré à des communications en ligne avec une policière américaine qui se faisait passer pour une adolescente de 14 ans.  On reproche également à M. Hilts d’avoir par la suite traversé en avion des frontières inter</w:t>
            </w:r>
            <w:r w:rsidRPr="00667307">
              <w:rPr>
                <w:rFonts w:eastAsia="Calibri"/>
                <w:sz w:val="20"/>
                <w:lang w:val="fr-CA"/>
              </w:rPr>
              <w:noBreakHyphen/>
              <w:t>États afin de se livrer à des activités sexuelles avec l’adolescente, apportant avec lui un ordinateur renfermant de la pornographie juvénile.  Il a été accusé aux États</w:t>
            </w:r>
            <w:r w:rsidRPr="00667307">
              <w:rPr>
                <w:rFonts w:eastAsia="Calibri"/>
                <w:sz w:val="20"/>
                <w:lang w:val="fr-CA"/>
              </w:rPr>
              <w:noBreakHyphen/>
              <w:t>Unis de leurre sur internet inter</w:t>
            </w:r>
            <w:r w:rsidRPr="00667307">
              <w:rPr>
                <w:rFonts w:eastAsia="Calibri"/>
                <w:sz w:val="20"/>
                <w:lang w:val="fr-CA"/>
              </w:rPr>
              <w:noBreakHyphen/>
              <w:t>États, de voyage inter</w:t>
            </w:r>
            <w:r w:rsidRPr="00667307">
              <w:rPr>
                <w:rFonts w:eastAsia="Calibri"/>
                <w:sz w:val="20"/>
                <w:lang w:val="fr-CA"/>
              </w:rPr>
              <w:noBreakHyphen/>
              <w:t>États dans le but de s’adonner à des contacts sexuels illicites, de transport inter</w:t>
            </w:r>
            <w:r w:rsidRPr="00667307">
              <w:rPr>
                <w:rFonts w:eastAsia="Calibri"/>
                <w:sz w:val="20"/>
                <w:lang w:val="fr-CA"/>
              </w:rPr>
              <w:noBreakHyphen/>
              <w:t>États de pornographie juvénile et de possession de pornographie juvénile qui avait été transportée entre États.  Par la suite, il a été arrêté au Canada en vertu d’un mandat de l’immigration et le ministre de la Justice du Canada a ordonné son extradition vers les États</w:t>
            </w:r>
            <w:r w:rsidRPr="00667307">
              <w:rPr>
                <w:rFonts w:eastAsia="Calibri"/>
                <w:sz w:val="20"/>
                <w:lang w:val="fr-CA"/>
              </w:rPr>
              <w:noBreakHyphen/>
              <w:t>Unis pour y subir son procès sous les quatre chefs susmentionnés.  Lors du contrôle judiciaire, M. Hilts n’a pas contesté son extradition relativement aux accusations de leurre sur internet ou aux accusations de possession de pornographie juvénile, mais il a contesté les deux accusations inter</w:t>
            </w:r>
            <w:r w:rsidRPr="00667307">
              <w:rPr>
                <w:rFonts w:eastAsia="Calibri"/>
                <w:sz w:val="20"/>
                <w:lang w:val="fr-CA"/>
              </w:rPr>
              <w:noBreakHyphen/>
              <w:t>États, plaidant que celles</w:t>
            </w:r>
            <w:r w:rsidRPr="00667307">
              <w:rPr>
                <w:rFonts w:eastAsia="Calibri"/>
                <w:sz w:val="20"/>
                <w:lang w:val="fr-CA"/>
              </w:rPr>
              <w:noBreakHyphen/>
              <w:t xml:space="preserve">ci étaient illégales parce qu’elles n’existaient pas en droit canadien.  L’arrêté introductif d’instance ne faisait mention que de deux infractions canadiennes qui correspondaient au comportement que l’on reprochait à M. Hilts, à savoir le leurre sur internet et la possession de pornographie juvénile.  Toutefois, la Cour d’appel a rejeté la demande de contrôle judiciaire présentée par M. Hilts. S’appuyant sur l’arrêt de cette Cour dans </w:t>
            </w:r>
            <w:r w:rsidRPr="00667307">
              <w:rPr>
                <w:rFonts w:eastAsia="Calibri"/>
                <w:i/>
                <w:sz w:val="20"/>
                <w:lang w:val="fr-CA"/>
              </w:rPr>
              <w:t>Canada c. Fischbacher</w:t>
            </w:r>
            <w:r w:rsidRPr="00667307">
              <w:rPr>
                <w:rFonts w:eastAsia="Calibri"/>
                <w:sz w:val="20"/>
                <w:lang w:val="fr-CA"/>
              </w:rPr>
              <w:t>, 2009 CSC 46, [2009] 3 R.C.S. 170, la Cour d’appel a statué que le ministre n’était pas obligé d’isoler le comportement particulier relatif à chaque infraction à la loi des États</w:t>
            </w:r>
            <w:r w:rsidRPr="00667307">
              <w:rPr>
                <w:rFonts w:eastAsia="Calibri"/>
                <w:sz w:val="20"/>
                <w:lang w:val="fr-CA"/>
              </w:rPr>
              <w:noBreakHyphen/>
              <w:t xml:space="preserve">Unis, puis de faire une appréciation de la double incrimination </w:t>
            </w:r>
            <w:r w:rsidRPr="00667307">
              <w:rPr>
                <w:rFonts w:eastAsia="Calibri"/>
                <w:sz w:val="20"/>
                <w:lang w:val="fr-CA"/>
              </w:rPr>
              <w:lastRenderedPageBreak/>
              <w:t>relativement à chaque infraction sur le fondement de ce comportement.  La Cour d’appel a statué que le comportement général de M. Hilts aurait été criminel s’il s’était produit au Canada et que son extradition relativement à toutes les infractions ne contrevenait pas au principe de la double incrimination.</w:t>
            </w:r>
          </w:p>
          <w:p w:rsidR="00E2011A" w:rsidRPr="00667307" w:rsidRDefault="00E2011A" w:rsidP="00A0505A">
            <w:pPr>
              <w:jc w:val="both"/>
              <w:rPr>
                <w:rFonts w:eastAsia="Calibri"/>
                <w:sz w:val="20"/>
                <w:lang w:val="fr-CA"/>
              </w:rPr>
            </w:pPr>
          </w:p>
        </w:tc>
      </w:tr>
      <w:tr w:rsidR="00E2011A" w:rsidRPr="00667307" w:rsidTr="00A0505A">
        <w:tc>
          <w:tcPr>
            <w:tcW w:w="2427" w:type="pct"/>
          </w:tcPr>
          <w:p w:rsidR="00E2011A" w:rsidRPr="00667307" w:rsidRDefault="00E2011A" w:rsidP="00A0505A">
            <w:pPr>
              <w:jc w:val="both"/>
              <w:rPr>
                <w:rFonts w:eastAsia="Calibri"/>
                <w:sz w:val="20"/>
                <w:lang w:val="fr-CA"/>
              </w:rPr>
            </w:pPr>
            <w:r w:rsidRPr="00667307">
              <w:rPr>
                <w:rFonts w:eastAsia="Calibri"/>
                <w:sz w:val="20"/>
                <w:lang w:val="fr-CA"/>
              </w:rPr>
              <w:lastRenderedPageBreak/>
              <w:t>25 avril 2012</w:t>
            </w:r>
          </w:p>
          <w:p w:rsidR="00E2011A" w:rsidRPr="00667307" w:rsidRDefault="00E2011A" w:rsidP="00A0505A">
            <w:pPr>
              <w:jc w:val="both"/>
              <w:rPr>
                <w:rFonts w:eastAsia="Calibri"/>
                <w:sz w:val="20"/>
                <w:lang w:val="fr-CA"/>
              </w:rPr>
            </w:pPr>
            <w:r w:rsidRPr="00667307">
              <w:rPr>
                <w:rFonts w:eastAsia="Calibri"/>
                <w:sz w:val="20"/>
                <w:lang w:val="fr-CA"/>
              </w:rPr>
              <w:t>Ministre de la Justice du Canada</w:t>
            </w:r>
          </w:p>
          <w:p w:rsidR="00E2011A" w:rsidRPr="00667307" w:rsidRDefault="00E2011A" w:rsidP="00A0505A">
            <w:pPr>
              <w:jc w:val="both"/>
              <w:rPr>
                <w:rFonts w:eastAsia="Calibri"/>
                <w:sz w:val="20"/>
                <w:lang w:val="fr-CA"/>
              </w:rPr>
            </w:pPr>
          </w:p>
        </w:tc>
        <w:tc>
          <w:tcPr>
            <w:tcW w:w="243" w:type="pct"/>
          </w:tcPr>
          <w:p w:rsidR="00E2011A" w:rsidRPr="00667307" w:rsidRDefault="00E2011A" w:rsidP="00A0505A">
            <w:pPr>
              <w:jc w:val="both"/>
              <w:rPr>
                <w:rFonts w:eastAsia="Calibri"/>
                <w:sz w:val="20"/>
                <w:lang w:val="fr-CA"/>
              </w:rPr>
            </w:pPr>
          </w:p>
        </w:tc>
        <w:tc>
          <w:tcPr>
            <w:tcW w:w="2330" w:type="pct"/>
          </w:tcPr>
          <w:p w:rsidR="00E2011A" w:rsidRPr="00667307" w:rsidRDefault="00E2011A" w:rsidP="00A0505A">
            <w:pPr>
              <w:jc w:val="both"/>
              <w:rPr>
                <w:rFonts w:eastAsia="Calibri"/>
                <w:sz w:val="20"/>
                <w:lang w:val="fr-CA"/>
              </w:rPr>
            </w:pPr>
            <w:r w:rsidRPr="00667307">
              <w:rPr>
                <w:rFonts w:eastAsia="Calibri"/>
                <w:sz w:val="20"/>
                <w:lang w:val="fr-CA"/>
              </w:rPr>
              <w:t>Arrêté d’extradition pris.</w:t>
            </w:r>
          </w:p>
          <w:p w:rsidR="00E2011A" w:rsidRPr="00667307" w:rsidRDefault="00E2011A" w:rsidP="00A0505A">
            <w:pPr>
              <w:jc w:val="both"/>
              <w:rPr>
                <w:rFonts w:eastAsia="Calibri"/>
                <w:sz w:val="20"/>
                <w:lang w:val="fr-CA"/>
              </w:rPr>
            </w:pPr>
          </w:p>
        </w:tc>
      </w:tr>
      <w:tr w:rsidR="00E2011A" w:rsidRPr="00D41BFD" w:rsidTr="00A0505A">
        <w:tc>
          <w:tcPr>
            <w:tcW w:w="2427" w:type="pct"/>
          </w:tcPr>
          <w:p w:rsidR="00E2011A" w:rsidRPr="00667307" w:rsidRDefault="00E2011A" w:rsidP="00A0505A">
            <w:pPr>
              <w:jc w:val="both"/>
              <w:rPr>
                <w:rFonts w:eastAsia="Calibri"/>
                <w:sz w:val="20"/>
                <w:lang w:val="fr-CA"/>
              </w:rPr>
            </w:pPr>
            <w:r w:rsidRPr="00667307">
              <w:rPr>
                <w:rFonts w:eastAsia="Calibri"/>
                <w:sz w:val="20"/>
                <w:lang w:val="fr-CA"/>
              </w:rPr>
              <w:t>1</w:t>
            </w:r>
            <w:r w:rsidRPr="00667307">
              <w:rPr>
                <w:rFonts w:eastAsia="Calibri"/>
                <w:sz w:val="20"/>
                <w:vertAlign w:val="superscript"/>
                <w:lang w:val="fr-CA"/>
              </w:rPr>
              <w:t>er</w:t>
            </w:r>
            <w:r w:rsidRPr="00667307">
              <w:rPr>
                <w:rFonts w:eastAsia="Calibri"/>
                <w:sz w:val="20"/>
                <w:lang w:val="fr-CA"/>
              </w:rPr>
              <w:t xml:space="preserve"> février 2013</w:t>
            </w:r>
          </w:p>
          <w:p w:rsidR="00E2011A" w:rsidRPr="00667307" w:rsidRDefault="00E2011A" w:rsidP="00A0505A">
            <w:pPr>
              <w:jc w:val="both"/>
              <w:rPr>
                <w:rFonts w:eastAsia="Calibri"/>
                <w:sz w:val="20"/>
                <w:lang w:val="fr-CA"/>
              </w:rPr>
            </w:pPr>
            <w:r w:rsidRPr="00667307">
              <w:rPr>
                <w:rFonts w:eastAsia="Calibri"/>
                <w:sz w:val="20"/>
                <w:lang w:val="fr-CA"/>
              </w:rPr>
              <w:t>Cour d’appel de la Colombie</w:t>
            </w:r>
            <w:r w:rsidRPr="00667307">
              <w:rPr>
                <w:rFonts w:eastAsia="Calibri"/>
                <w:sz w:val="20"/>
                <w:lang w:val="fr-CA"/>
              </w:rPr>
              <w:noBreakHyphen/>
              <w:t xml:space="preserve">Britannique </w:t>
            </w:r>
          </w:p>
          <w:p w:rsidR="00E2011A" w:rsidRPr="00667307" w:rsidRDefault="00E2011A" w:rsidP="00A0505A">
            <w:pPr>
              <w:jc w:val="both"/>
              <w:rPr>
                <w:rFonts w:eastAsia="Calibri"/>
                <w:sz w:val="20"/>
                <w:lang w:val="fr-CA"/>
              </w:rPr>
            </w:pPr>
            <w:r w:rsidRPr="00667307">
              <w:rPr>
                <w:rFonts w:eastAsia="Calibri"/>
                <w:sz w:val="20"/>
                <w:lang w:val="fr-CA"/>
              </w:rPr>
              <w:t>(Vancouver)</w:t>
            </w:r>
          </w:p>
          <w:p w:rsidR="00E2011A" w:rsidRPr="00667307" w:rsidRDefault="00E2011A" w:rsidP="00A0505A">
            <w:pPr>
              <w:jc w:val="both"/>
              <w:rPr>
                <w:rFonts w:eastAsia="Calibri"/>
                <w:sz w:val="20"/>
                <w:lang w:val="fr-CA"/>
              </w:rPr>
            </w:pPr>
            <w:r w:rsidRPr="00667307">
              <w:rPr>
                <w:rFonts w:eastAsia="Calibri"/>
                <w:sz w:val="20"/>
                <w:lang w:val="fr-CA"/>
              </w:rPr>
              <w:t>(Juges Saunders, Frankel et MacKenzie)</w:t>
            </w:r>
          </w:p>
          <w:p w:rsidR="00E2011A" w:rsidRPr="00667307" w:rsidRDefault="00E2011A" w:rsidP="00A0505A">
            <w:pPr>
              <w:jc w:val="both"/>
              <w:rPr>
                <w:rFonts w:eastAsia="Calibri"/>
                <w:sz w:val="20"/>
                <w:lang w:val="fr-CA"/>
              </w:rPr>
            </w:pPr>
            <w:r w:rsidRPr="00667307">
              <w:rPr>
                <w:rFonts w:eastAsia="Calibri"/>
                <w:sz w:val="20"/>
                <w:lang w:val="fr-CA"/>
              </w:rPr>
              <w:t>2013 BCCA 42</w:t>
            </w:r>
          </w:p>
          <w:p w:rsidR="00E2011A" w:rsidRPr="00667307" w:rsidRDefault="00E2011A" w:rsidP="00A0505A">
            <w:pPr>
              <w:jc w:val="both"/>
              <w:rPr>
                <w:rFonts w:eastAsia="Calibri"/>
                <w:sz w:val="20"/>
                <w:lang w:val="fr-CA"/>
              </w:rPr>
            </w:pPr>
          </w:p>
        </w:tc>
        <w:tc>
          <w:tcPr>
            <w:tcW w:w="243" w:type="pct"/>
          </w:tcPr>
          <w:p w:rsidR="00E2011A" w:rsidRPr="00667307" w:rsidRDefault="00E2011A" w:rsidP="00A0505A">
            <w:pPr>
              <w:jc w:val="both"/>
              <w:rPr>
                <w:rFonts w:eastAsia="Calibri"/>
                <w:sz w:val="20"/>
                <w:lang w:val="fr-CA"/>
              </w:rPr>
            </w:pPr>
          </w:p>
        </w:tc>
        <w:tc>
          <w:tcPr>
            <w:tcW w:w="2330" w:type="pct"/>
          </w:tcPr>
          <w:p w:rsidR="00E2011A" w:rsidRPr="00667307" w:rsidRDefault="00E2011A" w:rsidP="00A0505A">
            <w:pPr>
              <w:jc w:val="both"/>
              <w:rPr>
                <w:rFonts w:eastAsia="Calibri"/>
                <w:sz w:val="20"/>
                <w:lang w:val="fr-CA"/>
              </w:rPr>
            </w:pPr>
            <w:r w:rsidRPr="00667307">
              <w:rPr>
                <w:rFonts w:eastAsia="Calibri"/>
                <w:sz w:val="20"/>
                <w:lang w:val="fr-CA"/>
              </w:rPr>
              <w:t>Demande de contrôle judiciaire de l’arrêté d’extradition, rejetée.</w:t>
            </w:r>
          </w:p>
          <w:p w:rsidR="00E2011A" w:rsidRPr="00667307" w:rsidRDefault="00E2011A" w:rsidP="00A0505A">
            <w:pPr>
              <w:jc w:val="both"/>
              <w:rPr>
                <w:rFonts w:eastAsia="Calibri"/>
                <w:sz w:val="20"/>
                <w:lang w:val="fr-CA"/>
              </w:rPr>
            </w:pPr>
          </w:p>
        </w:tc>
      </w:tr>
      <w:tr w:rsidR="00E2011A" w:rsidRPr="00667307" w:rsidTr="00A0505A">
        <w:tc>
          <w:tcPr>
            <w:tcW w:w="2427" w:type="pct"/>
          </w:tcPr>
          <w:p w:rsidR="00E2011A" w:rsidRPr="00667307" w:rsidRDefault="00E2011A" w:rsidP="00A0505A">
            <w:pPr>
              <w:jc w:val="both"/>
              <w:rPr>
                <w:rFonts w:eastAsia="Calibri"/>
                <w:sz w:val="20"/>
                <w:lang w:val="fr-CA"/>
              </w:rPr>
            </w:pPr>
            <w:r w:rsidRPr="00667307">
              <w:rPr>
                <w:rFonts w:eastAsia="Calibri"/>
                <w:sz w:val="20"/>
                <w:lang w:val="fr-CA"/>
              </w:rPr>
              <w:t>26 mars 2013</w:t>
            </w:r>
          </w:p>
          <w:p w:rsidR="00E2011A" w:rsidRPr="00667307" w:rsidRDefault="00E2011A" w:rsidP="00A0505A">
            <w:pPr>
              <w:jc w:val="both"/>
              <w:rPr>
                <w:rFonts w:eastAsia="Calibri"/>
                <w:sz w:val="20"/>
                <w:lang w:val="fr-CA"/>
              </w:rPr>
            </w:pPr>
            <w:r w:rsidRPr="00667307">
              <w:rPr>
                <w:rFonts w:eastAsia="Calibri"/>
                <w:sz w:val="20"/>
                <w:lang w:val="fr-CA"/>
              </w:rPr>
              <w:t>Cour suprême du Canada</w:t>
            </w:r>
          </w:p>
        </w:tc>
        <w:tc>
          <w:tcPr>
            <w:tcW w:w="243" w:type="pct"/>
          </w:tcPr>
          <w:p w:rsidR="00E2011A" w:rsidRPr="00667307" w:rsidRDefault="00E2011A" w:rsidP="00A0505A">
            <w:pPr>
              <w:jc w:val="both"/>
              <w:rPr>
                <w:rFonts w:eastAsia="Calibri"/>
                <w:sz w:val="20"/>
                <w:lang w:val="fr-CA"/>
              </w:rPr>
            </w:pPr>
          </w:p>
        </w:tc>
        <w:tc>
          <w:tcPr>
            <w:tcW w:w="2330" w:type="pct"/>
          </w:tcPr>
          <w:p w:rsidR="00E2011A" w:rsidRPr="00667307" w:rsidRDefault="00E2011A" w:rsidP="00A0505A">
            <w:pPr>
              <w:jc w:val="both"/>
              <w:rPr>
                <w:rFonts w:eastAsia="Calibri"/>
                <w:sz w:val="20"/>
                <w:lang w:val="fr-CA"/>
              </w:rPr>
            </w:pPr>
            <w:r w:rsidRPr="00667307">
              <w:rPr>
                <w:rFonts w:eastAsia="Calibri"/>
                <w:sz w:val="20"/>
                <w:lang w:val="fr-CA"/>
              </w:rPr>
              <w:t>Demande d’autorisation d’appel, déposée.</w:t>
            </w:r>
          </w:p>
          <w:p w:rsidR="00E2011A" w:rsidRPr="00667307" w:rsidRDefault="00E2011A" w:rsidP="00A0505A">
            <w:pPr>
              <w:jc w:val="both"/>
              <w:rPr>
                <w:rFonts w:eastAsia="Calibri"/>
                <w:sz w:val="20"/>
                <w:lang w:val="fr-CA"/>
              </w:rPr>
            </w:pPr>
          </w:p>
        </w:tc>
      </w:tr>
    </w:tbl>
    <w:p w:rsidR="00AA605C" w:rsidRDefault="00AA605C" w:rsidP="00AA605C">
      <w:pPr>
        <w:rPr>
          <w:sz w:val="20"/>
          <w:szCs w:val="20"/>
        </w:rPr>
      </w:pPr>
    </w:p>
    <w:p w:rsidR="00AA605C" w:rsidRDefault="00B3404D" w:rsidP="00AA605C">
      <w:pPr>
        <w:rPr>
          <w:sz w:val="20"/>
          <w:szCs w:val="20"/>
          <w:lang w:val="fr-CA"/>
        </w:rPr>
      </w:pPr>
      <w:r w:rsidRPr="00B3404D">
        <w:rPr>
          <w:sz w:val="20"/>
          <w:szCs w:val="20"/>
          <w:lang w:val="fr-CA"/>
        </w:rPr>
        <w:pict>
          <v:rect id="_x0000_i1059" style="width:2in;height:1pt" o:hrpct="0" o:hralign="center" o:hrstd="t" o:hrnoshade="t" o:hr="t" fillcolor="black [3213]" stroked="f"/>
        </w:pict>
      </w:r>
    </w:p>
    <w:p w:rsidR="00AA605C" w:rsidRDefault="00AA605C" w:rsidP="00AA605C">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50EC8" w:rsidRPr="00650EC8" w:rsidTr="00A61B52">
        <w:trPr>
          <w:cantSplit/>
        </w:trPr>
        <w:tc>
          <w:tcPr>
            <w:tcW w:w="1458" w:type="dxa"/>
          </w:tcPr>
          <w:p w:rsidR="00650EC8" w:rsidRPr="00650EC8" w:rsidRDefault="00650EC8" w:rsidP="00650EC8">
            <w:pPr>
              <w:rPr>
                <w:sz w:val="20"/>
                <w:szCs w:val="20"/>
              </w:rPr>
            </w:pPr>
            <w:r w:rsidRPr="00650EC8">
              <w:rPr>
                <w:b/>
                <w:sz w:val="20"/>
                <w:lang w:val="fr-CA"/>
              </w:rPr>
              <w:t>35253</w:t>
            </w:r>
          </w:p>
          <w:p w:rsidR="00650EC8" w:rsidRPr="00650EC8" w:rsidRDefault="00650EC8" w:rsidP="00650EC8">
            <w:pPr>
              <w:rPr>
                <w:b/>
                <w:sz w:val="20"/>
                <w:szCs w:val="20"/>
                <w:lang w:val="fr-CA"/>
              </w:rPr>
            </w:pPr>
          </w:p>
        </w:tc>
        <w:tc>
          <w:tcPr>
            <w:tcW w:w="8118" w:type="dxa"/>
          </w:tcPr>
          <w:p w:rsidR="00650EC8" w:rsidRPr="00650EC8" w:rsidRDefault="00650EC8" w:rsidP="00650EC8">
            <w:pPr>
              <w:jc w:val="both"/>
              <w:rPr>
                <w:sz w:val="20"/>
                <w:szCs w:val="20"/>
              </w:rPr>
            </w:pPr>
            <w:r w:rsidRPr="00650EC8">
              <w:rPr>
                <w:b/>
                <w:sz w:val="20"/>
                <w:u w:val="single"/>
              </w:rPr>
              <w:t>Kruger Products Limited / Produits Kruger Limitée v. First Choice Logistics Inc.</w:t>
            </w:r>
            <w:r w:rsidR="00F06188">
              <w:rPr>
                <w:b/>
                <w:sz w:val="20"/>
                <w:u w:val="single"/>
              </w:rPr>
              <w:t xml:space="preserve"> and</w:t>
            </w:r>
            <w:r w:rsidRPr="00650EC8">
              <w:rPr>
                <w:b/>
                <w:sz w:val="20"/>
                <w:u w:val="single"/>
              </w:rPr>
              <w:t xml:space="preserve"> Terrance Bodnar</w:t>
            </w:r>
            <w:r w:rsidRPr="00650EC8">
              <w:rPr>
                <w:sz w:val="20"/>
                <w:szCs w:val="20"/>
              </w:rPr>
              <w:t xml:space="preserve"> (B.C.) (Civil) (By Leave)</w:t>
            </w:r>
          </w:p>
          <w:p w:rsidR="00650EC8" w:rsidRPr="00650EC8" w:rsidRDefault="00650EC8" w:rsidP="00650EC8">
            <w:pPr>
              <w:jc w:val="both"/>
              <w:rPr>
                <w:sz w:val="20"/>
                <w:szCs w:val="20"/>
              </w:rPr>
            </w:pPr>
          </w:p>
        </w:tc>
      </w:tr>
      <w:tr w:rsidR="00650EC8" w:rsidRPr="00650EC8" w:rsidTr="00A61B52">
        <w:trPr>
          <w:cantSplit/>
        </w:trPr>
        <w:tc>
          <w:tcPr>
            <w:tcW w:w="1458" w:type="dxa"/>
          </w:tcPr>
          <w:p w:rsidR="00650EC8" w:rsidRPr="00650EC8" w:rsidRDefault="00650EC8" w:rsidP="00650EC8">
            <w:pPr>
              <w:rPr>
                <w:sz w:val="20"/>
                <w:szCs w:val="20"/>
              </w:rPr>
            </w:pPr>
            <w:r w:rsidRPr="00650EC8">
              <w:rPr>
                <w:sz w:val="20"/>
                <w:szCs w:val="20"/>
              </w:rPr>
              <w:t>Coram :</w:t>
            </w:r>
          </w:p>
        </w:tc>
        <w:tc>
          <w:tcPr>
            <w:tcW w:w="8118" w:type="dxa"/>
          </w:tcPr>
          <w:p w:rsidR="00650EC8" w:rsidRPr="00650EC8" w:rsidRDefault="00650EC8" w:rsidP="00650EC8">
            <w:pPr>
              <w:rPr>
                <w:sz w:val="20"/>
                <w:szCs w:val="20"/>
              </w:rPr>
            </w:pPr>
            <w:r w:rsidRPr="00650EC8">
              <w:rPr>
                <w:sz w:val="20"/>
                <w:u w:val="single"/>
              </w:rPr>
              <w:t>McLachlin C.J. and Abella and Cromwell JJ.</w:t>
            </w:r>
          </w:p>
          <w:p w:rsidR="00650EC8" w:rsidRPr="00650EC8" w:rsidRDefault="00650EC8" w:rsidP="00650EC8">
            <w:pPr>
              <w:rPr>
                <w:sz w:val="20"/>
                <w:szCs w:val="20"/>
                <w:u w:val="single"/>
              </w:rPr>
            </w:pPr>
          </w:p>
        </w:tc>
      </w:tr>
      <w:tr w:rsidR="00650EC8" w:rsidRPr="00D41BFD" w:rsidTr="00A61B52">
        <w:trPr>
          <w:cantSplit/>
        </w:trPr>
        <w:tc>
          <w:tcPr>
            <w:tcW w:w="9576" w:type="dxa"/>
            <w:gridSpan w:val="2"/>
          </w:tcPr>
          <w:p w:rsidR="00650EC8" w:rsidRPr="00650EC8" w:rsidRDefault="00650EC8" w:rsidP="00650EC8">
            <w:pPr>
              <w:ind w:firstLine="720"/>
              <w:jc w:val="both"/>
              <w:rPr>
                <w:sz w:val="20"/>
                <w:szCs w:val="20"/>
              </w:rPr>
            </w:pPr>
            <w:r w:rsidRPr="00650EC8">
              <w:rPr>
                <w:sz w:val="20"/>
                <w:szCs w:val="20"/>
              </w:rPr>
              <w:t>The application for leave to appeal from the judgment of the Court of Appeal for British Columbia (Vancouver), Number CA038662, 2013 BCCA 3, dated January 9, 2013, is dismissed with costs.</w:t>
            </w:r>
          </w:p>
          <w:p w:rsidR="00650EC8" w:rsidRPr="00650EC8" w:rsidRDefault="00650EC8" w:rsidP="00650EC8">
            <w:pPr>
              <w:jc w:val="both"/>
              <w:rPr>
                <w:sz w:val="20"/>
                <w:szCs w:val="20"/>
              </w:rPr>
            </w:pPr>
          </w:p>
          <w:p w:rsidR="00650EC8" w:rsidRPr="00650EC8" w:rsidRDefault="00650EC8" w:rsidP="00650EC8">
            <w:pPr>
              <w:ind w:firstLine="720"/>
              <w:jc w:val="both"/>
              <w:rPr>
                <w:sz w:val="20"/>
                <w:szCs w:val="20"/>
                <w:lang w:val="fr-CA"/>
              </w:rPr>
            </w:pPr>
            <w:r w:rsidRPr="00650EC8">
              <w:rPr>
                <w:sz w:val="20"/>
                <w:szCs w:val="20"/>
                <w:lang w:val="fr-CA"/>
              </w:rPr>
              <w:t>La demande d’autorisation d’appel de l’arrêt de la Cour d’appel de la Colombie-Britannique (Vancouver), numéro CA038662, 2013 BCCA 3, daté du 9 janvier 2013, est rejetée avec dépens.</w:t>
            </w:r>
          </w:p>
        </w:tc>
      </w:tr>
    </w:tbl>
    <w:p w:rsidR="00AA605C" w:rsidRPr="00650EC8" w:rsidRDefault="00AA605C" w:rsidP="00AA605C">
      <w:pPr>
        <w:rPr>
          <w:sz w:val="20"/>
          <w:szCs w:val="20"/>
          <w:lang w:val="fr-CA"/>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2011A" w:rsidRPr="00667307" w:rsidTr="00A0505A">
        <w:tc>
          <w:tcPr>
            <w:tcW w:w="5000" w:type="pct"/>
            <w:gridSpan w:val="3"/>
          </w:tcPr>
          <w:p w:rsidR="00E2011A" w:rsidRPr="00667307" w:rsidRDefault="00E2011A" w:rsidP="00A0505A">
            <w:pPr>
              <w:jc w:val="both"/>
              <w:rPr>
                <w:rFonts w:eastAsia="Calibri"/>
                <w:sz w:val="20"/>
              </w:rPr>
            </w:pPr>
            <w:r w:rsidRPr="00667307">
              <w:rPr>
                <w:rFonts w:eastAsia="Calibri"/>
                <w:sz w:val="20"/>
              </w:rPr>
              <w:t>Commercial law – Contracts – Insurance – Property law – Bailment – Parties entering into a warehousing agreement which required both parties to obtain and maintain insurance on applicant’s inventory and to name the other party as additional insured – Whether Court of Appeal erred in finding that agreement between parties prevented applicant’s action in damages – What is scope and extent of tort immunity defence – What is the proper approach for a court to take in considering tort immunity defence in context of relationship between parties.</w:t>
            </w:r>
          </w:p>
        </w:tc>
      </w:tr>
      <w:tr w:rsidR="00E2011A" w:rsidRPr="00667307" w:rsidTr="00A0505A">
        <w:tc>
          <w:tcPr>
            <w:tcW w:w="5000" w:type="pct"/>
            <w:gridSpan w:val="3"/>
          </w:tcPr>
          <w:p w:rsidR="00E2011A" w:rsidRPr="00667307" w:rsidRDefault="00E2011A" w:rsidP="00A0505A">
            <w:pPr>
              <w:jc w:val="both"/>
              <w:rPr>
                <w:rFonts w:eastAsia="Calibri"/>
                <w:sz w:val="20"/>
              </w:rPr>
            </w:pPr>
          </w:p>
        </w:tc>
      </w:tr>
      <w:tr w:rsidR="00E2011A" w:rsidRPr="00667307" w:rsidTr="00A0505A">
        <w:tc>
          <w:tcPr>
            <w:tcW w:w="5000" w:type="pct"/>
            <w:gridSpan w:val="3"/>
          </w:tcPr>
          <w:p w:rsidR="00E2011A" w:rsidRPr="00667307" w:rsidRDefault="00E2011A" w:rsidP="00A0505A">
            <w:pPr>
              <w:jc w:val="both"/>
              <w:rPr>
                <w:rFonts w:eastAsia="Calibri"/>
                <w:sz w:val="20"/>
              </w:rPr>
            </w:pPr>
            <w:r w:rsidRPr="00667307">
              <w:rPr>
                <w:rFonts w:eastAsia="Calibri"/>
                <w:sz w:val="20"/>
              </w:rPr>
              <w:t xml:space="preserve">In July 2001, a fire broke out in a warehouse operated by First Choice Logistics Inc. (“First Choice”) when a paper product littering the warehouse floor ignited when it came in contact with a forklift operated by a First Choice employee.  At the time of that fire, Kruger Products Limited (then known as Scott Paper Ltd.) was storing large rolls of paper in that warehouse, pursuant to a Warehouse Management Agreement which had never been signed by the parties. The fire resulted in the total destruction of the building and the loss of the entire contents of the Scott Paper’s inventory stored at the warehouse. </w:t>
            </w:r>
          </w:p>
          <w:p w:rsidR="00E2011A" w:rsidRPr="00667307" w:rsidRDefault="00E2011A" w:rsidP="00A0505A">
            <w:pPr>
              <w:jc w:val="both"/>
              <w:rPr>
                <w:rFonts w:eastAsia="Calibri"/>
                <w:sz w:val="20"/>
              </w:rPr>
            </w:pPr>
          </w:p>
          <w:p w:rsidR="00E2011A" w:rsidRPr="00667307" w:rsidRDefault="00E2011A" w:rsidP="00A0505A">
            <w:pPr>
              <w:jc w:val="both"/>
              <w:rPr>
                <w:rFonts w:eastAsia="Calibri"/>
                <w:sz w:val="20"/>
              </w:rPr>
            </w:pPr>
            <w:r w:rsidRPr="00667307">
              <w:rPr>
                <w:rFonts w:eastAsia="Calibri"/>
                <w:sz w:val="20"/>
              </w:rPr>
              <w:t xml:space="preserve">Scott Paper filed a claim alleging that the fire and its losses in excess of $16,000,000 were caused, in part, by breaches of contract and of statutory and common law duties of care owed by First Choice as well by the latter’s gross negligence. </w:t>
            </w:r>
          </w:p>
          <w:p w:rsidR="00E2011A" w:rsidRPr="00667307" w:rsidRDefault="00E2011A" w:rsidP="00A0505A">
            <w:pPr>
              <w:jc w:val="both"/>
              <w:rPr>
                <w:rFonts w:eastAsia="Calibri"/>
                <w:sz w:val="20"/>
              </w:rPr>
            </w:pPr>
          </w:p>
        </w:tc>
      </w:tr>
      <w:tr w:rsidR="00E2011A" w:rsidRPr="00667307" w:rsidTr="00650EC8">
        <w:trPr>
          <w:cantSplit/>
        </w:trPr>
        <w:tc>
          <w:tcPr>
            <w:tcW w:w="2427" w:type="pct"/>
          </w:tcPr>
          <w:p w:rsidR="00E2011A" w:rsidRPr="00667307" w:rsidRDefault="00E2011A" w:rsidP="00A0505A">
            <w:pPr>
              <w:jc w:val="both"/>
              <w:rPr>
                <w:rFonts w:eastAsia="Calibri"/>
                <w:sz w:val="20"/>
              </w:rPr>
            </w:pPr>
            <w:r w:rsidRPr="00667307">
              <w:rPr>
                <w:rFonts w:eastAsia="Calibri"/>
                <w:sz w:val="20"/>
              </w:rPr>
              <w:lastRenderedPageBreak/>
              <w:t>November 26, 2010</w:t>
            </w:r>
          </w:p>
          <w:p w:rsidR="00E2011A" w:rsidRPr="00667307" w:rsidRDefault="00E2011A" w:rsidP="00A0505A">
            <w:pPr>
              <w:jc w:val="both"/>
              <w:rPr>
                <w:rFonts w:eastAsia="Calibri"/>
                <w:sz w:val="20"/>
              </w:rPr>
            </w:pPr>
            <w:r w:rsidRPr="00667307">
              <w:rPr>
                <w:rFonts w:eastAsia="Calibri"/>
                <w:sz w:val="20"/>
              </w:rPr>
              <w:t>Supreme Court of British Columbia</w:t>
            </w:r>
          </w:p>
          <w:p w:rsidR="00E2011A" w:rsidRPr="00667307" w:rsidRDefault="00E2011A" w:rsidP="00A0505A">
            <w:pPr>
              <w:jc w:val="both"/>
              <w:rPr>
                <w:rFonts w:eastAsia="Calibri"/>
                <w:sz w:val="20"/>
              </w:rPr>
            </w:pPr>
            <w:r w:rsidRPr="00667307">
              <w:rPr>
                <w:rFonts w:eastAsia="Calibri"/>
                <w:sz w:val="20"/>
              </w:rPr>
              <w:t>(Burnyeat J.)</w:t>
            </w:r>
          </w:p>
          <w:p w:rsidR="00E2011A" w:rsidRPr="00667307" w:rsidRDefault="00E2011A" w:rsidP="00A0505A">
            <w:pPr>
              <w:jc w:val="both"/>
              <w:rPr>
                <w:rFonts w:eastAsia="Calibri"/>
                <w:sz w:val="20"/>
              </w:rPr>
            </w:pPr>
            <w:r w:rsidRPr="00667307">
              <w:rPr>
                <w:rFonts w:eastAsia="Calibri"/>
                <w:sz w:val="20"/>
              </w:rPr>
              <w:t>2010 BCSC 1242</w:t>
            </w:r>
          </w:p>
          <w:p w:rsidR="00E2011A" w:rsidRPr="00667307" w:rsidRDefault="00E2011A" w:rsidP="00A0505A">
            <w:pPr>
              <w:jc w:val="both"/>
              <w:rPr>
                <w:rFonts w:eastAsia="Calibri"/>
                <w:sz w:val="20"/>
              </w:rPr>
            </w:pPr>
          </w:p>
        </w:tc>
        <w:tc>
          <w:tcPr>
            <w:tcW w:w="243" w:type="pct"/>
          </w:tcPr>
          <w:p w:rsidR="00E2011A" w:rsidRPr="00667307" w:rsidRDefault="00E2011A" w:rsidP="00A0505A">
            <w:pPr>
              <w:jc w:val="both"/>
              <w:rPr>
                <w:rFonts w:eastAsia="Calibri"/>
                <w:sz w:val="20"/>
              </w:rPr>
            </w:pPr>
          </w:p>
        </w:tc>
        <w:tc>
          <w:tcPr>
            <w:tcW w:w="2330" w:type="pct"/>
          </w:tcPr>
          <w:p w:rsidR="00E2011A" w:rsidRPr="00667307" w:rsidRDefault="00E2011A" w:rsidP="00A0505A">
            <w:pPr>
              <w:jc w:val="both"/>
              <w:rPr>
                <w:rFonts w:eastAsia="Calibri"/>
                <w:sz w:val="20"/>
              </w:rPr>
            </w:pPr>
            <w:r w:rsidRPr="00667307">
              <w:rPr>
                <w:rFonts w:eastAsia="Calibri"/>
                <w:sz w:val="20"/>
              </w:rPr>
              <w:t>Applicant’s claim in tort and breach of contract allowed</w:t>
            </w:r>
          </w:p>
        </w:tc>
      </w:tr>
      <w:tr w:rsidR="00E2011A" w:rsidRPr="00667307" w:rsidTr="00650EC8">
        <w:trPr>
          <w:cantSplit/>
        </w:trPr>
        <w:tc>
          <w:tcPr>
            <w:tcW w:w="2427" w:type="pct"/>
          </w:tcPr>
          <w:p w:rsidR="00E2011A" w:rsidRPr="00667307" w:rsidRDefault="00E2011A" w:rsidP="00A0505A">
            <w:pPr>
              <w:jc w:val="both"/>
              <w:rPr>
                <w:rFonts w:eastAsia="Calibri"/>
                <w:sz w:val="20"/>
              </w:rPr>
            </w:pPr>
            <w:r w:rsidRPr="00667307">
              <w:rPr>
                <w:rFonts w:eastAsia="Calibri"/>
                <w:sz w:val="20"/>
              </w:rPr>
              <w:t>January 9, 2013</w:t>
            </w:r>
          </w:p>
          <w:p w:rsidR="00E2011A" w:rsidRPr="00667307" w:rsidRDefault="00E2011A" w:rsidP="00A0505A">
            <w:pPr>
              <w:jc w:val="both"/>
              <w:rPr>
                <w:rFonts w:eastAsia="Calibri"/>
                <w:sz w:val="20"/>
              </w:rPr>
            </w:pPr>
            <w:r w:rsidRPr="00667307">
              <w:rPr>
                <w:rFonts w:eastAsia="Calibri"/>
                <w:sz w:val="20"/>
              </w:rPr>
              <w:t xml:space="preserve">Court of Appeal for British Columbia </w:t>
            </w:r>
          </w:p>
          <w:p w:rsidR="00E2011A" w:rsidRPr="00667307" w:rsidRDefault="00E2011A" w:rsidP="00A0505A">
            <w:pPr>
              <w:jc w:val="both"/>
              <w:rPr>
                <w:rFonts w:eastAsia="Calibri"/>
                <w:sz w:val="20"/>
              </w:rPr>
            </w:pPr>
            <w:r w:rsidRPr="00667307">
              <w:rPr>
                <w:rFonts w:eastAsia="Calibri"/>
                <w:sz w:val="20"/>
              </w:rPr>
              <w:t>(Vancouver)</w:t>
            </w:r>
          </w:p>
          <w:p w:rsidR="00E2011A" w:rsidRPr="00667307" w:rsidRDefault="00E2011A" w:rsidP="00A0505A">
            <w:pPr>
              <w:jc w:val="both"/>
              <w:rPr>
                <w:rFonts w:eastAsia="Calibri"/>
                <w:sz w:val="20"/>
              </w:rPr>
            </w:pPr>
            <w:r w:rsidRPr="00667307">
              <w:rPr>
                <w:rFonts w:eastAsia="Calibri"/>
                <w:sz w:val="20"/>
              </w:rPr>
              <w:t>(Newbury, Hall and Garson JJ.A.)</w:t>
            </w:r>
          </w:p>
          <w:p w:rsidR="00E2011A" w:rsidRPr="00667307" w:rsidRDefault="00E2011A" w:rsidP="00A0505A">
            <w:pPr>
              <w:jc w:val="both"/>
              <w:rPr>
                <w:rFonts w:eastAsia="Calibri"/>
                <w:sz w:val="20"/>
              </w:rPr>
            </w:pPr>
            <w:r w:rsidRPr="00667307">
              <w:rPr>
                <w:rFonts w:eastAsia="Calibri"/>
                <w:sz w:val="20"/>
              </w:rPr>
              <w:t>2013 BCCA 3</w:t>
            </w:r>
          </w:p>
          <w:p w:rsidR="00E2011A" w:rsidRPr="00667307" w:rsidRDefault="00E2011A" w:rsidP="00A0505A">
            <w:pPr>
              <w:jc w:val="both"/>
              <w:rPr>
                <w:rFonts w:eastAsia="Calibri"/>
                <w:sz w:val="20"/>
              </w:rPr>
            </w:pPr>
          </w:p>
        </w:tc>
        <w:tc>
          <w:tcPr>
            <w:tcW w:w="243" w:type="pct"/>
          </w:tcPr>
          <w:p w:rsidR="00E2011A" w:rsidRPr="00667307" w:rsidRDefault="00E2011A" w:rsidP="00A0505A">
            <w:pPr>
              <w:jc w:val="both"/>
              <w:rPr>
                <w:rFonts w:eastAsia="Calibri"/>
                <w:sz w:val="20"/>
              </w:rPr>
            </w:pPr>
          </w:p>
        </w:tc>
        <w:tc>
          <w:tcPr>
            <w:tcW w:w="2330" w:type="pct"/>
          </w:tcPr>
          <w:p w:rsidR="00E2011A" w:rsidRPr="00667307" w:rsidRDefault="00E2011A" w:rsidP="00A0505A">
            <w:pPr>
              <w:jc w:val="both"/>
              <w:rPr>
                <w:rFonts w:eastAsia="Calibri"/>
                <w:sz w:val="20"/>
              </w:rPr>
            </w:pPr>
            <w:r w:rsidRPr="00667307">
              <w:rPr>
                <w:rFonts w:eastAsia="Calibri"/>
                <w:sz w:val="20"/>
              </w:rPr>
              <w:t>Appeal allowed; Applicant’s action dismissed</w:t>
            </w:r>
          </w:p>
          <w:p w:rsidR="00E2011A" w:rsidRPr="00667307" w:rsidRDefault="00E2011A" w:rsidP="00A0505A">
            <w:pPr>
              <w:jc w:val="both"/>
              <w:rPr>
                <w:rFonts w:eastAsia="Calibri"/>
                <w:sz w:val="20"/>
              </w:rPr>
            </w:pPr>
          </w:p>
        </w:tc>
      </w:tr>
      <w:tr w:rsidR="00E2011A" w:rsidRPr="00667307" w:rsidTr="00650EC8">
        <w:trPr>
          <w:cantSplit/>
        </w:trPr>
        <w:tc>
          <w:tcPr>
            <w:tcW w:w="2427" w:type="pct"/>
          </w:tcPr>
          <w:p w:rsidR="00E2011A" w:rsidRPr="00667307" w:rsidRDefault="00E2011A" w:rsidP="00A0505A">
            <w:pPr>
              <w:jc w:val="both"/>
              <w:rPr>
                <w:rFonts w:eastAsia="Calibri"/>
                <w:sz w:val="20"/>
              </w:rPr>
            </w:pPr>
            <w:r w:rsidRPr="00667307">
              <w:rPr>
                <w:rFonts w:eastAsia="Calibri"/>
                <w:sz w:val="20"/>
              </w:rPr>
              <w:t>March 8, 2013</w:t>
            </w:r>
          </w:p>
          <w:p w:rsidR="00E2011A" w:rsidRPr="00667307" w:rsidRDefault="00E2011A" w:rsidP="00A0505A">
            <w:pPr>
              <w:jc w:val="both"/>
              <w:rPr>
                <w:rFonts w:eastAsia="Calibri"/>
                <w:sz w:val="20"/>
              </w:rPr>
            </w:pPr>
            <w:r w:rsidRPr="00667307">
              <w:rPr>
                <w:rFonts w:eastAsia="Calibri"/>
                <w:sz w:val="20"/>
              </w:rPr>
              <w:t>Supreme Court of Canada</w:t>
            </w:r>
          </w:p>
        </w:tc>
        <w:tc>
          <w:tcPr>
            <w:tcW w:w="243" w:type="pct"/>
          </w:tcPr>
          <w:p w:rsidR="00E2011A" w:rsidRPr="00667307" w:rsidRDefault="00E2011A" w:rsidP="00A0505A">
            <w:pPr>
              <w:jc w:val="both"/>
              <w:rPr>
                <w:rFonts w:eastAsia="Calibri"/>
                <w:sz w:val="20"/>
              </w:rPr>
            </w:pPr>
          </w:p>
        </w:tc>
        <w:tc>
          <w:tcPr>
            <w:tcW w:w="2330" w:type="pct"/>
          </w:tcPr>
          <w:p w:rsidR="00E2011A" w:rsidRPr="00667307" w:rsidRDefault="00E2011A" w:rsidP="00A0505A">
            <w:pPr>
              <w:jc w:val="both"/>
              <w:rPr>
                <w:rFonts w:eastAsia="Calibri"/>
                <w:sz w:val="20"/>
              </w:rPr>
            </w:pPr>
            <w:r w:rsidRPr="00667307">
              <w:rPr>
                <w:rFonts w:eastAsia="Calibri"/>
                <w:sz w:val="20"/>
              </w:rPr>
              <w:t>Application for leave to appeal filed</w:t>
            </w: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60"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2011A" w:rsidRPr="00D41BFD" w:rsidTr="00A0505A">
        <w:tc>
          <w:tcPr>
            <w:tcW w:w="5000" w:type="pct"/>
            <w:gridSpan w:val="3"/>
          </w:tcPr>
          <w:p w:rsidR="00E2011A" w:rsidRPr="00667307" w:rsidRDefault="00E2011A" w:rsidP="00A0505A">
            <w:pPr>
              <w:jc w:val="both"/>
              <w:rPr>
                <w:rFonts w:eastAsia="Calibri"/>
                <w:sz w:val="20"/>
                <w:lang w:val="fr-CA"/>
              </w:rPr>
            </w:pPr>
            <w:r w:rsidRPr="00667307">
              <w:rPr>
                <w:rFonts w:eastAsia="Calibri"/>
                <w:sz w:val="20"/>
                <w:lang w:val="fr-CA"/>
              </w:rPr>
              <w:t>Droit commercial – Contrats – Assurance – Droit des biens – Baillement – Les parties ont conclu un contrat d’entreposage qui obligeait les deux parties à souscrire et à maintenir en vigueur une assurance sur les stocks de la demanderesses et à nommer l’autre partie assurée additionnelle – La Cour d’appel a-t-elle eu tort de conclure que le contrat entre les parties rendait irrecevable l’action en dommages-intérêts de la demanderesse? – Quelle est la portée et l’étendue de la défense d’immunité délictuelle? – Quelle méthode d’analyse un tribunal doit-il adopter en examinant la défense d’immunité délictuelle dans le contexte de la relation entre les parties?</w:t>
            </w:r>
          </w:p>
        </w:tc>
      </w:tr>
      <w:tr w:rsidR="00E2011A" w:rsidRPr="00D41BFD" w:rsidTr="00A0505A">
        <w:tc>
          <w:tcPr>
            <w:tcW w:w="5000" w:type="pct"/>
            <w:gridSpan w:val="3"/>
          </w:tcPr>
          <w:p w:rsidR="00E2011A" w:rsidRPr="00667307" w:rsidRDefault="00E2011A" w:rsidP="00A0505A">
            <w:pPr>
              <w:jc w:val="both"/>
              <w:rPr>
                <w:rFonts w:eastAsia="Calibri"/>
                <w:sz w:val="20"/>
                <w:lang w:val="fr-CA"/>
              </w:rPr>
            </w:pPr>
          </w:p>
        </w:tc>
      </w:tr>
      <w:tr w:rsidR="00E2011A" w:rsidRPr="00D41BFD" w:rsidTr="00A0505A">
        <w:tc>
          <w:tcPr>
            <w:tcW w:w="5000" w:type="pct"/>
            <w:gridSpan w:val="3"/>
          </w:tcPr>
          <w:p w:rsidR="00E2011A" w:rsidRPr="00667307" w:rsidRDefault="00E2011A" w:rsidP="00A0505A">
            <w:pPr>
              <w:jc w:val="both"/>
              <w:rPr>
                <w:rFonts w:eastAsia="Calibri"/>
                <w:sz w:val="20"/>
                <w:lang w:val="fr-CA"/>
              </w:rPr>
            </w:pPr>
            <w:r w:rsidRPr="00667307">
              <w:rPr>
                <w:rFonts w:eastAsia="Calibri"/>
                <w:sz w:val="20"/>
                <w:lang w:val="fr-CA"/>
              </w:rPr>
              <w:t xml:space="preserve">En juillet 2001, un incendie s’est déclaré dans un entrepôt exploité par First Choice Logistics Inc. (« First Choice ») lorsqu’un produit de papier qui jonchait le sol de l’entrepôt a pris feu au contact d’un chariot élévateur à fourche que conduisait un employé de First Choice.  À l’époque de l’incendie, Produits Kruger Limitée (qui s’appelait alors Les Papiers Scott Ltée) entreposait de gros rouleaux de papier dans cet entrepôt, en vertu d’un contrat de gestion d’entrepôt qui n’avait jamais été signé par les parties.  L’incendie a entraîné la destruction totale du bâtiment et la perte de tous les stocks de Papiers Scott qui se trouvaient à l’entrepôt. </w:t>
            </w:r>
          </w:p>
          <w:p w:rsidR="00E2011A" w:rsidRPr="00667307" w:rsidRDefault="00E2011A" w:rsidP="00A0505A">
            <w:pPr>
              <w:jc w:val="both"/>
              <w:rPr>
                <w:rFonts w:eastAsia="Calibri"/>
                <w:sz w:val="20"/>
                <w:lang w:val="fr-CA"/>
              </w:rPr>
            </w:pPr>
          </w:p>
          <w:p w:rsidR="00E2011A" w:rsidRPr="00667307" w:rsidRDefault="00E2011A" w:rsidP="00A0505A">
            <w:pPr>
              <w:jc w:val="both"/>
              <w:rPr>
                <w:rFonts w:eastAsia="Calibri"/>
                <w:sz w:val="20"/>
                <w:lang w:val="fr-CA"/>
              </w:rPr>
            </w:pPr>
            <w:r w:rsidRPr="00667307">
              <w:rPr>
                <w:rFonts w:eastAsia="Calibri"/>
                <w:sz w:val="20"/>
                <w:lang w:val="fr-CA"/>
              </w:rPr>
              <w:t xml:space="preserve">Les Papiers Scott a déposé une demande alléguant que l’incendie et les dommages de plus de 16 000 000 $ qu’elle avait subis avaient été causés, en partie, par des violations de contrat, par des manquements à des obligations de diligence imposées par la loi et la common law à First Choice et par la faute lourde de cette dernière. </w:t>
            </w:r>
          </w:p>
          <w:p w:rsidR="00E2011A" w:rsidRPr="00667307" w:rsidRDefault="00E2011A" w:rsidP="00A0505A">
            <w:pPr>
              <w:jc w:val="both"/>
              <w:rPr>
                <w:rFonts w:eastAsia="Calibri"/>
                <w:sz w:val="20"/>
                <w:lang w:val="fr-CA"/>
              </w:rPr>
            </w:pPr>
          </w:p>
        </w:tc>
      </w:tr>
      <w:tr w:rsidR="00E2011A" w:rsidRPr="00D41BFD" w:rsidTr="00A0505A">
        <w:tc>
          <w:tcPr>
            <w:tcW w:w="2427" w:type="pct"/>
          </w:tcPr>
          <w:p w:rsidR="00E2011A" w:rsidRPr="00667307" w:rsidRDefault="00E2011A" w:rsidP="00A0505A">
            <w:pPr>
              <w:jc w:val="both"/>
              <w:rPr>
                <w:rFonts w:eastAsia="Calibri"/>
                <w:sz w:val="20"/>
                <w:lang w:val="fr-CA"/>
              </w:rPr>
            </w:pPr>
            <w:r w:rsidRPr="00667307">
              <w:rPr>
                <w:rFonts w:eastAsia="Calibri"/>
                <w:sz w:val="20"/>
                <w:lang w:val="fr-CA"/>
              </w:rPr>
              <w:t>26 novembre 2010</w:t>
            </w:r>
          </w:p>
          <w:p w:rsidR="00E2011A" w:rsidRPr="00667307" w:rsidRDefault="00E2011A" w:rsidP="00A0505A">
            <w:pPr>
              <w:jc w:val="both"/>
              <w:rPr>
                <w:rFonts w:eastAsia="Calibri"/>
                <w:sz w:val="20"/>
                <w:lang w:val="fr-CA"/>
              </w:rPr>
            </w:pPr>
            <w:r w:rsidRPr="00667307">
              <w:rPr>
                <w:rFonts w:eastAsia="Calibri"/>
                <w:sz w:val="20"/>
                <w:lang w:val="fr-CA"/>
              </w:rPr>
              <w:t>Cour suprême de la Colombie-Britannique</w:t>
            </w:r>
          </w:p>
          <w:p w:rsidR="00E2011A" w:rsidRPr="00667307" w:rsidRDefault="00E2011A" w:rsidP="00A0505A">
            <w:pPr>
              <w:jc w:val="both"/>
              <w:rPr>
                <w:rFonts w:eastAsia="Calibri"/>
                <w:sz w:val="20"/>
                <w:lang w:val="fr-CA"/>
              </w:rPr>
            </w:pPr>
            <w:r w:rsidRPr="00667307">
              <w:rPr>
                <w:rFonts w:eastAsia="Calibri"/>
                <w:sz w:val="20"/>
                <w:lang w:val="fr-CA"/>
              </w:rPr>
              <w:t>(Juge Burnyeat)</w:t>
            </w:r>
          </w:p>
          <w:p w:rsidR="00E2011A" w:rsidRPr="00667307" w:rsidRDefault="00E2011A" w:rsidP="00A0505A">
            <w:pPr>
              <w:jc w:val="both"/>
              <w:rPr>
                <w:rFonts w:eastAsia="Calibri"/>
                <w:sz w:val="20"/>
                <w:lang w:val="fr-CA"/>
              </w:rPr>
            </w:pPr>
            <w:r w:rsidRPr="00667307">
              <w:rPr>
                <w:rFonts w:eastAsia="Calibri"/>
                <w:sz w:val="20"/>
                <w:lang w:val="fr-CA"/>
              </w:rPr>
              <w:t>2010 BCSC 1242</w:t>
            </w:r>
          </w:p>
          <w:p w:rsidR="00E2011A" w:rsidRPr="00667307" w:rsidRDefault="00E2011A" w:rsidP="00A0505A">
            <w:pPr>
              <w:jc w:val="both"/>
              <w:rPr>
                <w:rFonts w:eastAsia="Calibri"/>
                <w:sz w:val="20"/>
                <w:lang w:val="fr-CA"/>
              </w:rPr>
            </w:pPr>
          </w:p>
        </w:tc>
        <w:tc>
          <w:tcPr>
            <w:tcW w:w="243" w:type="pct"/>
          </w:tcPr>
          <w:p w:rsidR="00E2011A" w:rsidRPr="00667307" w:rsidRDefault="00E2011A" w:rsidP="00A0505A">
            <w:pPr>
              <w:jc w:val="both"/>
              <w:rPr>
                <w:rFonts w:eastAsia="Calibri"/>
                <w:sz w:val="20"/>
                <w:lang w:val="fr-CA"/>
              </w:rPr>
            </w:pPr>
          </w:p>
        </w:tc>
        <w:tc>
          <w:tcPr>
            <w:tcW w:w="2330" w:type="pct"/>
          </w:tcPr>
          <w:p w:rsidR="00E2011A" w:rsidRPr="00667307" w:rsidRDefault="00E2011A" w:rsidP="00A0505A">
            <w:pPr>
              <w:jc w:val="both"/>
              <w:rPr>
                <w:rFonts w:eastAsia="Calibri"/>
                <w:sz w:val="20"/>
                <w:lang w:val="fr-CA"/>
              </w:rPr>
            </w:pPr>
            <w:r w:rsidRPr="00667307">
              <w:rPr>
                <w:rFonts w:eastAsia="Calibri"/>
                <w:sz w:val="20"/>
                <w:lang w:val="fr-CA"/>
              </w:rPr>
              <w:t>Demande en responsabilité délictuelle et en violation de contrat de la demanderesse, accueillie</w:t>
            </w:r>
          </w:p>
        </w:tc>
      </w:tr>
      <w:tr w:rsidR="00E2011A" w:rsidRPr="00D41BFD" w:rsidTr="00A0505A">
        <w:tc>
          <w:tcPr>
            <w:tcW w:w="2427" w:type="pct"/>
          </w:tcPr>
          <w:p w:rsidR="00E2011A" w:rsidRPr="00667307" w:rsidRDefault="00E2011A" w:rsidP="00A0505A">
            <w:pPr>
              <w:jc w:val="both"/>
              <w:rPr>
                <w:rFonts w:eastAsia="Calibri"/>
                <w:sz w:val="20"/>
                <w:lang w:val="fr-CA"/>
              </w:rPr>
            </w:pPr>
            <w:r w:rsidRPr="00667307">
              <w:rPr>
                <w:rFonts w:eastAsia="Calibri"/>
                <w:sz w:val="20"/>
                <w:lang w:val="fr-CA"/>
              </w:rPr>
              <w:t>9 janvier 2013</w:t>
            </w:r>
          </w:p>
          <w:p w:rsidR="00E2011A" w:rsidRPr="00667307" w:rsidRDefault="00E2011A" w:rsidP="00A0505A">
            <w:pPr>
              <w:jc w:val="both"/>
              <w:rPr>
                <w:rFonts w:eastAsia="Calibri"/>
                <w:sz w:val="20"/>
                <w:lang w:val="fr-CA"/>
              </w:rPr>
            </w:pPr>
            <w:r w:rsidRPr="00667307">
              <w:rPr>
                <w:rFonts w:eastAsia="Calibri"/>
                <w:sz w:val="20"/>
                <w:lang w:val="fr-CA"/>
              </w:rPr>
              <w:t>Cour d’appel de la Colombie-Britannique</w:t>
            </w:r>
          </w:p>
          <w:p w:rsidR="00E2011A" w:rsidRPr="00667307" w:rsidRDefault="00E2011A" w:rsidP="00A0505A">
            <w:pPr>
              <w:jc w:val="both"/>
              <w:rPr>
                <w:rFonts w:eastAsia="Calibri"/>
                <w:sz w:val="20"/>
                <w:lang w:val="fr-CA"/>
              </w:rPr>
            </w:pPr>
            <w:r w:rsidRPr="00667307">
              <w:rPr>
                <w:rFonts w:eastAsia="Calibri"/>
                <w:sz w:val="20"/>
                <w:lang w:val="fr-CA"/>
              </w:rPr>
              <w:t>(Vancouver)</w:t>
            </w:r>
          </w:p>
          <w:p w:rsidR="00E2011A" w:rsidRPr="00667307" w:rsidRDefault="00E2011A" w:rsidP="00A0505A">
            <w:pPr>
              <w:jc w:val="both"/>
              <w:rPr>
                <w:rFonts w:eastAsia="Calibri"/>
                <w:sz w:val="20"/>
                <w:lang w:val="fr-CA"/>
              </w:rPr>
            </w:pPr>
            <w:r w:rsidRPr="00667307">
              <w:rPr>
                <w:rFonts w:eastAsia="Calibri"/>
                <w:sz w:val="20"/>
                <w:lang w:val="fr-CA"/>
              </w:rPr>
              <w:t>(Juges Newbury, Hall et Garson)</w:t>
            </w:r>
          </w:p>
          <w:p w:rsidR="00E2011A" w:rsidRPr="00667307" w:rsidRDefault="00E2011A" w:rsidP="00650EC8">
            <w:pPr>
              <w:jc w:val="both"/>
              <w:rPr>
                <w:rFonts w:eastAsia="Calibri"/>
                <w:sz w:val="20"/>
                <w:lang w:val="fr-CA"/>
              </w:rPr>
            </w:pPr>
            <w:r w:rsidRPr="00667307">
              <w:rPr>
                <w:rFonts w:eastAsia="Calibri"/>
                <w:sz w:val="20"/>
                <w:lang w:val="fr-CA"/>
              </w:rPr>
              <w:t>2013 BCCA 3</w:t>
            </w:r>
          </w:p>
        </w:tc>
        <w:tc>
          <w:tcPr>
            <w:tcW w:w="243" w:type="pct"/>
          </w:tcPr>
          <w:p w:rsidR="00E2011A" w:rsidRPr="00667307" w:rsidRDefault="00E2011A" w:rsidP="00A0505A">
            <w:pPr>
              <w:jc w:val="both"/>
              <w:rPr>
                <w:rFonts w:eastAsia="Calibri"/>
                <w:sz w:val="20"/>
                <w:lang w:val="fr-CA"/>
              </w:rPr>
            </w:pPr>
          </w:p>
        </w:tc>
        <w:tc>
          <w:tcPr>
            <w:tcW w:w="2330" w:type="pct"/>
          </w:tcPr>
          <w:p w:rsidR="00E2011A" w:rsidRPr="00667307" w:rsidRDefault="00E2011A" w:rsidP="00A0505A">
            <w:pPr>
              <w:jc w:val="both"/>
              <w:rPr>
                <w:rFonts w:eastAsia="Calibri"/>
                <w:sz w:val="20"/>
                <w:lang w:val="fr-CA"/>
              </w:rPr>
            </w:pPr>
            <w:r w:rsidRPr="00667307">
              <w:rPr>
                <w:rFonts w:eastAsia="Calibri"/>
                <w:sz w:val="20"/>
                <w:lang w:val="fr-CA"/>
              </w:rPr>
              <w:t>Appel accueilli; action de la demanderesse, rejetée</w:t>
            </w:r>
          </w:p>
          <w:p w:rsidR="00E2011A" w:rsidRPr="00667307" w:rsidRDefault="00E2011A" w:rsidP="00A0505A">
            <w:pPr>
              <w:jc w:val="both"/>
              <w:rPr>
                <w:rFonts w:eastAsia="Calibri"/>
                <w:sz w:val="20"/>
                <w:lang w:val="fr-CA"/>
              </w:rPr>
            </w:pPr>
          </w:p>
        </w:tc>
      </w:tr>
    </w:tbl>
    <w:p w:rsidR="00650EC8" w:rsidRPr="001533B8" w:rsidRDefault="00650EC8">
      <w:pPr>
        <w:rPr>
          <w:lang w:val="fr-CA"/>
        </w:rPr>
      </w:pPr>
    </w:p>
    <w:p w:rsidR="00650EC8" w:rsidRPr="001533B8" w:rsidRDefault="00650EC8">
      <w:pPr>
        <w:rPr>
          <w:lang w:val="fr-CA"/>
        </w:rPr>
      </w:pPr>
      <w:r w:rsidRPr="001533B8">
        <w:rPr>
          <w:lang w:val="fr-CA"/>
        </w:rPr>
        <w:br w:type="page"/>
      </w:r>
    </w:p>
    <w:tbl>
      <w:tblPr>
        <w:tblW w:w="4952" w:type="pct"/>
        <w:tblLayout w:type="fixed"/>
        <w:tblCellMar>
          <w:left w:w="0" w:type="dxa"/>
          <w:bottom w:w="99" w:type="dxa"/>
          <w:right w:w="0" w:type="dxa"/>
        </w:tblCellMar>
        <w:tblLook w:val="04A0"/>
      </w:tblPr>
      <w:tblGrid>
        <w:gridCol w:w="4624"/>
        <w:gridCol w:w="463"/>
        <w:gridCol w:w="4440"/>
      </w:tblGrid>
      <w:tr w:rsidR="00E2011A" w:rsidRPr="00667307" w:rsidTr="00650EC8">
        <w:trPr>
          <w:cantSplit/>
        </w:trPr>
        <w:tc>
          <w:tcPr>
            <w:tcW w:w="2427" w:type="pct"/>
          </w:tcPr>
          <w:p w:rsidR="00E2011A" w:rsidRPr="00667307" w:rsidRDefault="00E2011A" w:rsidP="00A0505A">
            <w:pPr>
              <w:jc w:val="both"/>
              <w:rPr>
                <w:rFonts w:eastAsia="Calibri"/>
                <w:sz w:val="20"/>
                <w:lang w:val="fr-CA"/>
              </w:rPr>
            </w:pPr>
            <w:r w:rsidRPr="00667307">
              <w:rPr>
                <w:rFonts w:eastAsia="Calibri"/>
                <w:sz w:val="20"/>
                <w:lang w:val="fr-CA"/>
              </w:rPr>
              <w:lastRenderedPageBreak/>
              <w:t>8 mars</w:t>
            </w:r>
          </w:p>
          <w:p w:rsidR="00E2011A" w:rsidRPr="00667307" w:rsidRDefault="00E2011A" w:rsidP="00A0505A">
            <w:pPr>
              <w:jc w:val="both"/>
              <w:rPr>
                <w:rFonts w:eastAsia="Calibri"/>
                <w:sz w:val="20"/>
                <w:lang w:val="fr-CA"/>
              </w:rPr>
            </w:pPr>
            <w:r w:rsidRPr="00667307">
              <w:rPr>
                <w:rFonts w:eastAsia="Calibri"/>
                <w:sz w:val="20"/>
                <w:lang w:val="fr-CA"/>
              </w:rPr>
              <w:t>Cour suprême du Canada</w:t>
            </w:r>
          </w:p>
        </w:tc>
        <w:tc>
          <w:tcPr>
            <w:tcW w:w="243" w:type="pct"/>
          </w:tcPr>
          <w:p w:rsidR="00E2011A" w:rsidRPr="00667307" w:rsidRDefault="00E2011A" w:rsidP="00A0505A">
            <w:pPr>
              <w:jc w:val="both"/>
              <w:rPr>
                <w:rFonts w:eastAsia="Calibri"/>
                <w:sz w:val="20"/>
                <w:lang w:val="fr-CA"/>
              </w:rPr>
            </w:pPr>
          </w:p>
        </w:tc>
        <w:tc>
          <w:tcPr>
            <w:tcW w:w="2330" w:type="pct"/>
          </w:tcPr>
          <w:p w:rsidR="00E2011A" w:rsidRPr="00667307" w:rsidRDefault="00E2011A" w:rsidP="00A0505A">
            <w:pPr>
              <w:jc w:val="both"/>
              <w:rPr>
                <w:rFonts w:eastAsia="Calibri"/>
                <w:sz w:val="20"/>
                <w:lang w:val="fr-CA"/>
              </w:rPr>
            </w:pPr>
            <w:r w:rsidRPr="00667307">
              <w:rPr>
                <w:rFonts w:eastAsia="Calibri"/>
                <w:sz w:val="20"/>
                <w:lang w:val="fr-CA"/>
              </w:rPr>
              <w:t>Demande d’autorisation d’appel, déposée</w:t>
            </w:r>
          </w:p>
        </w:tc>
      </w:tr>
    </w:tbl>
    <w:p w:rsidR="00AA605C" w:rsidRDefault="00AA605C" w:rsidP="00AA605C">
      <w:pPr>
        <w:rPr>
          <w:sz w:val="20"/>
          <w:szCs w:val="20"/>
        </w:rPr>
      </w:pPr>
    </w:p>
    <w:p w:rsidR="00AA605C" w:rsidRDefault="00B3404D" w:rsidP="00AA605C">
      <w:pPr>
        <w:rPr>
          <w:sz w:val="20"/>
          <w:szCs w:val="20"/>
          <w:lang w:val="fr-CA"/>
        </w:rPr>
      </w:pPr>
      <w:r w:rsidRPr="00B3404D">
        <w:rPr>
          <w:sz w:val="20"/>
          <w:szCs w:val="20"/>
          <w:lang w:val="fr-CA"/>
        </w:rPr>
        <w:pict>
          <v:rect id="_x0000_i1061" style="width:2in;height:1pt" o:hrpct="0" o:hralign="center" o:hrstd="t" o:hrnoshade="t" o:hr="t" fillcolor="black [3213]" stroked="f"/>
        </w:pict>
      </w:r>
    </w:p>
    <w:p w:rsidR="00AA605C" w:rsidRDefault="00AA605C" w:rsidP="00AA605C">
      <w:pPr>
        <w:rPr>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61B52" w:rsidRPr="00A61B52" w:rsidTr="00A61B52">
        <w:trPr>
          <w:cantSplit/>
        </w:trPr>
        <w:tc>
          <w:tcPr>
            <w:tcW w:w="1458" w:type="dxa"/>
          </w:tcPr>
          <w:p w:rsidR="00A61B52" w:rsidRPr="00A61B52" w:rsidRDefault="00A61B52" w:rsidP="00A61B52">
            <w:pPr>
              <w:rPr>
                <w:sz w:val="20"/>
                <w:szCs w:val="20"/>
              </w:rPr>
            </w:pPr>
            <w:r w:rsidRPr="00A61B52">
              <w:rPr>
                <w:b/>
                <w:sz w:val="20"/>
                <w:lang w:val="fr-CA"/>
              </w:rPr>
              <w:t>35254</w:t>
            </w:r>
          </w:p>
          <w:p w:rsidR="00A61B52" w:rsidRPr="00A61B52" w:rsidRDefault="00A61B52" w:rsidP="00A61B52">
            <w:pPr>
              <w:rPr>
                <w:b/>
                <w:sz w:val="20"/>
                <w:szCs w:val="20"/>
                <w:lang w:val="fr-CA"/>
              </w:rPr>
            </w:pPr>
          </w:p>
        </w:tc>
        <w:tc>
          <w:tcPr>
            <w:tcW w:w="8118" w:type="dxa"/>
          </w:tcPr>
          <w:p w:rsidR="00A61B52" w:rsidRPr="00A61B52" w:rsidRDefault="00A61B52" w:rsidP="002B39FE">
            <w:pPr>
              <w:jc w:val="both"/>
              <w:rPr>
                <w:sz w:val="20"/>
                <w:szCs w:val="20"/>
              </w:rPr>
            </w:pPr>
            <w:r w:rsidRPr="00A61B52">
              <w:rPr>
                <w:b/>
                <w:sz w:val="20"/>
                <w:u w:val="single"/>
              </w:rPr>
              <w:t>Thinh Hung Le v. United States of America</w:t>
            </w:r>
            <w:r w:rsidR="002B39FE">
              <w:rPr>
                <w:b/>
                <w:sz w:val="20"/>
                <w:u w:val="single"/>
              </w:rPr>
              <w:t xml:space="preserve"> and</w:t>
            </w:r>
            <w:r w:rsidRPr="00A61B52">
              <w:rPr>
                <w:b/>
                <w:sz w:val="20"/>
                <w:u w:val="single"/>
              </w:rPr>
              <w:t xml:space="preserve"> Minister of Justice</w:t>
            </w:r>
            <w:r w:rsidRPr="00A61B52">
              <w:rPr>
                <w:sz w:val="20"/>
                <w:szCs w:val="20"/>
              </w:rPr>
              <w:t xml:space="preserve"> (Ont.) (Criminal) (By</w:t>
            </w:r>
            <w:r w:rsidR="002B39FE">
              <w:rPr>
                <w:sz w:val="20"/>
                <w:szCs w:val="20"/>
              </w:rPr>
              <w:t> </w:t>
            </w:r>
            <w:r w:rsidRPr="00A61B52">
              <w:rPr>
                <w:sz w:val="20"/>
                <w:szCs w:val="20"/>
              </w:rPr>
              <w:t>Leave)</w:t>
            </w:r>
          </w:p>
          <w:p w:rsidR="00A61B52" w:rsidRPr="00A61B52" w:rsidRDefault="00A61B52" w:rsidP="002B39FE">
            <w:pPr>
              <w:jc w:val="both"/>
              <w:rPr>
                <w:sz w:val="20"/>
                <w:szCs w:val="20"/>
              </w:rPr>
            </w:pPr>
          </w:p>
        </w:tc>
      </w:tr>
      <w:tr w:rsidR="00A61B52" w:rsidRPr="00A61B52" w:rsidTr="00A61B52">
        <w:trPr>
          <w:cantSplit/>
        </w:trPr>
        <w:tc>
          <w:tcPr>
            <w:tcW w:w="1458" w:type="dxa"/>
          </w:tcPr>
          <w:p w:rsidR="00A61B52" w:rsidRPr="00A61B52" w:rsidRDefault="00A61B52" w:rsidP="00A61B52">
            <w:pPr>
              <w:rPr>
                <w:sz w:val="20"/>
                <w:szCs w:val="20"/>
              </w:rPr>
            </w:pPr>
            <w:r w:rsidRPr="00A61B52">
              <w:rPr>
                <w:sz w:val="20"/>
                <w:szCs w:val="20"/>
              </w:rPr>
              <w:t>Coram :</w:t>
            </w:r>
          </w:p>
        </w:tc>
        <w:tc>
          <w:tcPr>
            <w:tcW w:w="8118" w:type="dxa"/>
          </w:tcPr>
          <w:p w:rsidR="00A61B52" w:rsidRPr="00A61B52" w:rsidRDefault="00A61B52" w:rsidP="00A61B52">
            <w:pPr>
              <w:rPr>
                <w:sz w:val="20"/>
                <w:szCs w:val="20"/>
              </w:rPr>
            </w:pPr>
            <w:r w:rsidRPr="00A61B52">
              <w:rPr>
                <w:sz w:val="20"/>
                <w:u w:val="single"/>
              </w:rPr>
              <w:t>Fish, Rothstein and Moldaver JJ.</w:t>
            </w:r>
          </w:p>
          <w:p w:rsidR="00A61B52" w:rsidRPr="00A61B52" w:rsidRDefault="00A61B52" w:rsidP="00A61B52">
            <w:pPr>
              <w:rPr>
                <w:sz w:val="20"/>
                <w:szCs w:val="20"/>
                <w:u w:val="single"/>
              </w:rPr>
            </w:pPr>
          </w:p>
        </w:tc>
      </w:tr>
      <w:tr w:rsidR="00A61B52" w:rsidRPr="00D41BFD" w:rsidTr="00A61B52">
        <w:trPr>
          <w:cantSplit/>
        </w:trPr>
        <w:tc>
          <w:tcPr>
            <w:tcW w:w="9576" w:type="dxa"/>
            <w:gridSpan w:val="2"/>
          </w:tcPr>
          <w:p w:rsidR="00A61B52" w:rsidRPr="00A61B52" w:rsidRDefault="00A61B52" w:rsidP="00A61B52">
            <w:pPr>
              <w:ind w:firstLine="720"/>
              <w:jc w:val="both"/>
              <w:rPr>
                <w:sz w:val="20"/>
                <w:szCs w:val="20"/>
              </w:rPr>
            </w:pPr>
            <w:r w:rsidRPr="00A61B52">
              <w:rPr>
                <w:sz w:val="20"/>
                <w:szCs w:val="20"/>
              </w:rPr>
              <w:t>The application for leave to appeal from the judgment of the Court of Appeal for Ontario, Number C55617, 2013 ONCA 55, dated January 29, 2013, is dismissed without costs</w:t>
            </w:r>
          </w:p>
          <w:p w:rsidR="00A61B52" w:rsidRPr="00A61B52" w:rsidRDefault="00A61B52" w:rsidP="00A61B52">
            <w:pPr>
              <w:jc w:val="both"/>
              <w:rPr>
                <w:sz w:val="20"/>
                <w:szCs w:val="20"/>
              </w:rPr>
            </w:pPr>
          </w:p>
          <w:p w:rsidR="00A61B52" w:rsidRPr="00A61B52" w:rsidRDefault="00A61B52" w:rsidP="00A61B52">
            <w:pPr>
              <w:ind w:firstLine="720"/>
              <w:jc w:val="both"/>
              <w:rPr>
                <w:sz w:val="20"/>
                <w:szCs w:val="20"/>
                <w:lang w:val="fr-CA"/>
              </w:rPr>
            </w:pPr>
            <w:r w:rsidRPr="00A61B52">
              <w:rPr>
                <w:sz w:val="20"/>
                <w:szCs w:val="20"/>
                <w:lang w:val="fr-CA"/>
              </w:rPr>
              <w:t>La demande d’autorisation d’appel de l’arrêt de la Cour d’appel de l’Ontario, numéro C55617, 2013 ONCA 55, daté du 29 janvier 2013, est rejetée sans dépens.</w:t>
            </w:r>
          </w:p>
        </w:tc>
      </w:tr>
    </w:tbl>
    <w:p w:rsidR="00AA605C" w:rsidRPr="00A61B52" w:rsidRDefault="00AA605C" w:rsidP="00AA605C">
      <w:pPr>
        <w:rPr>
          <w:sz w:val="20"/>
          <w:szCs w:val="20"/>
          <w:lang w:val="fr-CA"/>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936C6" w:rsidRPr="00667307" w:rsidTr="00A0505A">
        <w:tc>
          <w:tcPr>
            <w:tcW w:w="5000" w:type="pct"/>
            <w:gridSpan w:val="3"/>
          </w:tcPr>
          <w:p w:rsidR="00E936C6" w:rsidRPr="00667307" w:rsidRDefault="00E936C6" w:rsidP="00A0505A">
            <w:pPr>
              <w:jc w:val="both"/>
              <w:rPr>
                <w:rFonts w:eastAsia="Calibri"/>
                <w:sz w:val="20"/>
              </w:rPr>
            </w:pPr>
            <w:r w:rsidRPr="00667307">
              <w:rPr>
                <w:rFonts w:eastAsia="Calibri"/>
                <w:sz w:val="20"/>
              </w:rPr>
              <w:t xml:space="preserve">Extradition – Surrender – Jurisdiction of Minister – Abuse of process – U.S. seeking applicant’s extradition on drug trafficking charges – Minister of Justice surrendering applicant – Whether Minister exceeded his jurisdiction by allegedly issuing surrender order on conduct and offences not included in Authority to Proceed (ATP) or in Committal Order and which had not been subject of committal hearing – Whether Court of Appeal erred in its interpretation of </w:t>
            </w:r>
            <w:r w:rsidRPr="00667307">
              <w:rPr>
                <w:rFonts w:eastAsia="Calibri"/>
                <w:i/>
                <w:sz w:val="20"/>
              </w:rPr>
              <w:t>Canada (Justice)</w:t>
            </w:r>
            <w:r w:rsidRPr="00667307">
              <w:rPr>
                <w:rFonts w:eastAsia="Calibri"/>
                <w:sz w:val="20"/>
              </w:rPr>
              <w:t xml:space="preserve"> </w:t>
            </w:r>
            <w:r w:rsidRPr="00667307">
              <w:rPr>
                <w:rFonts w:eastAsia="Calibri"/>
                <w:i/>
                <w:sz w:val="20"/>
              </w:rPr>
              <w:t>v. Fischbacher</w:t>
            </w:r>
            <w:r w:rsidRPr="00667307">
              <w:rPr>
                <w:rFonts w:eastAsia="Calibri"/>
                <w:sz w:val="20"/>
              </w:rPr>
              <w:t>, 2009 SCC 46 – Whether Court of Appeal erred in failing to find that Minister’s decision to exclude from ATP conduct upon which he intended to order surrender applicant was abuse of process</w:t>
            </w:r>
          </w:p>
        </w:tc>
      </w:tr>
      <w:tr w:rsidR="00E936C6" w:rsidRPr="00667307" w:rsidTr="00A0505A">
        <w:tc>
          <w:tcPr>
            <w:tcW w:w="5000" w:type="pct"/>
            <w:gridSpan w:val="3"/>
          </w:tcPr>
          <w:p w:rsidR="00E936C6" w:rsidRPr="00667307" w:rsidRDefault="00E936C6" w:rsidP="00A0505A">
            <w:pPr>
              <w:jc w:val="both"/>
              <w:rPr>
                <w:rFonts w:eastAsia="Calibri"/>
                <w:sz w:val="20"/>
              </w:rPr>
            </w:pPr>
          </w:p>
        </w:tc>
      </w:tr>
      <w:tr w:rsidR="00E936C6" w:rsidRPr="00667307" w:rsidTr="00A0505A">
        <w:tc>
          <w:tcPr>
            <w:tcW w:w="5000" w:type="pct"/>
            <w:gridSpan w:val="3"/>
          </w:tcPr>
          <w:p w:rsidR="00E936C6" w:rsidRPr="00667307" w:rsidRDefault="00E936C6" w:rsidP="00A0505A">
            <w:pPr>
              <w:jc w:val="both"/>
              <w:rPr>
                <w:rFonts w:eastAsia="Calibri"/>
                <w:sz w:val="20"/>
              </w:rPr>
            </w:pPr>
            <w:r w:rsidRPr="00667307">
              <w:rPr>
                <w:rFonts w:eastAsia="Calibri"/>
                <w:sz w:val="20"/>
              </w:rPr>
              <w:t xml:space="preserve">The United States sought Mr. Le on six drug-related charges, including charges of importation and trafficking.  In 2011, the Minister of Justice issued an Authority to Proceed pursuant to s. 15 of the </w:t>
            </w:r>
            <w:r w:rsidRPr="00667307">
              <w:rPr>
                <w:rFonts w:eastAsia="Calibri"/>
                <w:i/>
                <w:sz w:val="20"/>
              </w:rPr>
              <w:t>Extradition Act</w:t>
            </w:r>
            <w:r w:rsidRPr="00667307">
              <w:rPr>
                <w:rFonts w:eastAsia="Calibri"/>
                <w:sz w:val="20"/>
              </w:rPr>
              <w:t xml:space="preserve">, S.C. 1999, c. 18, authorizing the Attorney General of Canada to seek a court order for Mr. Le’s committal for three offences that corresponded to the Canadian offences of trafficking substances listed in specific schedules of the </w:t>
            </w:r>
            <w:r w:rsidRPr="00667307">
              <w:rPr>
                <w:rFonts w:eastAsia="Calibri"/>
                <w:i/>
                <w:sz w:val="20"/>
              </w:rPr>
              <w:t>Controlled Drugs and Substances Act</w:t>
            </w:r>
            <w:r w:rsidRPr="00667307">
              <w:rPr>
                <w:rFonts w:eastAsia="Calibri"/>
                <w:sz w:val="20"/>
              </w:rPr>
              <w:t xml:space="preserve">, S.C. 1996, c. 19. </w:t>
            </w:r>
          </w:p>
          <w:p w:rsidR="00E936C6" w:rsidRPr="00667307" w:rsidRDefault="00E936C6" w:rsidP="00A0505A">
            <w:pPr>
              <w:jc w:val="both"/>
              <w:rPr>
                <w:rFonts w:eastAsia="Calibri"/>
                <w:sz w:val="20"/>
              </w:rPr>
            </w:pPr>
          </w:p>
          <w:p w:rsidR="00E936C6" w:rsidRPr="00667307" w:rsidRDefault="00E936C6" w:rsidP="00A0505A">
            <w:pPr>
              <w:jc w:val="both"/>
              <w:rPr>
                <w:rFonts w:eastAsia="Calibri"/>
                <w:sz w:val="20"/>
              </w:rPr>
            </w:pPr>
            <w:r w:rsidRPr="00667307">
              <w:rPr>
                <w:rFonts w:eastAsia="Calibri"/>
                <w:sz w:val="20"/>
              </w:rPr>
              <w:t>In January 2012, Mr. Le consented to the issuance of an order for his committal for the offences set out in the Authority to Proceed.  That same day, a judge of the Superior Court of Justice issued an order committing Mr. Le into custody until his surrender to the United States.</w:t>
            </w:r>
          </w:p>
          <w:p w:rsidR="00E936C6" w:rsidRPr="00667307" w:rsidRDefault="00E936C6" w:rsidP="00A0505A">
            <w:pPr>
              <w:jc w:val="both"/>
              <w:rPr>
                <w:rFonts w:eastAsia="Calibri"/>
                <w:sz w:val="20"/>
              </w:rPr>
            </w:pPr>
          </w:p>
        </w:tc>
      </w:tr>
      <w:tr w:rsidR="00E936C6" w:rsidRPr="00667307" w:rsidTr="00A0505A">
        <w:tc>
          <w:tcPr>
            <w:tcW w:w="2427" w:type="pct"/>
          </w:tcPr>
          <w:p w:rsidR="00E936C6" w:rsidRPr="00667307" w:rsidRDefault="00E936C6" w:rsidP="00A0505A">
            <w:pPr>
              <w:jc w:val="both"/>
              <w:rPr>
                <w:rFonts w:eastAsia="Calibri"/>
                <w:sz w:val="20"/>
              </w:rPr>
            </w:pPr>
            <w:r w:rsidRPr="00667307">
              <w:rPr>
                <w:rFonts w:eastAsia="Calibri"/>
                <w:sz w:val="20"/>
              </w:rPr>
              <w:t>June 13, 2012</w:t>
            </w:r>
          </w:p>
          <w:p w:rsidR="00E936C6" w:rsidRPr="00667307" w:rsidRDefault="00E936C6" w:rsidP="00A0505A">
            <w:pPr>
              <w:jc w:val="both"/>
              <w:rPr>
                <w:rFonts w:eastAsia="Calibri"/>
                <w:sz w:val="20"/>
              </w:rPr>
            </w:pPr>
            <w:r w:rsidRPr="00667307">
              <w:rPr>
                <w:rFonts w:eastAsia="Calibri"/>
                <w:sz w:val="20"/>
              </w:rPr>
              <w:t>Minister of Justice  of Canada</w:t>
            </w:r>
          </w:p>
          <w:p w:rsidR="00E936C6" w:rsidRPr="00667307" w:rsidRDefault="00E936C6" w:rsidP="00A0505A">
            <w:pPr>
              <w:jc w:val="both"/>
              <w:rPr>
                <w:rFonts w:eastAsia="Calibri"/>
                <w:sz w:val="20"/>
              </w:rPr>
            </w:pPr>
          </w:p>
        </w:tc>
        <w:tc>
          <w:tcPr>
            <w:tcW w:w="243" w:type="pct"/>
          </w:tcPr>
          <w:p w:rsidR="00E936C6" w:rsidRPr="00667307" w:rsidRDefault="00E936C6" w:rsidP="00A0505A">
            <w:pPr>
              <w:jc w:val="both"/>
              <w:rPr>
                <w:rFonts w:eastAsia="Calibri"/>
                <w:sz w:val="20"/>
              </w:rPr>
            </w:pPr>
          </w:p>
        </w:tc>
        <w:tc>
          <w:tcPr>
            <w:tcW w:w="2330" w:type="pct"/>
          </w:tcPr>
          <w:p w:rsidR="00E936C6" w:rsidRPr="00667307" w:rsidRDefault="00E936C6" w:rsidP="00A0505A">
            <w:pPr>
              <w:jc w:val="both"/>
              <w:rPr>
                <w:rFonts w:eastAsia="Calibri"/>
                <w:sz w:val="20"/>
              </w:rPr>
            </w:pPr>
            <w:r w:rsidRPr="00667307">
              <w:rPr>
                <w:rFonts w:eastAsia="Calibri"/>
                <w:sz w:val="20"/>
              </w:rPr>
              <w:t xml:space="preserve">Order unconditionally surrendering applicant to the United States, issued </w:t>
            </w:r>
          </w:p>
        </w:tc>
      </w:tr>
      <w:tr w:rsidR="00E936C6" w:rsidRPr="00667307" w:rsidTr="00A0505A">
        <w:tc>
          <w:tcPr>
            <w:tcW w:w="2427" w:type="pct"/>
          </w:tcPr>
          <w:p w:rsidR="00E936C6" w:rsidRPr="00667307" w:rsidRDefault="00E936C6" w:rsidP="00A0505A">
            <w:pPr>
              <w:jc w:val="both"/>
              <w:rPr>
                <w:rFonts w:eastAsia="Calibri"/>
                <w:sz w:val="20"/>
              </w:rPr>
            </w:pPr>
            <w:r w:rsidRPr="00667307">
              <w:rPr>
                <w:rFonts w:eastAsia="Calibri"/>
                <w:sz w:val="20"/>
              </w:rPr>
              <w:t>January 29, 2013</w:t>
            </w:r>
          </w:p>
          <w:p w:rsidR="00E936C6" w:rsidRPr="00667307" w:rsidRDefault="00E936C6" w:rsidP="00A0505A">
            <w:pPr>
              <w:jc w:val="both"/>
              <w:rPr>
                <w:rFonts w:eastAsia="Calibri"/>
                <w:sz w:val="20"/>
              </w:rPr>
            </w:pPr>
            <w:r w:rsidRPr="00667307">
              <w:rPr>
                <w:rFonts w:eastAsia="Calibri"/>
                <w:sz w:val="20"/>
              </w:rPr>
              <w:t>Court of Appeal for Ontario</w:t>
            </w:r>
          </w:p>
          <w:p w:rsidR="00E936C6" w:rsidRPr="00667307" w:rsidRDefault="00E936C6" w:rsidP="00A0505A">
            <w:pPr>
              <w:jc w:val="both"/>
              <w:rPr>
                <w:rFonts w:eastAsia="Calibri"/>
                <w:sz w:val="20"/>
              </w:rPr>
            </w:pPr>
            <w:r w:rsidRPr="00667307">
              <w:rPr>
                <w:rFonts w:eastAsia="Calibri"/>
                <w:sz w:val="20"/>
              </w:rPr>
              <w:t>(Doherty, Simmons and Tulloch JJ.A.)</w:t>
            </w:r>
          </w:p>
          <w:p w:rsidR="00E936C6" w:rsidRPr="00667307" w:rsidRDefault="00E936C6" w:rsidP="00A0505A">
            <w:pPr>
              <w:jc w:val="both"/>
              <w:rPr>
                <w:rFonts w:eastAsia="Calibri"/>
                <w:sz w:val="20"/>
              </w:rPr>
            </w:pPr>
          </w:p>
        </w:tc>
        <w:tc>
          <w:tcPr>
            <w:tcW w:w="243" w:type="pct"/>
          </w:tcPr>
          <w:p w:rsidR="00E936C6" w:rsidRPr="00667307" w:rsidRDefault="00E936C6" w:rsidP="00A0505A">
            <w:pPr>
              <w:jc w:val="both"/>
              <w:rPr>
                <w:rFonts w:eastAsia="Calibri"/>
                <w:sz w:val="20"/>
              </w:rPr>
            </w:pPr>
          </w:p>
        </w:tc>
        <w:tc>
          <w:tcPr>
            <w:tcW w:w="2330" w:type="pct"/>
          </w:tcPr>
          <w:p w:rsidR="00E936C6" w:rsidRPr="00667307" w:rsidRDefault="00E936C6" w:rsidP="00A0505A">
            <w:pPr>
              <w:jc w:val="both"/>
              <w:rPr>
                <w:rFonts w:eastAsia="Calibri"/>
                <w:sz w:val="20"/>
              </w:rPr>
            </w:pPr>
            <w:r w:rsidRPr="00667307">
              <w:rPr>
                <w:rFonts w:eastAsia="Calibri"/>
                <w:sz w:val="20"/>
              </w:rPr>
              <w:t xml:space="preserve">Application for judicial review against surrender order, dismissed </w:t>
            </w:r>
          </w:p>
          <w:p w:rsidR="00E936C6" w:rsidRPr="00667307" w:rsidRDefault="00E936C6" w:rsidP="00A0505A">
            <w:pPr>
              <w:jc w:val="both"/>
              <w:rPr>
                <w:rFonts w:eastAsia="Calibri"/>
                <w:sz w:val="20"/>
              </w:rPr>
            </w:pPr>
          </w:p>
        </w:tc>
      </w:tr>
      <w:tr w:rsidR="00E936C6" w:rsidRPr="00667307" w:rsidTr="00A0505A">
        <w:tc>
          <w:tcPr>
            <w:tcW w:w="2427" w:type="pct"/>
          </w:tcPr>
          <w:p w:rsidR="00E936C6" w:rsidRPr="00667307" w:rsidRDefault="00E936C6" w:rsidP="00A0505A">
            <w:pPr>
              <w:jc w:val="both"/>
              <w:rPr>
                <w:rFonts w:eastAsia="Calibri"/>
                <w:sz w:val="20"/>
              </w:rPr>
            </w:pPr>
            <w:r w:rsidRPr="00667307">
              <w:rPr>
                <w:rFonts w:eastAsia="Calibri"/>
                <w:sz w:val="20"/>
              </w:rPr>
              <w:t>April 2, 2013</w:t>
            </w:r>
          </w:p>
          <w:p w:rsidR="00E936C6" w:rsidRPr="00667307" w:rsidRDefault="00E936C6" w:rsidP="00A0505A">
            <w:pPr>
              <w:jc w:val="both"/>
              <w:rPr>
                <w:rFonts w:eastAsia="Calibri"/>
                <w:sz w:val="20"/>
              </w:rPr>
            </w:pPr>
            <w:r w:rsidRPr="00667307">
              <w:rPr>
                <w:rFonts w:eastAsia="Calibri"/>
                <w:sz w:val="20"/>
              </w:rPr>
              <w:t>Supreme Court of Canada</w:t>
            </w:r>
          </w:p>
        </w:tc>
        <w:tc>
          <w:tcPr>
            <w:tcW w:w="243" w:type="pct"/>
          </w:tcPr>
          <w:p w:rsidR="00E936C6" w:rsidRPr="00667307" w:rsidRDefault="00E936C6" w:rsidP="00A0505A">
            <w:pPr>
              <w:jc w:val="both"/>
              <w:rPr>
                <w:rFonts w:eastAsia="Calibri"/>
                <w:sz w:val="20"/>
              </w:rPr>
            </w:pPr>
          </w:p>
        </w:tc>
        <w:tc>
          <w:tcPr>
            <w:tcW w:w="2330" w:type="pct"/>
          </w:tcPr>
          <w:p w:rsidR="00E936C6" w:rsidRPr="00667307" w:rsidRDefault="00E936C6" w:rsidP="00A0505A">
            <w:pPr>
              <w:jc w:val="both"/>
              <w:rPr>
                <w:rFonts w:eastAsia="Calibri"/>
                <w:sz w:val="20"/>
              </w:rPr>
            </w:pPr>
            <w:r w:rsidRPr="00667307">
              <w:rPr>
                <w:rFonts w:eastAsia="Calibri"/>
                <w:sz w:val="20"/>
              </w:rPr>
              <w:t>Application for leave to appeal filed</w:t>
            </w: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62" style="width:2in;height:1pt" o:hrpct="0" o:hralign="center" o:hrstd="t" o:hrnoshade="t" o:hr="t" fillcolor="black [3213]" stroked="f"/>
        </w:pict>
      </w:r>
    </w:p>
    <w:p w:rsidR="00AA605C" w:rsidRDefault="00AA605C" w:rsidP="00AA605C">
      <w:pPr>
        <w:rPr>
          <w:sz w:val="20"/>
          <w:szCs w:val="20"/>
        </w:rPr>
      </w:pPr>
    </w:p>
    <w:p w:rsidR="00A61B52" w:rsidRDefault="00A61B52">
      <w:pPr>
        <w:rPr>
          <w:sz w:val="20"/>
          <w:szCs w:val="20"/>
          <w:u w:val="single"/>
          <w:lang w:val="fr-CA"/>
        </w:rPr>
      </w:pPr>
      <w:r>
        <w:rPr>
          <w:sz w:val="20"/>
          <w:szCs w:val="20"/>
          <w:u w:val="single"/>
          <w:lang w:val="fr-CA"/>
        </w:rPr>
        <w:br w:type="page"/>
      </w:r>
    </w:p>
    <w:p w:rsidR="00AA605C" w:rsidRPr="001B157C" w:rsidRDefault="00AA605C" w:rsidP="00AA605C">
      <w:pPr>
        <w:rPr>
          <w:sz w:val="20"/>
          <w:szCs w:val="20"/>
          <w:u w:val="single"/>
          <w:lang w:val="fr-CA"/>
        </w:rPr>
      </w:pPr>
      <w:r w:rsidRPr="001B157C">
        <w:rPr>
          <w:sz w:val="20"/>
          <w:szCs w:val="20"/>
          <w:u w:val="single"/>
          <w:lang w:val="fr-CA"/>
        </w:rPr>
        <w:lastRenderedPageBreak/>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936C6" w:rsidRPr="00D41BFD" w:rsidTr="00A0505A">
        <w:tc>
          <w:tcPr>
            <w:tcW w:w="5000" w:type="pct"/>
            <w:gridSpan w:val="3"/>
          </w:tcPr>
          <w:p w:rsidR="00E936C6" w:rsidRPr="00667307" w:rsidRDefault="00E936C6" w:rsidP="00A0505A">
            <w:pPr>
              <w:jc w:val="both"/>
              <w:rPr>
                <w:rFonts w:eastAsia="Calibri"/>
                <w:sz w:val="20"/>
                <w:lang w:val="fr-CA"/>
              </w:rPr>
            </w:pPr>
            <w:r w:rsidRPr="00667307">
              <w:rPr>
                <w:rFonts w:eastAsia="Calibri"/>
                <w:sz w:val="20"/>
                <w:lang w:val="fr-CA"/>
              </w:rPr>
              <w:t xml:space="preserve">Extradition – Remise – Compétence du ministre – Abus de procédure – Les États-Unis demandent l’extradition du demandeur relativement à des accusations de trafic de drogue – Le ministre de la Justice a extradé le demandeur – Le ministre a-t-il outrepassé sa compétence en prenant censément un arrêté d’extradition à l’égard d’actes et d’infractions qui n’étaient pas inclus dans l’arrêté introductif d’instance (AII) ou dans l’ordonnance d’incarcération et qui n’avaient pas été l’objet de l’audience relative à l’incarcération? – La Cour d’appel s’est-elle trompée dans son interprétation de l’arrêt </w:t>
            </w:r>
            <w:r w:rsidRPr="00667307">
              <w:rPr>
                <w:rFonts w:eastAsia="Calibri"/>
                <w:i/>
                <w:sz w:val="20"/>
                <w:lang w:val="fr-CA"/>
              </w:rPr>
              <w:t>Canada (Justice)</w:t>
            </w:r>
            <w:r w:rsidRPr="00667307">
              <w:rPr>
                <w:rFonts w:eastAsia="Calibri"/>
                <w:sz w:val="20"/>
                <w:lang w:val="fr-CA"/>
              </w:rPr>
              <w:t xml:space="preserve"> </w:t>
            </w:r>
            <w:r w:rsidRPr="00667307">
              <w:rPr>
                <w:rFonts w:eastAsia="Calibri"/>
                <w:i/>
                <w:sz w:val="20"/>
                <w:lang w:val="fr-CA"/>
              </w:rPr>
              <w:t>c. Fischbacher</w:t>
            </w:r>
            <w:r w:rsidRPr="00667307">
              <w:rPr>
                <w:rFonts w:eastAsia="Calibri"/>
                <w:sz w:val="20"/>
                <w:lang w:val="fr-CA"/>
              </w:rPr>
              <w:t xml:space="preserve">, 2009 CSC 46? – La Cour d’appel a-t-elle eu tort de ne pas avoir conclu que la décision du ministre d’exclure de l’AII les actes à l’égard desquels il entendait ordonner la remise du demandeur était un abus de procédure? </w:t>
            </w:r>
          </w:p>
        </w:tc>
      </w:tr>
      <w:tr w:rsidR="00E936C6" w:rsidRPr="00D41BFD" w:rsidTr="00A0505A">
        <w:tc>
          <w:tcPr>
            <w:tcW w:w="5000" w:type="pct"/>
            <w:gridSpan w:val="3"/>
          </w:tcPr>
          <w:p w:rsidR="00E936C6" w:rsidRPr="00667307" w:rsidRDefault="00E936C6" w:rsidP="00A0505A">
            <w:pPr>
              <w:jc w:val="both"/>
              <w:rPr>
                <w:rFonts w:eastAsia="Calibri"/>
                <w:sz w:val="20"/>
                <w:lang w:val="fr-CA"/>
              </w:rPr>
            </w:pPr>
          </w:p>
        </w:tc>
      </w:tr>
      <w:tr w:rsidR="00E936C6" w:rsidRPr="00D41BFD" w:rsidTr="00A0505A">
        <w:tc>
          <w:tcPr>
            <w:tcW w:w="5000" w:type="pct"/>
            <w:gridSpan w:val="3"/>
          </w:tcPr>
          <w:p w:rsidR="00E936C6" w:rsidRPr="00667307" w:rsidRDefault="00E936C6" w:rsidP="00A0505A">
            <w:pPr>
              <w:jc w:val="both"/>
              <w:rPr>
                <w:rFonts w:eastAsia="Calibri"/>
                <w:sz w:val="20"/>
                <w:lang w:val="fr-CA"/>
              </w:rPr>
            </w:pPr>
            <w:r w:rsidRPr="00667307">
              <w:rPr>
                <w:rFonts w:eastAsia="Calibri"/>
                <w:sz w:val="20"/>
                <w:lang w:val="fr-CA"/>
              </w:rPr>
              <w:t xml:space="preserve">Les États-Unis ont demandé l’extradition de M. Le relativement à six accusations liée à la drogue, y compris des accusations d’importation et de trafic.  En 2011, le ministre de la Justice a pris un arrêté introductif d’instance en application de l’art. 15 de la </w:t>
            </w:r>
            <w:r w:rsidRPr="00667307">
              <w:rPr>
                <w:rFonts w:eastAsia="Calibri"/>
                <w:i/>
                <w:sz w:val="20"/>
                <w:lang w:val="fr-CA"/>
              </w:rPr>
              <w:t>Loi sur l’extradition</w:t>
            </w:r>
            <w:r w:rsidRPr="00667307">
              <w:rPr>
                <w:rFonts w:eastAsia="Calibri"/>
                <w:sz w:val="20"/>
                <w:lang w:val="fr-CA"/>
              </w:rPr>
              <w:t xml:space="preserve">, L.C. 1999, ch. 18, autorisant le procureur général du Canada à demander au tribunal la délivrance d’une ordonnance d’incarcération à l’égard de M. Le relativement à trois infractions qui correspondaient aux infractions canadiennes de trafic de substances énumérées dans des annexes particulières de la </w:t>
            </w:r>
            <w:r w:rsidRPr="00667307">
              <w:rPr>
                <w:rFonts w:eastAsia="Calibri"/>
                <w:i/>
                <w:sz w:val="20"/>
                <w:lang w:val="fr-CA"/>
              </w:rPr>
              <w:t>Loi réglementant certaines drogues et autres substances</w:t>
            </w:r>
            <w:r w:rsidRPr="00667307">
              <w:rPr>
                <w:rFonts w:eastAsia="Calibri"/>
                <w:sz w:val="20"/>
                <w:lang w:val="fr-CA"/>
              </w:rPr>
              <w:t xml:space="preserve">, L.C. 1996, ch. 19. </w:t>
            </w:r>
          </w:p>
          <w:p w:rsidR="00E936C6" w:rsidRPr="00667307" w:rsidRDefault="00E936C6" w:rsidP="00A0505A">
            <w:pPr>
              <w:jc w:val="both"/>
              <w:rPr>
                <w:rFonts w:eastAsia="Calibri"/>
                <w:sz w:val="20"/>
                <w:lang w:val="fr-CA"/>
              </w:rPr>
            </w:pPr>
          </w:p>
          <w:p w:rsidR="00E936C6" w:rsidRPr="00667307" w:rsidRDefault="00E936C6" w:rsidP="00A0505A">
            <w:pPr>
              <w:jc w:val="both"/>
              <w:rPr>
                <w:rFonts w:eastAsia="Calibri"/>
                <w:sz w:val="20"/>
                <w:lang w:val="fr-CA"/>
              </w:rPr>
            </w:pPr>
            <w:r w:rsidRPr="00667307">
              <w:rPr>
                <w:rFonts w:eastAsia="Calibri"/>
                <w:sz w:val="20"/>
                <w:lang w:val="fr-CA"/>
              </w:rPr>
              <w:t>En janvier 2012, M. Le a consenti à la délivrance d’une ordonnance d’incarcération à son égard relativement aux infractions énoncées dans l’arrêté introductif d’instance.  Le même jour, la Cour supérieure de justice a rendu une ordonnance pour l’incarcération de M. Le jusqu’à sa remise aux États-Unis.</w:t>
            </w:r>
          </w:p>
          <w:p w:rsidR="00E936C6" w:rsidRPr="00667307" w:rsidRDefault="00E936C6" w:rsidP="00A0505A">
            <w:pPr>
              <w:jc w:val="both"/>
              <w:rPr>
                <w:rFonts w:eastAsia="Calibri"/>
                <w:sz w:val="20"/>
                <w:lang w:val="fr-CA"/>
              </w:rPr>
            </w:pPr>
          </w:p>
        </w:tc>
      </w:tr>
      <w:tr w:rsidR="00E936C6" w:rsidRPr="00D41BFD" w:rsidTr="00A0505A">
        <w:tc>
          <w:tcPr>
            <w:tcW w:w="2427" w:type="pct"/>
          </w:tcPr>
          <w:p w:rsidR="00E936C6" w:rsidRPr="00667307" w:rsidRDefault="00E936C6" w:rsidP="00A0505A">
            <w:pPr>
              <w:jc w:val="both"/>
              <w:rPr>
                <w:rFonts w:eastAsia="Calibri"/>
                <w:sz w:val="20"/>
                <w:lang w:val="fr-CA"/>
              </w:rPr>
            </w:pPr>
            <w:r w:rsidRPr="00667307">
              <w:rPr>
                <w:rFonts w:eastAsia="Calibri"/>
                <w:sz w:val="20"/>
                <w:lang w:val="fr-CA"/>
              </w:rPr>
              <w:t>13 juin 2012</w:t>
            </w:r>
          </w:p>
          <w:p w:rsidR="00E936C6" w:rsidRPr="00667307" w:rsidRDefault="00E936C6" w:rsidP="00A0505A">
            <w:pPr>
              <w:jc w:val="both"/>
              <w:rPr>
                <w:rFonts w:eastAsia="Calibri"/>
                <w:sz w:val="20"/>
                <w:lang w:val="fr-CA"/>
              </w:rPr>
            </w:pPr>
            <w:r w:rsidRPr="00667307">
              <w:rPr>
                <w:rFonts w:eastAsia="Calibri"/>
                <w:sz w:val="20"/>
                <w:lang w:val="fr-CA"/>
              </w:rPr>
              <w:t>Ministre de la Justice du Canada</w:t>
            </w:r>
          </w:p>
          <w:p w:rsidR="00E936C6" w:rsidRPr="00667307" w:rsidRDefault="00E936C6" w:rsidP="00A0505A">
            <w:pPr>
              <w:jc w:val="both"/>
              <w:rPr>
                <w:rFonts w:eastAsia="Calibri"/>
                <w:sz w:val="20"/>
                <w:lang w:val="fr-CA"/>
              </w:rPr>
            </w:pPr>
          </w:p>
        </w:tc>
        <w:tc>
          <w:tcPr>
            <w:tcW w:w="243" w:type="pct"/>
          </w:tcPr>
          <w:p w:rsidR="00E936C6" w:rsidRPr="00667307" w:rsidRDefault="00E936C6" w:rsidP="00A0505A">
            <w:pPr>
              <w:jc w:val="both"/>
              <w:rPr>
                <w:rFonts w:eastAsia="Calibri"/>
                <w:sz w:val="20"/>
                <w:lang w:val="fr-CA"/>
              </w:rPr>
            </w:pPr>
          </w:p>
        </w:tc>
        <w:tc>
          <w:tcPr>
            <w:tcW w:w="2330" w:type="pct"/>
          </w:tcPr>
          <w:p w:rsidR="00E936C6" w:rsidRPr="00667307" w:rsidRDefault="00E936C6" w:rsidP="00A0505A">
            <w:pPr>
              <w:jc w:val="both"/>
              <w:rPr>
                <w:rFonts w:eastAsia="Calibri"/>
                <w:sz w:val="20"/>
                <w:lang w:val="fr-CA"/>
              </w:rPr>
            </w:pPr>
            <w:r w:rsidRPr="00667307">
              <w:rPr>
                <w:rFonts w:eastAsia="Calibri"/>
                <w:sz w:val="20"/>
                <w:lang w:val="fr-CA"/>
              </w:rPr>
              <w:t xml:space="preserve">Ordonnance en vue de la remise inconditionnelle du demandeur aux États-Unis, délivrée </w:t>
            </w:r>
          </w:p>
        </w:tc>
      </w:tr>
      <w:tr w:rsidR="00E936C6" w:rsidRPr="00D41BFD" w:rsidTr="00A0505A">
        <w:tc>
          <w:tcPr>
            <w:tcW w:w="2427" w:type="pct"/>
          </w:tcPr>
          <w:p w:rsidR="00E936C6" w:rsidRPr="00667307" w:rsidRDefault="00E936C6" w:rsidP="00A0505A">
            <w:pPr>
              <w:jc w:val="both"/>
              <w:rPr>
                <w:rFonts w:eastAsia="Calibri"/>
                <w:sz w:val="20"/>
                <w:lang w:val="fr-CA"/>
              </w:rPr>
            </w:pPr>
            <w:r w:rsidRPr="00667307">
              <w:rPr>
                <w:rFonts w:eastAsia="Calibri"/>
                <w:sz w:val="20"/>
                <w:lang w:val="fr-CA"/>
              </w:rPr>
              <w:t>29 janvier 2013</w:t>
            </w:r>
          </w:p>
          <w:p w:rsidR="00E936C6" w:rsidRPr="00667307" w:rsidRDefault="00E936C6" w:rsidP="00A0505A">
            <w:pPr>
              <w:jc w:val="both"/>
              <w:rPr>
                <w:rFonts w:eastAsia="Calibri"/>
                <w:sz w:val="20"/>
                <w:lang w:val="fr-CA"/>
              </w:rPr>
            </w:pPr>
            <w:r w:rsidRPr="00667307">
              <w:rPr>
                <w:rFonts w:eastAsia="Calibri"/>
                <w:sz w:val="20"/>
                <w:lang w:val="fr-CA"/>
              </w:rPr>
              <w:t>Cour d’appel de l’Ontario</w:t>
            </w:r>
          </w:p>
          <w:p w:rsidR="00E936C6" w:rsidRPr="00667307" w:rsidRDefault="00E936C6" w:rsidP="00A0505A">
            <w:pPr>
              <w:jc w:val="both"/>
              <w:rPr>
                <w:rFonts w:eastAsia="Calibri"/>
                <w:sz w:val="20"/>
                <w:lang w:val="fr-CA"/>
              </w:rPr>
            </w:pPr>
            <w:r w:rsidRPr="00667307">
              <w:rPr>
                <w:rFonts w:eastAsia="Calibri"/>
                <w:sz w:val="20"/>
                <w:lang w:val="fr-CA"/>
              </w:rPr>
              <w:t>(Juges Doherty, Simmons et Tulloch)</w:t>
            </w:r>
          </w:p>
          <w:p w:rsidR="00E936C6" w:rsidRPr="00667307" w:rsidRDefault="00E936C6" w:rsidP="00A0505A">
            <w:pPr>
              <w:jc w:val="both"/>
              <w:rPr>
                <w:rFonts w:eastAsia="Calibri"/>
                <w:sz w:val="20"/>
                <w:lang w:val="fr-CA"/>
              </w:rPr>
            </w:pPr>
          </w:p>
        </w:tc>
        <w:tc>
          <w:tcPr>
            <w:tcW w:w="243" w:type="pct"/>
          </w:tcPr>
          <w:p w:rsidR="00E936C6" w:rsidRPr="00667307" w:rsidRDefault="00E936C6" w:rsidP="00A0505A">
            <w:pPr>
              <w:jc w:val="both"/>
              <w:rPr>
                <w:rFonts w:eastAsia="Calibri"/>
                <w:sz w:val="20"/>
                <w:lang w:val="fr-CA"/>
              </w:rPr>
            </w:pPr>
          </w:p>
        </w:tc>
        <w:tc>
          <w:tcPr>
            <w:tcW w:w="2330" w:type="pct"/>
          </w:tcPr>
          <w:p w:rsidR="00E936C6" w:rsidRPr="00667307" w:rsidRDefault="00E936C6" w:rsidP="00A0505A">
            <w:pPr>
              <w:jc w:val="both"/>
              <w:rPr>
                <w:rFonts w:eastAsia="Calibri"/>
                <w:sz w:val="20"/>
                <w:lang w:val="fr-CA"/>
              </w:rPr>
            </w:pPr>
            <w:r w:rsidRPr="00667307">
              <w:rPr>
                <w:rFonts w:eastAsia="Calibri"/>
                <w:sz w:val="20"/>
                <w:lang w:val="fr-CA"/>
              </w:rPr>
              <w:t>Demande de contrôle judiciaire de l’arrêté d’extradition</w:t>
            </w:r>
          </w:p>
          <w:p w:rsidR="00E936C6" w:rsidRPr="00667307" w:rsidRDefault="00E936C6" w:rsidP="00A0505A">
            <w:pPr>
              <w:jc w:val="both"/>
              <w:rPr>
                <w:rFonts w:eastAsia="Calibri"/>
                <w:sz w:val="20"/>
                <w:lang w:val="fr-CA"/>
              </w:rPr>
            </w:pPr>
          </w:p>
        </w:tc>
      </w:tr>
      <w:tr w:rsidR="00E936C6" w:rsidRPr="00667307" w:rsidTr="00A0505A">
        <w:tc>
          <w:tcPr>
            <w:tcW w:w="2427" w:type="pct"/>
          </w:tcPr>
          <w:p w:rsidR="00E936C6" w:rsidRPr="00667307" w:rsidRDefault="00E936C6" w:rsidP="00A0505A">
            <w:pPr>
              <w:jc w:val="both"/>
              <w:rPr>
                <w:rFonts w:eastAsia="Calibri"/>
                <w:sz w:val="20"/>
                <w:lang w:val="fr-CA"/>
              </w:rPr>
            </w:pPr>
            <w:r w:rsidRPr="00667307">
              <w:rPr>
                <w:rFonts w:eastAsia="Calibri"/>
                <w:sz w:val="20"/>
                <w:lang w:val="fr-CA"/>
              </w:rPr>
              <w:t>2 avril 2013</w:t>
            </w:r>
          </w:p>
          <w:p w:rsidR="00E936C6" w:rsidRPr="00667307" w:rsidRDefault="00E936C6" w:rsidP="00A0505A">
            <w:pPr>
              <w:jc w:val="both"/>
              <w:rPr>
                <w:rFonts w:eastAsia="Calibri"/>
                <w:sz w:val="20"/>
                <w:lang w:val="fr-CA"/>
              </w:rPr>
            </w:pPr>
            <w:r w:rsidRPr="00667307">
              <w:rPr>
                <w:rFonts w:eastAsia="Calibri"/>
                <w:sz w:val="20"/>
                <w:lang w:val="fr-CA"/>
              </w:rPr>
              <w:t>Cour suprême du Canada</w:t>
            </w:r>
          </w:p>
        </w:tc>
        <w:tc>
          <w:tcPr>
            <w:tcW w:w="243" w:type="pct"/>
          </w:tcPr>
          <w:p w:rsidR="00E936C6" w:rsidRPr="00667307" w:rsidRDefault="00E936C6" w:rsidP="00A0505A">
            <w:pPr>
              <w:jc w:val="both"/>
              <w:rPr>
                <w:rFonts w:eastAsia="Calibri"/>
                <w:sz w:val="20"/>
                <w:lang w:val="fr-CA"/>
              </w:rPr>
            </w:pPr>
          </w:p>
        </w:tc>
        <w:tc>
          <w:tcPr>
            <w:tcW w:w="2330" w:type="pct"/>
          </w:tcPr>
          <w:p w:rsidR="00E936C6" w:rsidRPr="00667307" w:rsidRDefault="00E936C6" w:rsidP="00A0505A">
            <w:pPr>
              <w:jc w:val="both"/>
              <w:rPr>
                <w:rFonts w:eastAsia="Calibri"/>
                <w:sz w:val="20"/>
                <w:lang w:val="fr-CA"/>
              </w:rPr>
            </w:pPr>
            <w:r w:rsidRPr="00667307">
              <w:rPr>
                <w:rFonts w:eastAsia="Calibri"/>
                <w:sz w:val="20"/>
                <w:lang w:val="fr-CA"/>
              </w:rPr>
              <w:t>Demande d’autorisation d’appel, déposée</w:t>
            </w:r>
          </w:p>
        </w:tc>
      </w:tr>
    </w:tbl>
    <w:p w:rsidR="00AA605C" w:rsidRDefault="00AA605C" w:rsidP="00AA605C">
      <w:pPr>
        <w:rPr>
          <w:sz w:val="20"/>
          <w:szCs w:val="20"/>
        </w:rPr>
      </w:pPr>
    </w:p>
    <w:p w:rsidR="00AA605C" w:rsidRDefault="00B3404D" w:rsidP="00AA605C">
      <w:pPr>
        <w:rPr>
          <w:sz w:val="20"/>
          <w:szCs w:val="20"/>
          <w:lang w:val="fr-CA"/>
        </w:rPr>
      </w:pPr>
      <w:r w:rsidRPr="00B3404D">
        <w:rPr>
          <w:sz w:val="20"/>
          <w:szCs w:val="20"/>
          <w:lang w:val="fr-CA"/>
        </w:rPr>
        <w:pict>
          <v:rect id="_x0000_i1063" style="width:2in;height:1pt" o:hrpct="0" o:hralign="center" o:hrstd="t" o:hrnoshade="t" o:hr="t" fillcolor="black [3213]" stroked="f"/>
        </w:pict>
      </w:r>
    </w:p>
    <w:p w:rsidR="00AA605C" w:rsidRDefault="00AA605C" w:rsidP="00AA605C">
      <w:pPr>
        <w:rPr>
          <w:sz w:val="20"/>
          <w:szCs w:val="20"/>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61B52" w:rsidRPr="00A61B52" w:rsidTr="00A61B52">
        <w:trPr>
          <w:cantSplit/>
        </w:trPr>
        <w:tc>
          <w:tcPr>
            <w:tcW w:w="1458" w:type="dxa"/>
          </w:tcPr>
          <w:p w:rsidR="00A61B52" w:rsidRPr="00A61B52" w:rsidRDefault="00A61B52" w:rsidP="00A61B52">
            <w:pPr>
              <w:rPr>
                <w:sz w:val="20"/>
                <w:szCs w:val="20"/>
              </w:rPr>
            </w:pPr>
            <w:r w:rsidRPr="00A61B52">
              <w:rPr>
                <w:b/>
                <w:sz w:val="20"/>
                <w:lang w:val="fr-CA"/>
              </w:rPr>
              <w:t>35269</w:t>
            </w:r>
          </w:p>
          <w:p w:rsidR="00A61B52" w:rsidRPr="00A61B52" w:rsidRDefault="00A61B52" w:rsidP="00A61B52">
            <w:pPr>
              <w:rPr>
                <w:b/>
                <w:sz w:val="20"/>
                <w:szCs w:val="20"/>
                <w:lang w:val="fr-CA"/>
              </w:rPr>
            </w:pPr>
          </w:p>
        </w:tc>
        <w:tc>
          <w:tcPr>
            <w:tcW w:w="8118" w:type="dxa"/>
          </w:tcPr>
          <w:p w:rsidR="00A61B52" w:rsidRPr="00A61B52" w:rsidRDefault="00A61B52" w:rsidP="00A61B52">
            <w:pPr>
              <w:rPr>
                <w:sz w:val="20"/>
                <w:szCs w:val="20"/>
              </w:rPr>
            </w:pPr>
            <w:r w:rsidRPr="00A61B52">
              <w:rPr>
                <w:b/>
                <w:sz w:val="20"/>
                <w:u w:val="single"/>
              </w:rPr>
              <w:t>Myles McLellan v. Her Majesty the Queen</w:t>
            </w:r>
            <w:r w:rsidRPr="00A61B52">
              <w:rPr>
                <w:sz w:val="20"/>
                <w:szCs w:val="20"/>
              </w:rPr>
              <w:t xml:space="preserve"> (Ont.) (Criminal) (By Leave)</w:t>
            </w:r>
          </w:p>
          <w:p w:rsidR="00A61B52" w:rsidRPr="00A61B52" w:rsidRDefault="00A61B52" w:rsidP="00A61B52">
            <w:pPr>
              <w:rPr>
                <w:sz w:val="20"/>
                <w:szCs w:val="20"/>
              </w:rPr>
            </w:pPr>
          </w:p>
        </w:tc>
      </w:tr>
      <w:tr w:rsidR="00A61B52" w:rsidRPr="00A61B52" w:rsidTr="00A61B52">
        <w:trPr>
          <w:cantSplit/>
        </w:trPr>
        <w:tc>
          <w:tcPr>
            <w:tcW w:w="1458" w:type="dxa"/>
          </w:tcPr>
          <w:p w:rsidR="00A61B52" w:rsidRPr="00A61B52" w:rsidRDefault="00A61B52" w:rsidP="00A61B52">
            <w:pPr>
              <w:rPr>
                <w:sz w:val="20"/>
                <w:szCs w:val="20"/>
              </w:rPr>
            </w:pPr>
            <w:r w:rsidRPr="00A61B52">
              <w:rPr>
                <w:sz w:val="20"/>
                <w:szCs w:val="20"/>
              </w:rPr>
              <w:t>Coram :</w:t>
            </w:r>
          </w:p>
        </w:tc>
        <w:tc>
          <w:tcPr>
            <w:tcW w:w="8118" w:type="dxa"/>
          </w:tcPr>
          <w:p w:rsidR="00A61B52" w:rsidRPr="00A61B52" w:rsidRDefault="00A61B52" w:rsidP="00A61B52">
            <w:pPr>
              <w:rPr>
                <w:sz w:val="20"/>
                <w:szCs w:val="20"/>
              </w:rPr>
            </w:pPr>
            <w:r w:rsidRPr="00A61B52">
              <w:rPr>
                <w:sz w:val="20"/>
                <w:u w:val="single"/>
              </w:rPr>
              <w:t>Fish, Rothstein and Moldaver JJ.</w:t>
            </w:r>
          </w:p>
          <w:p w:rsidR="00A61B52" w:rsidRPr="00A61B52" w:rsidRDefault="00A61B52" w:rsidP="00A61B52">
            <w:pPr>
              <w:rPr>
                <w:sz w:val="20"/>
                <w:szCs w:val="20"/>
                <w:u w:val="single"/>
              </w:rPr>
            </w:pPr>
          </w:p>
        </w:tc>
      </w:tr>
      <w:tr w:rsidR="00A61B52" w:rsidRPr="00D41BFD" w:rsidTr="00A61B52">
        <w:trPr>
          <w:cantSplit/>
        </w:trPr>
        <w:tc>
          <w:tcPr>
            <w:tcW w:w="9576" w:type="dxa"/>
            <w:gridSpan w:val="2"/>
          </w:tcPr>
          <w:p w:rsidR="00A61B52" w:rsidRPr="00A61B52" w:rsidRDefault="00A61B52" w:rsidP="00A61B52">
            <w:pPr>
              <w:ind w:firstLine="720"/>
              <w:jc w:val="both"/>
              <w:rPr>
                <w:sz w:val="20"/>
                <w:szCs w:val="20"/>
              </w:rPr>
            </w:pPr>
            <w:r w:rsidRPr="00A61B52">
              <w:rPr>
                <w:sz w:val="20"/>
                <w:szCs w:val="20"/>
              </w:rPr>
              <w:t>The motion for an extension of time to serve and file the application for leave to appeal is granted. The application for leave to appeal from the judgment of the Court of Appeal for Ontario, Numbers C51797 and C54990, 2012 ONCA 717, dated October 26, 2012, is dismissed without costs.</w:t>
            </w:r>
          </w:p>
          <w:p w:rsidR="00A61B52" w:rsidRPr="00A61B52" w:rsidRDefault="00A61B52" w:rsidP="00A61B52">
            <w:pPr>
              <w:jc w:val="both"/>
              <w:rPr>
                <w:sz w:val="20"/>
                <w:szCs w:val="20"/>
              </w:rPr>
            </w:pPr>
          </w:p>
          <w:p w:rsidR="00A61B52" w:rsidRPr="00A61B52" w:rsidRDefault="00A61B52" w:rsidP="00A61B52">
            <w:pPr>
              <w:ind w:firstLine="720"/>
              <w:jc w:val="both"/>
              <w:rPr>
                <w:sz w:val="20"/>
                <w:szCs w:val="20"/>
                <w:lang w:val="fr-CA"/>
              </w:rPr>
            </w:pPr>
            <w:r w:rsidRPr="00A61B52">
              <w:rPr>
                <w:sz w:val="20"/>
                <w:szCs w:val="20"/>
                <w:lang w:val="fr-CA"/>
              </w:rPr>
              <w:t>La requête en prorogation du délai de signification et de dépôt de la demande d’autorisation d’appel est accueillie. La demande d’autorisation d’appel de l’arrêt de la Cour d’appel de l’Ontario, numéros C51797 et C54990, 2012 ONCA 717, daté du 26 octobre 2012, est rejetée sans dépens.</w:t>
            </w:r>
          </w:p>
        </w:tc>
      </w:tr>
    </w:tbl>
    <w:p w:rsidR="00AA605C" w:rsidRPr="00A61B52" w:rsidRDefault="00AA605C" w:rsidP="00AA605C">
      <w:pPr>
        <w:rPr>
          <w:sz w:val="20"/>
          <w:szCs w:val="20"/>
          <w:lang w:val="fr-CA"/>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936C6" w:rsidRPr="00667307" w:rsidTr="00A0505A">
        <w:tc>
          <w:tcPr>
            <w:tcW w:w="5000" w:type="pct"/>
            <w:gridSpan w:val="3"/>
          </w:tcPr>
          <w:p w:rsidR="00E936C6" w:rsidRPr="00667307" w:rsidRDefault="00E936C6" w:rsidP="00A0505A">
            <w:pPr>
              <w:jc w:val="both"/>
              <w:rPr>
                <w:sz w:val="20"/>
              </w:rPr>
            </w:pPr>
            <w:r w:rsidRPr="00667307">
              <w:rPr>
                <w:i/>
                <w:sz w:val="20"/>
              </w:rPr>
              <w:t>Canadian Charter of Rights and Freedoms</w:t>
            </w:r>
            <w:r w:rsidRPr="00667307">
              <w:rPr>
                <w:sz w:val="20"/>
              </w:rPr>
              <w:t xml:space="preserve"> – Criminal law – Evidence – Right to be tried within a reasonable time – Whether the applicant was entitled to a stay of proceedings pursuant to s. 24(1) of the </w:t>
            </w:r>
            <w:r w:rsidRPr="00667307">
              <w:rPr>
                <w:i/>
                <w:sz w:val="20"/>
              </w:rPr>
              <w:t>Charter</w:t>
            </w:r>
            <w:r w:rsidRPr="00667307">
              <w:rPr>
                <w:sz w:val="20"/>
              </w:rPr>
              <w:t xml:space="preserve"> – Whether the </w:t>
            </w:r>
            <w:r w:rsidRPr="00667307">
              <w:rPr>
                <w:sz w:val="20"/>
              </w:rPr>
              <w:lastRenderedPageBreak/>
              <w:t xml:space="preserve">application judge erred in holding that the applicant’s right to be tried within a reasonable time had not been violated – Whether the application judge erred in the characterization of neutral and inherent delay – Whether for the purpose of assessing the unreasonableness of the delay it is relevant to consider a comparison with institutional delay in other similar jurisdictions – Whether the Court of Appeal erred – Application of </w:t>
            </w:r>
            <w:r w:rsidRPr="00667307">
              <w:rPr>
                <w:i/>
                <w:sz w:val="20"/>
              </w:rPr>
              <w:t>R. v. Morin</w:t>
            </w:r>
            <w:r w:rsidRPr="00667307">
              <w:rPr>
                <w:sz w:val="20"/>
              </w:rPr>
              <w:t xml:space="preserve">, [1992] 1 S.C.R. 771 – Whether there are issues of public importance raised – </w:t>
            </w:r>
            <w:r w:rsidRPr="00667307">
              <w:rPr>
                <w:i/>
                <w:sz w:val="20"/>
              </w:rPr>
              <w:t>Charter</w:t>
            </w:r>
            <w:r w:rsidRPr="00667307">
              <w:rPr>
                <w:sz w:val="20"/>
              </w:rPr>
              <w:t>, ss. 11(b) and 24(1).</w:t>
            </w:r>
          </w:p>
        </w:tc>
      </w:tr>
      <w:tr w:rsidR="00E936C6" w:rsidRPr="00667307" w:rsidTr="00A0505A">
        <w:tc>
          <w:tcPr>
            <w:tcW w:w="5000" w:type="pct"/>
            <w:gridSpan w:val="3"/>
          </w:tcPr>
          <w:p w:rsidR="00E936C6" w:rsidRPr="00667307" w:rsidRDefault="00E936C6" w:rsidP="00A0505A">
            <w:pPr>
              <w:jc w:val="both"/>
              <w:rPr>
                <w:sz w:val="20"/>
              </w:rPr>
            </w:pPr>
          </w:p>
        </w:tc>
      </w:tr>
      <w:tr w:rsidR="00E936C6" w:rsidRPr="00667307" w:rsidTr="00A0505A">
        <w:tc>
          <w:tcPr>
            <w:tcW w:w="5000" w:type="pct"/>
            <w:gridSpan w:val="3"/>
          </w:tcPr>
          <w:p w:rsidR="00E936C6" w:rsidRPr="00667307" w:rsidRDefault="00E936C6" w:rsidP="00A0505A">
            <w:pPr>
              <w:jc w:val="both"/>
              <w:rPr>
                <w:sz w:val="20"/>
              </w:rPr>
            </w:pPr>
            <w:r w:rsidRPr="00667307">
              <w:rPr>
                <w:sz w:val="20"/>
              </w:rPr>
              <w:t xml:space="preserve">The applicant was convicted of fraud over $5,000.00, forgery, and two counts of uttering forged documents.  The applicant appealed both his conviction and sentence.  However, his conviction appeal was limited to the December 4, 2008 decision of Ferguson J., dismissing his s. 11(b) </w:t>
            </w:r>
            <w:r w:rsidRPr="00667307">
              <w:rPr>
                <w:i/>
                <w:sz w:val="20"/>
              </w:rPr>
              <w:t>Charter</w:t>
            </w:r>
            <w:r w:rsidRPr="00667307">
              <w:rPr>
                <w:sz w:val="20"/>
              </w:rPr>
              <w:t xml:space="preserve"> application for a stay of proceedings due to unreasonable delay.  The Court of Appeal dismissed the conviction appeal.  The Court of Appeal granted leave to appeal sentence and allowed the sentence appeal.  The sentence was varied to 16 months’ incarceration, less time served of 8 months for pre-trial custody.</w:t>
            </w:r>
          </w:p>
          <w:p w:rsidR="00E936C6" w:rsidRPr="00667307" w:rsidRDefault="00E936C6" w:rsidP="00A0505A">
            <w:pPr>
              <w:jc w:val="both"/>
              <w:rPr>
                <w:sz w:val="20"/>
              </w:rPr>
            </w:pPr>
          </w:p>
        </w:tc>
      </w:tr>
      <w:tr w:rsidR="00E936C6" w:rsidRPr="00667307" w:rsidTr="00A0505A">
        <w:tc>
          <w:tcPr>
            <w:tcW w:w="2427" w:type="pct"/>
          </w:tcPr>
          <w:p w:rsidR="00E936C6" w:rsidRPr="00667307" w:rsidRDefault="00E936C6" w:rsidP="00A0505A">
            <w:pPr>
              <w:jc w:val="both"/>
              <w:rPr>
                <w:sz w:val="20"/>
              </w:rPr>
            </w:pPr>
            <w:r w:rsidRPr="00667307">
              <w:rPr>
                <w:sz w:val="20"/>
              </w:rPr>
              <w:t>December 4, 2008</w:t>
            </w:r>
          </w:p>
          <w:p w:rsidR="00E936C6" w:rsidRPr="00667307" w:rsidRDefault="00E936C6" w:rsidP="00A0505A">
            <w:pPr>
              <w:jc w:val="both"/>
              <w:rPr>
                <w:sz w:val="20"/>
              </w:rPr>
            </w:pPr>
            <w:r w:rsidRPr="00667307">
              <w:rPr>
                <w:sz w:val="20"/>
              </w:rPr>
              <w:t>Ontario Superior Court of Justice</w:t>
            </w:r>
          </w:p>
          <w:p w:rsidR="00E936C6" w:rsidRPr="00667307" w:rsidRDefault="00E936C6" w:rsidP="00A0505A">
            <w:pPr>
              <w:jc w:val="both"/>
              <w:rPr>
                <w:sz w:val="20"/>
              </w:rPr>
            </w:pPr>
            <w:r w:rsidRPr="00667307">
              <w:rPr>
                <w:sz w:val="20"/>
              </w:rPr>
              <w:t>(Ferguson J.)</w:t>
            </w:r>
          </w:p>
          <w:p w:rsidR="00E936C6" w:rsidRPr="00667307" w:rsidRDefault="00E936C6" w:rsidP="00A0505A">
            <w:pPr>
              <w:jc w:val="both"/>
              <w:rPr>
                <w:sz w:val="20"/>
              </w:rPr>
            </w:pPr>
          </w:p>
        </w:tc>
        <w:tc>
          <w:tcPr>
            <w:tcW w:w="243" w:type="pct"/>
          </w:tcPr>
          <w:p w:rsidR="00E936C6" w:rsidRPr="00667307" w:rsidRDefault="00E936C6" w:rsidP="00A0505A">
            <w:pPr>
              <w:jc w:val="both"/>
              <w:rPr>
                <w:sz w:val="20"/>
              </w:rPr>
            </w:pPr>
          </w:p>
        </w:tc>
        <w:tc>
          <w:tcPr>
            <w:tcW w:w="2330" w:type="pct"/>
          </w:tcPr>
          <w:p w:rsidR="00E936C6" w:rsidRPr="00667307" w:rsidRDefault="00E936C6" w:rsidP="00A0505A">
            <w:pPr>
              <w:jc w:val="both"/>
              <w:rPr>
                <w:sz w:val="20"/>
              </w:rPr>
            </w:pPr>
            <w:r w:rsidRPr="00667307">
              <w:rPr>
                <w:sz w:val="20"/>
              </w:rPr>
              <w:t xml:space="preserve">Applicant’s s. 11(b) </w:t>
            </w:r>
            <w:r w:rsidRPr="00667307">
              <w:rPr>
                <w:i/>
                <w:sz w:val="20"/>
              </w:rPr>
              <w:t>Charter</w:t>
            </w:r>
            <w:r w:rsidRPr="00667307">
              <w:rPr>
                <w:sz w:val="20"/>
              </w:rPr>
              <w:t xml:space="preserve"> application for a stay of proceedings due to unreasonable delay dismissed</w:t>
            </w:r>
          </w:p>
          <w:p w:rsidR="00E936C6" w:rsidRPr="00667307" w:rsidRDefault="00E936C6" w:rsidP="00A0505A">
            <w:pPr>
              <w:jc w:val="both"/>
              <w:rPr>
                <w:sz w:val="20"/>
              </w:rPr>
            </w:pPr>
          </w:p>
        </w:tc>
      </w:tr>
      <w:tr w:rsidR="00E936C6" w:rsidRPr="00667307" w:rsidTr="00A0505A">
        <w:tc>
          <w:tcPr>
            <w:tcW w:w="2427" w:type="pct"/>
          </w:tcPr>
          <w:p w:rsidR="00E936C6" w:rsidRPr="00667307" w:rsidRDefault="00E936C6" w:rsidP="00A0505A">
            <w:pPr>
              <w:jc w:val="both"/>
              <w:rPr>
                <w:sz w:val="20"/>
              </w:rPr>
            </w:pPr>
            <w:r w:rsidRPr="00667307">
              <w:rPr>
                <w:sz w:val="20"/>
              </w:rPr>
              <w:t>October 26, 2012</w:t>
            </w:r>
          </w:p>
          <w:p w:rsidR="00E936C6" w:rsidRPr="00667307" w:rsidRDefault="00E936C6" w:rsidP="00A0505A">
            <w:pPr>
              <w:jc w:val="both"/>
              <w:rPr>
                <w:sz w:val="20"/>
              </w:rPr>
            </w:pPr>
            <w:r w:rsidRPr="00667307">
              <w:rPr>
                <w:sz w:val="20"/>
              </w:rPr>
              <w:t>Court of Appeal for Ontario</w:t>
            </w:r>
          </w:p>
          <w:p w:rsidR="00E936C6" w:rsidRPr="00667307" w:rsidRDefault="00E936C6" w:rsidP="00A0505A">
            <w:pPr>
              <w:jc w:val="both"/>
              <w:rPr>
                <w:sz w:val="20"/>
              </w:rPr>
            </w:pPr>
            <w:r w:rsidRPr="00667307">
              <w:rPr>
                <w:sz w:val="20"/>
              </w:rPr>
              <w:t>(Rosenberg, Blair and Tulloch JJ.A.)</w:t>
            </w:r>
          </w:p>
          <w:p w:rsidR="00E936C6" w:rsidRPr="00667307" w:rsidRDefault="00E936C6" w:rsidP="00A0505A">
            <w:pPr>
              <w:jc w:val="both"/>
              <w:rPr>
                <w:sz w:val="20"/>
              </w:rPr>
            </w:pPr>
            <w:r w:rsidRPr="00667307">
              <w:rPr>
                <w:sz w:val="20"/>
              </w:rPr>
              <w:t>2012 ONCA 717</w:t>
            </w:r>
          </w:p>
          <w:p w:rsidR="00E936C6" w:rsidRPr="00667307" w:rsidRDefault="00E936C6" w:rsidP="00A0505A">
            <w:pPr>
              <w:jc w:val="both"/>
              <w:rPr>
                <w:sz w:val="20"/>
              </w:rPr>
            </w:pPr>
          </w:p>
        </w:tc>
        <w:tc>
          <w:tcPr>
            <w:tcW w:w="243" w:type="pct"/>
          </w:tcPr>
          <w:p w:rsidR="00E936C6" w:rsidRPr="00667307" w:rsidRDefault="00E936C6" w:rsidP="00A0505A">
            <w:pPr>
              <w:jc w:val="both"/>
              <w:rPr>
                <w:sz w:val="20"/>
              </w:rPr>
            </w:pPr>
          </w:p>
        </w:tc>
        <w:tc>
          <w:tcPr>
            <w:tcW w:w="2330" w:type="pct"/>
          </w:tcPr>
          <w:p w:rsidR="00E936C6" w:rsidRPr="00667307" w:rsidRDefault="00E936C6" w:rsidP="00A0505A">
            <w:pPr>
              <w:jc w:val="both"/>
              <w:rPr>
                <w:sz w:val="20"/>
              </w:rPr>
            </w:pPr>
            <w:r w:rsidRPr="00667307">
              <w:rPr>
                <w:sz w:val="20"/>
              </w:rPr>
              <w:t>Conviction appeal dismissed; Leave to appeal sentence granted: sentence appeal allowed and sentence was varied to 16 months’ incarceration, less time served of 8 months for pre-trial custody</w:t>
            </w:r>
          </w:p>
          <w:p w:rsidR="00E936C6" w:rsidRPr="00667307" w:rsidRDefault="00E936C6" w:rsidP="00A0505A">
            <w:pPr>
              <w:jc w:val="both"/>
              <w:rPr>
                <w:sz w:val="20"/>
              </w:rPr>
            </w:pPr>
          </w:p>
        </w:tc>
      </w:tr>
      <w:tr w:rsidR="00E936C6" w:rsidRPr="00667307" w:rsidTr="00A0505A">
        <w:tc>
          <w:tcPr>
            <w:tcW w:w="2427" w:type="pct"/>
          </w:tcPr>
          <w:p w:rsidR="00E936C6" w:rsidRPr="00667307" w:rsidRDefault="00E936C6" w:rsidP="00A0505A">
            <w:pPr>
              <w:jc w:val="both"/>
              <w:rPr>
                <w:sz w:val="20"/>
              </w:rPr>
            </w:pPr>
            <w:r w:rsidRPr="00667307">
              <w:rPr>
                <w:sz w:val="20"/>
              </w:rPr>
              <w:t>March 14, 2013</w:t>
            </w:r>
          </w:p>
          <w:p w:rsidR="00E936C6" w:rsidRPr="00667307" w:rsidRDefault="00E936C6" w:rsidP="00A0505A">
            <w:pPr>
              <w:jc w:val="both"/>
              <w:rPr>
                <w:sz w:val="20"/>
              </w:rPr>
            </w:pPr>
            <w:r w:rsidRPr="00667307">
              <w:rPr>
                <w:sz w:val="20"/>
              </w:rPr>
              <w:t>Supreme Court of Canada</w:t>
            </w:r>
          </w:p>
          <w:p w:rsidR="00E936C6" w:rsidRPr="00667307" w:rsidRDefault="00E936C6" w:rsidP="00A0505A">
            <w:pPr>
              <w:jc w:val="both"/>
              <w:rPr>
                <w:sz w:val="20"/>
              </w:rPr>
            </w:pPr>
          </w:p>
        </w:tc>
        <w:tc>
          <w:tcPr>
            <w:tcW w:w="243" w:type="pct"/>
          </w:tcPr>
          <w:p w:rsidR="00E936C6" w:rsidRPr="00667307" w:rsidRDefault="00E936C6" w:rsidP="00A0505A">
            <w:pPr>
              <w:jc w:val="both"/>
              <w:rPr>
                <w:sz w:val="20"/>
              </w:rPr>
            </w:pPr>
          </w:p>
        </w:tc>
        <w:tc>
          <w:tcPr>
            <w:tcW w:w="2330" w:type="pct"/>
          </w:tcPr>
          <w:p w:rsidR="00E936C6" w:rsidRPr="00667307" w:rsidRDefault="00E936C6" w:rsidP="00A0505A">
            <w:pPr>
              <w:jc w:val="both"/>
              <w:rPr>
                <w:sz w:val="20"/>
              </w:rPr>
            </w:pPr>
            <w:r w:rsidRPr="00667307">
              <w:rPr>
                <w:sz w:val="20"/>
              </w:rPr>
              <w:t>Motion for an extension of time to serve and file the application for leave to appeal and application for leave to appeal filed</w:t>
            </w:r>
          </w:p>
        </w:tc>
      </w:tr>
    </w:tbl>
    <w:p w:rsidR="00AA605C" w:rsidRPr="00E936C6"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64"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936C6" w:rsidRPr="00D41BFD" w:rsidTr="00A0505A">
        <w:tc>
          <w:tcPr>
            <w:tcW w:w="5000" w:type="pct"/>
            <w:gridSpan w:val="3"/>
          </w:tcPr>
          <w:p w:rsidR="00E936C6" w:rsidRPr="00667307" w:rsidRDefault="00E936C6" w:rsidP="00A0505A">
            <w:pPr>
              <w:jc w:val="both"/>
              <w:rPr>
                <w:rFonts w:eastAsia="Calibri"/>
                <w:sz w:val="20"/>
                <w:lang w:val="fr-CA"/>
              </w:rPr>
            </w:pPr>
            <w:r w:rsidRPr="00667307">
              <w:rPr>
                <w:rFonts w:eastAsia="Calibri"/>
                <w:i/>
                <w:sz w:val="20"/>
                <w:lang w:val="fr-CA"/>
              </w:rPr>
              <w:t>Charte canadienne des droits et libertés</w:t>
            </w:r>
            <w:r w:rsidRPr="00667307">
              <w:rPr>
                <w:rFonts w:eastAsia="Calibri"/>
                <w:sz w:val="20"/>
                <w:lang w:val="fr-CA"/>
              </w:rPr>
              <w:t xml:space="preserve"> – Droit criminel – Preuve – Procès dans un délai raisonnable – Le demandeur avait</w:t>
            </w:r>
            <w:r w:rsidRPr="00667307">
              <w:rPr>
                <w:rFonts w:eastAsia="Calibri"/>
                <w:sz w:val="20"/>
                <w:lang w:val="fr-CA"/>
              </w:rPr>
              <w:noBreakHyphen/>
              <w:t xml:space="preserve">il droit à un arrêt des procédures en application du par. 24(1) de la </w:t>
            </w:r>
            <w:r w:rsidRPr="00667307">
              <w:rPr>
                <w:rFonts w:eastAsia="Calibri"/>
                <w:i/>
                <w:sz w:val="20"/>
                <w:lang w:val="fr-CA"/>
              </w:rPr>
              <w:t>Charte</w:t>
            </w:r>
            <w:r w:rsidRPr="00667307">
              <w:rPr>
                <w:rFonts w:eastAsia="Calibri"/>
                <w:sz w:val="20"/>
                <w:lang w:val="fr-CA"/>
              </w:rPr>
              <w:t>? – Le juge saisi de la motion a</w:t>
            </w:r>
            <w:r w:rsidRPr="00667307">
              <w:rPr>
                <w:rFonts w:eastAsia="Calibri"/>
                <w:sz w:val="20"/>
                <w:lang w:val="fr-CA"/>
              </w:rPr>
              <w:noBreakHyphen/>
              <w:t>t</w:t>
            </w:r>
            <w:r w:rsidRPr="00667307">
              <w:rPr>
                <w:rFonts w:eastAsia="Calibri"/>
                <w:sz w:val="20"/>
                <w:lang w:val="fr-CA"/>
              </w:rPr>
              <w:noBreakHyphen/>
              <w:t>il eu tort de statuer que le droit du demandeur de subir son procès dans un délai raisonnable n’avait pas été violé? – Le juge saisi de la motion a</w:t>
            </w:r>
            <w:r w:rsidRPr="00667307">
              <w:rPr>
                <w:rFonts w:eastAsia="Calibri"/>
                <w:sz w:val="20"/>
                <w:lang w:val="fr-CA"/>
              </w:rPr>
              <w:noBreakHyphen/>
              <w:t>t</w:t>
            </w:r>
            <w:r w:rsidRPr="00667307">
              <w:rPr>
                <w:rFonts w:eastAsia="Calibri"/>
                <w:sz w:val="20"/>
                <w:lang w:val="fr-CA"/>
              </w:rPr>
              <w:noBreakHyphen/>
              <w:t>il commis une erreur dans la caractérisation du délai neutre et inhérent? – Aux fins d’apprécier le caractère déraisonnable du délai, est</w:t>
            </w:r>
            <w:r w:rsidRPr="00667307">
              <w:rPr>
                <w:rFonts w:eastAsia="Calibri"/>
                <w:sz w:val="20"/>
                <w:lang w:val="fr-CA"/>
              </w:rPr>
              <w:noBreakHyphen/>
              <w:t>il pertinent de considérer une comparaison avec le délai institutionnel dans d’autres ressorts semblables? – La Cour d’appel a</w:t>
            </w:r>
            <w:r w:rsidRPr="00667307">
              <w:rPr>
                <w:rFonts w:eastAsia="Calibri"/>
                <w:sz w:val="20"/>
                <w:lang w:val="fr-CA"/>
              </w:rPr>
              <w:noBreakHyphen/>
              <w:t>t</w:t>
            </w:r>
            <w:r w:rsidRPr="00667307">
              <w:rPr>
                <w:rFonts w:eastAsia="Calibri"/>
                <w:sz w:val="20"/>
                <w:lang w:val="fr-CA"/>
              </w:rPr>
              <w:noBreakHyphen/>
              <w:t xml:space="preserve">elle commis une erreur? – Application de </w:t>
            </w:r>
            <w:r w:rsidRPr="00667307">
              <w:rPr>
                <w:rFonts w:eastAsia="Calibri"/>
                <w:i/>
                <w:sz w:val="20"/>
                <w:lang w:val="fr-CA"/>
              </w:rPr>
              <w:t>R. c. Morin</w:t>
            </w:r>
            <w:r w:rsidRPr="00667307">
              <w:rPr>
                <w:rFonts w:eastAsia="Calibri"/>
                <w:sz w:val="20"/>
                <w:lang w:val="fr-CA"/>
              </w:rPr>
              <w:t>, [1992] 1 R.C.S 771 – L’affaire soulève</w:t>
            </w:r>
            <w:r w:rsidRPr="00667307">
              <w:rPr>
                <w:rFonts w:eastAsia="Calibri"/>
                <w:sz w:val="20"/>
                <w:lang w:val="fr-CA"/>
              </w:rPr>
              <w:noBreakHyphen/>
              <w:t>t</w:t>
            </w:r>
            <w:r w:rsidRPr="00667307">
              <w:rPr>
                <w:rFonts w:eastAsia="Calibri"/>
                <w:sz w:val="20"/>
                <w:lang w:val="fr-CA"/>
              </w:rPr>
              <w:noBreakHyphen/>
              <w:t xml:space="preserve">elle des questions d’importance pour le public? – </w:t>
            </w:r>
            <w:r w:rsidRPr="00667307">
              <w:rPr>
                <w:rFonts w:eastAsia="Calibri"/>
                <w:i/>
                <w:sz w:val="20"/>
                <w:lang w:val="fr-CA"/>
              </w:rPr>
              <w:t>Charte</w:t>
            </w:r>
            <w:r w:rsidRPr="00667307">
              <w:rPr>
                <w:rFonts w:eastAsia="Calibri"/>
                <w:sz w:val="20"/>
                <w:lang w:val="fr-CA"/>
              </w:rPr>
              <w:t>, al. 11</w:t>
            </w:r>
            <w:r w:rsidRPr="00667307">
              <w:rPr>
                <w:rFonts w:eastAsia="Calibri"/>
                <w:i/>
                <w:sz w:val="20"/>
                <w:lang w:val="fr-CA"/>
              </w:rPr>
              <w:t>b)</w:t>
            </w:r>
            <w:r w:rsidRPr="00667307">
              <w:rPr>
                <w:rFonts w:eastAsia="Calibri"/>
                <w:sz w:val="20"/>
                <w:lang w:val="fr-CA"/>
              </w:rPr>
              <w:t xml:space="preserve"> et par. 24(1).</w:t>
            </w:r>
          </w:p>
        </w:tc>
      </w:tr>
      <w:tr w:rsidR="00E936C6" w:rsidRPr="00D41BFD" w:rsidTr="00A0505A">
        <w:tc>
          <w:tcPr>
            <w:tcW w:w="5000" w:type="pct"/>
            <w:gridSpan w:val="3"/>
          </w:tcPr>
          <w:p w:rsidR="00E936C6" w:rsidRPr="00667307" w:rsidRDefault="00E936C6" w:rsidP="00A0505A">
            <w:pPr>
              <w:jc w:val="both"/>
              <w:rPr>
                <w:rFonts w:eastAsia="Calibri"/>
                <w:sz w:val="20"/>
                <w:lang w:val="fr-CA"/>
              </w:rPr>
            </w:pPr>
          </w:p>
        </w:tc>
      </w:tr>
      <w:tr w:rsidR="00E936C6" w:rsidRPr="00D41BFD" w:rsidTr="00A0505A">
        <w:tc>
          <w:tcPr>
            <w:tcW w:w="5000" w:type="pct"/>
            <w:gridSpan w:val="3"/>
          </w:tcPr>
          <w:p w:rsidR="00E936C6" w:rsidRPr="00667307" w:rsidRDefault="00E936C6" w:rsidP="00A0505A">
            <w:pPr>
              <w:jc w:val="both"/>
              <w:rPr>
                <w:rFonts w:eastAsia="Calibri"/>
                <w:sz w:val="20"/>
                <w:lang w:val="fr-CA"/>
              </w:rPr>
            </w:pPr>
            <w:r w:rsidRPr="00667307">
              <w:rPr>
                <w:rFonts w:eastAsia="Calibri"/>
                <w:sz w:val="20"/>
                <w:lang w:val="fr-CA"/>
              </w:rPr>
              <w:t>Le demandeur a été déclaré coupable sous un chef de fraude de plus de 5 000 $, un chef de faux et deux chefs d’emploi de documents contrefaits.  Le demandeur a interjeté appel de sa condamnation et de sa peine.  Toutefois, son appel de la déclaration de culpabilité s’est limité à la décision rendue le 4 décembre 2008 par le juge Ferguson, qui a rejeté sa demande d’arrêt des procédures fondée sur l’al. 11</w:t>
            </w:r>
            <w:r w:rsidRPr="00667307">
              <w:rPr>
                <w:rFonts w:eastAsia="Calibri"/>
                <w:i/>
                <w:sz w:val="20"/>
                <w:lang w:val="fr-CA"/>
              </w:rPr>
              <w:t>b)</w:t>
            </w:r>
            <w:r w:rsidRPr="00667307">
              <w:rPr>
                <w:rFonts w:eastAsia="Calibri"/>
                <w:sz w:val="20"/>
                <w:lang w:val="fr-CA"/>
              </w:rPr>
              <w:t xml:space="preserve"> de la </w:t>
            </w:r>
            <w:r w:rsidRPr="00667307">
              <w:rPr>
                <w:rFonts w:eastAsia="Calibri"/>
                <w:i/>
                <w:sz w:val="20"/>
                <w:lang w:val="fr-CA"/>
              </w:rPr>
              <w:t>Charte</w:t>
            </w:r>
            <w:r w:rsidRPr="00667307">
              <w:rPr>
                <w:rFonts w:eastAsia="Calibri"/>
                <w:sz w:val="20"/>
                <w:lang w:val="fr-CA"/>
              </w:rPr>
              <w:t xml:space="preserve"> pour cause de délai déraisonnable.  La Cour d’appel a rejeté l’appel de la déclaration de culpabilité.  La Cour d’appel a accordé l’autorisation d’en appeler de la peine et a accueilli l’appel de la peine.  La peine a été réduite à 16 mois de détention, moins le temps passé en détention préventive, c’est</w:t>
            </w:r>
            <w:r w:rsidRPr="00667307">
              <w:rPr>
                <w:rFonts w:eastAsia="Calibri"/>
                <w:sz w:val="20"/>
                <w:lang w:val="fr-CA"/>
              </w:rPr>
              <w:noBreakHyphen/>
              <w:t>à</w:t>
            </w:r>
            <w:r w:rsidRPr="00667307">
              <w:rPr>
                <w:rFonts w:eastAsia="Calibri"/>
                <w:sz w:val="20"/>
                <w:lang w:val="fr-CA"/>
              </w:rPr>
              <w:noBreakHyphen/>
              <w:t>dire 8 mois.</w:t>
            </w:r>
          </w:p>
          <w:p w:rsidR="00E936C6" w:rsidRPr="00667307" w:rsidRDefault="00E936C6" w:rsidP="00A0505A">
            <w:pPr>
              <w:jc w:val="both"/>
              <w:rPr>
                <w:rFonts w:eastAsia="Calibri"/>
                <w:sz w:val="20"/>
                <w:lang w:val="fr-CA"/>
              </w:rPr>
            </w:pPr>
          </w:p>
        </w:tc>
      </w:tr>
      <w:tr w:rsidR="00E936C6" w:rsidRPr="00D41BFD" w:rsidTr="00A0505A">
        <w:tc>
          <w:tcPr>
            <w:tcW w:w="2427" w:type="pct"/>
          </w:tcPr>
          <w:p w:rsidR="00E936C6" w:rsidRPr="00667307" w:rsidRDefault="00E936C6" w:rsidP="00A0505A">
            <w:pPr>
              <w:jc w:val="both"/>
              <w:rPr>
                <w:rFonts w:eastAsia="Calibri"/>
                <w:sz w:val="20"/>
                <w:lang w:val="fr-CA"/>
              </w:rPr>
            </w:pPr>
            <w:r w:rsidRPr="00667307">
              <w:rPr>
                <w:rFonts w:eastAsia="Calibri"/>
                <w:sz w:val="20"/>
                <w:lang w:val="fr-CA"/>
              </w:rPr>
              <w:t>4 décembre 2008</w:t>
            </w:r>
          </w:p>
          <w:p w:rsidR="00E936C6" w:rsidRPr="00667307" w:rsidRDefault="00E936C6" w:rsidP="00A0505A">
            <w:pPr>
              <w:jc w:val="both"/>
              <w:rPr>
                <w:rFonts w:eastAsia="Calibri"/>
                <w:sz w:val="20"/>
                <w:lang w:val="fr-CA"/>
              </w:rPr>
            </w:pPr>
            <w:r w:rsidRPr="00667307">
              <w:rPr>
                <w:rFonts w:eastAsia="Calibri"/>
                <w:sz w:val="20"/>
                <w:lang w:val="fr-CA"/>
              </w:rPr>
              <w:t>Cour supérieure de justice de l’Ontario</w:t>
            </w:r>
          </w:p>
          <w:p w:rsidR="00E936C6" w:rsidRPr="00667307" w:rsidRDefault="00E936C6" w:rsidP="00A0505A">
            <w:pPr>
              <w:jc w:val="both"/>
              <w:rPr>
                <w:rFonts w:eastAsia="Calibri"/>
                <w:sz w:val="20"/>
                <w:lang w:val="fr-CA"/>
              </w:rPr>
            </w:pPr>
            <w:r w:rsidRPr="00667307">
              <w:rPr>
                <w:rFonts w:eastAsia="Calibri"/>
                <w:sz w:val="20"/>
                <w:lang w:val="fr-CA"/>
              </w:rPr>
              <w:t>(Juge Ferguson)</w:t>
            </w:r>
          </w:p>
          <w:p w:rsidR="00E936C6" w:rsidRPr="00667307" w:rsidRDefault="00E936C6" w:rsidP="00A0505A">
            <w:pPr>
              <w:jc w:val="both"/>
              <w:rPr>
                <w:rFonts w:eastAsia="Calibri"/>
                <w:sz w:val="20"/>
                <w:lang w:val="fr-CA"/>
              </w:rPr>
            </w:pPr>
          </w:p>
        </w:tc>
        <w:tc>
          <w:tcPr>
            <w:tcW w:w="243" w:type="pct"/>
          </w:tcPr>
          <w:p w:rsidR="00E936C6" w:rsidRPr="00667307" w:rsidRDefault="00E936C6" w:rsidP="00A0505A">
            <w:pPr>
              <w:jc w:val="both"/>
              <w:rPr>
                <w:rFonts w:eastAsia="Calibri"/>
                <w:sz w:val="20"/>
                <w:lang w:val="fr-CA"/>
              </w:rPr>
            </w:pPr>
          </w:p>
        </w:tc>
        <w:tc>
          <w:tcPr>
            <w:tcW w:w="2330" w:type="pct"/>
          </w:tcPr>
          <w:p w:rsidR="00E936C6" w:rsidRPr="00667307" w:rsidRDefault="00E936C6" w:rsidP="00A0505A">
            <w:pPr>
              <w:jc w:val="both"/>
              <w:rPr>
                <w:rFonts w:eastAsia="Calibri"/>
                <w:sz w:val="20"/>
                <w:lang w:val="fr-CA"/>
              </w:rPr>
            </w:pPr>
            <w:r w:rsidRPr="00667307">
              <w:rPr>
                <w:rFonts w:eastAsia="Calibri"/>
                <w:sz w:val="20"/>
                <w:lang w:val="fr-CA"/>
              </w:rPr>
              <w:t>Demande du demandeur en arrêt des procédures fondée sur l’al. 11</w:t>
            </w:r>
            <w:r w:rsidRPr="00667307">
              <w:rPr>
                <w:rFonts w:eastAsia="Calibri"/>
                <w:i/>
                <w:sz w:val="20"/>
                <w:lang w:val="fr-CA"/>
              </w:rPr>
              <w:t>b)</w:t>
            </w:r>
            <w:r w:rsidRPr="00667307">
              <w:rPr>
                <w:rFonts w:eastAsia="Calibri"/>
                <w:sz w:val="20"/>
                <w:lang w:val="fr-CA"/>
              </w:rPr>
              <w:t xml:space="preserve"> de la </w:t>
            </w:r>
            <w:r w:rsidRPr="00667307">
              <w:rPr>
                <w:rFonts w:eastAsia="Calibri"/>
                <w:i/>
                <w:sz w:val="20"/>
                <w:lang w:val="fr-CA"/>
              </w:rPr>
              <w:t>Charte</w:t>
            </w:r>
            <w:r w:rsidRPr="00667307">
              <w:rPr>
                <w:rFonts w:eastAsia="Calibri"/>
                <w:sz w:val="20"/>
                <w:lang w:val="fr-CA"/>
              </w:rPr>
              <w:t xml:space="preserve"> pour cause de délai déraisonnable, rejetée</w:t>
            </w:r>
          </w:p>
          <w:p w:rsidR="00E936C6" w:rsidRPr="00667307" w:rsidRDefault="00E936C6" w:rsidP="00A0505A">
            <w:pPr>
              <w:jc w:val="both"/>
              <w:rPr>
                <w:rFonts w:eastAsia="Calibri"/>
                <w:sz w:val="20"/>
                <w:lang w:val="fr-CA"/>
              </w:rPr>
            </w:pPr>
          </w:p>
        </w:tc>
      </w:tr>
      <w:tr w:rsidR="00E936C6" w:rsidRPr="00D41BFD" w:rsidTr="00A0505A">
        <w:tc>
          <w:tcPr>
            <w:tcW w:w="2427" w:type="pct"/>
          </w:tcPr>
          <w:p w:rsidR="00E936C6" w:rsidRPr="00667307" w:rsidRDefault="00E936C6" w:rsidP="00A0505A">
            <w:pPr>
              <w:jc w:val="both"/>
              <w:rPr>
                <w:rFonts w:eastAsia="Calibri"/>
                <w:sz w:val="20"/>
                <w:lang w:val="fr-CA"/>
              </w:rPr>
            </w:pPr>
            <w:r w:rsidRPr="00667307">
              <w:rPr>
                <w:rFonts w:eastAsia="Calibri"/>
                <w:sz w:val="20"/>
                <w:lang w:val="fr-CA"/>
              </w:rPr>
              <w:lastRenderedPageBreak/>
              <w:t>26 octobre 2012</w:t>
            </w:r>
          </w:p>
          <w:p w:rsidR="00E936C6" w:rsidRPr="00667307" w:rsidRDefault="00E936C6" w:rsidP="00A0505A">
            <w:pPr>
              <w:jc w:val="both"/>
              <w:rPr>
                <w:rFonts w:eastAsia="Calibri"/>
                <w:sz w:val="20"/>
                <w:lang w:val="fr-CA"/>
              </w:rPr>
            </w:pPr>
            <w:r w:rsidRPr="00667307">
              <w:rPr>
                <w:rFonts w:eastAsia="Calibri"/>
                <w:sz w:val="20"/>
                <w:lang w:val="fr-CA"/>
              </w:rPr>
              <w:t>Cour d’appel de l’Ontario</w:t>
            </w:r>
          </w:p>
          <w:p w:rsidR="00E936C6" w:rsidRPr="00667307" w:rsidRDefault="00E936C6" w:rsidP="00A0505A">
            <w:pPr>
              <w:jc w:val="both"/>
              <w:rPr>
                <w:rFonts w:eastAsia="Calibri"/>
                <w:sz w:val="20"/>
                <w:lang w:val="fr-CA"/>
              </w:rPr>
            </w:pPr>
            <w:r w:rsidRPr="00667307">
              <w:rPr>
                <w:rFonts w:eastAsia="Calibri"/>
                <w:sz w:val="20"/>
                <w:lang w:val="fr-CA"/>
              </w:rPr>
              <w:t>(Juges Rosenberg, Blair et Tulloch)</w:t>
            </w:r>
          </w:p>
          <w:p w:rsidR="00E936C6" w:rsidRPr="00667307" w:rsidRDefault="00E936C6" w:rsidP="00A0505A">
            <w:pPr>
              <w:jc w:val="both"/>
              <w:rPr>
                <w:rFonts w:eastAsia="Calibri"/>
                <w:sz w:val="20"/>
                <w:lang w:val="fr-CA"/>
              </w:rPr>
            </w:pPr>
            <w:r w:rsidRPr="00667307">
              <w:rPr>
                <w:rFonts w:eastAsia="Calibri"/>
                <w:sz w:val="20"/>
                <w:lang w:val="fr-CA"/>
              </w:rPr>
              <w:t>2012 ONCA 717</w:t>
            </w:r>
          </w:p>
          <w:p w:rsidR="00E936C6" w:rsidRPr="00667307" w:rsidRDefault="00E936C6" w:rsidP="00A0505A">
            <w:pPr>
              <w:jc w:val="both"/>
              <w:rPr>
                <w:rFonts w:eastAsia="Calibri"/>
                <w:sz w:val="20"/>
                <w:lang w:val="fr-CA"/>
              </w:rPr>
            </w:pPr>
          </w:p>
        </w:tc>
        <w:tc>
          <w:tcPr>
            <w:tcW w:w="243" w:type="pct"/>
          </w:tcPr>
          <w:p w:rsidR="00E936C6" w:rsidRPr="00667307" w:rsidRDefault="00E936C6" w:rsidP="00A0505A">
            <w:pPr>
              <w:jc w:val="both"/>
              <w:rPr>
                <w:rFonts w:eastAsia="Calibri"/>
                <w:sz w:val="20"/>
                <w:lang w:val="fr-CA"/>
              </w:rPr>
            </w:pPr>
          </w:p>
        </w:tc>
        <w:tc>
          <w:tcPr>
            <w:tcW w:w="2330" w:type="pct"/>
          </w:tcPr>
          <w:p w:rsidR="00E936C6" w:rsidRPr="00667307" w:rsidRDefault="00E936C6" w:rsidP="00A0505A">
            <w:pPr>
              <w:jc w:val="both"/>
              <w:rPr>
                <w:rFonts w:eastAsia="Calibri"/>
                <w:sz w:val="20"/>
                <w:lang w:val="fr-CA"/>
              </w:rPr>
            </w:pPr>
            <w:r w:rsidRPr="00667307">
              <w:rPr>
                <w:rFonts w:eastAsia="Calibri"/>
                <w:sz w:val="20"/>
                <w:lang w:val="fr-CA"/>
              </w:rPr>
              <w:t>Appel de la déclaration de culpabilité, rejeté; autorisation d’appel de la peine, accordée : appel de la peine accueilli et peine réduite à 16 mois de détention, moins le temps passé en détention préventive, c’est</w:t>
            </w:r>
            <w:r w:rsidRPr="00667307">
              <w:rPr>
                <w:rFonts w:eastAsia="Calibri"/>
                <w:sz w:val="20"/>
                <w:lang w:val="fr-CA"/>
              </w:rPr>
              <w:noBreakHyphen/>
              <w:t>à</w:t>
            </w:r>
            <w:r w:rsidRPr="00667307">
              <w:rPr>
                <w:rFonts w:eastAsia="Calibri"/>
                <w:sz w:val="20"/>
                <w:lang w:val="fr-CA"/>
              </w:rPr>
              <w:noBreakHyphen/>
              <w:t xml:space="preserve">dire 8 mois </w:t>
            </w:r>
          </w:p>
          <w:p w:rsidR="00E936C6" w:rsidRPr="00667307" w:rsidRDefault="00E936C6" w:rsidP="00A0505A">
            <w:pPr>
              <w:jc w:val="both"/>
              <w:rPr>
                <w:rFonts w:eastAsia="Calibri"/>
                <w:sz w:val="20"/>
                <w:lang w:val="fr-CA"/>
              </w:rPr>
            </w:pPr>
          </w:p>
        </w:tc>
      </w:tr>
      <w:tr w:rsidR="00E936C6" w:rsidRPr="00D41BFD" w:rsidTr="00A0505A">
        <w:tc>
          <w:tcPr>
            <w:tcW w:w="2427" w:type="pct"/>
          </w:tcPr>
          <w:p w:rsidR="00E936C6" w:rsidRPr="00667307" w:rsidRDefault="00E936C6" w:rsidP="00A0505A">
            <w:pPr>
              <w:jc w:val="both"/>
              <w:rPr>
                <w:rFonts w:eastAsia="Calibri"/>
                <w:sz w:val="20"/>
                <w:lang w:val="fr-CA"/>
              </w:rPr>
            </w:pPr>
            <w:r w:rsidRPr="00667307">
              <w:rPr>
                <w:rFonts w:eastAsia="Calibri"/>
                <w:sz w:val="20"/>
                <w:lang w:val="fr-CA"/>
              </w:rPr>
              <w:t>14 mars 2013</w:t>
            </w:r>
          </w:p>
          <w:p w:rsidR="00E936C6" w:rsidRPr="00667307" w:rsidRDefault="00E936C6" w:rsidP="00A0505A">
            <w:pPr>
              <w:jc w:val="both"/>
              <w:rPr>
                <w:rFonts w:eastAsia="Calibri"/>
                <w:sz w:val="20"/>
                <w:lang w:val="fr-CA"/>
              </w:rPr>
            </w:pPr>
            <w:r w:rsidRPr="00667307">
              <w:rPr>
                <w:rFonts w:eastAsia="Calibri"/>
                <w:sz w:val="20"/>
                <w:lang w:val="fr-CA"/>
              </w:rPr>
              <w:t>Cour suprême du Canada</w:t>
            </w:r>
          </w:p>
          <w:p w:rsidR="00E936C6" w:rsidRPr="00667307" w:rsidRDefault="00E936C6" w:rsidP="00A0505A">
            <w:pPr>
              <w:jc w:val="both"/>
              <w:rPr>
                <w:rFonts w:eastAsia="Calibri"/>
                <w:sz w:val="20"/>
                <w:lang w:val="fr-CA"/>
              </w:rPr>
            </w:pPr>
          </w:p>
        </w:tc>
        <w:tc>
          <w:tcPr>
            <w:tcW w:w="243" w:type="pct"/>
          </w:tcPr>
          <w:p w:rsidR="00E936C6" w:rsidRPr="00667307" w:rsidRDefault="00E936C6" w:rsidP="00A0505A">
            <w:pPr>
              <w:jc w:val="both"/>
              <w:rPr>
                <w:rFonts w:eastAsia="Calibri"/>
                <w:sz w:val="20"/>
                <w:lang w:val="fr-CA"/>
              </w:rPr>
            </w:pPr>
          </w:p>
        </w:tc>
        <w:tc>
          <w:tcPr>
            <w:tcW w:w="2330" w:type="pct"/>
          </w:tcPr>
          <w:p w:rsidR="00E936C6" w:rsidRPr="00667307" w:rsidRDefault="00E936C6" w:rsidP="00A0505A">
            <w:pPr>
              <w:jc w:val="both"/>
              <w:rPr>
                <w:rFonts w:eastAsia="Calibri"/>
                <w:sz w:val="20"/>
                <w:lang w:val="fr-CA"/>
              </w:rPr>
            </w:pPr>
            <w:r w:rsidRPr="00667307">
              <w:rPr>
                <w:rFonts w:eastAsia="Calibri"/>
                <w:sz w:val="20"/>
                <w:lang w:val="fr-CA"/>
              </w:rPr>
              <w:t>Requête en prorogation du délai de signification et de dépôt de la demande d’autorisation d’appel et demande d’autorisation d’appel, déposées</w:t>
            </w:r>
          </w:p>
        </w:tc>
      </w:tr>
    </w:tbl>
    <w:p w:rsidR="00AA605C" w:rsidRPr="00E936C6" w:rsidRDefault="00AA605C" w:rsidP="00AA605C">
      <w:pPr>
        <w:rPr>
          <w:sz w:val="20"/>
          <w:szCs w:val="20"/>
          <w:lang w:val="fr-CA"/>
        </w:rPr>
      </w:pPr>
    </w:p>
    <w:p w:rsidR="00AA605C" w:rsidRDefault="00B3404D" w:rsidP="00AA605C">
      <w:pPr>
        <w:rPr>
          <w:sz w:val="20"/>
          <w:szCs w:val="20"/>
          <w:lang w:val="fr-CA"/>
        </w:rPr>
      </w:pPr>
      <w:r w:rsidRPr="00B3404D">
        <w:rPr>
          <w:sz w:val="20"/>
          <w:szCs w:val="20"/>
          <w:lang w:val="fr-CA"/>
        </w:rPr>
        <w:pict>
          <v:rect id="_x0000_i1065" style="width:2in;height:1pt" o:hrpct="0" o:hralign="center" o:hrstd="t" o:hrnoshade="t" o:hr="t" fillcolor="black [3213]" stroked="f"/>
        </w:pict>
      </w:r>
    </w:p>
    <w:p w:rsidR="00AA605C" w:rsidRDefault="00AA605C" w:rsidP="00AA605C">
      <w:pPr>
        <w:rPr>
          <w:sz w:val="20"/>
          <w:szCs w:val="20"/>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61B52" w:rsidRPr="00A61B52" w:rsidTr="00A61B52">
        <w:trPr>
          <w:cantSplit/>
        </w:trPr>
        <w:tc>
          <w:tcPr>
            <w:tcW w:w="1458" w:type="dxa"/>
          </w:tcPr>
          <w:p w:rsidR="00A61B52" w:rsidRPr="00A61B52" w:rsidRDefault="00A61B52" w:rsidP="00A61B52">
            <w:pPr>
              <w:rPr>
                <w:sz w:val="20"/>
                <w:szCs w:val="20"/>
              </w:rPr>
            </w:pPr>
            <w:r w:rsidRPr="00A61B52">
              <w:rPr>
                <w:b/>
                <w:sz w:val="20"/>
                <w:lang w:val="fr-CA"/>
              </w:rPr>
              <w:t>35270</w:t>
            </w:r>
          </w:p>
          <w:p w:rsidR="00A61B52" w:rsidRPr="00A61B52" w:rsidRDefault="00A61B52" w:rsidP="00A61B52">
            <w:pPr>
              <w:rPr>
                <w:b/>
                <w:sz w:val="20"/>
                <w:szCs w:val="20"/>
                <w:lang w:val="fr-CA"/>
              </w:rPr>
            </w:pPr>
          </w:p>
        </w:tc>
        <w:tc>
          <w:tcPr>
            <w:tcW w:w="8118" w:type="dxa"/>
          </w:tcPr>
          <w:p w:rsidR="00A61B52" w:rsidRPr="00A61B52" w:rsidRDefault="00A61B52" w:rsidP="00A61B52">
            <w:pPr>
              <w:jc w:val="both"/>
              <w:rPr>
                <w:sz w:val="20"/>
                <w:szCs w:val="20"/>
              </w:rPr>
            </w:pPr>
            <w:r w:rsidRPr="00A61B52">
              <w:rPr>
                <w:b/>
                <w:sz w:val="20"/>
                <w:u w:val="single"/>
              </w:rPr>
              <w:t>Workers' Compensation Appeal Tribunal v. Downs Construction Ltd., Jerry Webster</w:t>
            </w:r>
            <w:r w:rsidR="005A306F">
              <w:rPr>
                <w:b/>
                <w:sz w:val="20"/>
                <w:u w:val="single"/>
              </w:rPr>
              <w:t xml:space="preserve"> and</w:t>
            </w:r>
            <w:r w:rsidRPr="00A61B52">
              <w:rPr>
                <w:b/>
                <w:sz w:val="20"/>
                <w:u w:val="single"/>
              </w:rPr>
              <w:t xml:space="preserve"> Vicki Lynn Christianson</w:t>
            </w:r>
            <w:r w:rsidRPr="00A61B52">
              <w:rPr>
                <w:sz w:val="20"/>
                <w:szCs w:val="20"/>
              </w:rPr>
              <w:t xml:space="preserve"> (B.C.) (Civil) (By Leave)</w:t>
            </w:r>
          </w:p>
          <w:p w:rsidR="00A61B52" w:rsidRPr="00A61B52" w:rsidRDefault="00A61B52" w:rsidP="00A61B52">
            <w:pPr>
              <w:jc w:val="both"/>
              <w:rPr>
                <w:sz w:val="20"/>
                <w:szCs w:val="20"/>
              </w:rPr>
            </w:pPr>
          </w:p>
        </w:tc>
      </w:tr>
      <w:tr w:rsidR="00A61B52" w:rsidRPr="00A61B52" w:rsidTr="00A61B52">
        <w:trPr>
          <w:cantSplit/>
        </w:trPr>
        <w:tc>
          <w:tcPr>
            <w:tcW w:w="1458" w:type="dxa"/>
          </w:tcPr>
          <w:p w:rsidR="00A61B52" w:rsidRPr="00A61B52" w:rsidRDefault="00A61B52" w:rsidP="00A61B52">
            <w:pPr>
              <w:rPr>
                <w:sz w:val="20"/>
                <w:szCs w:val="20"/>
              </w:rPr>
            </w:pPr>
            <w:r w:rsidRPr="00A61B52">
              <w:rPr>
                <w:sz w:val="20"/>
                <w:szCs w:val="20"/>
              </w:rPr>
              <w:t>Coram :</w:t>
            </w:r>
          </w:p>
        </w:tc>
        <w:tc>
          <w:tcPr>
            <w:tcW w:w="8118" w:type="dxa"/>
          </w:tcPr>
          <w:p w:rsidR="00A61B52" w:rsidRPr="00A61B52" w:rsidRDefault="00A61B52" w:rsidP="00A61B52">
            <w:pPr>
              <w:rPr>
                <w:sz w:val="20"/>
                <w:szCs w:val="20"/>
              </w:rPr>
            </w:pPr>
            <w:r w:rsidRPr="00A61B52">
              <w:rPr>
                <w:sz w:val="20"/>
                <w:u w:val="single"/>
              </w:rPr>
              <w:t>McLachlin C.J. and Abella and Cromwell JJ.</w:t>
            </w:r>
          </w:p>
          <w:p w:rsidR="00A61B52" w:rsidRPr="00A61B52" w:rsidRDefault="00A61B52" w:rsidP="00A61B52">
            <w:pPr>
              <w:rPr>
                <w:sz w:val="20"/>
                <w:szCs w:val="20"/>
                <w:u w:val="single"/>
              </w:rPr>
            </w:pPr>
          </w:p>
        </w:tc>
      </w:tr>
      <w:tr w:rsidR="00A61B52" w:rsidRPr="00D41BFD" w:rsidTr="00A61B52">
        <w:trPr>
          <w:cantSplit/>
        </w:trPr>
        <w:tc>
          <w:tcPr>
            <w:tcW w:w="9576" w:type="dxa"/>
            <w:gridSpan w:val="2"/>
          </w:tcPr>
          <w:p w:rsidR="00A61B52" w:rsidRPr="00A61B52" w:rsidRDefault="00A61B52" w:rsidP="00A61B52">
            <w:pPr>
              <w:ind w:firstLine="720"/>
              <w:jc w:val="both"/>
              <w:rPr>
                <w:sz w:val="20"/>
                <w:szCs w:val="20"/>
              </w:rPr>
            </w:pPr>
            <w:r w:rsidRPr="00A61B52">
              <w:rPr>
                <w:sz w:val="20"/>
                <w:szCs w:val="20"/>
              </w:rPr>
              <w:t>The application for leave to appeal from the judgment of the Court of Appeal for British Columbia (Vancouver), Number CA039340, 2013 BCCA 13, dated January 15, 2013, is dismissed with costs to the respondent Jerry Webster.</w:t>
            </w:r>
          </w:p>
          <w:p w:rsidR="00A61B52" w:rsidRPr="00A61B52" w:rsidRDefault="00A61B52" w:rsidP="00A61B52">
            <w:pPr>
              <w:jc w:val="both"/>
              <w:rPr>
                <w:sz w:val="20"/>
                <w:szCs w:val="20"/>
              </w:rPr>
            </w:pPr>
          </w:p>
          <w:p w:rsidR="00A61B52" w:rsidRPr="00A61B52" w:rsidRDefault="00A61B52" w:rsidP="00A61B52">
            <w:pPr>
              <w:ind w:firstLine="720"/>
              <w:jc w:val="both"/>
              <w:rPr>
                <w:sz w:val="20"/>
                <w:szCs w:val="20"/>
                <w:lang w:val="fr-CA"/>
              </w:rPr>
            </w:pPr>
            <w:r w:rsidRPr="00A61B52">
              <w:rPr>
                <w:sz w:val="20"/>
                <w:szCs w:val="20"/>
                <w:lang w:val="fr-CA"/>
              </w:rPr>
              <w:t>La demande d’autorisation d’appel de l’arrêt de la Cour d’appel de la Colombie-Britannique (Vancouver), numéro CA039340, 2013 BCCA 13, daté du 15 janvier 2013, est rejetée avec dépens en faveur de l’intimé Jerry Webster.</w:t>
            </w:r>
          </w:p>
        </w:tc>
      </w:tr>
    </w:tbl>
    <w:p w:rsidR="00AA605C" w:rsidRPr="00A61B52" w:rsidRDefault="00AA605C" w:rsidP="00AA605C">
      <w:pPr>
        <w:rPr>
          <w:sz w:val="20"/>
          <w:szCs w:val="20"/>
          <w:lang w:val="fr-CA"/>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936C6" w:rsidRPr="00667307" w:rsidTr="00A0505A">
        <w:tc>
          <w:tcPr>
            <w:tcW w:w="5000" w:type="pct"/>
            <w:gridSpan w:val="3"/>
          </w:tcPr>
          <w:p w:rsidR="00E936C6" w:rsidRPr="00667307" w:rsidRDefault="00E936C6" w:rsidP="00A0505A">
            <w:pPr>
              <w:jc w:val="both"/>
              <w:rPr>
                <w:rFonts w:eastAsia="Calibri"/>
                <w:sz w:val="20"/>
              </w:rPr>
            </w:pPr>
            <w:r w:rsidRPr="00667307">
              <w:rPr>
                <w:rFonts w:eastAsia="Calibri"/>
                <w:sz w:val="20"/>
              </w:rPr>
              <w:t>Workers’ compensation – Civil procedure – Costs – Administrative law – Boards and tribunals – Appeals – Applicant tribunal issuing certificate stating that mental stress injury suffered by respondent “did not arise out of and in the course of her employment” – Court of Appeal allowing appeal and ordering costs against tribunal – Parameters of an administrative tribunal’s standing on judicial review – Factors that should inform the determination that the submissions put forward by a tribunal on appeal exceed its standing and so put it at risk of losing its general immunity from costs</w:t>
            </w:r>
            <w:r w:rsidRPr="00667307">
              <w:rPr>
                <w:rFonts w:eastAsia="Calibri"/>
                <w:i/>
                <w:sz w:val="20"/>
              </w:rPr>
              <w:t xml:space="preserve"> – Workers Compensation Act</w:t>
            </w:r>
            <w:r w:rsidRPr="00667307">
              <w:rPr>
                <w:rFonts w:eastAsia="Calibri"/>
                <w:sz w:val="20"/>
              </w:rPr>
              <w:t>, R.S.B.C. 1996, c. 492, ss. 5.1, 10, 257.</w:t>
            </w:r>
          </w:p>
        </w:tc>
      </w:tr>
      <w:tr w:rsidR="00E936C6" w:rsidRPr="00667307" w:rsidTr="00A0505A">
        <w:tc>
          <w:tcPr>
            <w:tcW w:w="5000" w:type="pct"/>
            <w:gridSpan w:val="3"/>
          </w:tcPr>
          <w:p w:rsidR="00E936C6" w:rsidRPr="00667307" w:rsidRDefault="00E936C6" w:rsidP="00A0505A">
            <w:pPr>
              <w:jc w:val="both"/>
              <w:rPr>
                <w:rFonts w:eastAsia="Calibri"/>
                <w:sz w:val="20"/>
              </w:rPr>
            </w:pPr>
          </w:p>
        </w:tc>
      </w:tr>
      <w:tr w:rsidR="00E936C6" w:rsidRPr="00667307" w:rsidTr="00A0505A">
        <w:tc>
          <w:tcPr>
            <w:tcW w:w="5000" w:type="pct"/>
            <w:gridSpan w:val="3"/>
          </w:tcPr>
          <w:p w:rsidR="00E936C6" w:rsidRPr="00667307" w:rsidRDefault="00E936C6" w:rsidP="00A0505A">
            <w:pPr>
              <w:jc w:val="both"/>
              <w:rPr>
                <w:rFonts w:eastAsia="Calibri"/>
                <w:sz w:val="20"/>
              </w:rPr>
            </w:pPr>
            <w:r w:rsidRPr="00667307">
              <w:rPr>
                <w:rFonts w:eastAsia="Calibri"/>
                <w:sz w:val="20"/>
              </w:rPr>
              <w:t xml:space="preserve">The respondent Christianson suffered a stress-related injury as a result of conduct of the respondent Webster while they were working for Downs Construction Ltd.  Ms. Christianson sued Downs and Mr. Webster.  In their defence, they pleaded s. 10 of the </w:t>
            </w:r>
            <w:r w:rsidRPr="00667307">
              <w:rPr>
                <w:rFonts w:eastAsia="Calibri"/>
                <w:i/>
                <w:sz w:val="20"/>
              </w:rPr>
              <w:t>Workers Compensation Act</w:t>
            </w:r>
            <w:r w:rsidRPr="00667307">
              <w:rPr>
                <w:rFonts w:eastAsia="Calibri"/>
                <w:sz w:val="20"/>
              </w:rPr>
              <w:t xml:space="preserve">, which bars an action in lieu of a possible claim under the Act where the injury arose out of and in the course of employment.  </w:t>
            </w:r>
          </w:p>
          <w:p w:rsidR="00E936C6" w:rsidRPr="00667307" w:rsidRDefault="00E936C6" w:rsidP="00A0505A">
            <w:pPr>
              <w:jc w:val="both"/>
              <w:rPr>
                <w:rFonts w:eastAsia="Calibri"/>
                <w:sz w:val="20"/>
              </w:rPr>
            </w:pPr>
          </w:p>
          <w:p w:rsidR="00E936C6" w:rsidRPr="00667307" w:rsidRDefault="00E936C6" w:rsidP="00A0505A">
            <w:pPr>
              <w:jc w:val="both"/>
              <w:rPr>
                <w:rFonts w:eastAsia="Calibri"/>
                <w:sz w:val="20"/>
              </w:rPr>
            </w:pPr>
            <w:r w:rsidRPr="00667307">
              <w:rPr>
                <w:rFonts w:eastAsia="Calibri"/>
                <w:sz w:val="20"/>
              </w:rPr>
              <w:t>Ms. Christianson initiated a claim for compensation pursuant to s. 5.1 of the Act.  The Board concluded that the event giving rise to her injury was not unexpected and refused compensation.  The applicant Tribunal upheld the Board’s decision.  Pursuant to s. 257 of the Act, the Tribunal issued a certificate to the court stating, among other things, that the mental stress injury suffered by Ms. Christianson “did not arise out of and in the course of her employment”.  Downs and Mr. Webster sought judicial review of the Tribunal’s decision in the British Columbia Supreme Court but were unsuccessful.  The Court of Appeal allowed their appeal.  It concluded that Downs and Mr. Webster were entitled to one set of costs against each of the Tribunal and Ms. Christianson and ordered that each party should bear its own costs of the proceedings in the British Columbia Supreme Court.</w:t>
            </w:r>
          </w:p>
          <w:p w:rsidR="00E936C6" w:rsidRPr="00667307" w:rsidRDefault="00E936C6" w:rsidP="00A0505A">
            <w:pPr>
              <w:jc w:val="both"/>
              <w:rPr>
                <w:rFonts w:eastAsia="Calibri"/>
                <w:sz w:val="20"/>
              </w:rPr>
            </w:pPr>
          </w:p>
        </w:tc>
      </w:tr>
      <w:tr w:rsidR="00E936C6" w:rsidRPr="00667307" w:rsidTr="00A61B52">
        <w:trPr>
          <w:cantSplit/>
        </w:trPr>
        <w:tc>
          <w:tcPr>
            <w:tcW w:w="2427" w:type="pct"/>
          </w:tcPr>
          <w:p w:rsidR="00E936C6" w:rsidRPr="00667307" w:rsidRDefault="00E936C6" w:rsidP="00A0505A">
            <w:pPr>
              <w:jc w:val="both"/>
              <w:rPr>
                <w:rFonts w:eastAsia="Calibri"/>
                <w:sz w:val="20"/>
              </w:rPr>
            </w:pPr>
            <w:r w:rsidRPr="00667307">
              <w:rPr>
                <w:rFonts w:eastAsia="Calibri"/>
                <w:sz w:val="20"/>
              </w:rPr>
              <w:lastRenderedPageBreak/>
              <w:t>August 18, 2011</w:t>
            </w:r>
          </w:p>
          <w:p w:rsidR="00E936C6" w:rsidRPr="00667307" w:rsidRDefault="00E936C6" w:rsidP="00A0505A">
            <w:pPr>
              <w:jc w:val="both"/>
              <w:rPr>
                <w:rFonts w:eastAsia="Calibri"/>
                <w:sz w:val="20"/>
              </w:rPr>
            </w:pPr>
            <w:r w:rsidRPr="00667307">
              <w:rPr>
                <w:rFonts w:eastAsia="Calibri"/>
                <w:sz w:val="20"/>
              </w:rPr>
              <w:t>Supreme Court of British Columbia</w:t>
            </w:r>
          </w:p>
          <w:p w:rsidR="00E936C6" w:rsidRPr="00667307" w:rsidRDefault="00E936C6" w:rsidP="00A0505A">
            <w:pPr>
              <w:jc w:val="both"/>
              <w:rPr>
                <w:rFonts w:eastAsia="Calibri"/>
                <w:sz w:val="20"/>
              </w:rPr>
            </w:pPr>
            <w:r w:rsidRPr="00667307">
              <w:rPr>
                <w:rFonts w:eastAsia="Calibri"/>
                <w:sz w:val="20"/>
              </w:rPr>
              <w:t>(Macaulay J.)</w:t>
            </w:r>
          </w:p>
          <w:p w:rsidR="00E936C6" w:rsidRPr="00667307" w:rsidRDefault="00E936C6" w:rsidP="00A0505A">
            <w:pPr>
              <w:jc w:val="both"/>
              <w:rPr>
                <w:rFonts w:eastAsia="Calibri"/>
                <w:sz w:val="20"/>
              </w:rPr>
            </w:pPr>
            <w:r w:rsidRPr="00667307">
              <w:rPr>
                <w:rFonts w:eastAsia="Calibri"/>
                <w:sz w:val="20"/>
              </w:rPr>
              <w:t>2011 BCSC 1129</w:t>
            </w:r>
          </w:p>
          <w:p w:rsidR="00E936C6" w:rsidRPr="00667307" w:rsidRDefault="00E936C6" w:rsidP="00A0505A">
            <w:pPr>
              <w:jc w:val="both"/>
              <w:rPr>
                <w:rFonts w:eastAsia="Calibri"/>
                <w:sz w:val="20"/>
              </w:rPr>
            </w:pPr>
          </w:p>
        </w:tc>
        <w:tc>
          <w:tcPr>
            <w:tcW w:w="243" w:type="pct"/>
          </w:tcPr>
          <w:p w:rsidR="00E936C6" w:rsidRPr="00667307" w:rsidRDefault="00E936C6" w:rsidP="00A0505A">
            <w:pPr>
              <w:jc w:val="both"/>
              <w:rPr>
                <w:rFonts w:eastAsia="Calibri"/>
                <w:sz w:val="20"/>
              </w:rPr>
            </w:pPr>
          </w:p>
        </w:tc>
        <w:tc>
          <w:tcPr>
            <w:tcW w:w="2330" w:type="pct"/>
          </w:tcPr>
          <w:p w:rsidR="00E936C6" w:rsidRPr="00667307" w:rsidRDefault="00E936C6" w:rsidP="00A0505A">
            <w:pPr>
              <w:jc w:val="both"/>
              <w:rPr>
                <w:rFonts w:eastAsia="Calibri"/>
                <w:sz w:val="20"/>
              </w:rPr>
            </w:pPr>
            <w:r w:rsidRPr="00667307">
              <w:rPr>
                <w:rFonts w:eastAsia="Calibri"/>
                <w:sz w:val="20"/>
              </w:rPr>
              <w:t>Petition for judicial review dismissed</w:t>
            </w:r>
          </w:p>
        </w:tc>
      </w:tr>
      <w:tr w:rsidR="00E936C6" w:rsidRPr="00667307" w:rsidTr="00A61B52">
        <w:trPr>
          <w:cantSplit/>
        </w:trPr>
        <w:tc>
          <w:tcPr>
            <w:tcW w:w="2427" w:type="pct"/>
          </w:tcPr>
          <w:p w:rsidR="00E936C6" w:rsidRPr="00667307" w:rsidRDefault="00E936C6" w:rsidP="00A0505A">
            <w:pPr>
              <w:jc w:val="both"/>
              <w:rPr>
                <w:rFonts w:eastAsia="Calibri"/>
                <w:sz w:val="20"/>
              </w:rPr>
            </w:pPr>
            <w:r w:rsidRPr="00667307">
              <w:rPr>
                <w:rFonts w:eastAsia="Calibri"/>
                <w:sz w:val="20"/>
              </w:rPr>
              <w:t>October 4, 2012</w:t>
            </w:r>
          </w:p>
          <w:p w:rsidR="00E936C6" w:rsidRPr="00667307" w:rsidRDefault="00E936C6" w:rsidP="00A0505A">
            <w:pPr>
              <w:jc w:val="both"/>
              <w:rPr>
                <w:rFonts w:eastAsia="Calibri"/>
                <w:sz w:val="20"/>
              </w:rPr>
            </w:pPr>
            <w:r w:rsidRPr="00667307">
              <w:rPr>
                <w:rFonts w:eastAsia="Calibri"/>
                <w:sz w:val="20"/>
              </w:rPr>
              <w:t xml:space="preserve">Court of Appeal for British Columbia </w:t>
            </w:r>
          </w:p>
          <w:p w:rsidR="00E936C6" w:rsidRPr="00667307" w:rsidRDefault="00E936C6" w:rsidP="00A0505A">
            <w:pPr>
              <w:jc w:val="both"/>
              <w:rPr>
                <w:rFonts w:eastAsia="Calibri"/>
                <w:sz w:val="20"/>
              </w:rPr>
            </w:pPr>
            <w:r w:rsidRPr="00667307">
              <w:rPr>
                <w:rFonts w:eastAsia="Calibri"/>
                <w:sz w:val="20"/>
              </w:rPr>
              <w:t>(Lowry, Chiasson and Garson JJ.A.)</w:t>
            </w:r>
          </w:p>
          <w:p w:rsidR="00E936C6" w:rsidRPr="00667307" w:rsidRDefault="00E936C6" w:rsidP="00A0505A">
            <w:pPr>
              <w:jc w:val="both"/>
              <w:rPr>
                <w:rFonts w:eastAsia="Calibri"/>
                <w:sz w:val="20"/>
              </w:rPr>
            </w:pPr>
            <w:r w:rsidRPr="00667307">
              <w:rPr>
                <w:rFonts w:eastAsia="Calibri"/>
                <w:sz w:val="20"/>
              </w:rPr>
              <w:t xml:space="preserve">2012 BCCA 392 </w:t>
            </w:r>
          </w:p>
          <w:p w:rsidR="00E936C6" w:rsidRPr="00667307" w:rsidRDefault="00E936C6" w:rsidP="00A0505A">
            <w:pPr>
              <w:jc w:val="both"/>
              <w:rPr>
                <w:rFonts w:eastAsia="Calibri"/>
                <w:sz w:val="20"/>
              </w:rPr>
            </w:pPr>
          </w:p>
        </w:tc>
        <w:tc>
          <w:tcPr>
            <w:tcW w:w="243" w:type="pct"/>
          </w:tcPr>
          <w:p w:rsidR="00E936C6" w:rsidRPr="00667307" w:rsidRDefault="00E936C6" w:rsidP="00A0505A">
            <w:pPr>
              <w:jc w:val="both"/>
              <w:rPr>
                <w:rFonts w:eastAsia="Calibri"/>
                <w:sz w:val="20"/>
              </w:rPr>
            </w:pPr>
          </w:p>
        </w:tc>
        <w:tc>
          <w:tcPr>
            <w:tcW w:w="2330" w:type="pct"/>
          </w:tcPr>
          <w:p w:rsidR="00E936C6" w:rsidRPr="00667307" w:rsidRDefault="00E936C6" w:rsidP="00A0505A">
            <w:pPr>
              <w:jc w:val="both"/>
              <w:rPr>
                <w:rFonts w:eastAsia="Calibri"/>
                <w:sz w:val="20"/>
              </w:rPr>
            </w:pPr>
            <w:r w:rsidRPr="00667307">
              <w:rPr>
                <w:rFonts w:eastAsia="Calibri"/>
                <w:sz w:val="20"/>
              </w:rPr>
              <w:t>Appeal allowed</w:t>
            </w:r>
          </w:p>
          <w:p w:rsidR="00E936C6" w:rsidRPr="00667307" w:rsidRDefault="00E936C6" w:rsidP="00A0505A">
            <w:pPr>
              <w:jc w:val="both"/>
              <w:rPr>
                <w:rFonts w:eastAsia="Calibri"/>
                <w:sz w:val="20"/>
              </w:rPr>
            </w:pPr>
          </w:p>
        </w:tc>
      </w:tr>
      <w:tr w:rsidR="00E936C6" w:rsidRPr="00667307" w:rsidTr="00A61B52">
        <w:trPr>
          <w:cantSplit/>
        </w:trPr>
        <w:tc>
          <w:tcPr>
            <w:tcW w:w="2427" w:type="pct"/>
          </w:tcPr>
          <w:p w:rsidR="00E936C6" w:rsidRPr="00667307" w:rsidRDefault="00E936C6" w:rsidP="00A0505A">
            <w:pPr>
              <w:jc w:val="both"/>
              <w:rPr>
                <w:rFonts w:eastAsia="Calibri"/>
                <w:sz w:val="20"/>
              </w:rPr>
            </w:pPr>
            <w:r w:rsidRPr="00667307">
              <w:rPr>
                <w:rFonts w:eastAsia="Calibri"/>
                <w:sz w:val="20"/>
              </w:rPr>
              <w:t>January 15, 2013</w:t>
            </w:r>
          </w:p>
          <w:p w:rsidR="00E936C6" w:rsidRPr="00667307" w:rsidRDefault="00E936C6" w:rsidP="00A0505A">
            <w:pPr>
              <w:jc w:val="both"/>
              <w:rPr>
                <w:rFonts w:eastAsia="Calibri"/>
                <w:sz w:val="20"/>
              </w:rPr>
            </w:pPr>
            <w:r w:rsidRPr="00667307">
              <w:rPr>
                <w:rFonts w:eastAsia="Calibri"/>
                <w:sz w:val="20"/>
              </w:rPr>
              <w:t xml:space="preserve">Court of Appeal for British Columbia </w:t>
            </w:r>
          </w:p>
          <w:p w:rsidR="00E936C6" w:rsidRPr="00667307" w:rsidRDefault="00E936C6" w:rsidP="00A0505A">
            <w:pPr>
              <w:jc w:val="both"/>
              <w:rPr>
                <w:rFonts w:eastAsia="Calibri"/>
                <w:sz w:val="20"/>
              </w:rPr>
            </w:pPr>
            <w:r w:rsidRPr="00667307">
              <w:rPr>
                <w:rFonts w:eastAsia="Calibri"/>
                <w:sz w:val="20"/>
              </w:rPr>
              <w:t>(Lowry, Chiasson and Garson JJ.A.)</w:t>
            </w:r>
          </w:p>
          <w:p w:rsidR="00E936C6" w:rsidRPr="00667307" w:rsidRDefault="00E936C6" w:rsidP="00A0505A">
            <w:pPr>
              <w:jc w:val="both"/>
              <w:rPr>
                <w:rFonts w:eastAsia="Calibri"/>
                <w:sz w:val="20"/>
              </w:rPr>
            </w:pPr>
            <w:r w:rsidRPr="00667307">
              <w:rPr>
                <w:rFonts w:eastAsia="Calibri"/>
                <w:sz w:val="20"/>
              </w:rPr>
              <w:t>2013 BCCA 13</w:t>
            </w:r>
          </w:p>
          <w:p w:rsidR="00E936C6" w:rsidRPr="00667307" w:rsidRDefault="00E936C6" w:rsidP="00A0505A">
            <w:pPr>
              <w:jc w:val="both"/>
              <w:rPr>
                <w:rFonts w:eastAsia="Calibri"/>
                <w:sz w:val="20"/>
              </w:rPr>
            </w:pPr>
          </w:p>
        </w:tc>
        <w:tc>
          <w:tcPr>
            <w:tcW w:w="243" w:type="pct"/>
          </w:tcPr>
          <w:p w:rsidR="00E936C6" w:rsidRPr="00667307" w:rsidRDefault="00E936C6" w:rsidP="00A0505A">
            <w:pPr>
              <w:jc w:val="both"/>
              <w:rPr>
                <w:rFonts w:eastAsia="Calibri"/>
                <w:sz w:val="20"/>
              </w:rPr>
            </w:pPr>
          </w:p>
        </w:tc>
        <w:tc>
          <w:tcPr>
            <w:tcW w:w="2330" w:type="pct"/>
          </w:tcPr>
          <w:p w:rsidR="00E936C6" w:rsidRPr="00667307" w:rsidRDefault="00E936C6" w:rsidP="00A0505A">
            <w:pPr>
              <w:jc w:val="both"/>
              <w:rPr>
                <w:rFonts w:eastAsia="Calibri"/>
                <w:sz w:val="20"/>
              </w:rPr>
            </w:pPr>
            <w:r w:rsidRPr="00667307">
              <w:rPr>
                <w:rFonts w:eastAsia="Calibri"/>
                <w:sz w:val="20"/>
              </w:rPr>
              <w:t>Supplementary reasons concerning costs</w:t>
            </w:r>
          </w:p>
          <w:p w:rsidR="00E936C6" w:rsidRPr="00667307" w:rsidRDefault="00E936C6" w:rsidP="00A0505A">
            <w:pPr>
              <w:jc w:val="both"/>
              <w:rPr>
                <w:rFonts w:eastAsia="Calibri"/>
                <w:sz w:val="20"/>
              </w:rPr>
            </w:pPr>
          </w:p>
        </w:tc>
      </w:tr>
      <w:tr w:rsidR="00E936C6" w:rsidRPr="00667307" w:rsidTr="00A61B52">
        <w:trPr>
          <w:cantSplit/>
        </w:trPr>
        <w:tc>
          <w:tcPr>
            <w:tcW w:w="2427" w:type="pct"/>
          </w:tcPr>
          <w:p w:rsidR="00E936C6" w:rsidRPr="00667307" w:rsidRDefault="00E936C6" w:rsidP="00A0505A">
            <w:pPr>
              <w:jc w:val="both"/>
              <w:rPr>
                <w:rFonts w:eastAsia="Calibri"/>
                <w:sz w:val="20"/>
              </w:rPr>
            </w:pPr>
            <w:r w:rsidRPr="00667307">
              <w:rPr>
                <w:rFonts w:eastAsia="Calibri"/>
                <w:sz w:val="20"/>
              </w:rPr>
              <w:t>March 18, 2013</w:t>
            </w:r>
          </w:p>
          <w:p w:rsidR="00E936C6" w:rsidRPr="00667307" w:rsidRDefault="00E936C6" w:rsidP="00A0505A">
            <w:pPr>
              <w:jc w:val="both"/>
              <w:rPr>
                <w:rFonts w:eastAsia="Calibri"/>
                <w:sz w:val="20"/>
              </w:rPr>
            </w:pPr>
            <w:r w:rsidRPr="00667307">
              <w:rPr>
                <w:rFonts w:eastAsia="Calibri"/>
                <w:sz w:val="20"/>
              </w:rPr>
              <w:t>Supreme Court of Canada</w:t>
            </w:r>
          </w:p>
          <w:p w:rsidR="00E936C6" w:rsidRPr="00667307" w:rsidRDefault="00E936C6" w:rsidP="00A0505A">
            <w:pPr>
              <w:jc w:val="both"/>
              <w:rPr>
                <w:rFonts w:eastAsia="Calibri"/>
                <w:sz w:val="20"/>
              </w:rPr>
            </w:pPr>
          </w:p>
        </w:tc>
        <w:tc>
          <w:tcPr>
            <w:tcW w:w="243" w:type="pct"/>
          </w:tcPr>
          <w:p w:rsidR="00E936C6" w:rsidRPr="00667307" w:rsidRDefault="00E936C6" w:rsidP="00A0505A">
            <w:pPr>
              <w:jc w:val="both"/>
              <w:rPr>
                <w:rFonts w:eastAsia="Calibri"/>
                <w:sz w:val="20"/>
              </w:rPr>
            </w:pPr>
          </w:p>
        </w:tc>
        <w:tc>
          <w:tcPr>
            <w:tcW w:w="2330" w:type="pct"/>
          </w:tcPr>
          <w:p w:rsidR="00E936C6" w:rsidRPr="00667307" w:rsidRDefault="00E936C6" w:rsidP="00A0505A">
            <w:pPr>
              <w:jc w:val="both"/>
              <w:rPr>
                <w:rFonts w:eastAsia="Calibri"/>
                <w:sz w:val="20"/>
              </w:rPr>
            </w:pPr>
            <w:r w:rsidRPr="00667307">
              <w:rPr>
                <w:rFonts w:eastAsia="Calibri"/>
                <w:sz w:val="20"/>
              </w:rPr>
              <w:t>Application for leave to appeal filed</w:t>
            </w:r>
          </w:p>
          <w:p w:rsidR="00E936C6" w:rsidRPr="00667307" w:rsidRDefault="00E936C6" w:rsidP="00A0505A">
            <w:pPr>
              <w:jc w:val="both"/>
              <w:rPr>
                <w:rFonts w:eastAsia="Calibri"/>
                <w:sz w:val="20"/>
              </w:rPr>
            </w:pPr>
          </w:p>
        </w:tc>
      </w:tr>
      <w:tr w:rsidR="00E936C6" w:rsidRPr="00667307" w:rsidTr="00A61B52">
        <w:trPr>
          <w:cantSplit/>
        </w:trPr>
        <w:tc>
          <w:tcPr>
            <w:tcW w:w="2427" w:type="pct"/>
          </w:tcPr>
          <w:p w:rsidR="00E936C6" w:rsidRPr="00667307" w:rsidRDefault="00E936C6" w:rsidP="00A0505A">
            <w:pPr>
              <w:jc w:val="both"/>
              <w:rPr>
                <w:rFonts w:eastAsia="Calibri"/>
                <w:sz w:val="20"/>
              </w:rPr>
            </w:pPr>
            <w:r w:rsidRPr="00667307">
              <w:rPr>
                <w:rFonts w:eastAsia="Calibri"/>
                <w:sz w:val="20"/>
              </w:rPr>
              <w:t>April 16, 2013</w:t>
            </w:r>
          </w:p>
          <w:p w:rsidR="00E936C6" w:rsidRPr="00667307" w:rsidRDefault="00E936C6" w:rsidP="00A0505A">
            <w:pPr>
              <w:jc w:val="both"/>
              <w:rPr>
                <w:rFonts w:eastAsia="Calibri"/>
                <w:sz w:val="20"/>
              </w:rPr>
            </w:pPr>
            <w:r w:rsidRPr="00667307">
              <w:rPr>
                <w:rFonts w:eastAsia="Calibri"/>
                <w:sz w:val="20"/>
              </w:rPr>
              <w:t>Supreme Court of Canada</w:t>
            </w:r>
          </w:p>
        </w:tc>
        <w:tc>
          <w:tcPr>
            <w:tcW w:w="243" w:type="pct"/>
          </w:tcPr>
          <w:p w:rsidR="00E936C6" w:rsidRPr="00667307" w:rsidRDefault="00E936C6" w:rsidP="00A0505A">
            <w:pPr>
              <w:jc w:val="both"/>
              <w:rPr>
                <w:rFonts w:eastAsia="Calibri"/>
                <w:sz w:val="20"/>
              </w:rPr>
            </w:pPr>
          </w:p>
        </w:tc>
        <w:tc>
          <w:tcPr>
            <w:tcW w:w="2330" w:type="pct"/>
          </w:tcPr>
          <w:p w:rsidR="00E936C6" w:rsidRPr="00667307" w:rsidRDefault="00E936C6" w:rsidP="00A0505A">
            <w:pPr>
              <w:jc w:val="both"/>
              <w:rPr>
                <w:rFonts w:eastAsia="Calibri"/>
                <w:sz w:val="20"/>
              </w:rPr>
            </w:pPr>
            <w:r w:rsidRPr="00667307">
              <w:rPr>
                <w:rFonts w:eastAsia="Calibri"/>
                <w:sz w:val="20"/>
              </w:rPr>
              <w:t>Conditional application for leave to cross-appeal filed</w:t>
            </w: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66"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936C6" w:rsidRPr="00D41BFD" w:rsidTr="00A0505A">
        <w:tc>
          <w:tcPr>
            <w:tcW w:w="5000" w:type="pct"/>
            <w:gridSpan w:val="3"/>
          </w:tcPr>
          <w:p w:rsidR="00E936C6" w:rsidRPr="00667307" w:rsidRDefault="00E936C6" w:rsidP="00A0505A">
            <w:pPr>
              <w:jc w:val="both"/>
              <w:rPr>
                <w:rFonts w:eastAsia="Calibri"/>
                <w:sz w:val="20"/>
                <w:lang w:val="fr-CA"/>
              </w:rPr>
            </w:pPr>
            <w:r w:rsidRPr="00667307">
              <w:rPr>
                <w:rFonts w:eastAsia="Calibri"/>
                <w:sz w:val="20"/>
                <w:lang w:val="fr-CA"/>
              </w:rPr>
              <w:t>Accidents du travail – Procédure civile – Dépens – Droit administratif – Organismes et tribunaux administratifs – Appels – Le tribunal administratif demandeur a délivré un certificat énonçant que le préjudice de stress mental subi par l’intimée [</w:t>
            </w:r>
            <w:r w:rsidRPr="00667307">
              <w:rPr>
                <w:rFonts w:eastAsia="Calibri"/>
                <w:smallCaps/>
                <w:sz w:val="20"/>
                <w:lang w:val="fr-CA"/>
              </w:rPr>
              <w:t>traduction</w:t>
            </w:r>
            <w:r w:rsidRPr="00667307">
              <w:rPr>
                <w:rFonts w:eastAsia="Calibri"/>
                <w:sz w:val="20"/>
                <w:lang w:val="fr-CA"/>
              </w:rPr>
              <w:t xml:space="preserve">] « n’était pas survenu du fait et au cours de l’emploi » – La Cour d’appel a accueilli l’appel et a condamné le tribunal aux dépens – Paramètres de la qualité pour agir d’un tribunal administratif lors d’un contrôle judiciaire – Facteurs dont il faut tenir compte pour conclure que les observations présentées par un tribunal administratif en appel outrepassent sa qualité pour agir et risquent ainsi de lui faire perdre l’immunité générale à l’égard des dépens </w:t>
            </w:r>
            <w:r w:rsidRPr="00667307">
              <w:rPr>
                <w:rFonts w:eastAsia="Calibri"/>
                <w:i/>
                <w:sz w:val="20"/>
                <w:lang w:val="fr-CA"/>
              </w:rPr>
              <w:t>– Workers Compensation Act</w:t>
            </w:r>
            <w:r w:rsidRPr="00667307">
              <w:rPr>
                <w:rFonts w:eastAsia="Calibri"/>
                <w:sz w:val="20"/>
                <w:lang w:val="fr-CA"/>
              </w:rPr>
              <w:t>, R.S.B.C. 1996, ch. 492, art. 5.1, 10, 257.</w:t>
            </w:r>
          </w:p>
        </w:tc>
      </w:tr>
      <w:tr w:rsidR="00E936C6" w:rsidRPr="00D41BFD" w:rsidTr="00A0505A">
        <w:tc>
          <w:tcPr>
            <w:tcW w:w="5000" w:type="pct"/>
            <w:gridSpan w:val="3"/>
          </w:tcPr>
          <w:p w:rsidR="00E936C6" w:rsidRPr="00667307" w:rsidRDefault="00E936C6" w:rsidP="00A0505A">
            <w:pPr>
              <w:jc w:val="both"/>
              <w:rPr>
                <w:rFonts w:eastAsia="Calibri"/>
                <w:sz w:val="20"/>
                <w:lang w:val="fr-CA"/>
              </w:rPr>
            </w:pPr>
          </w:p>
        </w:tc>
      </w:tr>
      <w:tr w:rsidR="00E936C6" w:rsidRPr="00D41BFD" w:rsidTr="00A0505A">
        <w:tc>
          <w:tcPr>
            <w:tcW w:w="5000" w:type="pct"/>
            <w:gridSpan w:val="3"/>
          </w:tcPr>
          <w:p w:rsidR="00E936C6" w:rsidRPr="00667307" w:rsidRDefault="00E936C6" w:rsidP="00A0505A">
            <w:pPr>
              <w:jc w:val="both"/>
              <w:rPr>
                <w:rFonts w:eastAsia="Calibri"/>
                <w:sz w:val="20"/>
                <w:lang w:val="fr-CA"/>
              </w:rPr>
            </w:pPr>
            <w:r w:rsidRPr="00667307">
              <w:rPr>
                <w:rFonts w:eastAsia="Calibri"/>
                <w:sz w:val="20"/>
                <w:lang w:val="fr-CA"/>
              </w:rPr>
              <w:t xml:space="preserve">L’intimée, Mme Christianson, a subi un préjudice lié au stress en raison du comportement de l’intimé, M. Webster, alors qu’ils travaillaient pour Downs Construction Ltd.  Madame Christianson a poursuivi Downs et M. Webster.  En défense, ils ont plaidé l’art. 10 de la </w:t>
            </w:r>
            <w:r w:rsidRPr="00667307">
              <w:rPr>
                <w:rFonts w:eastAsia="Calibri"/>
                <w:i/>
                <w:sz w:val="20"/>
                <w:lang w:val="fr-CA"/>
              </w:rPr>
              <w:t>Workers Compensation Act</w:t>
            </w:r>
            <w:r w:rsidRPr="00667307">
              <w:rPr>
                <w:rFonts w:eastAsia="Calibri"/>
                <w:sz w:val="20"/>
                <w:lang w:val="fr-CA"/>
              </w:rPr>
              <w:t xml:space="preserve">, qui rend irrecevable une action intentée en lieu et place d’une demande éventuelle en application de la Loi lorsque le préjudice est survenu du fait et au cours de l’emploi.  </w:t>
            </w:r>
          </w:p>
          <w:p w:rsidR="00E936C6" w:rsidRPr="00667307" w:rsidRDefault="00E936C6" w:rsidP="00A0505A">
            <w:pPr>
              <w:jc w:val="both"/>
              <w:rPr>
                <w:rFonts w:eastAsia="Calibri"/>
                <w:sz w:val="20"/>
                <w:lang w:val="fr-CA"/>
              </w:rPr>
            </w:pPr>
          </w:p>
          <w:p w:rsidR="00E936C6" w:rsidRPr="00667307" w:rsidRDefault="00E936C6" w:rsidP="00A0505A">
            <w:pPr>
              <w:jc w:val="both"/>
              <w:rPr>
                <w:rFonts w:eastAsia="Calibri"/>
                <w:sz w:val="20"/>
                <w:lang w:val="fr-CA"/>
              </w:rPr>
            </w:pPr>
            <w:r w:rsidRPr="00667307">
              <w:rPr>
                <w:rFonts w:eastAsia="Calibri"/>
                <w:sz w:val="20"/>
                <w:lang w:val="fr-CA"/>
              </w:rPr>
              <w:t>Madame Christianson a introduit une demande d’indemnisation en vertu de l’art. 5.1 de la Loi.  La commission saisie de la demande a conclu que l’événement qui avait donné naissance à son préjudice n’était pas inattendu et a refusé l’indemnisation.  Le tribunal administratif demandeur a confirmé la décision de la commission.  En vertu de l’art. 257 de la Loi, le tribunal administratif a délivré un certificat à la cour énonçant entre autres que le préjudice de stress mental subi par Mme Christianson [</w:t>
            </w:r>
            <w:r w:rsidRPr="00667307">
              <w:rPr>
                <w:rFonts w:eastAsia="Calibri"/>
                <w:caps/>
                <w:sz w:val="20"/>
                <w:lang w:val="fr-CA"/>
              </w:rPr>
              <w:t>traduction</w:t>
            </w:r>
            <w:r w:rsidRPr="00667307">
              <w:rPr>
                <w:rFonts w:eastAsia="Calibri"/>
                <w:sz w:val="20"/>
                <w:lang w:val="fr-CA"/>
              </w:rPr>
              <w:t>] « n’était pas survenu du fait et au cours de l’emploi ».  Downs et M. Webster ont demandé le contrôle judiciaire de la décision du tribunal administratif à la Cour suprême de la Colombie</w:t>
            </w:r>
            <w:r w:rsidRPr="00667307">
              <w:rPr>
                <w:rFonts w:eastAsia="Calibri"/>
                <w:sz w:val="20"/>
                <w:lang w:val="fr-CA"/>
              </w:rPr>
              <w:noBreakHyphen/>
              <w:t>Britannique, mais ils ont été déboutés.  La Cour d’appel a accueilli leur appel.  Elle a conclu que Downs et M. Webster avaient droit à un ensemble de dépens contre le tribunal administratif et contre Mme Christianson, chacun pour leur part, et a ordonné que chaque partie assume ses propre frais de l’instance en Cour suprême de la Colombie-Britannique.</w:t>
            </w:r>
          </w:p>
          <w:p w:rsidR="00E936C6" w:rsidRPr="00667307" w:rsidRDefault="00E936C6" w:rsidP="00A0505A">
            <w:pPr>
              <w:jc w:val="both"/>
              <w:rPr>
                <w:rFonts w:eastAsia="Calibri"/>
                <w:sz w:val="20"/>
                <w:lang w:val="fr-CA"/>
              </w:rPr>
            </w:pPr>
          </w:p>
        </w:tc>
      </w:tr>
      <w:tr w:rsidR="00E936C6" w:rsidRPr="00D41BFD" w:rsidTr="00A0505A">
        <w:tc>
          <w:tcPr>
            <w:tcW w:w="2427" w:type="pct"/>
          </w:tcPr>
          <w:p w:rsidR="00E936C6" w:rsidRPr="00667307" w:rsidRDefault="00E936C6" w:rsidP="00A0505A">
            <w:pPr>
              <w:jc w:val="both"/>
              <w:rPr>
                <w:rFonts w:eastAsia="Calibri"/>
                <w:sz w:val="20"/>
                <w:lang w:val="fr-CA"/>
              </w:rPr>
            </w:pPr>
            <w:r w:rsidRPr="00667307">
              <w:rPr>
                <w:rFonts w:eastAsia="Calibri"/>
                <w:sz w:val="20"/>
                <w:lang w:val="fr-CA"/>
              </w:rPr>
              <w:lastRenderedPageBreak/>
              <w:t>18 août 2011</w:t>
            </w:r>
          </w:p>
          <w:p w:rsidR="00E936C6" w:rsidRPr="00667307" w:rsidRDefault="00E936C6" w:rsidP="00A0505A">
            <w:pPr>
              <w:jc w:val="both"/>
              <w:rPr>
                <w:rFonts w:eastAsia="Calibri"/>
                <w:sz w:val="20"/>
                <w:lang w:val="fr-CA"/>
              </w:rPr>
            </w:pPr>
            <w:r w:rsidRPr="00667307">
              <w:rPr>
                <w:rFonts w:eastAsia="Calibri"/>
                <w:sz w:val="20"/>
                <w:lang w:val="fr-CA"/>
              </w:rPr>
              <w:t>Cour suprême de la Colombie-Britannique</w:t>
            </w:r>
          </w:p>
          <w:p w:rsidR="00E936C6" w:rsidRPr="00667307" w:rsidRDefault="00E936C6" w:rsidP="00A0505A">
            <w:pPr>
              <w:jc w:val="both"/>
              <w:rPr>
                <w:rFonts w:eastAsia="Calibri"/>
                <w:sz w:val="20"/>
                <w:lang w:val="fr-CA"/>
              </w:rPr>
            </w:pPr>
            <w:r w:rsidRPr="00667307">
              <w:rPr>
                <w:rFonts w:eastAsia="Calibri"/>
                <w:sz w:val="20"/>
                <w:lang w:val="fr-CA"/>
              </w:rPr>
              <w:t>(Juge Macaulay)</w:t>
            </w:r>
          </w:p>
          <w:p w:rsidR="00E936C6" w:rsidRPr="00667307" w:rsidRDefault="00E936C6" w:rsidP="00A0505A">
            <w:pPr>
              <w:jc w:val="both"/>
              <w:rPr>
                <w:rFonts w:eastAsia="Calibri"/>
                <w:sz w:val="20"/>
                <w:lang w:val="fr-CA"/>
              </w:rPr>
            </w:pPr>
            <w:r w:rsidRPr="00667307">
              <w:rPr>
                <w:rFonts w:eastAsia="Calibri"/>
                <w:sz w:val="20"/>
                <w:lang w:val="fr-CA"/>
              </w:rPr>
              <w:t>2011 BCSC 1129</w:t>
            </w:r>
          </w:p>
          <w:p w:rsidR="00E936C6" w:rsidRPr="00667307" w:rsidRDefault="00E936C6" w:rsidP="00A0505A">
            <w:pPr>
              <w:jc w:val="both"/>
              <w:rPr>
                <w:rFonts w:eastAsia="Calibri"/>
                <w:sz w:val="20"/>
                <w:lang w:val="fr-CA"/>
              </w:rPr>
            </w:pPr>
          </w:p>
        </w:tc>
        <w:tc>
          <w:tcPr>
            <w:tcW w:w="243" w:type="pct"/>
          </w:tcPr>
          <w:p w:rsidR="00E936C6" w:rsidRPr="00667307" w:rsidRDefault="00E936C6" w:rsidP="00A0505A">
            <w:pPr>
              <w:jc w:val="both"/>
              <w:rPr>
                <w:rFonts w:eastAsia="Calibri"/>
                <w:sz w:val="20"/>
                <w:lang w:val="fr-CA"/>
              </w:rPr>
            </w:pPr>
          </w:p>
        </w:tc>
        <w:tc>
          <w:tcPr>
            <w:tcW w:w="2330" w:type="pct"/>
          </w:tcPr>
          <w:p w:rsidR="00E936C6" w:rsidRPr="00667307" w:rsidRDefault="00E936C6" w:rsidP="00A0505A">
            <w:pPr>
              <w:jc w:val="both"/>
              <w:rPr>
                <w:rFonts w:eastAsia="Calibri"/>
                <w:sz w:val="20"/>
                <w:lang w:val="fr-CA"/>
              </w:rPr>
            </w:pPr>
            <w:r w:rsidRPr="00667307">
              <w:rPr>
                <w:rFonts w:eastAsia="Calibri"/>
                <w:sz w:val="20"/>
                <w:lang w:val="fr-CA"/>
              </w:rPr>
              <w:t>Requête en contrôle judiciaire, rejetée</w:t>
            </w:r>
          </w:p>
        </w:tc>
      </w:tr>
      <w:tr w:rsidR="00E936C6" w:rsidRPr="00667307" w:rsidTr="00A0505A">
        <w:tc>
          <w:tcPr>
            <w:tcW w:w="2427" w:type="pct"/>
          </w:tcPr>
          <w:p w:rsidR="00E936C6" w:rsidRPr="00667307" w:rsidRDefault="00E936C6" w:rsidP="00A0505A">
            <w:pPr>
              <w:jc w:val="both"/>
              <w:rPr>
                <w:rFonts w:eastAsia="Calibri"/>
                <w:sz w:val="20"/>
                <w:lang w:val="fr-CA"/>
              </w:rPr>
            </w:pPr>
            <w:r w:rsidRPr="00667307">
              <w:rPr>
                <w:rFonts w:eastAsia="Calibri"/>
                <w:sz w:val="20"/>
                <w:lang w:val="fr-CA"/>
              </w:rPr>
              <w:t>4 octobre 2012</w:t>
            </w:r>
          </w:p>
          <w:p w:rsidR="00E936C6" w:rsidRPr="00667307" w:rsidRDefault="00E936C6" w:rsidP="00A0505A">
            <w:pPr>
              <w:jc w:val="both"/>
              <w:rPr>
                <w:rFonts w:eastAsia="Calibri"/>
                <w:sz w:val="20"/>
                <w:lang w:val="fr-CA"/>
              </w:rPr>
            </w:pPr>
            <w:r w:rsidRPr="00667307">
              <w:rPr>
                <w:rFonts w:eastAsia="Calibri"/>
                <w:sz w:val="20"/>
                <w:lang w:val="fr-CA"/>
              </w:rPr>
              <w:t>Cour d’appel de la Colombie-Britannique</w:t>
            </w:r>
          </w:p>
          <w:p w:rsidR="00E936C6" w:rsidRPr="00667307" w:rsidRDefault="00E936C6" w:rsidP="00A0505A">
            <w:pPr>
              <w:jc w:val="both"/>
              <w:rPr>
                <w:rFonts w:eastAsia="Calibri"/>
                <w:sz w:val="20"/>
                <w:lang w:val="fr-CA"/>
              </w:rPr>
            </w:pPr>
            <w:r w:rsidRPr="00667307">
              <w:rPr>
                <w:rFonts w:eastAsia="Calibri"/>
                <w:sz w:val="20"/>
                <w:lang w:val="fr-CA"/>
              </w:rPr>
              <w:t>(Juges Lowry, Chiasson et Garson)</w:t>
            </w:r>
          </w:p>
          <w:p w:rsidR="00E936C6" w:rsidRPr="00667307" w:rsidRDefault="00E936C6" w:rsidP="00A0505A">
            <w:pPr>
              <w:jc w:val="both"/>
              <w:rPr>
                <w:rFonts w:eastAsia="Calibri"/>
                <w:sz w:val="20"/>
                <w:lang w:val="fr-CA"/>
              </w:rPr>
            </w:pPr>
            <w:r w:rsidRPr="00667307">
              <w:rPr>
                <w:rFonts w:eastAsia="Calibri"/>
                <w:sz w:val="20"/>
                <w:lang w:val="fr-CA"/>
              </w:rPr>
              <w:t xml:space="preserve">2012 BCCA 392 </w:t>
            </w:r>
          </w:p>
          <w:p w:rsidR="00E936C6" w:rsidRPr="00667307" w:rsidRDefault="00E936C6" w:rsidP="00A0505A">
            <w:pPr>
              <w:jc w:val="both"/>
              <w:rPr>
                <w:rFonts w:eastAsia="Calibri"/>
                <w:sz w:val="20"/>
                <w:lang w:val="fr-CA"/>
              </w:rPr>
            </w:pPr>
          </w:p>
        </w:tc>
        <w:tc>
          <w:tcPr>
            <w:tcW w:w="243" w:type="pct"/>
          </w:tcPr>
          <w:p w:rsidR="00E936C6" w:rsidRPr="00667307" w:rsidRDefault="00E936C6" w:rsidP="00A0505A">
            <w:pPr>
              <w:jc w:val="both"/>
              <w:rPr>
                <w:rFonts w:eastAsia="Calibri"/>
                <w:sz w:val="20"/>
                <w:lang w:val="fr-CA"/>
              </w:rPr>
            </w:pPr>
          </w:p>
        </w:tc>
        <w:tc>
          <w:tcPr>
            <w:tcW w:w="2330" w:type="pct"/>
          </w:tcPr>
          <w:p w:rsidR="00E936C6" w:rsidRPr="00667307" w:rsidRDefault="00E936C6" w:rsidP="00A0505A">
            <w:pPr>
              <w:jc w:val="both"/>
              <w:rPr>
                <w:rFonts w:eastAsia="Calibri"/>
                <w:sz w:val="20"/>
                <w:lang w:val="fr-CA"/>
              </w:rPr>
            </w:pPr>
            <w:r w:rsidRPr="00667307">
              <w:rPr>
                <w:rFonts w:eastAsia="Calibri"/>
                <w:sz w:val="20"/>
                <w:lang w:val="fr-CA"/>
              </w:rPr>
              <w:t>Appel accueilli</w:t>
            </w:r>
          </w:p>
          <w:p w:rsidR="00E936C6" w:rsidRPr="00667307" w:rsidRDefault="00E936C6" w:rsidP="00A0505A">
            <w:pPr>
              <w:jc w:val="both"/>
              <w:rPr>
                <w:rFonts w:eastAsia="Calibri"/>
                <w:sz w:val="20"/>
                <w:lang w:val="fr-CA"/>
              </w:rPr>
            </w:pPr>
          </w:p>
        </w:tc>
      </w:tr>
      <w:tr w:rsidR="00E936C6" w:rsidRPr="00D41BFD" w:rsidTr="00A0505A">
        <w:tc>
          <w:tcPr>
            <w:tcW w:w="2427" w:type="pct"/>
          </w:tcPr>
          <w:p w:rsidR="00E936C6" w:rsidRPr="00667307" w:rsidRDefault="00E936C6" w:rsidP="00A0505A">
            <w:pPr>
              <w:jc w:val="both"/>
              <w:rPr>
                <w:rFonts w:eastAsia="Calibri"/>
                <w:sz w:val="20"/>
                <w:lang w:val="fr-CA"/>
              </w:rPr>
            </w:pPr>
            <w:r w:rsidRPr="00667307">
              <w:rPr>
                <w:rFonts w:eastAsia="Calibri"/>
                <w:sz w:val="20"/>
                <w:lang w:val="fr-CA"/>
              </w:rPr>
              <w:t>15 janvier 2013</w:t>
            </w:r>
          </w:p>
          <w:p w:rsidR="00E936C6" w:rsidRPr="00667307" w:rsidRDefault="00E936C6" w:rsidP="00A0505A">
            <w:pPr>
              <w:jc w:val="both"/>
              <w:rPr>
                <w:rFonts w:eastAsia="Calibri"/>
                <w:sz w:val="20"/>
                <w:lang w:val="fr-CA"/>
              </w:rPr>
            </w:pPr>
            <w:r w:rsidRPr="00667307">
              <w:rPr>
                <w:rFonts w:eastAsia="Calibri"/>
                <w:sz w:val="20"/>
                <w:lang w:val="fr-CA"/>
              </w:rPr>
              <w:t>Cour d’appel de la Colombie-Britannique</w:t>
            </w:r>
          </w:p>
          <w:p w:rsidR="00E936C6" w:rsidRPr="00667307" w:rsidRDefault="00E936C6" w:rsidP="00A0505A">
            <w:pPr>
              <w:jc w:val="both"/>
              <w:rPr>
                <w:rFonts w:eastAsia="Calibri"/>
                <w:sz w:val="20"/>
                <w:lang w:val="fr-CA"/>
              </w:rPr>
            </w:pPr>
            <w:r w:rsidRPr="00667307">
              <w:rPr>
                <w:rFonts w:eastAsia="Calibri"/>
                <w:sz w:val="20"/>
                <w:lang w:val="fr-CA"/>
              </w:rPr>
              <w:t>(Juges Lowry, Chiasson et Garson)</w:t>
            </w:r>
          </w:p>
          <w:p w:rsidR="00E936C6" w:rsidRPr="00667307" w:rsidRDefault="00E936C6" w:rsidP="00A0505A">
            <w:pPr>
              <w:jc w:val="both"/>
              <w:rPr>
                <w:rFonts w:eastAsia="Calibri"/>
                <w:sz w:val="20"/>
                <w:lang w:val="fr-CA"/>
              </w:rPr>
            </w:pPr>
            <w:r w:rsidRPr="00667307">
              <w:rPr>
                <w:rFonts w:eastAsia="Calibri"/>
                <w:sz w:val="20"/>
                <w:lang w:val="fr-CA"/>
              </w:rPr>
              <w:t>2013 BCCA 13</w:t>
            </w:r>
          </w:p>
          <w:p w:rsidR="00E936C6" w:rsidRPr="00667307" w:rsidRDefault="00E936C6" w:rsidP="00A0505A">
            <w:pPr>
              <w:jc w:val="both"/>
              <w:rPr>
                <w:rFonts w:eastAsia="Calibri"/>
                <w:sz w:val="20"/>
                <w:lang w:val="fr-CA"/>
              </w:rPr>
            </w:pPr>
          </w:p>
        </w:tc>
        <w:tc>
          <w:tcPr>
            <w:tcW w:w="243" w:type="pct"/>
          </w:tcPr>
          <w:p w:rsidR="00E936C6" w:rsidRPr="00667307" w:rsidRDefault="00E936C6" w:rsidP="00A0505A">
            <w:pPr>
              <w:jc w:val="both"/>
              <w:rPr>
                <w:rFonts w:eastAsia="Calibri"/>
                <w:sz w:val="20"/>
                <w:lang w:val="fr-CA"/>
              </w:rPr>
            </w:pPr>
          </w:p>
        </w:tc>
        <w:tc>
          <w:tcPr>
            <w:tcW w:w="2330" w:type="pct"/>
          </w:tcPr>
          <w:p w:rsidR="00E936C6" w:rsidRPr="00667307" w:rsidRDefault="00E936C6" w:rsidP="00A0505A">
            <w:pPr>
              <w:jc w:val="both"/>
              <w:rPr>
                <w:rFonts w:eastAsia="Calibri"/>
                <w:sz w:val="20"/>
                <w:lang w:val="fr-CA"/>
              </w:rPr>
            </w:pPr>
            <w:r w:rsidRPr="00667307">
              <w:rPr>
                <w:rFonts w:eastAsia="Calibri"/>
                <w:sz w:val="20"/>
                <w:lang w:val="fr-CA"/>
              </w:rPr>
              <w:t>Motifs supplémentaires à l’égard des dépens</w:t>
            </w:r>
          </w:p>
          <w:p w:rsidR="00E936C6" w:rsidRPr="00667307" w:rsidRDefault="00E936C6" w:rsidP="00A0505A">
            <w:pPr>
              <w:jc w:val="both"/>
              <w:rPr>
                <w:rFonts w:eastAsia="Calibri"/>
                <w:sz w:val="20"/>
                <w:lang w:val="fr-CA"/>
              </w:rPr>
            </w:pPr>
          </w:p>
        </w:tc>
      </w:tr>
      <w:tr w:rsidR="00E936C6" w:rsidRPr="00667307" w:rsidTr="00A0505A">
        <w:tc>
          <w:tcPr>
            <w:tcW w:w="2427" w:type="pct"/>
          </w:tcPr>
          <w:p w:rsidR="00E936C6" w:rsidRPr="00667307" w:rsidRDefault="00E936C6" w:rsidP="00A0505A">
            <w:pPr>
              <w:jc w:val="both"/>
              <w:rPr>
                <w:rFonts w:eastAsia="Calibri"/>
                <w:sz w:val="20"/>
                <w:lang w:val="fr-CA"/>
              </w:rPr>
            </w:pPr>
            <w:r w:rsidRPr="00667307">
              <w:rPr>
                <w:rFonts w:eastAsia="Calibri"/>
                <w:sz w:val="20"/>
                <w:lang w:val="fr-CA"/>
              </w:rPr>
              <w:t>18 mars 2013</w:t>
            </w:r>
          </w:p>
          <w:p w:rsidR="00E936C6" w:rsidRPr="00667307" w:rsidRDefault="00E936C6" w:rsidP="00A0505A">
            <w:pPr>
              <w:jc w:val="both"/>
              <w:rPr>
                <w:rFonts w:eastAsia="Calibri"/>
                <w:sz w:val="20"/>
                <w:lang w:val="fr-CA"/>
              </w:rPr>
            </w:pPr>
            <w:r w:rsidRPr="00667307">
              <w:rPr>
                <w:rFonts w:eastAsia="Calibri"/>
                <w:sz w:val="20"/>
                <w:lang w:val="fr-CA"/>
              </w:rPr>
              <w:t>Cour suprême du Canada</w:t>
            </w:r>
          </w:p>
          <w:p w:rsidR="00E936C6" w:rsidRPr="00667307" w:rsidRDefault="00E936C6" w:rsidP="00A0505A">
            <w:pPr>
              <w:jc w:val="both"/>
              <w:rPr>
                <w:rFonts w:eastAsia="Calibri"/>
                <w:sz w:val="20"/>
                <w:lang w:val="fr-CA"/>
              </w:rPr>
            </w:pPr>
          </w:p>
        </w:tc>
        <w:tc>
          <w:tcPr>
            <w:tcW w:w="243" w:type="pct"/>
          </w:tcPr>
          <w:p w:rsidR="00E936C6" w:rsidRPr="00667307" w:rsidRDefault="00E936C6" w:rsidP="00A0505A">
            <w:pPr>
              <w:jc w:val="both"/>
              <w:rPr>
                <w:rFonts w:eastAsia="Calibri"/>
                <w:sz w:val="20"/>
                <w:lang w:val="fr-CA"/>
              </w:rPr>
            </w:pPr>
          </w:p>
        </w:tc>
        <w:tc>
          <w:tcPr>
            <w:tcW w:w="2330" w:type="pct"/>
          </w:tcPr>
          <w:p w:rsidR="00E936C6" w:rsidRPr="00667307" w:rsidRDefault="00E936C6" w:rsidP="00A0505A">
            <w:pPr>
              <w:jc w:val="both"/>
              <w:rPr>
                <w:rFonts w:eastAsia="Calibri"/>
                <w:sz w:val="20"/>
                <w:lang w:val="fr-CA"/>
              </w:rPr>
            </w:pPr>
            <w:r w:rsidRPr="00667307">
              <w:rPr>
                <w:rFonts w:eastAsia="Calibri"/>
                <w:sz w:val="20"/>
                <w:lang w:val="fr-CA"/>
              </w:rPr>
              <w:t>Demande d’autorisation d’appel, déposée</w:t>
            </w:r>
          </w:p>
          <w:p w:rsidR="00E936C6" w:rsidRPr="00667307" w:rsidRDefault="00E936C6" w:rsidP="00A0505A">
            <w:pPr>
              <w:jc w:val="both"/>
              <w:rPr>
                <w:rFonts w:eastAsia="Calibri"/>
                <w:sz w:val="20"/>
                <w:lang w:val="fr-CA"/>
              </w:rPr>
            </w:pPr>
          </w:p>
        </w:tc>
      </w:tr>
      <w:tr w:rsidR="00E936C6" w:rsidRPr="00D41BFD" w:rsidTr="00A0505A">
        <w:tc>
          <w:tcPr>
            <w:tcW w:w="2427" w:type="pct"/>
          </w:tcPr>
          <w:p w:rsidR="00E936C6" w:rsidRPr="00667307" w:rsidRDefault="00E936C6" w:rsidP="00A0505A">
            <w:pPr>
              <w:jc w:val="both"/>
              <w:rPr>
                <w:rFonts w:eastAsia="Calibri"/>
                <w:sz w:val="20"/>
                <w:lang w:val="fr-CA"/>
              </w:rPr>
            </w:pPr>
            <w:r w:rsidRPr="00667307">
              <w:rPr>
                <w:rFonts w:eastAsia="Calibri"/>
                <w:sz w:val="20"/>
                <w:lang w:val="fr-CA"/>
              </w:rPr>
              <w:t>16 avril 2013</w:t>
            </w:r>
          </w:p>
          <w:p w:rsidR="00E936C6" w:rsidRPr="00667307" w:rsidRDefault="00E936C6" w:rsidP="00A0505A">
            <w:pPr>
              <w:jc w:val="both"/>
              <w:rPr>
                <w:rFonts w:eastAsia="Calibri"/>
                <w:sz w:val="20"/>
                <w:lang w:val="fr-CA"/>
              </w:rPr>
            </w:pPr>
            <w:r w:rsidRPr="00667307">
              <w:rPr>
                <w:rFonts w:eastAsia="Calibri"/>
                <w:sz w:val="20"/>
                <w:lang w:val="fr-CA"/>
              </w:rPr>
              <w:t>Cour suprême du Canada</w:t>
            </w:r>
          </w:p>
        </w:tc>
        <w:tc>
          <w:tcPr>
            <w:tcW w:w="243" w:type="pct"/>
          </w:tcPr>
          <w:p w:rsidR="00E936C6" w:rsidRPr="00667307" w:rsidRDefault="00E936C6" w:rsidP="00A0505A">
            <w:pPr>
              <w:jc w:val="both"/>
              <w:rPr>
                <w:rFonts w:eastAsia="Calibri"/>
                <w:sz w:val="20"/>
                <w:lang w:val="fr-CA"/>
              </w:rPr>
            </w:pPr>
          </w:p>
        </w:tc>
        <w:tc>
          <w:tcPr>
            <w:tcW w:w="2330" w:type="pct"/>
          </w:tcPr>
          <w:p w:rsidR="00E936C6" w:rsidRPr="00667307" w:rsidRDefault="00E936C6" w:rsidP="00A0505A">
            <w:pPr>
              <w:jc w:val="both"/>
              <w:rPr>
                <w:rFonts w:eastAsia="Calibri"/>
                <w:sz w:val="20"/>
                <w:lang w:val="fr-CA"/>
              </w:rPr>
            </w:pPr>
            <w:r w:rsidRPr="00667307">
              <w:rPr>
                <w:rFonts w:eastAsia="Calibri"/>
                <w:sz w:val="20"/>
                <w:lang w:val="fr-CA"/>
              </w:rPr>
              <w:t>Demande conditionnelle d’appel incident, déposée</w:t>
            </w:r>
          </w:p>
        </w:tc>
      </w:tr>
    </w:tbl>
    <w:p w:rsidR="00AA605C" w:rsidRPr="00E936C6" w:rsidRDefault="00AA605C" w:rsidP="00AA605C">
      <w:pPr>
        <w:rPr>
          <w:sz w:val="20"/>
          <w:szCs w:val="20"/>
          <w:lang w:val="fr-CA"/>
        </w:rPr>
      </w:pPr>
    </w:p>
    <w:p w:rsidR="00AA605C" w:rsidRDefault="00B3404D" w:rsidP="00AA605C">
      <w:pPr>
        <w:rPr>
          <w:sz w:val="20"/>
          <w:szCs w:val="20"/>
          <w:lang w:val="fr-CA"/>
        </w:rPr>
      </w:pPr>
      <w:r w:rsidRPr="00B3404D">
        <w:rPr>
          <w:sz w:val="20"/>
          <w:szCs w:val="20"/>
          <w:lang w:val="fr-CA"/>
        </w:rPr>
        <w:pict>
          <v:rect id="_x0000_i1067" style="width:2in;height:1pt" o:hrpct="0" o:hralign="center" o:hrstd="t" o:hrnoshade="t" o:hr="t" fillcolor="black [3213]" stroked="f"/>
        </w:pict>
      </w:r>
    </w:p>
    <w:p w:rsidR="00AA605C" w:rsidRDefault="00AA605C" w:rsidP="00AA605C">
      <w:pPr>
        <w:rPr>
          <w:sz w:val="20"/>
          <w:szCs w:val="20"/>
        </w:rPr>
      </w:pPr>
    </w:p>
    <w:tbl>
      <w:tblPr>
        <w:tblStyle w:val="TableGrid1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61B52" w:rsidRPr="00A61B52" w:rsidTr="00A61B52">
        <w:trPr>
          <w:cantSplit/>
        </w:trPr>
        <w:tc>
          <w:tcPr>
            <w:tcW w:w="1458" w:type="dxa"/>
          </w:tcPr>
          <w:p w:rsidR="00A61B52" w:rsidRPr="00A61B52" w:rsidRDefault="00A61B52" w:rsidP="00A61B52">
            <w:pPr>
              <w:rPr>
                <w:sz w:val="20"/>
                <w:szCs w:val="20"/>
              </w:rPr>
            </w:pPr>
            <w:r w:rsidRPr="00A61B52">
              <w:rPr>
                <w:b/>
                <w:sz w:val="20"/>
                <w:lang w:val="fr-CA"/>
              </w:rPr>
              <w:t>35276</w:t>
            </w:r>
          </w:p>
          <w:p w:rsidR="00A61B52" w:rsidRPr="00A61B52" w:rsidRDefault="00A61B52" w:rsidP="00A61B52">
            <w:pPr>
              <w:rPr>
                <w:b/>
                <w:sz w:val="20"/>
                <w:szCs w:val="20"/>
                <w:lang w:val="fr-CA"/>
              </w:rPr>
            </w:pPr>
          </w:p>
        </w:tc>
        <w:tc>
          <w:tcPr>
            <w:tcW w:w="8118" w:type="dxa"/>
          </w:tcPr>
          <w:p w:rsidR="00A61B52" w:rsidRPr="00A61B52" w:rsidRDefault="00A61B52" w:rsidP="00A61B52">
            <w:pPr>
              <w:jc w:val="both"/>
              <w:rPr>
                <w:sz w:val="20"/>
                <w:szCs w:val="20"/>
              </w:rPr>
            </w:pPr>
            <w:r w:rsidRPr="00A61B52">
              <w:rPr>
                <w:b/>
                <w:sz w:val="20"/>
                <w:u w:val="single"/>
              </w:rPr>
              <w:t>Takeda Canada Inc. v. Minister of Health</w:t>
            </w:r>
            <w:r w:rsidR="00396BF4">
              <w:rPr>
                <w:b/>
                <w:sz w:val="20"/>
                <w:u w:val="single"/>
              </w:rPr>
              <w:t xml:space="preserve"> and</w:t>
            </w:r>
            <w:r w:rsidRPr="00A61B52">
              <w:rPr>
                <w:b/>
                <w:sz w:val="20"/>
                <w:u w:val="single"/>
              </w:rPr>
              <w:t xml:space="preserve"> Attorney General of Canada</w:t>
            </w:r>
            <w:r w:rsidRPr="00A61B52">
              <w:rPr>
                <w:sz w:val="20"/>
                <w:szCs w:val="20"/>
              </w:rPr>
              <w:t xml:space="preserve"> (F</w:t>
            </w:r>
            <w:r w:rsidR="00396BF4">
              <w:rPr>
                <w:sz w:val="20"/>
                <w:szCs w:val="20"/>
              </w:rPr>
              <w:t>.</w:t>
            </w:r>
            <w:r w:rsidRPr="00A61B52">
              <w:rPr>
                <w:sz w:val="20"/>
                <w:szCs w:val="20"/>
              </w:rPr>
              <w:t>C</w:t>
            </w:r>
            <w:r w:rsidR="00396BF4">
              <w:rPr>
                <w:sz w:val="20"/>
                <w:szCs w:val="20"/>
              </w:rPr>
              <w:t>.</w:t>
            </w:r>
            <w:r w:rsidRPr="00A61B52">
              <w:rPr>
                <w:sz w:val="20"/>
                <w:szCs w:val="20"/>
              </w:rPr>
              <w:t>) (Civil) (By</w:t>
            </w:r>
            <w:r w:rsidR="00396BF4">
              <w:rPr>
                <w:sz w:val="20"/>
                <w:szCs w:val="20"/>
              </w:rPr>
              <w:t> </w:t>
            </w:r>
            <w:r w:rsidRPr="00A61B52">
              <w:rPr>
                <w:sz w:val="20"/>
                <w:szCs w:val="20"/>
              </w:rPr>
              <w:t>Leave)</w:t>
            </w:r>
          </w:p>
          <w:p w:rsidR="00A61B52" w:rsidRPr="00A61B52" w:rsidRDefault="00A61B52" w:rsidP="00A61B52">
            <w:pPr>
              <w:jc w:val="both"/>
              <w:rPr>
                <w:sz w:val="20"/>
                <w:szCs w:val="20"/>
              </w:rPr>
            </w:pPr>
          </w:p>
        </w:tc>
      </w:tr>
      <w:tr w:rsidR="00A61B52" w:rsidRPr="00A61B52" w:rsidTr="00A61B52">
        <w:trPr>
          <w:cantSplit/>
        </w:trPr>
        <w:tc>
          <w:tcPr>
            <w:tcW w:w="1458" w:type="dxa"/>
          </w:tcPr>
          <w:p w:rsidR="00A61B52" w:rsidRPr="00A61B52" w:rsidRDefault="00A61B52" w:rsidP="00A61B52">
            <w:pPr>
              <w:rPr>
                <w:sz w:val="20"/>
                <w:szCs w:val="20"/>
              </w:rPr>
            </w:pPr>
            <w:r w:rsidRPr="00A61B52">
              <w:rPr>
                <w:sz w:val="20"/>
                <w:szCs w:val="20"/>
              </w:rPr>
              <w:t>Coram :</w:t>
            </w:r>
          </w:p>
        </w:tc>
        <w:tc>
          <w:tcPr>
            <w:tcW w:w="8118" w:type="dxa"/>
          </w:tcPr>
          <w:p w:rsidR="00A61B52" w:rsidRPr="00A61B52" w:rsidRDefault="00A61B52" w:rsidP="00A61B52">
            <w:pPr>
              <w:rPr>
                <w:sz w:val="20"/>
                <w:szCs w:val="20"/>
              </w:rPr>
            </w:pPr>
            <w:r w:rsidRPr="00A61B52">
              <w:rPr>
                <w:sz w:val="20"/>
                <w:u w:val="single"/>
              </w:rPr>
              <w:t>Fish, Rothstein and Moldaver JJ.</w:t>
            </w:r>
          </w:p>
          <w:p w:rsidR="00A61B52" w:rsidRPr="00A61B52" w:rsidRDefault="00A61B52" w:rsidP="00A61B52">
            <w:pPr>
              <w:rPr>
                <w:sz w:val="20"/>
                <w:szCs w:val="20"/>
                <w:u w:val="single"/>
              </w:rPr>
            </w:pPr>
          </w:p>
        </w:tc>
      </w:tr>
      <w:tr w:rsidR="00A61B52" w:rsidRPr="00D41BFD" w:rsidTr="00A61B52">
        <w:trPr>
          <w:cantSplit/>
        </w:trPr>
        <w:tc>
          <w:tcPr>
            <w:tcW w:w="9576" w:type="dxa"/>
            <w:gridSpan w:val="2"/>
          </w:tcPr>
          <w:p w:rsidR="00A61B52" w:rsidRPr="00A61B52" w:rsidRDefault="00A61B52" w:rsidP="00A61B52">
            <w:pPr>
              <w:ind w:firstLine="720"/>
              <w:jc w:val="both"/>
              <w:rPr>
                <w:sz w:val="20"/>
                <w:szCs w:val="20"/>
              </w:rPr>
            </w:pPr>
            <w:r w:rsidRPr="00A61B52">
              <w:rPr>
                <w:sz w:val="20"/>
                <w:szCs w:val="20"/>
              </w:rPr>
              <w:t>The motion for leave to intervene by Canada’s Research-Based Pharmaceutical Companies is dismissed. The application for leave to appeal from the judgment of the Federal Court of Appeal, Number A-9-12, 2013 FCA 13, dated January 18, 2013, is dismissed with costs to the respondents.</w:t>
            </w:r>
          </w:p>
          <w:p w:rsidR="00A61B52" w:rsidRPr="00A61B52" w:rsidRDefault="00A61B52" w:rsidP="00A61B52">
            <w:pPr>
              <w:jc w:val="both"/>
              <w:rPr>
                <w:sz w:val="20"/>
                <w:szCs w:val="20"/>
              </w:rPr>
            </w:pPr>
          </w:p>
          <w:p w:rsidR="00A61B52" w:rsidRPr="00A61B52" w:rsidRDefault="00A61B52" w:rsidP="00A61B52">
            <w:pPr>
              <w:ind w:firstLine="720"/>
              <w:jc w:val="both"/>
              <w:rPr>
                <w:sz w:val="20"/>
                <w:szCs w:val="20"/>
                <w:lang w:val="fr-CA"/>
              </w:rPr>
            </w:pPr>
            <w:r w:rsidRPr="00A61B52">
              <w:rPr>
                <w:sz w:val="20"/>
                <w:szCs w:val="20"/>
                <w:lang w:val="fr-CA"/>
              </w:rPr>
              <w:t>La requête pour permission d’intervenir de la Canada’s Research-Based Pharmaceutical Companies est rejetée. La demande d’autorisation d’appel de l’arrêt de la Cour d’appel fédérale, numéro A-9-12, 2013 CAF 13, daté du 18 janvier 2013, est rejetée avec dépens en faveur des intimés.</w:t>
            </w:r>
          </w:p>
        </w:tc>
      </w:tr>
    </w:tbl>
    <w:p w:rsidR="00AA605C" w:rsidRPr="00A61B52" w:rsidRDefault="00AA605C" w:rsidP="00AA605C">
      <w:pPr>
        <w:rPr>
          <w:sz w:val="20"/>
          <w:szCs w:val="20"/>
          <w:lang w:val="fr-CA"/>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0505A" w:rsidRPr="00667307" w:rsidTr="00A0505A">
        <w:tc>
          <w:tcPr>
            <w:tcW w:w="5000" w:type="pct"/>
            <w:gridSpan w:val="3"/>
          </w:tcPr>
          <w:p w:rsidR="00A0505A" w:rsidRPr="00667307" w:rsidRDefault="00A0505A" w:rsidP="00A0505A">
            <w:pPr>
              <w:jc w:val="both"/>
              <w:rPr>
                <w:rFonts w:eastAsia="Calibri"/>
                <w:sz w:val="20"/>
              </w:rPr>
            </w:pPr>
            <w:r w:rsidRPr="00667307">
              <w:rPr>
                <w:rFonts w:eastAsia="Calibri"/>
                <w:sz w:val="20"/>
              </w:rPr>
              <w:t xml:space="preserve">Intellectual property – Patents – Medicines – Data protection – Statutory interpretation – “Innovative drugs” – </w:t>
            </w:r>
            <w:r w:rsidRPr="00667307">
              <w:rPr>
                <w:rFonts w:eastAsia="Calibri"/>
                <w:i/>
                <w:sz w:val="20"/>
              </w:rPr>
              <w:t>Food and Drug Regulations</w:t>
            </w:r>
            <w:r w:rsidRPr="00667307">
              <w:rPr>
                <w:rFonts w:eastAsia="Calibri"/>
                <w:sz w:val="20"/>
              </w:rPr>
              <w:t xml:space="preserve">, C.R.C. c. 870 as amended by the </w:t>
            </w:r>
            <w:r w:rsidRPr="00667307">
              <w:rPr>
                <w:rFonts w:eastAsia="Calibri"/>
                <w:i/>
                <w:sz w:val="20"/>
              </w:rPr>
              <w:t>Regulations Amending the Food and Drug Regulations (Data Protection)</w:t>
            </w:r>
            <w:r w:rsidRPr="00667307">
              <w:rPr>
                <w:rFonts w:eastAsia="Calibri"/>
                <w:sz w:val="20"/>
              </w:rPr>
              <w:t xml:space="preserve">, SOR/2006-241 – What is the legal threshold for protection under Regulations? – Whether Canada’s compliance with international duties is in jeopardy – Whether interpretation of “innovative drugs” in lower courts was incorrect and overly rigid approach that excluded five broad categories of medicine from the definition of “innovative drug” – Whether presumption of deference set out in </w:t>
            </w:r>
            <w:r w:rsidRPr="00667307">
              <w:rPr>
                <w:rFonts w:eastAsia="Calibri"/>
                <w:i/>
                <w:sz w:val="20"/>
              </w:rPr>
              <w:t>Alberta (Information and Privacy Commissioner) v.</w:t>
            </w:r>
            <w:r w:rsidRPr="00667307">
              <w:rPr>
                <w:rFonts w:eastAsia="Calibri"/>
                <w:sz w:val="20"/>
              </w:rPr>
              <w:t xml:space="preserve"> </w:t>
            </w:r>
            <w:r w:rsidRPr="00667307">
              <w:rPr>
                <w:rFonts w:eastAsia="Calibri"/>
                <w:i/>
                <w:sz w:val="20"/>
              </w:rPr>
              <w:t>Alberta Teachers’ Association</w:t>
            </w:r>
            <w:r w:rsidRPr="00667307">
              <w:rPr>
                <w:rFonts w:eastAsia="Calibri"/>
                <w:sz w:val="20"/>
              </w:rPr>
              <w:t>, 2011 SCC 61 applies equally to decisions of departmental officials and Minister interpreting home statutes.</w:t>
            </w:r>
          </w:p>
        </w:tc>
      </w:tr>
      <w:tr w:rsidR="00A0505A" w:rsidRPr="00667307" w:rsidTr="00A0505A">
        <w:tc>
          <w:tcPr>
            <w:tcW w:w="5000" w:type="pct"/>
            <w:gridSpan w:val="3"/>
          </w:tcPr>
          <w:p w:rsidR="00A0505A" w:rsidRPr="00667307" w:rsidRDefault="00A0505A" w:rsidP="00A0505A">
            <w:pPr>
              <w:jc w:val="both"/>
              <w:rPr>
                <w:rFonts w:eastAsia="Calibri"/>
                <w:sz w:val="20"/>
              </w:rPr>
            </w:pPr>
          </w:p>
        </w:tc>
      </w:tr>
      <w:tr w:rsidR="00A0505A" w:rsidRPr="00667307" w:rsidTr="00A0505A">
        <w:tc>
          <w:tcPr>
            <w:tcW w:w="5000" w:type="pct"/>
            <w:gridSpan w:val="3"/>
          </w:tcPr>
          <w:p w:rsidR="00A0505A" w:rsidRPr="00667307" w:rsidRDefault="00A0505A" w:rsidP="00A0505A">
            <w:pPr>
              <w:jc w:val="both"/>
              <w:rPr>
                <w:rFonts w:eastAsia="Calibri"/>
                <w:sz w:val="20"/>
              </w:rPr>
            </w:pPr>
            <w:r w:rsidRPr="00667307">
              <w:rPr>
                <w:rFonts w:eastAsia="Calibri"/>
                <w:sz w:val="20"/>
              </w:rPr>
              <w:t xml:space="preserve">The Minister of Health refused to list Takeda Canada Inc.’s (“Takeda”) drug, Dexilant, on the Register of Innovative Drugs that would have provided data protection under s. C.08.004.1 of the </w:t>
            </w:r>
            <w:r w:rsidRPr="00667307">
              <w:rPr>
                <w:rFonts w:eastAsia="Calibri"/>
                <w:i/>
                <w:sz w:val="20"/>
              </w:rPr>
              <w:t>Food and Drug Regulation.</w:t>
            </w:r>
            <w:r w:rsidRPr="00667307">
              <w:rPr>
                <w:rFonts w:eastAsia="Calibri"/>
                <w:sz w:val="20"/>
              </w:rPr>
              <w:t xml:space="preserve">  Data </w:t>
            </w:r>
            <w:r w:rsidRPr="00667307">
              <w:rPr>
                <w:rFonts w:eastAsia="Calibri"/>
                <w:sz w:val="20"/>
              </w:rPr>
              <w:lastRenderedPageBreak/>
              <w:t xml:space="preserve">protection is available for innovative drugs and provides for a period of market exclusivity for innovators.  Takeda filed a New Drug Submission for Dexilant on August 11, 2009 based on extensive clinical trial data to establish the safety and efficacy of the drug.  A Notice of Compliance to market the drug was issued by the Minister on July 22, 2010.  Dexilant contains the medicinal ingredient dexlansoprazole, that is an enantiomer (mirror image) of lansoprazole.  Lansoprazole is marketed as the drug, Prevacid, a racemic mixture of the two enantiomers.  Takeda requested data protection for its Dexilant studies.  The Minister determined that Dexilant was not eligible for data protection because it did not meet the definition of “innovative drug” under the Regulations because dexlanoprazole was the enantiomer of a previously-approved medicinal ingredient, lansoprazole.  </w:t>
            </w:r>
          </w:p>
          <w:p w:rsidR="00A0505A" w:rsidRPr="00667307" w:rsidRDefault="00A0505A" w:rsidP="00A0505A">
            <w:pPr>
              <w:jc w:val="both"/>
              <w:rPr>
                <w:rFonts w:eastAsia="Calibri"/>
                <w:sz w:val="20"/>
              </w:rPr>
            </w:pPr>
          </w:p>
        </w:tc>
      </w:tr>
      <w:tr w:rsidR="00A0505A" w:rsidRPr="00667307" w:rsidTr="00A0505A">
        <w:tc>
          <w:tcPr>
            <w:tcW w:w="2427" w:type="pct"/>
          </w:tcPr>
          <w:p w:rsidR="00A0505A" w:rsidRPr="00667307" w:rsidRDefault="00A0505A" w:rsidP="00A0505A">
            <w:pPr>
              <w:jc w:val="both"/>
              <w:rPr>
                <w:rFonts w:eastAsia="Calibri"/>
                <w:sz w:val="20"/>
              </w:rPr>
            </w:pPr>
            <w:r w:rsidRPr="00667307">
              <w:rPr>
                <w:rFonts w:eastAsia="Calibri"/>
                <w:sz w:val="20"/>
              </w:rPr>
              <w:lastRenderedPageBreak/>
              <w:t>December 9, 2011</w:t>
            </w:r>
          </w:p>
          <w:p w:rsidR="00A0505A" w:rsidRPr="00667307" w:rsidRDefault="00A0505A" w:rsidP="00A0505A">
            <w:pPr>
              <w:jc w:val="both"/>
              <w:rPr>
                <w:rFonts w:eastAsia="Calibri"/>
                <w:sz w:val="20"/>
              </w:rPr>
            </w:pPr>
            <w:r w:rsidRPr="00667307">
              <w:rPr>
                <w:rFonts w:eastAsia="Calibri"/>
                <w:sz w:val="20"/>
              </w:rPr>
              <w:t>Federal Court</w:t>
            </w:r>
          </w:p>
          <w:p w:rsidR="00A0505A" w:rsidRPr="00667307" w:rsidRDefault="00A0505A" w:rsidP="00A0505A">
            <w:pPr>
              <w:jc w:val="both"/>
              <w:rPr>
                <w:rFonts w:eastAsia="Calibri"/>
                <w:sz w:val="20"/>
              </w:rPr>
            </w:pPr>
            <w:r w:rsidRPr="00667307">
              <w:rPr>
                <w:rFonts w:eastAsia="Calibri"/>
                <w:sz w:val="20"/>
              </w:rPr>
              <w:t>(Near J.)</w:t>
            </w:r>
          </w:p>
          <w:p w:rsidR="00A0505A" w:rsidRPr="00667307" w:rsidRDefault="00A0505A" w:rsidP="00A0505A">
            <w:pPr>
              <w:jc w:val="both"/>
              <w:rPr>
                <w:rFonts w:eastAsia="Calibri"/>
                <w:sz w:val="20"/>
              </w:rPr>
            </w:pPr>
            <w:r w:rsidRPr="00667307">
              <w:rPr>
                <w:rFonts w:eastAsia="Calibri"/>
                <w:sz w:val="20"/>
              </w:rPr>
              <w:t>2011 FC 1444</w:t>
            </w:r>
          </w:p>
          <w:p w:rsidR="00A0505A" w:rsidRPr="00667307" w:rsidRDefault="00A0505A" w:rsidP="00A0505A">
            <w:pPr>
              <w:jc w:val="both"/>
              <w:rPr>
                <w:rFonts w:eastAsia="Calibri"/>
                <w:sz w:val="20"/>
              </w:rPr>
            </w:pPr>
          </w:p>
        </w:tc>
        <w:tc>
          <w:tcPr>
            <w:tcW w:w="243" w:type="pct"/>
          </w:tcPr>
          <w:p w:rsidR="00A0505A" w:rsidRPr="00667307" w:rsidRDefault="00A0505A" w:rsidP="00A0505A">
            <w:pPr>
              <w:jc w:val="both"/>
              <w:rPr>
                <w:rFonts w:eastAsia="Calibri"/>
                <w:sz w:val="20"/>
              </w:rPr>
            </w:pPr>
          </w:p>
        </w:tc>
        <w:tc>
          <w:tcPr>
            <w:tcW w:w="2330" w:type="pct"/>
          </w:tcPr>
          <w:p w:rsidR="00A0505A" w:rsidRPr="00667307" w:rsidRDefault="00A0505A" w:rsidP="00A0505A">
            <w:pPr>
              <w:jc w:val="both"/>
              <w:rPr>
                <w:rFonts w:eastAsia="Calibri"/>
                <w:sz w:val="20"/>
              </w:rPr>
            </w:pPr>
            <w:r w:rsidRPr="00667307">
              <w:rPr>
                <w:rFonts w:eastAsia="Calibri"/>
                <w:sz w:val="20"/>
              </w:rPr>
              <w:t>Application for judicial review of Minister’s decision denying Applicant’s innovative drug data protection dismissed</w:t>
            </w:r>
          </w:p>
          <w:p w:rsidR="00A0505A" w:rsidRPr="00667307" w:rsidRDefault="00A0505A" w:rsidP="00A0505A">
            <w:pPr>
              <w:jc w:val="both"/>
              <w:rPr>
                <w:rFonts w:eastAsia="Calibri"/>
                <w:sz w:val="20"/>
              </w:rPr>
            </w:pPr>
          </w:p>
          <w:p w:rsidR="00A0505A" w:rsidRPr="00667307" w:rsidRDefault="00A0505A" w:rsidP="00A0505A">
            <w:pPr>
              <w:jc w:val="both"/>
              <w:rPr>
                <w:rFonts w:eastAsia="Calibri"/>
                <w:sz w:val="20"/>
              </w:rPr>
            </w:pPr>
          </w:p>
        </w:tc>
      </w:tr>
      <w:tr w:rsidR="00A0505A" w:rsidRPr="00667307" w:rsidTr="00A0505A">
        <w:tc>
          <w:tcPr>
            <w:tcW w:w="2427" w:type="pct"/>
          </w:tcPr>
          <w:p w:rsidR="00A0505A" w:rsidRPr="00667307" w:rsidRDefault="00A0505A" w:rsidP="00A0505A">
            <w:pPr>
              <w:jc w:val="both"/>
              <w:rPr>
                <w:rFonts w:eastAsia="Calibri"/>
                <w:sz w:val="20"/>
              </w:rPr>
            </w:pPr>
            <w:r w:rsidRPr="00667307">
              <w:rPr>
                <w:rFonts w:eastAsia="Calibri"/>
                <w:sz w:val="20"/>
              </w:rPr>
              <w:t>January 18, 2013</w:t>
            </w:r>
          </w:p>
          <w:p w:rsidR="00A0505A" w:rsidRPr="00667307" w:rsidRDefault="00A0505A" w:rsidP="00A0505A">
            <w:pPr>
              <w:jc w:val="both"/>
              <w:rPr>
                <w:rFonts w:eastAsia="Calibri"/>
                <w:sz w:val="20"/>
              </w:rPr>
            </w:pPr>
            <w:r w:rsidRPr="00667307">
              <w:rPr>
                <w:rFonts w:eastAsia="Calibri"/>
                <w:sz w:val="20"/>
              </w:rPr>
              <w:t>Federal Court of Appeal</w:t>
            </w:r>
          </w:p>
          <w:p w:rsidR="00A0505A" w:rsidRPr="00667307" w:rsidRDefault="00A0505A" w:rsidP="00A0505A">
            <w:pPr>
              <w:jc w:val="both"/>
              <w:rPr>
                <w:rFonts w:eastAsia="Calibri"/>
                <w:sz w:val="20"/>
              </w:rPr>
            </w:pPr>
            <w:r w:rsidRPr="00667307">
              <w:rPr>
                <w:rFonts w:eastAsia="Calibri"/>
                <w:sz w:val="20"/>
              </w:rPr>
              <w:t>(Pelletier, Dawson and Stratas JJ.A.[dissenting])</w:t>
            </w:r>
          </w:p>
          <w:p w:rsidR="00A0505A" w:rsidRPr="00667307" w:rsidRDefault="00A0505A" w:rsidP="00A0505A">
            <w:pPr>
              <w:jc w:val="both"/>
              <w:rPr>
                <w:rFonts w:eastAsia="Calibri"/>
                <w:sz w:val="20"/>
              </w:rPr>
            </w:pPr>
            <w:r w:rsidRPr="00667307">
              <w:rPr>
                <w:rFonts w:eastAsia="Calibri"/>
                <w:sz w:val="20"/>
              </w:rPr>
              <w:t>2013 FCA 13</w:t>
            </w:r>
          </w:p>
          <w:p w:rsidR="00A0505A" w:rsidRPr="00667307" w:rsidRDefault="00A0505A" w:rsidP="00A0505A">
            <w:pPr>
              <w:jc w:val="both"/>
              <w:rPr>
                <w:rFonts w:eastAsia="Calibri"/>
                <w:sz w:val="20"/>
              </w:rPr>
            </w:pPr>
          </w:p>
        </w:tc>
        <w:tc>
          <w:tcPr>
            <w:tcW w:w="243" w:type="pct"/>
          </w:tcPr>
          <w:p w:rsidR="00A0505A" w:rsidRPr="00667307" w:rsidRDefault="00A0505A" w:rsidP="00A0505A">
            <w:pPr>
              <w:jc w:val="both"/>
              <w:rPr>
                <w:rFonts w:eastAsia="Calibri"/>
                <w:sz w:val="20"/>
              </w:rPr>
            </w:pPr>
          </w:p>
        </w:tc>
        <w:tc>
          <w:tcPr>
            <w:tcW w:w="2330" w:type="pct"/>
          </w:tcPr>
          <w:p w:rsidR="00A0505A" w:rsidRPr="00667307" w:rsidRDefault="00A0505A" w:rsidP="00A0505A">
            <w:pPr>
              <w:jc w:val="both"/>
              <w:rPr>
                <w:rFonts w:eastAsia="Calibri"/>
                <w:sz w:val="20"/>
              </w:rPr>
            </w:pPr>
            <w:r w:rsidRPr="00667307">
              <w:rPr>
                <w:rFonts w:eastAsia="Calibri"/>
                <w:sz w:val="20"/>
              </w:rPr>
              <w:t>Appeal dismissed</w:t>
            </w:r>
          </w:p>
          <w:p w:rsidR="00A0505A" w:rsidRPr="00667307" w:rsidRDefault="00A0505A" w:rsidP="00A0505A">
            <w:pPr>
              <w:jc w:val="both"/>
              <w:rPr>
                <w:rFonts w:eastAsia="Calibri"/>
                <w:sz w:val="20"/>
              </w:rPr>
            </w:pPr>
          </w:p>
        </w:tc>
      </w:tr>
      <w:tr w:rsidR="00A0505A" w:rsidRPr="00667307" w:rsidTr="00A0505A">
        <w:tc>
          <w:tcPr>
            <w:tcW w:w="2427" w:type="pct"/>
          </w:tcPr>
          <w:p w:rsidR="00A0505A" w:rsidRPr="00667307" w:rsidRDefault="00A0505A" w:rsidP="00A0505A">
            <w:pPr>
              <w:jc w:val="both"/>
              <w:rPr>
                <w:rFonts w:eastAsia="Calibri"/>
                <w:sz w:val="20"/>
              </w:rPr>
            </w:pPr>
            <w:r w:rsidRPr="00667307">
              <w:rPr>
                <w:rFonts w:eastAsia="Calibri"/>
                <w:sz w:val="20"/>
              </w:rPr>
              <w:t>March 19, 2013</w:t>
            </w:r>
          </w:p>
          <w:p w:rsidR="00A0505A" w:rsidRPr="00667307" w:rsidRDefault="00A0505A" w:rsidP="00A0505A">
            <w:pPr>
              <w:jc w:val="both"/>
              <w:rPr>
                <w:rFonts w:eastAsia="Calibri"/>
                <w:sz w:val="20"/>
              </w:rPr>
            </w:pPr>
            <w:r w:rsidRPr="00667307">
              <w:rPr>
                <w:rFonts w:eastAsia="Calibri"/>
                <w:sz w:val="20"/>
              </w:rPr>
              <w:t>Supreme Court of Canada</w:t>
            </w:r>
          </w:p>
        </w:tc>
        <w:tc>
          <w:tcPr>
            <w:tcW w:w="243" w:type="pct"/>
          </w:tcPr>
          <w:p w:rsidR="00A0505A" w:rsidRPr="00667307" w:rsidRDefault="00A0505A" w:rsidP="00A0505A">
            <w:pPr>
              <w:jc w:val="both"/>
              <w:rPr>
                <w:rFonts w:eastAsia="Calibri"/>
                <w:sz w:val="20"/>
              </w:rPr>
            </w:pPr>
          </w:p>
        </w:tc>
        <w:tc>
          <w:tcPr>
            <w:tcW w:w="2330" w:type="pct"/>
          </w:tcPr>
          <w:p w:rsidR="00A0505A" w:rsidRPr="00667307" w:rsidRDefault="00A0505A" w:rsidP="00A0505A">
            <w:pPr>
              <w:jc w:val="both"/>
              <w:rPr>
                <w:rFonts w:eastAsia="Calibri"/>
                <w:sz w:val="20"/>
              </w:rPr>
            </w:pPr>
            <w:r w:rsidRPr="00667307">
              <w:rPr>
                <w:rFonts w:eastAsia="Calibri"/>
                <w:sz w:val="20"/>
              </w:rPr>
              <w:t>Application for leave to appeal filed</w:t>
            </w:r>
          </w:p>
          <w:p w:rsidR="00A0505A" w:rsidRPr="00667307" w:rsidRDefault="00A0505A" w:rsidP="00A0505A">
            <w:pPr>
              <w:jc w:val="both"/>
              <w:rPr>
                <w:rFonts w:eastAsia="Calibri"/>
                <w:sz w:val="20"/>
              </w:rPr>
            </w:pP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68"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0505A" w:rsidRPr="00D41BFD" w:rsidTr="00A0505A">
        <w:tc>
          <w:tcPr>
            <w:tcW w:w="5000" w:type="pct"/>
            <w:gridSpan w:val="3"/>
          </w:tcPr>
          <w:p w:rsidR="00A0505A" w:rsidRPr="00667307" w:rsidRDefault="00A0505A" w:rsidP="00A0505A">
            <w:pPr>
              <w:jc w:val="both"/>
              <w:rPr>
                <w:rFonts w:eastAsia="Calibri"/>
                <w:sz w:val="20"/>
                <w:lang w:val="fr-CA"/>
              </w:rPr>
            </w:pPr>
            <w:r w:rsidRPr="00667307">
              <w:rPr>
                <w:rFonts w:eastAsia="Calibri"/>
                <w:sz w:val="20"/>
                <w:lang w:val="fr-CA"/>
              </w:rPr>
              <w:t xml:space="preserve">Propriété intellectuelle – Brevets – Médicaments – Protection des données – Interprétation des lois – « Drogues innovantes » – </w:t>
            </w:r>
            <w:r w:rsidRPr="00667307">
              <w:rPr>
                <w:rFonts w:eastAsia="Calibri"/>
                <w:i/>
                <w:sz w:val="20"/>
                <w:lang w:val="fr-CA"/>
              </w:rPr>
              <w:t>Règlement sur les aliments et drogues</w:t>
            </w:r>
            <w:r w:rsidRPr="00667307">
              <w:rPr>
                <w:rFonts w:eastAsia="Calibri"/>
                <w:sz w:val="20"/>
                <w:lang w:val="fr-CA"/>
              </w:rPr>
              <w:t xml:space="preserve">, C.R.C. ch. 870 modifié par le </w:t>
            </w:r>
            <w:r w:rsidRPr="00667307">
              <w:rPr>
                <w:rFonts w:eastAsia="Calibri"/>
                <w:i/>
                <w:sz w:val="20"/>
                <w:lang w:val="fr-CA"/>
              </w:rPr>
              <w:t>Règlement modifiant le Règlement sur les aliments et drogues (protection des données)</w:t>
            </w:r>
            <w:r w:rsidRPr="00667307">
              <w:rPr>
                <w:rFonts w:eastAsia="Calibri"/>
                <w:sz w:val="20"/>
                <w:lang w:val="fr-CA"/>
              </w:rPr>
              <w:t xml:space="preserve">, DORS/2006-241 – Quel est le seuil juridique de protection au regard du Règlement? – Y a-t-il un risque que le Canada ne respecte pas ses obligations internationales? – L’interprétation de l’expression « drogues innovantes » par les juridictions inférieures témoignait-elle d’une approche erronée  et trop rigide qui excluait cinq grandes catégories de médicaments de la définition de « drogue innovante »? – La présomption à l’égard de la déférence énoncée dans </w:t>
            </w:r>
            <w:r w:rsidRPr="00667307">
              <w:rPr>
                <w:rFonts w:eastAsia="Calibri"/>
                <w:i/>
                <w:sz w:val="20"/>
                <w:lang w:val="fr-CA"/>
              </w:rPr>
              <w:t>Alberta (Information and Privacy Commissioner) c.</w:t>
            </w:r>
            <w:r w:rsidRPr="00667307">
              <w:rPr>
                <w:rFonts w:eastAsia="Calibri"/>
                <w:sz w:val="20"/>
                <w:lang w:val="fr-CA"/>
              </w:rPr>
              <w:t xml:space="preserve"> </w:t>
            </w:r>
            <w:r w:rsidRPr="00667307">
              <w:rPr>
                <w:rFonts w:eastAsia="Calibri"/>
                <w:i/>
                <w:sz w:val="20"/>
                <w:lang w:val="fr-CA"/>
              </w:rPr>
              <w:t>Alberta Teachers’ Association</w:t>
            </w:r>
            <w:r w:rsidRPr="00667307">
              <w:rPr>
                <w:rFonts w:eastAsia="Calibri"/>
                <w:sz w:val="20"/>
                <w:lang w:val="fr-CA"/>
              </w:rPr>
              <w:t>, 2011 CSC 61 s’applique-t-elle également aux décisions de fonctionnaires et du ministre interprétant des lois constitutives?</w:t>
            </w:r>
          </w:p>
        </w:tc>
      </w:tr>
      <w:tr w:rsidR="00A0505A" w:rsidRPr="00D41BFD" w:rsidTr="00A0505A">
        <w:tc>
          <w:tcPr>
            <w:tcW w:w="5000" w:type="pct"/>
            <w:gridSpan w:val="3"/>
          </w:tcPr>
          <w:p w:rsidR="00A0505A" w:rsidRPr="00667307" w:rsidRDefault="00A0505A" w:rsidP="00A0505A">
            <w:pPr>
              <w:jc w:val="both"/>
              <w:rPr>
                <w:rFonts w:eastAsia="Calibri"/>
                <w:sz w:val="20"/>
                <w:lang w:val="fr-CA"/>
              </w:rPr>
            </w:pPr>
          </w:p>
        </w:tc>
      </w:tr>
      <w:tr w:rsidR="00A0505A" w:rsidRPr="00D41BFD" w:rsidTr="00A0505A">
        <w:tc>
          <w:tcPr>
            <w:tcW w:w="5000" w:type="pct"/>
            <w:gridSpan w:val="3"/>
          </w:tcPr>
          <w:p w:rsidR="00A0505A" w:rsidRPr="00667307" w:rsidRDefault="00A0505A" w:rsidP="00A0505A">
            <w:pPr>
              <w:jc w:val="both"/>
              <w:rPr>
                <w:rFonts w:eastAsia="Calibri"/>
                <w:sz w:val="20"/>
                <w:lang w:val="fr-CA"/>
              </w:rPr>
            </w:pPr>
            <w:r w:rsidRPr="00667307">
              <w:rPr>
                <w:rFonts w:eastAsia="Calibri"/>
                <w:color w:val="000000"/>
                <w:sz w:val="20"/>
                <w:shd w:val="clear" w:color="auto" w:fill="FFFFFF"/>
                <w:lang w:val="fr-CA"/>
              </w:rPr>
              <w:t xml:space="preserve">Le ministre de la Santé a refusé d’inscrire la drogue de Takeda Canada Inc. (« Takeda »), le Dexilant, sur le registre des drogues innovantes, ce qui aurait assuré la protection des données en conformité avec l’article C.08.004.1 du </w:t>
            </w:r>
            <w:r w:rsidRPr="00667307">
              <w:rPr>
                <w:rFonts w:eastAsia="Calibri"/>
                <w:i/>
                <w:iCs/>
                <w:sz w:val="20"/>
                <w:shd w:val="clear" w:color="auto" w:fill="FFFFFF"/>
                <w:lang w:val="fr-CA"/>
              </w:rPr>
              <w:t>Règlement sur les aliments et drogues</w:t>
            </w:r>
            <w:r w:rsidRPr="00667307">
              <w:rPr>
                <w:rFonts w:eastAsia="Calibri"/>
                <w:i/>
                <w:sz w:val="20"/>
                <w:lang w:val="fr-CA"/>
              </w:rPr>
              <w:t>.</w:t>
            </w:r>
            <w:r w:rsidRPr="00667307">
              <w:rPr>
                <w:rFonts w:eastAsia="Calibri"/>
                <w:sz w:val="20"/>
                <w:lang w:val="fr-CA"/>
              </w:rPr>
              <w:t xml:space="preserve">  La protection des données est offerte pour les drogues innovantes et procure aux innovateurs une période d’exclusivité sur le marché.  Takeda </w:t>
            </w:r>
            <w:r w:rsidRPr="00667307">
              <w:rPr>
                <w:rFonts w:eastAsia="Calibri"/>
                <w:color w:val="000000"/>
                <w:sz w:val="20"/>
                <w:shd w:val="clear" w:color="auto" w:fill="FFFFFF"/>
                <w:lang w:val="fr-CA"/>
              </w:rPr>
              <w:t>a déposé une présentation de drogue nouvelle concernant le Dexilant le 11 août 2009, sur le fondement d’une quantité abondante de données tirées d’essais cliniques visant à établir l’innocuité et l’efficacité de la drogue.  Un avis de conformité permettant la mise en marché de la drogue a été délivré par le ministre le 22 juillet 2010</w:t>
            </w:r>
            <w:r w:rsidRPr="00667307">
              <w:rPr>
                <w:rFonts w:eastAsia="Calibri"/>
                <w:sz w:val="20"/>
                <w:lang w:val="fr-CA"/>
              </w:rPr>
              <w:t xml:space="preserve">.  Dexilant contient du dexlansoprazole, l’ingrédient médicinal qui est un énantiomère (image inverse) du lansoprazole.  Le lansoprazole est commercialisé sous le nom de Prevacid, un conglomérat racémique de deux énantiomères.  Takeda </w:t>
            </w:r>
            <w:r w:rsidRPr="00667307">
              <w:rPr>
                <w:rFonts w:eastAsia="Calibri"/>
                <w:color w:val="000000"/>
                <w:sz w:val="20"/>
                <w:lang w:val="fr-CA"/>
              </w:rPr>
              <w:t xml:space="preserve"> a </w:t>
            </w:r>
            <w:r w:rsidRPr="00667307">
              <w:rPr>
                <w:rFonts w:eastAsia="Calibri"/>
                <w:color w:val="000000"/>
                <w:sz w:val="20"/>
                <w:shd w:val="clear" w:color="auto" w:fill="FFFFFF"/>
                <w:lang w:val="fr-CA"/>
              </w:rPr>
              <w:t>sollicité la protection des données de ses études concernant</w:t>
            </w:r>
            <w:r w:rsidRPr="00667307">
              <w:rPr>
                <w:rFonts w:eastAsia="Calibri"/>
                <w:sz w:val="20"/>
                <w:lang w:val="fr-CA"/>
              </w:rPr>
              <w:t xml:space="preserve"> le Dexilant.  Le ministre a conclu que le Dexilant </w:t>
            </w:r>
            <w:r w:rsidRPr="00667307">
              <w:rPr>
                <w:rFonts w:eastAsia="Calibri"/>
                <w:color w:val="000000"/>
                <w:sz w:val="20"/>
                <w:shd w:val="clear" w:color="auto" w:fill="FFFFFF"/>
                <w:lang w:val="fr-CA"/>
              </w:rPr>
              <w:t>n’était pas admissible à la protection des données, parce que, contrairement à ce qu’exigeait le Règlement, il n’était pas conforme à la définition de « drogue innovante », vu que le dexlansoprazole était l’énantiomère d’un ingrédient médicinal déjà approuvé, à savoir le lansoprazole</w:t>
            </w:r>
            <w:r w:rsidRPr="00667307">
              <w:rPr>
                <w:rFonts w:eastAsia="Calibri"/>
                <w:sz w:val="20"/>
                <w:lang w:val="fr-CA"/>
              </w:rPr>
              <w:t xml:space="preserve">.  </w:t>
            </w:r>
          </w:p>
          <w:p w:rsidR="00A0505A" w:rsidRPr="00667307" w:rsidRDefault="00A0505A" w:rsidP="00A0505A">
            <w:pPr>
              <w:jc w:val="both"/>
              <w:rPr>
                <w:rFonts w:eastAsia="Calibri"/>
                <w:sz w:val="20"/>
                <w:lang w:val="fr-CA"/>
              </w:rPr>
            </w:pPr>
          </w:p>
        </w:tc>
      </w:tr>
      <w:tr w:rsidR="00A0505A" w:rsidRPr="00D41BFD" w:rsidTr="006B6A3A">
        <w:trPr>
          <w:cantSplit/>
        </w:trPr>
        <w:tc>
          <w:tcPr>
            <w:tcW w:w="2427" w:type="pct"/>
          </w:tcPr>
          <w:p w:rsidR="00A0505A" w:rsidRPr="00667307" w:rsidRDefault="00A0505A" w:rsidP="00A0505A">
            <w:pPr>
              <w:jc w:val="both"/>
              <w:rPr>
                <w:rFonts w:eastAsia="Calibri"/>
                <w:sz w:val="20"/>
                <w:lang w:val="fr-CA"/>
              </w:rPr>
            </w:pPr>
            <w:r w:rsidRPr="00667307">
              <w:rPr>
                <w:rFonts w:eastAsia="Calibri"/>
                <w:sz w:val="20"/>
                <w:lang w:val="fr-CA"/>
              </w:rPr>
              <w:lastRenderedPageBreak/>
              <w:t>9 décembre 2011</w:t>
            </w:r>
          </w:p>
          <w:p w:rsidR="00A0505A" w:rsidRPr="00667307" w:rsidRDefault="00A0505A" w:rsidP="00A0505A">
            <w:pPr>
              <w:jc w:val="both"/>
              <w:rPr>
                <w:rFonts w:eastAsia="Calibri"/>
                <w:sz w:val="20"/>
                <w:lang w:val="fr-CA"/>
              </w:rPr>
            </w:pPr>
            <w:r w:rsidRPr="00667307">
              <w:rPr>
                <w:rFonts w:eastAsia="Calibri"/>
                <w:sz w:val="20"/>
                <w:lang w:val="fr-CA"/>
              </w:rPr>
              <w:t>Cour fédérale</w:t>
            </w:r>
          </w:p>
          <w:p w:rsidR="00A0505A" w:rsidRPr="00667307" w:rsidRDefault="00A0505A" w:rsidP="00A0505A">
            <w:pPr>
              <w:jc w:val="both"/>
              <w:rPr>
                <w:rFonts w:eastAsia="Calibri"/>
                <w:sz w:val="20"/>
                <w:lang w:val="fr-CA"/>
              </w:rPr>
            </w:pPr>
            <w:r w:rsidRPr="00667307">
              <w:rPr>
                <w:rFonts w:eastAsia="Calibri"/>
                <w:sz w:val="20"/>
                <w:lang w:val="fr-CA"/>
              </w:rPr>
              <w:t>(Juge Near)</w:t>
            </w:r>
          </w:p>
          <w:p w:rsidR="00A0505A" w:rsidRPr="00667307" w:rsidRDefault="00A0505A" w:rsidP="00A0505A">
            <w:pPr>
              <w:jc w:val="both"/>
              <w:rPr>
                <w:rFonts w:eastAsia="Calibri"/>
                <w:sz w:val="20"/>
                <w:lang w:val="fr-CA"/>
              </w:rPr>
            </w:pPr>
            <w:r w:rsidRPr="00667307">
              <w:rPr>
                <w:rFonts w:eastAsia="Calibri"/>
                <w:sz w:val="20"/>
                <w:lang w:val="fr-CA"/>
              </w:rPr>
              <w:t>2011 CF 1444</w:t>
            </w:r>
          </w:p>
          <w:p w:rsidR="00A0505A" w:rsidRPr="00667307" w:rsidRDefault="00A0505A" w:rsidP="00A0505A">
            <w:pPr>
              <w:jc w:val="both"/>
              <w:rPr>
                <w:rFonts w:eastAsia="Calibri"/>
                <w:sz w:val="20"/>
                <w:lang w:val="fr-CA"/>
              </w:rPr>
            </w:pPr>
          </w:p>
        </w:tc>
        <w:tc>
          <w:tcPr>
            <w:tcW w:w="243" w:type="pct"/>
          </w:tcPr>
          <w:p w:rsidR="00A0505A" w:rsidRPr="00667307" w:rsidRDefault="00A0505A" w:rsidP="00A0505A">
            <w:pPr>
              <w:jc w:val="both"/>
              <w:rPr>
                <w:rFonts w:eastAsia="Calibri"/>
                <w:sz w:val="20"/>
                <w:lang w:val="fr-CA"/>
              </w:rPr>
            </w:pPr>
          </w:p>
        </w:tc>
        <w:tc>
          <w:tcPr>
            <w:tcW w:w="2330" w:type="pct"/>
          </w:tcPr>
          <w:p w:rsidR="00A0505A" w:rsidRPr="00667307" w:rsidRDefault="00A0505A" w:rsidP="00A0505A">
            <w:pPr>
              <w:jc w:val="both"/>
              <w:rPr>
                <w:rFonts w:eastAsia="Calibri"/>
                <w:sz w:val="20"/>
                <w:lang w:val="fr-CA"/>
              </w:rPr>
            </w:pPr>
            <w:r w:rsidRPr="00667307">
              <w:rPr>
                <w:rFonts w:eastAsia="Calibri"/>
                <w:sz w:val="20"/>
                <w:lang w:val="fr-CA"/>
              </w:rPr>
              <w:t>Demande de contrôle judiciaire de la décision du ministre de refuser la protection des données relatives à la drogue innovante de la demanderesse, rejetée</w:t>
            </w:r>
          </w:p>
          <w:p w:rsidR="00A0505A" w:rsidRPr="00667307" w:rsidRDefault="00A0505A" w:rsidP="00A0505A">
            <w:pPr>
              <w:jc w:val="both"/>
              <w:rPr>
                <w:rFonts w:eastAsia="Calibri"/>
                <w:sz w:val="20"/>
                <w:lang w:val="fr-CA"/>
              </w:rPr>
            </w:pPr>
          </w:p>
          <w:p w:rsidR="00A0505A" w:rsidRPr="00667307" w:rsidRDefault="00A0505A" w:rsidP="00A0505A">
            <w:pPr>
              <w:jc w:val="both"/>
              <w:rPr>
                <w:rFonts w:eastAsia="Calibri"/>
                <w:sz w:val="20"/>
                <w:lang w:val="fr-CA"/>
              </w:rPr>
            </w:pPr>
          </w:p>
        </w:tc>
      </w:tr>
      <w:tr w:rsidR="00A0505A" w:rsidRPr="00667307" w:rsidTr="006B6A3A">
        <w:trPr>
          <w:cantSplit/>
        </w:trPr>
        <w:tc>
          <w:tcPr>
            <w:tcW w:w="2427" w:type="pct"/>
          </w:tcPr>
          <w:p w:rsidR="00A0505A" w:rsidRPr="00667307" w:rsidRDefault="00A0505A" w:rsidP="00A0505A">
            <w:pPr>
              <w:jc w:val="both"/>
              <w:rPr>
                <w:rFonts w:eastAsia="Calibri"/>
                <w:sz w:val="20"/>
                <w:lang w:val="fr-CA"/>
              </w:rPr>
            </w:pPr>
            <w:r w:rsidRPr="00667307">
              <w:rPr>
                <w:rFonts w:eastAsia="Calibri"/>
                <w:sz w:val="20"/>
                <w:lang w:val="fr-CA"/>
              </w:rPr>
              <w:t>18 janvier 2013</w:t>
            </w:r>
          </w:p>
          <w:p w:rsidR="00A0505A" w:rsidRPr="00667307" w:rsidRDefault="00A0505A" w:rsidP="00A0505A">
            <w:pPr>
              <w:jc w:val="both"/>
              <w:rPr>
                <w:rFonts w:eastAsia="Calibri"/>
                <w:sz w:val="20"/>
                <w:lang w:val="fr-CA"/>
              </w:rPr>
            </w:pPr>
            <w:r w:rsidRPr="00667307">
              <w:rPr>
                <w:rFonts w:eastAsia="Calibri"/>
                <w:sz w:val="20"/>
                <w:lang w:val="fr-CA"/>
              </w:rPr>
              <w:t>Cour d’appel fédérale</w:t>
            </w:r>
          </w:p>
          <w:p w:rsidR="00A0505A" w:rsidRPr="00667307" w:rsidRDefault="00A0505A" w:rsidP="00A0505A">
            <w:pPr>
              <w:jc w:val="both"/>
              <w:rPr>
                <w:rFonts w:eastAsia="Calibri"/>
                <w:sz w:val="20"/>
                <w:lang w:val="fr-CA"/>
              </w:rPr>
            </w:pPr>
            <w:r w:rsidRPr="00667307">
              <w:rPr>
                <w:rFonts w:eastAsia="Calibri"/>
                <w:sz w:val="20"/>
                <w:lang w:val="fr-CA"/>
              </w:rPr>
              <w:t>(Juges Pelletier, Dawson et Stratas [dissidents])</w:t>
            </w:r>
          </w:p>
          <w:p w:rsidR="00A0505A" w:rsidRPr="00667307" w:rsidRDefault="00A0505A" w:rsidP="00A0505A">
            <w:pPr>
              <w:jc w:val="both"/>
              <w:rPr>
                <w:rFonts w:eastAsia="Calibri"/>
                <w:sz w:val="20"/>
                <w:lang w:val="fr-CA"/>
              </w:rPr>
            </w:pPr>
            <w:r w:rsidRPr="00667307">
              <w:rPr>
                <w:rFonts w:eastAsia="Calibri"/>
                <w:sz w:val="20"/>
                <w:lang w:val="fr-CA"/>
              </w:rPr>
              <w:t>2013 CAF 13</w:t>
            </w:r>
          </w:p>
          <w:p w:rsidR="00A0505A" w:rsidRPr="00667307" w:rsidRDefault="00A0505A" w:rsidP="00A0505A">
            <w:pPr>
              <w:jc w:val="both"/>
              <w:rPr>
                <w:rFonts w:eastAsia="Calibri"/>
                <w:sz w:val="20"/>
                <w:lang w:val="fr-CA"/>
              </w:rPr>
            </w:pPr>
          </w:p>
        </w:tc>
        <w:tc>
          <w:tcPr>
            <w:tcW w:w="243" w:type="pct"/>
          </w:tcPr>
          <w:p w:rsidR="00A0505A" w:rsidRPr="00667307" w:rsidRDefault="00A0505A" w:rsidP="00A0505A">
            <w:pPr>
              <w:jc w:val="both"/>
              <w:rPr>
                <w:rFonts w:eastAsia="Calibri"/>
                <w:sz w:val="20"/>
                <w:lang w:val="fr-CA"/>
              </w:rPr>
            </w:pPr>
          </w:p>
        </w:tc>
        <w:tc>
          <w:tcPr>
            <w:tcW w:w="2330" w:type="pct"/>
          </w:tcPr>
          <w:p w:rsidR="00A0505A" w:rsidRPr="00667307" w:rsidRDefault="00A0505A" w:rsidP="00A0505A">
            <w:pPr>
              <w:jc w:val="both"/>
              <w:rPr>
                <w:rFonts w:eastAsia="Calibri"/>
                <w:sz w:val="20"/>
                <w:lang w:val="fr-CA"/>
              </w:rPr>
            </w:pPr>
            <w:r w:rsidRPr="00667307">
              <w:rPr>
                <w:rFonts w:eastAsia="Calibri"/>
                <w:sz w:val="20"/>
                <w:lang w:val="fr-CA"/>
              </w:rPr>
              <w:t>Appel rejeté</w:t>
            </w:r>
          </w:p>
          <w:p w:rsidR="00A0505A" w:rsidRPr="00667307" w:rsidRDefault="00A0505A" w:rsidP="00A0505A">
            <w:pPr>
              <w:jc w:val="both"/>
              <w:rPr>
                <w:rFonts w:eastAsia="Calibri"/>
                <w:sz w:val="20"/>
                <w:lang w:val="fr-CA"/>
              </w:rPr>
            </w:pPr>
          </w:p>
        </w:tc>
      </w:tr>
      <w:tr w:rsidR="00A0505A" w:rsidRPr="00667307" w:rsidTr="006B6A3A">
        <w:trPr>
          <w:cantSplit/>
        </w:trPr>
        <w:tc>
          <w:tcPr>
            <w:tcW w:w="2427" w:type="pct"/>
          </w:tcPr>
          <w:p w:rsidR="00A0505A" w:rsidRPr="00667307" w:rsidRDefault="00A0505A" w:rsidP="00A0505A">
            <w:pPr>
              <w:jc w:val="both"/>
              <w:rPr>
                <w:rFonts w:eastAsia="Calibri"/>
                <w:sz w:val="20"/>
                <w:lang w:val="fr-CA"/>
              </w:rPr>
            </w:pPr>
            <w:r w:rsidRPr="00667307">
              <w:rPr>
                <w:rFonts w:eastAsia="Calibri"/>
                <w:sz w:val="20"/>
                <w:lang w:val="fr-CA"/>
              </w:rPr>
              <w:t>19 mars 2013</w:t>
            </w:r>
          </w:p>
          <w:p w:rsidR="00A0505A" w:rsidRPr="00667307" w:rsidRDefault="00A0505A" w:rsidP="00A0505A">
            <w:pPr>
              <w:jc w:val="both"/>
              <w:rPr>
                <w:rFonts w:eastAsia="Calibri"/>
                <w:sz w:val="20"/>
                <w:lang w:val="fr-CA"/>
              </w:rPr>
            </w:pPr>
            <w:r w:rsidRPr="00667307">
              <w:rPr>
                <w:rFonts w:eastAsia="Calibri"/>
                <w:sz w:val="20"/>
                <w:lang w:val="fr-CA"/>
              </w:rPr>
              <w:t>Cour suprême du Canada</w:t>
            </w:r>
          </w:p>
        </w:tc>
        <w:tc>
          <w:tcPr>
            <w:tcW w:w="243" w:type="pct"/>
          </w:tcPr>
          <w:p w:rsidR="00A0505A" w:rsidRPr="00667307" w:rsidRDefault="00A0505A" w:rsidP="00A0505A">
            <w:pPr>
              <w:jc w:val="both"/>
              <w:rPr>
                <w:rFonts w:eastAsia="Calibri"/>
                <w:sz w:val="20"/>
                <w:lang w:val="fr-CA"/>
              </w:rPr>
            </w:pPr>
          </w:p>
        </w:tc>
        <w:tc>
          <w:tcPr>
            <w:tcW w:w="2330" w:type="pct"/>
          </w:tcPr>
          <w:p w:rsidR="00A0505A" w:rsidRPr="00667307" w:rsidRDefault="00A0505A" w:rsidP="00A0505A">
            <w:pPr>
              <w:jc w:val="both"/>
              <w:rPr>
                <w:rFonts w:eastAsia="Calibri"/>
                <w:sz w:val="20"/>
                <w:lang w:val="fr-CA"/>
              </w:rPr>
            </w:pPr>
            <w:r w:rsidRPr="00667307">
              <w:rPr>
                <w:rFonts w:eastAsia="Calibri"/>
                <w:sz w:val="20"/>
                <w:lang w:val="fr-CA"/>
              </w:rPr>
              <w:t>Demande d’autorisation d’appel, déposée</w:t>
            </w:r>
          </w:p>
          <w:p w:rsidR="00A0505A" w:rsidRPr="00667307" w:rsidRDefault="00A0505A" w:rsidP="00A0505A">
            <w:pPr>
              <w:jc w:val="both"/>
              <w:rPr>
                <w:rFonts w:eastAsia="Calibri"/>
                <w:sz w:val="20"/>
                <w:lang w:val="fr-CA"/>
              </w:rPr>
            </w:pPr>
          </w:p>
        </w:tc>
      </w:tr>
    </w:tbl>
    <w:p w:rsidR="00AA605C" w:rsidRDefault="00AA605C" w:rsidP="00AA605C">
      <w:pPr>
        <w:rPr>
          <w:sz w:val="20"/>
          <w:szCs w:val="20"/>
        </w:rPr>
      </w:pPr>
    </w:p>
    <w:p w:rsidR="00AA605C" w:rsidRDefault="00B3404D" w:rsidP="00AA605C">
      <w:pPr>
        <w:rPr>
          <w:sz w:val="20"/>
          <w:szCs w:val="20"/>
          <w:lang w:val="fr-CA"/>
        </w:rPr>
      </w:pPr>
      <w:r w:rsidRPr="00B3404D">
        <w:rPr>
          <w:sz w:val="20"/>
          <w:szCs w:val="20"/>
          <w:lang w:val="fr-CA"/>
        </w:rPr>
        <w:pict>
          <v:rect id="_x0000_i1069" style="width:2in;height:1pt" o:hrpct="0" o:hralign="center" o:hrstd="t" o:hrnoshade="t" o:hr="t" fillcolor="black [3213]" stroked="f"/>
        </w:pict>
      </w:r>
    </w:p>
    <w:p w:rsidR="00AA605C" w:rsidRDefault="00AA605C" w:rsidP="00AA605C">
      <w:pPr>
        <w:rPr>
          <w:sz w:val="20"/>
          <w:szCs w:val="20"/>
        </w:rPr>
      </w:pPr>
    </w:p>
    <w:tbl>
      <w:tblPr>
        <w:tblStyle w:val="TableGrid1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B6A3A" w:rsidRPr="006B6A3A" w:rsidTr="00A426F6">
        <w:trPr>
          <w:cantSplit/>
        </w:trPr>
        <w:tc>
          <w:tcPr>
            <w:tcW w:w="1458" w:type="dxa"/>
          </w:tcPr>
          <w:p w:rsidR="006B6A3A" w:rsidRPr="006B6A3A" w:rsidRDefault="006B6A3A" w:rsidP="006B6A3A">
            <w:pPr>
              <w:rPr>
                <w:sz w:val="20"/>
                <w:szCs w:val="20"/>
              </w:rPr>
            </w:pPr>
            <w:r w:rsidRPr="006B6A3A">
              <w:rPr>
                <w:b/>
                <w:sz w:val="20"/>
                <w:lang w:val="fr-CA"/>
              </w:rPr>
              <w:t>35279</w:t>
            </w:r>
          </w:p>
          <w:p w:rsidR="006B6A3A" w:rsidRPr="006B6A3A" w:rsidRDefault="006B6A3A" w:rsidP="006B6A3A">
            <w:pPr>
              <w:rPr>
                <w:b/>
                <w:sz w:val="20"/>
                <w:szCs w:val="20"/>
                <w:lang w:val="fr-CA"/>
              </w:rPr>
            </w:pPr>
          </w:p>
        </w:tc>
        <w:tc>
          <w:tcPr>
            <w:tcW w:w="8118" w:type="dxa"/>
          </w:tcPr>
          <w:p w:rsidR="006B6A3A" w:rsidRPr="006B6A3A" w:rsidRDefault="006B6A3A" w:rsidP="006B6A3A">
            <w:pPr>
              <w:rPr>
                <w:sz w:val="20"/>
                <w:szCs w:val="20"/>
              </w:rPr>
            </w:pPr>
            <w:r w:rsidRPr="006B6A3A">
              <w:rPr>
                <w:b/>
                <w:sz w:val="20"/>
                <w:u w:val="single"/>
              </w:rPr>
              <w:t>Vivian Chiang v. Law Society of British Columbia</w:t>
            </w:r>
            <w:r w:rsidRPr="006B6A3A">
              <w:rPr>
                <w:sz w:val="20"/>
                <w:szCs w:val="20"/>
              </w:rPr>
              <w:t xml:space="preserve"> (B.C.) (Civil) (By Leave)</w:t>
            </w:r>
          </w:p>
          <w:p w:rsidR="006B6A3A" w:rsidRPr="006B6A3A" w:rsidRDefault="006B6A3A" w:rsidP="006B6A3A">
            <w:pPr>
              <w:rPr>
                <w:sz w:val="20"/>
                <w:szCs w:val="20"/>
              </w:rPr>
            </w:pPr>
          </w:p>
        </w:tc>
      </w:tr>
      <w:tr w:rsidR="006B6A3A" w:rsidRPr="006B6A3A" w:rsidTr="00A426F6">
        <w:trPr>
          <w:cantSplit/>
        </w:trPr>
        <w:tc>
          <w:tcPr>
            <w:tcW w:w="1458" w:type="dxa"/>
          </w:tcPr>
          <w:p w:rsidR="006B6A3A" w:rsidRPr="006B6A3A" w:rsidRDefault="006B6A3A" w:rsidP="006B6A3A">
            <w:pPr>
              <w:rPr>
                <w:sz w:val="20"/>
                <w:szCs w:val="20"/>
              </w:rPr>
            </w:pPr>
            <w:r w:rsidRPr="006B6A3A">
              <w:rPr>
                <w:sz w:val="20"/>
                <w:szCs w:val="20"/>
              </w:rPr>
              <w:t>Coram :</w:t>
            </w:r>
          </w:p>
        </w:tc>
        <w:tc>
          <w:tcPr>
            <w:tcW w:w="8118" w:type="dxa"/>
          </w:tcPr>
          <w:p w:rsidR="006B6A3A" w:rsidRPr="006B6A3A" w:rsidRDefault="006B6A3A" w:rsidP="006B6A3A">
            <w:pPr>
              <w:rPr>
                <w:sz w:val="20"/>
                <w:szCs w:val="20"/>
              </w:rPr>
            </w:pPr>
            <w:r w:rsidRPr="006B6A3A">
              <w:rPr>
                <w:sz w:val="20"/>
                <w:u w:val="single"/>
              </w:rPr>
              <w:t>Fish, Rothstein and Moldaver JJ.</w:t>
            </w:r>
          </w:p>
          <w:p w:rsidR="006B6A3A" w:rsidRPr="006B6A3A" w:rsidRDefault="006B6A3A" w:rsidP="006B6A3A">
            <w:pPr>
              <w:rPr>
                <w:sz w:val="20"/>
                <w:szCs w:val="20"/>
                <w:u w:val="single"/>
              </w:rPr>
            </w:pPr>
          </w:p>
        </w:tc>
      </w:tr>
      <w:tr w:rsidR="006B6A3A" w:rsidRPr="00D41BFD" w:rsidTr="00A426F6">
        <w:trPr>
          <w:cantSplit/>
        </w:trPr>
        <w:tc>
          <w:tcPr>
            <w:tcW w:w="9576" w:type="dxa"/>
            <w:gridSpan w:val="2"/>
          </w:tcPr>
          <w:p w:rsidR="006B6A3A" w:rsidRPr="006B6A3A" w:rsidRDefault="006B6A3A" w:rsidP="006B6A3A">
            <w:pPr>
              <w:ind w:firstLine="720"/>
              <w:jc w:val="both"/>
              <w:rPr>
                <w:sz w:val="20"/>
                <w:szCs w:val="20"/>
              </w:rPr>
            </w:pPr>
            <w:r w:rsidRPr="006B6A3A">
              <w:rPr>
                <w:sz w:val="20"/>
                <w:szCs w:val="20"/>
              </w:rPr>
              <w:t>The application for leave to appeal from the judgment of the Court of Appeal for British Columbia (Vancouver), Number CA038749, 2013 BCCA 8, dated January 15, 2013, is dismissed with costs.</w:t>
            </w:r>
          </w:p>
          <w:p w:rsidR="006B6A3A" w:rsidRPr="006B6A3A" w:rsidRDefault="006B6A3A" w:rsidP="006B6A3A">
            <w:pPr>
              <w:jc w:val="both"/>
              <w:rPr>
                <w:sz w:val="20"/>
                <w:szCs w:val="20"/>
              </w:rPr>
            </w:pPr>
          </w:p>
          <w:p w:rsidR="006B6A3A" w:rsidRPr="006B6A3A" w:rsidRDefault="006B6A3A" w:rsidP="006B6A3A">
            <w:pPr>
              <w:ind w:firstLine="720"/>
              <w:jc w:val="both"/>
              <w:rPr>
                <w:sz w:val="20"/>
                <w:szCs w:val="20"/>
                <w:lang w:val="fr-CA"/>
              </w:rPr>
            </w:pPr>
            <w:r w:rsidRPr="006B6A3A">
              <w:rPr>
                <w:sz w:val="20"/>
                <w:szCs w:val="20"/>
                <w:lang w:val="fr-CA"/>
              </w:rPr>
              <w:t>La demande d’autorisation d’appel de l’arrêt de la Cour d’appel de la Colombie-Britannique (Vancouver), numéro CA038749, 2013 BCCA 8, daté du 15 janvier 2013, est rejetée avec dépens.</w:t>
            </w:r>
          </w:p>
        </w:tc>
      </w:tr>
    </w:tbl>
    <w:p w:rsidR="00AA605C" w:rsidRPr="006B6A3A" w:rsidRDefault="00AA605C" w:rsidP="00AA605C">
      <w:pPr>
        <w:rPr>
          <w:sz w:val="20"/>
          <w:szCs w:val="20"/>
          <w:lang w:val="fr-CA"/>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0505A" w:rsidRPr="00667307" w:rsidTr="00A0505A">
        <w:trPr>
          <w:trHeight w:val="20"/>
        </w:trPr>
        <w:tc>
          <w:tcPr>
            <w:tcW w:w="5000" w:type="pct"/>
            <w:gridSpan w:val="3"/>
          </w:tcPr>
          <w:p w:rsidR="00A0505A" w:rsidRPr="00667307" w:rsidRDefault="00A0505A" w:rsidP="00A0505A">
            <w:pPr>
              <w:jc w:val="both"/>
              <w:rPr>
                <w:rFonts w:eastAsia="Calibri"/>
                <w:sz w:val="20"/>
              </w:rPr>
            </w:pPr>
            <w:r w:rsidRPr="00667307">
              <w:rPr>
                <w:rFonts w:eastAsia="Calibri"/>
                <w:i/>
                <w:sz w:val="20"/>
              </w:rPr>
              <w:t>Charter of Rights</w:t>
            </w:r>
            <w:r w:rsidRPr="00667307">
              <w:rPr>
                <w:rFonts w:eastAsia="Calibri"/>
                <w:sz w:val="20"/>
              </w:rPr>
              <w:t xml:space="preserve"> – Right to Equality – Discrimination – Law of Professions – Discipline – Review panel finding Applicant guilty of professional misconduct – Whether there has been a miscarriage of justice under the </w:t>
            </w:r>
            <w:r w:rsidRPr="00667307">
              <w:rPr>
                <w:rFonts w:eastAsia="Calibri"/>
                <w:i/>
                <w:sz w:val="20"/>
              </w:rPr>
              <w:t>Charter</w:t>
            </w:r>
            <w:r w:rsidRPr="00667307">
              <w:rPr>
                <w:rFonts w:eastAsia="Calibri"/>
                <w:sz w:val="20"/>
              </w:rPr>
              <w:t xml:space="preserve"> – Whether law with respect to civil liability for malicious prosecution requires clarification – Whether there is inherent discretion of court to control its own docket and correct errors by provincial courts – Whether there is conflicting construction of provincial legislation regulating lawyers and standards of administrative review – Whether there are inconsistent decisions, standards and findings – Whether public interest in effective and impartial administration of justice requires protection – Whether administrative law and regulation of legal profession requires direction.</w:t>
            </w:r>
          </w:p>
        </w:tc>
      </w:tr>
      <w:tr w:rsidR="00A0505A" w:rsidRPr="00667307" w:rsidTr="00A0505A">
        <w:tc>
          <w:tcPr>
            <w:tcW w:w="5000" w:type="pct"/>
            <w:gridSpan w:val="3"/>
          </w:tcPr>
          <w:p w:rsidR="00A0505A" w:rsidRPr="00667307" w:rsidRDefault="00A0505A" w:rsidP="00A0505A">
            <w:pPr>
              <w:jc w:val="both"/>
              <w:rPr>
                <w:rFonts w:eastAsia="Calibri"/>
                <w:sz w:val="20"/>
              </w:rPr>
            </w:pPr>
          </w:p>
        </w:tc>
      </w:tr>
      <w:tr w:rsidR="00A0505A" w:rsidRPr="00667307" w:rsidTr="00A0505A">
        <w:tc>
          <w:tcPr>
            <w:tcW w:w="5000" w:type="pct"/>
            <w:gridSpan w:val="3"/>
          </w:tcPr>
          <w:p w:rsidR="00A0505A" w:rsidRPr="00667307" w:rsidRDefault="00A0505A" w:rsidP="00A0505A">
            <w:pPr>
              <w:jc w:val="both"/>
              <w:rPr>
                <w:rFonts w:eastAsia="Calibri"/>
                <w:sz w:val="20"/>
              </w:rPr>
            </w:pPr>
            <w:r w:rsidRPr="00667307">
              <w:rPr>
                <w:rFonts w:eastAsia="Calibri"/>
                <w:sz w:val="20"/>
              </w:rPr>
              <w:t xml:space="preserve">Ms. Chiang is a lawyer and a part-time member of the Law Society of British Columbia.  In 2004, she was also the president of Freshway Specialty Foods Ltd. (“Freshway”), a wholesale marketer of fruits and vegetables.  Freshway was a member of the Fruit and Vegetable Dispute Resolution Corporation (“DRC”) that provided dispute resolution services to its members.  In a dispute with one of its suppliers that was submitted to the DRC, Freshway was ordered to pay approximately $13,000 to the supplier.  When Freshway did not comply, its membership was suspended and the DRC notified its other members of the suspension.  On behalf of Freshway, Ms. Chiang sought the assistance of the court to set aside the suspension and to obtain other relief.  On March 11, 2005 she appeared before Gill J. on an </w:t>
            </w:r>
            <w:r w:rsidRPr="00667307">
              <w:rPr>
                <w:rFonts w:eastAsia="Calibri"/>
                <w:i/>
                <w:sz w:val="20"/>
              </w:rPr>
              <w:t>ex parte</w:t>
            </w:r>
            <w:r w:rsidRPr="00667307">
              <w:rPr>
                <w:rFonts w:eastAsia="Calibri"/>
                <w:sz w:val="20"/>
              </w:rPr>
              <w:t xml:space="preserve"> application, seeking three claims for relief.  Gill J. refused the application but granted short leave regarding the claim for injunctive relief.  Ms. Chiang did not disclose that she was a lawyer, and Gill J. assisted in the drafting of the order for short leave.  Gill J. did not expressly identify the relief for which short leave had been refused, nor the one ground for which short leave was granted.  A few days later, Ms. Chiang appeared before Smith J. seeking three grounds of relief.  She did not advise the court that short leave had only been granted on one ground.  Smith J. dismissed the application.  Counsel for the other side laid a complaint involving four allegations with the Law Society concerning Ms. Chiang’s conduct. </w:t>
            </w:r>
          </w:p>
          <w:p w:rsidR="00A0505A" w:rsidRPr="00667307" w:rsidRDefault="00A0505A" w:rsidP="00A0505A">
            <w:pPr>
              <w:jc w:val="both"/>
              <w:rPr>
                <w:rFonts w:eastAsia="Calibri"/>
                <w:sz w:val="20"/>
              </w:rPr>
            </w:pPr>
          </w:p>
        </w:tc>
      </w:tr>
      <w:tr w:rsidR="00A0505A" w:rsidRPr="00667307" w:rsidTr="00A0505A">
        <w:tc>
          <w:tcPr>
            <w:tcW w:w="2427" w:type="pct"/>
          </w:tcPr>
          <w:p w:rsidR="00A0505A" w:rsidRPr="00667307" w:rsidRDefault="00A0505A" w:rsidP="00A0505A">
            <w:pPr>
              <w:jc w:val="both"/>
              <w:rPr>
                <w:rFonts w:eastAsia="Calibri"/>
                <w:sz w:val="20"/>
              </w:rPr>
            </w:pPr>
            <w:r w:rsidRPr="00667307">
              <w:rPr>
                <w:rFonts w:eastAsia="Calibri"/>
                <w:sz w:val="20"/>
              </w:rPr>
              <w:lastRenderedPageBreak/>
              <w:t>June 17, 2009</w:t>
            </w:r>
          </w:p>
          <w:p w:rsidR="00A0505A" w:rsidRPr="00667307" w:rsidRDefault="00A0505A" w:rsidP="00A0505A">
            <w:pPr>
              <w:jc w:val="both"/>
              <w:rPr>
                <w:rFonts w:eastAsia="Calibri"/>
                <w:sz w:val="20"/>
              </w:rPr>
            </w:pPr>
            <w:r w:rsidRPr="00667307">
              <w:rPr>
                <w:rFonts w:eastAsia="Calibri"/>
                <w:sz w:val="20"/>
              </w:rPr>
              <w:t>Law Society of British Columbia</w:t>
            </w:r>
          </w:p>
          <w:p w:rsidR="00A0505A" w:rsidRPr="00667307" w:rsidRDefault="00A0505A" w:rsidP="00A0505A">
            <w:pPr>
              <w:jc w:val="both"/>
              <w:rPr>
                <w:rFonts w:eastAsia="Calibri"/>
                <w:sz w:val="20"/>
              </w:rPr>
            </w:pPr>
            <w:r w:rsidRPr="00667307">
              <w:rPr>
                <w:rFonts w:eastAsia="Calibri"/>
                <w:sz w:val="20"/>
              </w:rPr>
              <w:t xml:space="preserve">(O’Grady (Chair), Warner QC and Alexander </w:t>
            </w:r>
          </w:p>
          <w:p w:rsidR="00A0505A" w:rsidRPr="00667307" w:rsidRDefault="00A0505A" w:rsidP="00A0505A">
            <w:pPr>
              <w:jc w:val="both"/>
              <w:rPr>
                <w:rFonts w:eastAsia="Calibri"/>
                <w:sz w:val="20"/>
              </w:rPr>
            </w:pPr>
            <w:r w:rsidRPr="00667307">
              <w:rPr>
                <w:rFonts w:eastAsia="Calibri"/>
                <w:sz w:val="20"/>
              </w:rPr>
              <w:t>QC [dissenting])</w:t>
            </w:r>
          </w:p>
          <w:p w:rsidR="00A0505A" w:rsidRPr="00667307" w:rsidRDefault="00A0505A" w:rsidP="00A0505A">
            <w:pPr>
              <w:jc w:val="both"/>
              <w:rPr>
                <w:rFonts w:eastAsia="Calibri"/>
                <w:sz w:val="20"/>
              </w:rPr>
            </w:pPr>
            <w:r w:rsidRPr="00667307">
              <w:rPr>
                <w:rFonts w:eastAsia="Calibri"/>
                <w:sz w:val="20"/>
              </w:rPr>
              <w:t>2009 LSBC 19</w:t>
            </w:r>
          </w:p>
          <w:p w:rsidR="00A0505A" w:rsidRPr="00667307" w:rsidRDefault="00A0505A" w:rsidP="00A0505A">
            <w:pPr>
              <w:jc w:val="both"/>
              <w:rPr>
                <w:rFonts w:eastAsia="Calibri"/>
                <w:sz w:val="20"/>
              </w:rPr>
            </w:pPr>
          </w:p>
        </w:tc>
        <w:tc>
          <w:tcPr>
            <w:tcW w:w="243" w:type="pct"/>
          </w:tcPr>
          <w:p w:rsidR="00A0505A" w:rsidRPr="00667307" w:rsidRDefault="00A0505A" w:rsidP="00A0505A">
            <w:pPr>
              <w:jc w:val="both"/>
              <w:rPr>
                <w:rFonts w:eastAsia="Calibri"/>
                <w:sz w:val="20"/>
              </w:rPr>
            </w:pPr>
          </w:p>
        </w:tc>
        <w:tc>
          <w:tcPr>
            <w:tcW w:w="2330" w:type="pct"/>
          </w:tcPr>
          <w:p w:rsidR="00A0505A" w:rsidRPr="00667307" w:rsidRDefault="00A0505A" w:rsidP="00A0505A">
            <w:pPr>
              <w:jc w:val="both"/>
              <w:rPr>
                <w:rFonts w:eastAsia="Calibri"/>
                <w:sz w:val="20"/>
              </w:rPr>
            </w:pPr>
            <w:r w:rsidRPr="00667307">
              <w:rPr>
                <w:rFonts w:eastAsia="Calibri"/>
                <w:sz w:val="20"/>
              </w:rPr>
              <w:t>All acts of professional misconduct cited against Applicant dismissed</w:t>
            </w:r>
          </w:p>
        </w:tc>
      </w:tr>
      <w:tr w:rsidR="00A0505A" w:rsidRPr="00667307" w:rsidTr="00A0505A">
        <w:tc>
          <w:tcPr>
            <w:tcW w:w="2427" w:type="pct"/>
          </w:tcPr>
          <w:p w:rsidR="00A0505A" w:rsidRPr="00667307" w:rsidRDefault="00A0505A" w:rsidP="00A0505A">
            <w:pPr>
              <w:jc w:val="both"/>
              <w:rPr>
                <w:rFonts w:eastAsia="Calibri"/>
                <w:sz w:val="20"/>
              </w:rPr>
            </w:pPr>
            <w:r w:rsidRPr="00667307">
              <w:rPr>
                <w:rFonts w:eastAsia="Calibri"/>
                <w:sz w:val="20"/>
              </w:rPr>
              <w:t>December 20, 2010</w:t>
            </w:r>
          </w:p>
          <w:p w:rsidR="00A0505A" w:rsidRPr="00667307" w:rsidRDefault="00A0505A" w:rsidP="00A0505A">
            <w:pPr>
              <w:jc w:val="both"/>
              <w:rPr>
                <w:rFonts w:eastAsia="Calibri"/>
                <w:sz w:val="20"/>
              </w:rPr>
            </w:pPr>
            <w:r w:rsidRPr="00667307">
              <w:rPr>
                <w:rFonts w:eastAsia="Calibri"/>
                <w:sz w:val="20"/>
              </w:rPr>
              <w:t>Law Society of British Columbia</w:t>
            </w:r>
          </w:p>
          <w:p w:rsidR="00A0505A" w:rsidRPr="00667307" w:rsidRDefault="00A0505A" w:rsidP="00A0505A">
            <w:pPr>
              <w:jc w:val="both"/>
              <w:rPr>
                <w:rFonts w:eastAsia="Calibri"/>
                <w:sz w:val="20"/>
              </w:rPr>
            </w:pPr>
            <w:r w:rsidRPr="00667307">
              <w:rPr>
                <w:rFonts w:eastAsia="Calibri"/>
                <w:sz w:val="20"/>
              </w:rPr>
              <w:t>Decision of Benchers</w:t>
            </w:r>
          </w:p>
          <w:p w:rsidR="00A0505A" w:rsidRPr="00667307" w:rsidRDefault="00A0505A" w:rsidP="00A0505A">
            <w:pPr>
              <w:jc w:val="both"/>
              <w:rPr>
                <w:rFonts w:eastAsia="Calibri"/>
                <w:sz w:val="20"/>
              </w:rPr>
            </w:pPr>
            <w:r w:rsidRPr="00667307">
              <w:rPr>
                <w:rFonts w:eastAsia="Calibri"/>
                <w:sz w:val="20"/>
              </w:rPr>
              <w:t xml:space="preserve">(Ridgway QC (Chair), Blom QC, Getz QC, </w:t>
            </w:r>
          </w:p>
          <w:p w:rsidR="00A0505A" w:rsidRPr="00667307" w:rsidRDefault="00A0505A" w:rsidP="00A0505A">
            <w:pPr>
              <w:jc w:val="both"/>
              <w:rPr>
                <w:rFonts w:eastAsia="Calibri"/>
                <w:sz w:val="20"/>
              </w:rPr>
            </w:pPr>
            <w:r w:rsidRPr="00667307">
              <w:rPr>
                <w:rFonts w:eastAsia="Calibri"/>
                <w:sz w:val="20"/>
              </w:rPr>
              <w:t>Meisner, Ongman, Petrisor and Sas QC)</w:t>
            </w:r>
          </w:p>
          <w:p w:rsidR="00A0505A" w:rsidRPr="00667307" w:rsidRDefault="00A0505A" w:rsidP="00A0505A">
            <w:pPr>
              <w:jc w:val="both"/>
              <w:rPr>
                <w:rFonts w:eastAsia="Calibri"/>
                <w:sz w:val="20"/>
              </w:rPr>
            </w:pPr>
            <w:r w:rsidRPr="00667307">
              <w:rPr>
                <w:rFonts w:eastAsia="Calibri"/>
                <w:sz w:val="20"/>
              </w:rPr>
              <w:t>2010 LSBC 29</w:t>
            </w:r>
          </w:p>
          <w:p w:rsidR="00A0505A" w:rsidRPr="00667307" w:rsidRDefault="00A0505A" w:rsidP="00A0505A">
            <w:pPr>
              <w:jc w:val="both"/>
              <w:rPr>
                <w:rFonts w:eastAsia="Calibri"/>
                <w:sz w:val="20"/>
              </w:rPr>
            </w:pPr>
          </w:p>
        </w:tc>
        <w:tc>
          <w:tcPr>
            <w:tcW w:w="243" w:type="pct"/>
          </w:tcPr>
          <w:p w:rsidR="00A0505A" w:rsidRPr="00667307" w:rsidRDefault="00A0505A" w:rsidP="00A0505A">
            <w:pPr>
              <w:jc w:val="both"/>
              <w:rPr>
                <w:rFonts w:eastAsia="Calibri"/>
                <w:sz w:val="20"/>
              </w:rPr>
            </w:pPr>
          </w:p>
        </w:tc>
        <w:tc>
          <w:tcPr>
            <w:tcW w:w="2330" w:type="pct"/>
          </w:tcPr>
          <w:p w:rsidR="00A0505A" w:rsidRPr="00667307" w:rsidRDefault="00A0505A" w:rsidP="00A0505A">
            <w:pPr>
              <w:jc w:val="both"/>
              <w:rPr>
                <w:rFonts w:eastAsia="Calibri"/>
                <w:sz w:val="20"/>
              </w:rPr>
            </w:pPr>
            <w:r w:rsidRPr="00667307">
              <w:rPr>
                <w:rFonts w:eastAsia="Calibri"/>
                <w:sz w:val="20"/>
              </w:rPr>
              <w:t>Law Society’s appeal allowed; Applicant held to have committed one act of professional misconduct</w:t>
            </w:r>
          </w:p>
        </w:tc>
      </w:tr>
      <w:tr w:rsidR="00A0505A" w:rsidRPr="00667307" w:rsidTr="00A0505A">
        <w:tc>
          <w:tcPr>
            <w:tcW w:w="2427" w:type="pct"/>
          </w:tcPr>
          <w:p w:rsidR="00A0505A" w:rsidRPr="00667307" w:rsidRDefault="00A0505A" w:rsidP="00A0505A">
            <w:pPr>
              <w:jc w:val="both"/>
              <w:rPr>
                <w:rFonts w:eastAsia="Calibri"/>
                <w:sz w:val="20"/>
              </w:rPr>
            </w:pPr>
            <w:r w:rsidRPr="00667307">
              <w:rPr>
                <w:rFonts w:eastAsia="Calibri"/>
                <w:sz w:val="20"/>
              </w:rPr>
              <w:t>January 15, 2013</w:t>
            </w:r>
          </w:p>
          <w:p w:rsidR="00A0505A" w:rsidRPr="00667307" w:rsidRDefault="00A0505A" w:rsidP="00A0505A">
            <w:pPr>
              <w:jc w:val="both"/>
              <w:rPr>
                <w:rFonts w:eastAsia="Calibri"/>
                <w:sz w:val="20"/>
              </w:rPr>
            </w:pPr>
            <w:r w:rsidRPr="00667307">
              <w:rPr>
                <w:rFonts w:eastAsia="Calibri"/>
                <w:sz w:val="20"/>
              </w:rPr>
              <w:t xml:space="preserve">Court of Appeal for British Columbia </w:t>
            </w:r>
          </w:p>
          <w:p w:rsidR="00A0505A" w:rsidRPr="00667307" w:rsidRDefault="00A0505A" w:rsidP="00A0505A">
            <w:pPr>
              <w:jc w:val="both"/>
              <w:rPr>
                <w:rFonts w:eastAsia="Calibri"/>
                <w:sz w:val="20"/>
              </w:rPr>
            </w:pPr>
            <w:r w:rsidRPr="00667307">
              <w:rPr>
                <w:rFonts w:eastAsia="Calibri"/>
                <w:sz w:val="20"/>
              </w:rPr>
              <w:t>(Vancouver)</w:t>
            </w:r>
          </w:p>
          <w:p w:rsidR="00A0505A" w:rsidRPr="00667307" w:rsidRDefault="00A0505A" w:rsidP="00A0505A">
            <w:pPr>
              <w:jc w:val="both"/>
              <w:rPr>
                <w:rFonts w:eastAsia="Calibri"/>
                <w:sz w:val="20"/>
              </w:rPr>
            </w:pPr>
            <w:r w:rsidRPr="00667307">
              <w:rPr>
                <w:rFonts w:eastAsia="Calibri"/>
                <w:sz w:val="20"/>
              </w:rPr>
              <w:t>(Finch, Neilson and Harris JJ.A.)</w:t>
            </w:r>
          </w:p>
          <w:p w:rsidR="00A0505A" w:rsidRPr="00667307" w:rsidRDefault="00A0505A" w:rsidP="00A0505A">
            <w:pPr>
              <w:jc w:val="both"/>
              <w:rPr>
                <w:rFonts w:eastAsia="Calibri"/>
                <w:sz w:val="20"/>
              </w:rPr>
            </w:pPr>
            <w:r w:rsidRPr="00667307">
              <w:rPr>
                <w:rFonts w:eastAsia="Calibri"/>
                <w:sz w:val="20"/>
              </w:rPr>
              <w:t>2013 BCCA 8</w:t>
            </w:r>
          </w:p>
          <w:p w:rsidR="00A0505A" w:rsidRPr="00667307" w:rsidRDefault="00A0505A" w:rsidP="00A0505A">
            <w:pPr>
              <w:jc w:val="both"/>
              <w:rPr>
                <w:rFonts w:eastAsia="Calibri"/>
                <w:sz w:val="20"/>
              </w:rPr>
            </w:pPr>
          </w:p>
        </w:tc>
        <w:tc>
          <w:tcPr>
            <w:tcW w:w="243" w:type="pct"/>
          </w:tcPr>
          <w:p w:rsidR="00A0505A" w:rsidRPr="00667307" w:rsidRDefault="00A0505A" w:rsidP="00A0505A">
            <w:pPr>
              <w:jc w:val="both"/>
              <w:rPr>
                <w:rFonts w:eastAsia="Calibri"/>
                <w:sz w:val="20"/>
              </w:rPr>
            </w:pPr>
          </w:p>
        </w:tc>
        <w:tc>
          <w:tcPr>
            <w:tcW w:w="2330" w:type="pct"/>
          </w:tcPr>
          <w:p w:rsidR="00A0505A" w:rsidRPr="00667307" w:rsidRDefault="00A0505A" w:rsidP="00A0505A">
            <w:pPr>
              <w:jc w:val="both"/>
              <w:rPr>
                <w:rFonts w:eastAsia="Calibri"/>
                <w:sz w:val="20"/>
              </w:rPr>
            </w:pPr>
            <w:r w:rsidRPr="00667307">
              <w:rPr>
                <w:rFonts w:eastAsia="Calibri"/>
                <w:sz w:val="20"/>
              </w:rPr>
              <w:t>Applicant’s appeal dismissed</w:t>
            </w:r>
          </w:p>
        </w:tc>
      </w:tr>
      <w:tr w:rsidR="00A0505A" w:rsidRPr="00667307" w:rsidTr="00A0505A">
        <w:tc>
          <w:tcPr>
            <w:tcW w:w="2427" w:type="pct"/>
          </w:tcPr>
          <w:p w:rsidR="00A0505A" w:rsidRPr="00667307" w:rsidRDefault="00A0505A" w:rsidP="00A0505A">
            <w:pPr>
              <w:jc w:val="both"/>
              <w:rPr>
                <w:rFonts w:eastAsia="Calibri"/>
                <w:sz w:val="20"/>
              </w:rPr>
            </w:pPr>
            <w:r w:rsidRPr="00667307">
              <w:rPr>
                <w:rFonts w:eastAsia="Calibri"/>
                <w:sz w:val="20"/>
              </w:rPr>
              <w:t>March 14, 2013</w:t>
            </w:r>
          </w:p>
          <w:p w:rsidR="00A0505A" w:rsidRPr="00667307" w:rsidRDefault="00A0505A" w:rsidP="00A0505A">
            <w:pPr>
              <w:jc w:val="both"/>
              <w:rPr>
                <w:rFonts w:eastAsia="Calibri"/>
                <w:sz w:val="20"/>
              </w:rPr>
            </w:pPr>
            <w:r w:rsidRPr="00667307">
              <w:rPr>
                <w:rFonts w:eastAsia="Calibri"/>
                <w:sz w:val="20"/>
              </w:rPr>
              <w:t>Supreme Court of Canada</w:t>
            </w:r>
          </w:p>
        </w:tc>
        <w:tc>
          <w:tcPr>
            <w:tcW w:w="243" w:type="pct"/>
          </w:tcPr>
          <w:p w:rsidR="00A0505A" w:rsidRPr="00667307" w:rsidRDefault="00A0505A" w:rsidP="00A0505A">
            <w:pPr>
              <w:jc w:val="both"/>
              <w:rPr>
                <w:rFonts w:eastAsia="Calibri"/>
                <w:sz w:val="20"/>
              </w:rPr>
            </w:pPr>
          </w:p>
        </w:tc>
        <w:tc>
          <w:tcPr>
            <w:tcW w:w="2330" w:type="pct"/>
          </w:tcPr>
          <w:p w:rsidR="00A0505A" w:rsidRPr="00667307" w:rsidRDefault="00A0505A" w:rsidP="00A0505A">
            <w:pPr>
              <w:jc w:val="both"/>
              <w:rPr>
                <w:rFonts w:eastAsia="Calibri"/>
                <w:sz w:val="20"/>
              </w:rPr>
            </w:pPr>
            <w:r w:rsidRPr="00667307">
              <w:rPr>
                <w:rFonts w:eastAsia="Calibri"/>
                <w:sz w:val="20"/>
              </w:rPr>
              <w:t>Application for leave to appeal filed</w:t>
            </w:r>
          </w:p>
          <w:p w:rsidR="00A0505A" w:rsidRPr="00667307" w:rsidRDefault="00A0505A" w:rsidP="00A0505A">
            <w:pPr>
              <w:jc w:val="both"/>
              <w:rPr>
                <w:rFonts w:eastAsia="Calibri"/>
                <w:sz w:val="20"/>
              </w:rPr>
            </w:pP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70"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0505A" w:rsidRPr="00D41BFD" w:rsidTr="00A0505A">
        <w:trPr>
          <w:trHeight w:val="20"/>
        </w:trPr>
        <w:tc>
          <w:tcPr>
            <w:tcW w:w="5000" w:type="pct"/>
            <w:gridSpan w:val="3"/>
          </w:tcPr>
          <w:p w:rsidR="00A0505A" w:rsidRPr="00667307" w:rsidRDefault="00A0505A" w:rsidP="00A0505A">
            <w:pPr>
              <w:jc w:val="both"/>
              <w:rPr>
                <w:rFonts w:eastAsia="Calibri"/>
                <w:sz w:val="20"/>
                <w:lang w:val="fr-CA"/>
              </w:rPr>
            </w:pPr>
            <w:r w:rsidRPr="00667307">
              <w:rPr>
                <w:rFonts w:eastAsia="Calibri"/>
                <w:i/>
                <w:sz w:val="20"/>
                <w:lang w:val="fr-CA"/>
              </w:rPr>
              <w:t>Charte de droits</w:t>
            </w:r>
            <w:r w:rsidRPr="00667307">
              <w:rPr>
                <w:rFonts w:eastAsia="Calibri"/>
                <w:sz w:val="20"/>
                <w:lang w:val="fr-CA"/>
              </w:rPr>
              <w:t xml:space="preserve"> – Droit à l’égalité – Discrimination – Droit des professions – Discipline – Un comité d’examen a déclaré la demanderesse coupable d’inconduite professionnelle – Y a-t-il eu erreur judiciaire au regard de la </w:t>
            </w:r>
            <w:r w:rsidRPr="00667307">
              <w:rPr>
                <w:rFonts w:eastAsia="Calibri"/>
                <w:i/>
                <w:sz w:val="20"/>
                <w:lang w:val="fr-CA"/>
              </w:rPr>
              <w:t>Charte</w:t>
            </w:r>
            <w:r w:rsidRPr="00667307">
              <w:rPr>
                <w:rFonts w:eastAsia="Calibri"/>
                <w:sz w:val="20"/>
                <w:lang w:val="fr-CA"/>
              </w:rPr>
              <w:t>? – Y a-t-il lieu de clarifier le droit relatif à la responsabilité civile pour poursuite abusive? – La cour a-t-elle compétence inhérente pour contrôler son propre rôle et pour corriger les erreurs commises par les cours provinciales? – Y a-t-il des interprétations opposées des lois provinciales réglementant les avocats et des normes de contrôle administratif? – Y a-t-il des décisions, des normes et des conclusions opposées? – L’intérêt du public relatif à l’administration efficace et impartiale de la justice doit-il être protégé? – Y a-t-il lieu de donner des directives sur le droit administratif et la réglementation de la profession d’avocat?</w:t>
            </w:r>
          </w:p>
        </w:tc>
      </w:tr>
      <w:tr w:rsidR="00A0505A" w:rsidRPr="00D41BFD" w:rsidTr="00A0505A">
        <w:tc>
          <w:tcPr>
            <w:tcW w:w="5000" w:type="pct"/>
            <w:gridSpan w:val="3"/>
          </w:tcPr>
          <w:p w:rsidR="00A0505A" w:rsidRPr="00667307" w:rsidRDefault="00A0505A" w:rsidP="00A0505A">
            <w:pPr>
              <w:jc w:val="both"/>
              <w:rPr>
                <w:rFonts w:eastAsia="Calibri"/>
                <w:sz w:val="20"/>
                <w:lang w:val="fr-CA"/>
              </w:rPr>
            </w:pPr>
          </w:p>
        </w:tc>
      </w:tr>
      <w:tr w:rsidR="00A0505A" w:rsidRPr="00D41BFD" w:rsidTr="00A0505A">
        <w:tc>
          <w:tcPr>
            <w:tcW w:w="5000" w:type="pct"/>
            <w:gridSpan w:val="3"/>
          </w:tcPr>
          <w:p w:rsidR="00A0505A" w:rsidRPr="00667307" w:rsidRDefault="00A0505A" w:rsidP="00A0505A">
            <w:pPr>
              <w:jc w:val="both"/>
              <w:rPr>
                <w:rFonts w:eastAsia="Calibri"/>
                <w:sz w:val="20"/>
                <w:lang w:val="fr-CA"/>
              </w:rPr>
            </w:pPr>
            <w:r w:rsidRPr="00667307">
              <w:rPr>
                <w:rFonts w:eastAsia="Calibri"/>
                <w:sz w:val="20"/>
                <w:lang w:val="fr-CA"/>
              </w:rPr>
              <w:t xml:space="preserve">Madame Chiang est avocate et membre à temps partiel de la Law Society of British Columbia. En 2004, elle était également présidente de Freshway Specialty Foods Ltd. (« Freshway »), une grossiste en fruits et légumes.  Freshway était membre de la Fruit and Vegetable Dispute Resolution Corporation (« DRC ») qui fournissait des services de règlement des différends à ses membres.  Dans un différend avec un de ses fournisseurs soumis à DRC, Freshway a été condamnée à payer environ 13 000 $ au fournisseur.  Lorsque Freshway n’a pas respecté la sentence, son adhésion a été suspendue et DRC a avisé ses autres membres de la suspension.  Au nom de Freshway, Mme Chiang a demandé à la cour d’annuler la suspension et d’autres réparations.  Le 11 mars 2005, elle a comparu devant la juge Gill relativement à une demande </w:t>
            </w:r>
            <w:r w:rsidRPr="00667307">
              <w:rPr>
                <w:rFonts w:eastAsia="Calibri"/>
                <w:i/>
                <w:sz w:val="20"/>
                <w:lang w:val="fr-CA"/>
              </w:rPr>
              <w:t>ex parte</w:t>
            </w:r>
            <w:r w:rsidRPr="00667307">
              <w:rPr>
                <w:rFonts w:eastAsia="Calibri"/>
                <w:sz w:val="20"/>
                <w:lang w:val="fr-CA"/>
              </w:rPr>
              <w:t xml:space="preserve">, en vue d’obtenir trois mesures de réparation.  La juge Gill a rejeté la demande, mais a accordé l’autorisation sommaire relativement à la demande d’injonction.  Madame Chiang n’a pas révélé qu’elle était avocate, et la juge Gill a aidé à la rédaction de l’ordonnance d’autorisation sommaire.  La juge Gill n’a pas expressément identifié la réparation pour laquelle l’autorisation sommaire avait été refusée, non plus que le seul motif pour lequel l’autorisation sommaire a été accordée.  Quelques jours plus tard, Mme Chiang a comparu devant la juge Smith, sollicitant trois motifs de réparation.  Elle n’a pas informé la cour que l’autorisation sommaire n’avait été accordée que pour un motif.  La juge Smith a rejeté la demande.  L’avocat de la partie adverse a déposé une plainte sous quatre allégations à la Law Society relativement au comportement de Mme Chiang. </w:t>
            </w:r>
          </w:p>
          <w:p w:rsidR="00A0505A" w:rsidRPr="00667307" w:rsidRDefault="00A0505A" w:rsidP="00A0505A">
            <w:pPr>
              <w:jc w:val="both"/>
              <w:rPr>
                <w:rFonts w:eastAsia="Calibri"/>
                <w:sz w:val="20"/>
                <w:lang w:val="fr-CA"/>
              </w:rPr>
            </w:pPr>
          </w:p>
        </w:tc>
      </w:tr>
      <w:tr w:rsidR="00A0505A" w:rsidRPr="00D41BFD" w:rsidTr="00A0505A">
        <w:tc>
          <w:tcPr>
            <w:tcW w:w="2427" w:type="pct"/>
          </w:tcPr>
          <w:p w:rsidR="00A0505A" w:rsidRPr="00667307" w:rsidRDefault="00A0505A" w:rsidP="00A0505A">
            <w:pPr>
              <w:jc w:val="both"/>
              <w:rPr>
                <w:rFonts w:eastAsia="Calibri"/>
                <w:sz w:val="20"/>
              </w:rPr>
            </w:pPr>
            <w:r w:rsidRPr="00667307">
              <w:rPr>
                <w:rFonts w:eastAsia="Calibri"/>
                <w:sz w:val="20"/>
              </w:rPr>
              <w:lastRenderedPageBreak/>
              <w:t>17 juin 2009</w:t>
            </w:r>
          </w:p>
          <w:p w:rsidR="00A0505A" w:rsidRPr="00667307" w:rsidRDefault="00A0505A" w:rsidP="00A0505A">
            <w:pPr>
              <w:jc w:val="both"/>
              <w:rPr>
                <w:rFonts w:eastAsia="Calibri"/>
                <w:sz w:val="20"/>
              </w:rPr>
            </w:pPr>
            <w:r w:rsidRPr="00667307">
              <w:rPr>
                <w:rFonts w:eastAsia="Calibri"/>
                <w:sz w:val="20"/>
              </w:rPr>
              <w:t>Law Society of British Columbia</w:t>
            </w:r>
          </w:p>
          <w:p w:rsidR="00A0505A" w:rsidRPr="00667307" w:rsidRDefault="00A0505A" w:rsidP="00A0505A">
            <w:pPr>
              <w:jc w:val="both"/>
              <w:rPr>
                <w:rFonts w:eastAsia="Calibri"/>
                <w:sz w:val="20"/>
                <w:lang w:val="fr-CA"/>
              </w:rPr>
            </w:pPr>
            <w:r w:rsidRPr="00667307">
              <w:rPr>
                <w:rFonts w:eastAsia="Calibri"/>
                <w:sz w:val="20"/>
                <w:lang w:val="fr-CA"/>
              </w:rPr>
              <w:t>(M</w:t>
            </w:r>
            <w:r w:rsidRPr="00667307">
              <w:rPr>
                <w:rFonts w:eastAsia="Calibri"/>
                <w:sz w:val="20"/>
                <w:vertAlign w:val="superscript"/>
                <w:lang w:val="fr-CA"/>
              </w:rPr>
              <w:t>es</w:t>
            </w:r>
            <w:r w:rsidRPr="00667307">
              <w:rPr>
                <w:rFonts w:eastAsia="Calibri"/>
                <w:sz w:val="20"/>
                <w:lang w:val="fr-CA"/>
              </w:rPr>
              <w:t xml:space="preserve"> O’Grady (présidente), Warner, c.r. et Alexander, c.r. [dissident])</w:t>
            </w:r>
          </w:p>
          <w:p w:rsidR="00A0505A" w:rsidRPr="00667307" w:rsidRDefault="00A0505A" w:rsidP="00A0505A">
            <w:pPr>
              <w:jc w:val="both"/>
              <w:rPr>
                <w:rFonts w:eastAsia="Calibri"/>
                <w:sz w:val="20"/>
                <w:lang w:val="fr-CA"/>
              </w:rPr>
            </w:pPr>
            <w:r w:rsidRPr="00667307">
              <w:rPr>
                <w:rFonts w:eastAsia="Calibri"/>
                <w:sz w:val="20"/>
                <w:lang w:val="fr-CA"/>
              </w:rPr>
              <w:t>2009 LSBC 19</w:t>
            </w:r>
          </w:p>
          <w:p w:rsidR="00A0505A" w:rsidRPr="00667307" w:rsidRDefault="00A0505A" w:rsidP="00A0505A">
            <w:pPr>
              <w:jc w:val="both"/>
              <w:rPr>
                <w:rFonts w:eastAsia="Calibri"/>
                <w:sz w:val="20"/>
                <w:lang w:val="fr-CA"/>
              </w:rPr>
            </w:pPr>
          </w:p>
        </w:tc>
        <w:tc>
          <w:tcPr>
            <w:tcW w:w="243" w:type="pct"/>
          </w:tcPr>
          <w:p w:rsidR="00A0505A" w:rsidRPr="00667307" w:rsidRDefault="00A0505A" w:rsidP="00A0505A">
            <w:pPr>
              <w:jc w:val="both"/>
              <w:rPr>
                <w:rFonts w:eastAsia="Calibri"/>
                <w:sz w:val="20"/>
                <w:lang w:val="fr-CA"/>
              </w:rPr>
            </w:pPr>
          </w:p>
        </w:tc>
        <w:tc>
          <w:tcPr>
            <w:tcW w:w="2330" w:type="pct"/>
          </w:tcPr>
          <w:p w:rsidR="00A0505A" w:rsidRPr="00667307" w:rsidRDefault="00A0505A" w:rsidP="00A0505A">
            <w:pPr>
              <w:jc w:val="both"/>
              <w:rPr>
                <w:rFonts w:eastAsia="Calibri"/>
                <w:sz w:val="20"/>
                <w:lang w:val="fr-CA"/>
              </w:rPr>
            </w:pPr>
            <w:r w:rsidRPr="00667307">
              <w:rPr>
                <w:rFonts w:eastAsia="Calibri"/>
                <w:sz w:val="20"/>
                <w:lang w:val="fr-CA"/>
              </w:rPr>
              <w:t>Toutes les accusations d’inconduite professionnelle portées contre la demanderesse, rejetées</w:t>
            </w:r>
          </w:p>
        </w:tc>
      </w:tr>
      <w:tr w:rsidR="00A0505A" w:rsidRPr="00D41BFD" w:rsidTr="00A0505A">
        <w:tc>
          <w:tcPr>
            <w:tcW w:w="2427" w:type="pct"/>
          </w:tcPr>
          <w:p w:rsidR="00A0505A" w:rsidRPr="00667307" w:rsidRDefault="00A0505A" w:rsidP="00A0505A">
            <w:pPr>
              <w:jc w:val="both"/>
              <w:rPr>
                <w:rFonts w:eastAsia="Calibri"/>
                <w:sz w:val="20"/>
              </w:rPr>
            </w:pPr>
            <w:r w:rsidRPr="00667307">
              <w:rPr>
                <w:rFonts w:eastAsia="Calibri"/>
                <w:sz w:val="20"/>
              </w:rPr>
              <w:t>20 décembre 2010</w:t>
            </w:r>
          </w:p>
          <w:p w:rsidR="00A0505A" w:rsidRPr="00667307" w:rsidRDefault="00A0505A" w:rsidP="00A0505A">
            <w:pPr>
              <w:jc w:val="both"/>
              <w:rPr>
                <w:rFonts w:eastAsia="Calibri"/>
                <w:sz w:val="20"/>
              </w:rPr>
            </w:pPr>
            <w:r w:rsidRPr="00667307">
              <w:rPr>
                <w:rFonts w:eastAsia="Calibri"/>
                <w:sz w:val="20"/>
              </w:rPr>
              <w:t>Law Society of British Columbia</w:t>
            </w:r>
          </w:p>
          <w:p w:rsidR="00A0505A" w:rsidRPr="00667307" w:rsidRDefault="00A0505A" w:rsidP="00A0505A">
            <w:pPr>
              <w:jc w:val="both"/>
              <w:rPr>
                <w:rFonts w:eastAsia="Calibri"/>
                <w:sz w:val="20"/>
                <w:lang w:val="fr-CA"/>
              </w:rPr>
            </w:pPr>
            <w:r w:rsidRPr="00667307">
              <w:rPr>
                <w:rFonts w:eastAsia="Calibri"/>
                <w:sz w:val="20"/>
                <w:lang w:val="fr-CA"/>
              </w:rPr>
              <w:t>Décision des conseillers</w:t>
            </w:r>
          </w:p>
          <w:p w:rsidR="00A0505A" w:rsidRPr="00667307" w:rsidRDefault="00A0505A" w:rsidP="00A0505A">
            <w:pPr>
              <w:jc w:val="both"/>
              <w:rPr>
                <w:rFonts w:eastAsia="Calibri"/>
                <w:sz w:val="20"/>
                <w:lang w:val="fr-CA"/>
              </w:rPr>
            </w:pPr>
            <w:r w:rsidRPr="00667307">
              <w:rPr>
                <w:rFonts w:eastAsia="Calibri"/>
                <w:sz w:val="20"/>
                <w:lang w:val="fr-CA"/>
              </w:rPr>
              <w:t>(M</w:t>
            </w:r>
            <w:r w:rsidRPr="00667307">
              <w:rPr>
                <w:rFonts w:eastAsia="Calibri"/>
                <w:sz w:val="20"/>
                <w:vertAlign w:val="superscript"/>
                <w:lang w:val="fr-CA"/>
              </w:rPr>
              <w:t>es</w:t>
            </w:r>
            <w:r w:rsidRPr="00667307">
              <w:rPr>
                <w:rFonts w:eastAsia="Calibri"/>
                <w:sz w:val="20"/>
                <w:lang w:val="fr-CA"/>
              </w:rPr>
              <w:t xml:space="preserve"> Ridgway, c.r. (président), Blom, c.r., Getz, c.r., Meisner, Ongman, Petrisor et Sas, c.r.)</w:t>
            </w:r>
          </w:p>
          <w:p w:rsidR="00A0505A" w:rsidRPr="00667307" w:rsidRDefault="00A0505A" w:rsidP="00A0505A">
            <w:pPr>
              <w:jc w:val="both"/>
              <w:rPr>
                <w:rFonts w:eastAsia="Calibri"/>
                <w:sz w:val="20"/>
                <w:lang w:val="fr-CA"/>
              </w:rPr>
            </w:pPr>
            <w:r w:rsidRPr="00667307">
              <w:rPr>
                <w:rFonts w:eastAsia="Calibri"/>
                <w:sz w:val="20"/>
                <w:lang w:val="fr-CA"/>
              </w:rPr>
              <w:t>2010 LSBC 29</w:t>
            </w:r>
          </w:p>
          <w:p w:rsidR="00A0505A" w:rsidRPr="00667307" w:rsidRDefault="00A0505A" w:rsidP="00A0505A">
            <w:pPr>
              <w:jc w:val="both"/>
              <w:rPr>
                <w:rFonts w:eastAsia="Calibri"/>
                <w:sz w:val="20"/>
                <w:lang w:val="fr-CA"/>
              </w:rPr>
            </w:pPr>
          </w:p>
        </w:tc>
        <w:tc>
          <w:tcPr>
            <w:tcW w:w="243" w:type="pct"/>
          </w:tcPr>
          <w:p w:rsidR="00A0505A" w:rsidRPr="00667307" w:rsidRDefault="00A0505A" w:rsidP="00A0505A">
            <w:pPr>
              <w:jc w:val="both"/>
              <w:rPr>
                <w:rFonts w:eastAsia="Calibri"/>
                <w:sz w:val="20"/>
                <w:lang w:val="fr-CA"/>
              </w:rPr>
            </w:pPr>
          </w:p>
        </w:tc>
        <w:tc>
          <w:tcPr>
            <w:tcW w:w="2330" w:type="pct"/>
          </w:tcPr>
          <w:p w:rsidR="00A0505A" w:rsidRPr="00667307" w:rsidRDefault="00A0505A" w:rsidP="00A0505A">
            <w:pPr>
              <w:jc w:val="both"/>
              <w:rPr>
                <w:rFonts w:eastAsia="Calibri"/>
                <w:sz w:val="20"/>
                <w:lang w:val="fr-CA"/>
              </w:rPr>
            </w:pPr>
            <w:r w:rsidRPr="00667307">
              <w:rPr>
                <w:rFonts w:eastAsia="Calibri"/>
                <w:sz w:val="20"/>
                <w:lang w:val="fr-CA"/>
              </w:rPr>
              <w:t>Appel de la Law Society, accueilli; demanderesse déclarée coupable d’un acte d’inconduite professionnelle</w:t>
            </w:r>
          </w:p>
        </w:tc>
      </w:tr>
      <w:tr w:rsidR="00A0505A" w:rsidRPr="00D41BFD" w:rsidTr="00A0505A">
        <w:tc>
          <w:tcPr>
            <w:tcW w:w="2427" w:type="pct"/>
          </w:tcPr>
          <w:p w:rsidR="00A0505A" w:rsidRPr="00667307" w:rsidRDefault="00A0505A" w:rsidP="00A0505A">
            <w:pPr>
              <w:jc w:val="both"/>
              <w:rPr>
                <w:rFonts w:eastAsia="Calibri"/>
                <w:sz w:val="20"/>
                <w:lang w:val="fr-CA"/>
              </w:rPr>
            </w:pPr>
            <w:r w:rsidRPr="00667307">
              <w:rPr>
                <w:rFonts w:eastAsia="Calibri"/>
                <w:sz w:val="20"/>
                <w:lang w:val="fr-CA"/>
              </w:rPr>
              <w:t>15 janvier 2013</w:t>
            </w:r>
          </w:p>
          <w:p w:rsidR="00A0505A" w:rsidRPr="00667307" w:rsidRDefault="00A0505A" w:rsidP="00A0505A">
            <w:pPr>
              <w:jc w:val="both"/>
              <w:rPr>
                <w:rFonts w:eastAsia="Calibri"/>
                <w:sz w:val="20"/>
                <w:lang w:val="fr-CA"/>
              </w:rPr>
            </w:pPr>
            <w:r w:rsidRPr="00667307">
              <w:rPr>
                <w:rFonts w:eastAsia="Calibri"/>
                <w:sz w:val="20"/>
                <w:lang w:val="fr-CA"/>
              </w:rPr>
              <w:t>Cour d’appel de la Colombie-Britannique</w:t>
            </w:r>
          </w:p>
          <w:p w:rsidR="00A0505A" w:rsidRPr="00667307" w:rsidRDefault="00A0505A" w:rsidP="00A0505A">
            <w:pPr>
              <w:jc w:val="both"/>
              <w:rPr>
                <w:rFonts w:eastAsia="Calibri"/>
                <w:sz w:val="20"/>
                <w:lang w:val="fr-CA"/>
              </w:rPr>
            </w:pPr>
            <w:r w:rsidRPr="00667307">
              <w:rPr>
                <w:rFonts w:eastAsia="Calibri"/>
                <w:sz w:val="20"/>
                <w:lang w:val="fr-CA"/>
              </w:rPr>
              <w:t>(Vancouver)</w:t>
            </w:r>
          </w:p>
          <w:p w:rsidR="00A0505A" w:rsidRPr="00667307" w:rsidRDefault="00A0505A" w:rsidP="00A0505A">
            <w:pPr>
              <w:jc w:val="both"/>
              <w:rPr>
                <w:rFonts w:eastAsia="Calibri"/>
                <w:sz w:val="20"/>
                <w:lang w:val="fr-CA"/>
              </w:rPr>
            </w:pPr>
            <w:r w:rsidRPr="00667307">
              <w:rPr>
                <w:rFonts w:eastAsia="Calibri"/>
                <w:sz w:val="20"/>
                <w:lang w:val="fr-CA"/>
              </w:rPr>
              <w:t>(Juges Finch, Neilson et Harris)</w:t>
            </w:r>
          </w:p>
          <w:p w:rsidR="00A0505A" w:rsidRPr="00667307" w:rsidRDefault="00A0505A" w:rsidP="00A0505A">
            <w:pPr>
              <w:jc w:val="both"/>
              <w:rPr>
                <w:rFonts w:eastAsia="Calibri"/>
                <w:sz w:val="20"/>
                <w:lang w:val="fr-CA"/>
              </w:rPr>
            </w:pPr>
            <w:r w:rsidRPr="00667307">
              <w:rPr>
                <w:rFonts w:eastAsia="Calibri"/>
                <w:sz w:val="20"/>
                <w:lang w:val="fr-CA"/>
              </w:rPr>
              <w:t>2013 BCCA 8</w:t>
            </w:r>
          </w:p>
          <w:p w:rsidR="00A0505A" w:rsidRPr="00667307" w:rsidRDefault="00A0505A" w:rsidP="00A0505A">
            <w:pPr>
              <w:jc w:val="both"/>
              <w:rPr>
                <w:rFonts w:eastAsia="Calibri"/>
                <w:sz w:val="20"/>
                <w:lang w:val="fr-CA"/>
              </w:rPr>
            </w:pPr>
          </w:p>
        </w:tc>
        <w:tc>
          <w:tcPr>
            <w:tcW w:w="243" w:type="pct"/>
          </w:tcPr>
          <w:p w:rsidR="00A0505A" w:rsidRPr="00667307" w:rsidRDefault="00A0505A" w:rsidP="00A0505A">
            <w:pPr>
              <w:jc w:val="both"/>
              <w:rPr>
                <w:rFonts w:eastAsia="Calibri"/>
                <w:sz w:val="20"/>
                <w:lang w:val="fr-CA"/>
              </w:rPr>
            </w:pPr>
          </w:p>
        </w:tc>
        <w:tc>
          <w:tcPr>
            <w:tcW w:w="2330" w:type="pct"/>
          </w:tcPr>
          <w:p w:rsidR="00A0505A" w:rsidRPr="00667307" w:rsidRDefault="00A0505A" w:rsidP="00A0505A">
            <w:pPr>
              <w:jc w:val="both"/>
              <w:rPr>
                <w:rFonts w:eastAsia="Calibri"/>
                <w:sz w:val="20"/>
                <w:lang w:val="fr-CA"/>
              </w:rPr>
            </w:pPr>
            <w:r w:rsidRPr="00667307">
              <w:rPr>
                <w:rFonts w:eastAsia="Calibri"/>
                <w:sz w:val="20"/>
                <w:lang w:val="fr-CA"/>
              </w:rPr>
              <w:t>Appel de la demanderesse, rejeté</w:t>
            </w:r>
          </w:p>
        </w:tc>
      </w:tr>
      <w:tr w:rsidR="00A0505A" w:rsidRPr="00667307" w:rsidTr="00A0505A">
        <w:tc>
          <w:tcPr>
            <w:tcW w:w="2427" w:type="pct"/>
          </w:tcPr>
          <w:p w:rsidR="00A0505A" w:rsidRPr="00667307" w:rsidRDefault="00A0505A" w:rsidP="00A0505A">
            <w:pPr>
              <w:jc w:val="both"/>
              <w:rPr>
                <w:rFonts w:eastAsia="Calibri"/>
                <w:sz w:val="20"/>
                <w:lang w:val="fr-CA"/>
              </w:rPr>
            </w:pPr>
            <w:r w:rsidRPr="00667307">
              <w:rPr>
                <w:rFonts w:eastAsia="Calibri"/>
                <w:sz w:val="20"/>
                <w:lang w:val="fr-CA"/>
              </w:rPr>
              <w:t>14 mars 2013</w:t>
            </w:r>
          </w:p>
          <w:p w:rsidR="00A0505A" w:rsidRPr="00667307" w:rsidRDefault="00A0505A" w:rsidP="00A0505A">
            <w:pPr>
              <w:jc w:val="both"/>
              <w:rPr>
                <w:rFonts w:eastAsia="Calibri"/>
                <w:sz w:val="20"/>
                <w:lang w:val="fr-CA"/>
              </w:rPr>
            </w:pPr>
            <w:r w:rsidRPr="00667307">
              <w:rPr>
                <w:rFonts w:eastAsia="Calibri"/>
                <w:sz w:val="20"/>
                <w:lang w:val="fr-CA"/>
              </w:rPr>
              <w:t>Cour suprême du Canada</w:t>
            </w:r>
          </w:p>
        </w:tc>
        <w:tc>
          <w:tcPr>
            <w:tcW w:w="243" w:type="pct"/>
          </w:tcPr>
          <w:p w:rsidR="00A0505A" w:rsidRPr="00667307" w:rsidRDefault="00A0505A" w:rsidP="00A0505A">
            <w:pPr>
              <w:jc w:val="both"/>
              <w:rPr>
                <w:rFonts w:eastAsia="Calibri"/>
                <w:sz w:val="20"/>
                <w:lang w:val="fr-CA"/>
              </w:rPr>
            </w:pPr>
          </w:p>
        </w:tc>
        <w:tc>
          <w:tcPr>
            <w:tcW w:w="2330" w:type="pct"/>
          </w:tcPr>
          <w:p w:rsidR="00A0505A" w:rsidRPr="00667307" w:rsidRDefault="00A0505A" w:rsidP="00A0505A">
            <w:pPr>
              <w:jc w:val="both"/>
              <w:rPr>
                <w:rFonts w:eastAsia="Calibri"/>
                <w:sz w:val="20"/>
                <w:lang w:val="fr-CA"/>
              </w:rPr>
            </w:pPr>
            <w:r w:rsidRPr="00667307">
              <w:rPr>
                <w:rFonts w:eastAsia="Calibri"/>
                <w:sz w:val="20"/>
                <w:lang w:val="fr-CA"/>
              </w:rPr>
              <w:t>Demande d’autorisation d’appel, déposée</w:t>
            </w:r>
          </w:p>
          <w:p w:rsidR="00A0505A" w:rsidRPr="00667307" w:rsidRDefault="00A0505A" w:rsidP="00A0505A">
            <w:pPr>
              <w:jc w:val="both"/>
              <w:rPr>
                <w:rFonts w:eastAsia="Calibri"/>
                <w:sz w:val="20"/>
                <w:lang w:val="fr-CA"/>
              </w:rPr>
            </w:pPr>
          </w:p>
        </w:tc>
      </w:tr>
    </w:tbl>
    <w:p w:rsidR="00AA605C" w:rsidRDefault="00AA605C" w:rsidP="00AA605C">
      <w:pPr>
        <w:rPr>
          <w:sz w:val="20"/>
          <w:szCs w:val="20"/>
        </w:rPr>
      </w:pPr>
    </w:p>
    <w:p w:rsidR="00AA605C" w:rsidRDefault="00B3404D" w:rsidP="00AA605C">
      <w:pPr>
        <w:rPr>
          <w:sz w:val="20"/>
          <w:szCs w:val="20"/>
          <w:lang w:val="fr-CA"/>
        </w:rPr>
      </w:pPr>
      <w:r w:rsidRPr="00B3404D">
        <w:rPr>
          <w:sz w:val="20"/>
          <w:szCs w:val="20"/>
          <w:lang w:val="fr-CA"/>
        </w:rPr>
        <w:pict>
          <v:rect id="_x0000_i1071" style="width:2in;height:1pt" o:hrpct="0" o:hralign="center" o:hrstd="t" o:hrnoshade="t" o:hr="t" fillcolor="black [3213]" stroked="f"/>
        </w:pict>
      </w:r>
    </w:p>
    <w:p w:rsidR="00AA605C" w:rsidRDefault="00AA605C" w:rsidP="00AA605C">
      <w:pPr>
        <w:rPr>
          <w:sz w:val="20"/>
          <w:szCs w:val="20"/>
        </w:rPr>
      </w:pPr>
    </w:p>
    <w:tbl>
      <w:tblPr>
        <w:tblStyle w:val="TableGrid1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B6A3A" w:rsidRPr="006B6A3A" w:rsidTr="00A426F6">
        <w:trPr>
          <w:cantSplit/>
        </w:trPr>
        <w:tc>
          <w:tcPr>
            <w:tcW w:w="1458" w:type="dxa"/>
          </w:tcPr>
          <w:p w:rsidR="006B6A3A" w:rsidRPr="006B6A3A" w:rsidRDefault="006B6A3A" w:rsidP="006B6A3A">
            <w:pPr>
              <w:rPr>
                <w:sz w:val="20"/>
                <w:szCs w:val="20"/>
              </w:rPr>
            </w:pPr>
            <w:r w:rsidRPr="006B6A3A">
              <w:rPr>
                <w:b/>
                <w:sz w:val="20"/>
                <w:lang w:val="fr-CA"/>
              </w:rPr>
              <w:t>35280</w:t>
            </w:r>
          </w:p>
          <w:p w:rsidR="006B6A3A" w:rsidRPr="006B6A3A" w:rsidRDefault="006B6A3A" w:rsidP="006B6A3A">
            <w:pPr>
              <w:rPr>
                <w:b/>
                <w:sz w:val="20"/>
                <w:szCs w:val="20"/>
                <w:lang w:val="fr-CA"/>
              </w:rPr>
            </w:pPr>
          </w:p>
        </w:tc>
        <w:tc>
          <w:tcPr>
            <w:tcW w:w="8118" w:type="dxa"/>
          </w:tcPr>
          <w:p w:rsidR="006B6A3A" w:rsidRPr="006B6A3A" w:rsidRDefault="006B6A3A" w:rsidP="006B6A3A">
            <w:pPr>
              <w:rPr>
                <w:sz w:val="20"/>
                <w:szCs w:val="20"/>
              </w:rPr>
            </w:pPr>
            <w:r w:rsidRPr="006B6A3A">
              <w:rPr>
                <w:b/>
                <w:sz w:val="20"/>
                <w:u w:val="single"/>
              </w:rPr>
              <w:t>Leith Dewar v. Regina Qu'Appelle Regional Health Authority</w:t>
            </w:r>
            <w:r w:rsidRPr="006B6A3A">
              <w:rPr>
                <w:sz w:val="20"/>
                <w:szCs w:val="20"/>
              </w:rPr>
              <w:t xml:space="preserve"> (Sask.) (Civil) (By Leave)</w:t>
            </w:r>
          </w:p>
          <w:p w:rsidR="006B6A3A" w:rsidRPr="006B6A3A" w:rsidRDefault="006B6A3A" w:rsidP="006B6A3A">
            <w:pPr>
              <w:rPr>
                <w:sz w:val="20"/>
                <w:szCs w:val="20"/>
              </w:rPr>
            </w:pPr>
          </w:p>
        </w:tc>
      </w:tr>
      <w:tr w:rsidR="006B6A3A" w:rsidRPr="006B6A3A" w:rsidTr="00A426F6">
        <w:trPr>
          <w:cantSplit/>
        </w:trPr>
        <w:tc>
          <w:tcPr>
            <w:tcW w:w="1458" w:type="dxa"/>
          </w:tcPr>
          <w:p w:rsidR="006B6A3A" w:rsidRPr="006B6A3A" w:rsidRDefault="006B6A3A" w:rsidP="006B6A3A">
            <w:pPr>
              <w:rPr>
                <w:sz w:val="20"/>
                <w:szCs w:val="20"/>
              </w:rPr>
            </w:pPr>
            <w:r w:rsidRPr="006B6A3A">
              <w:rPr>
                <w:sz w:val="20"/>
                <w:szCs w:val="20"/>
              </w:rPr>
              <w:t>Coram :</w:t>
            </w:r>
          </w:p>
        </w:tc>
        <w:tc>
          <w:tcPr>
            <w:tcW w:w="8118" w:type="dxa"/>
          </w:tcPr>
          <w:p w:rsidR="006B6A3A" w:rsidRPr="006B6A3A" w:rsidRDefault="006B6A3A" w:rsidP="006B6A3A">
            <w:pPr>
              <w:rPr>
                <w:sz w:val="20"/>
                <w:szCs w:val="20"/>
              </w:rPr>
            </w:pPr>
            <w:r w:rsidRPr="006B6A3A">
              <w:rPr>
                <w:sz w:val="20"/>
                <w:u w:val="single"/>
              </w:rPr>
              <w:t>Fish, Rothstein and Moldaver JJ.</w:t>
            </w:r>
          </w:p>
          <w:p w:rsidR="006B6A3A" w:rsidRPr="006B6A3A" w:rsidRDefault="006B6A3A" w:rsidP="006B6A3A">
            <w:pPr>
              <w:rPr>
                <w:sz w:val="20"/>
                <w:szCs w:val="20"/>
                <w:u w:val="single"/>
              </w:rPr>
            </w:pPr>
          </w:p>
        </w:tc>
      </w:tr>
      <w:tr w:rsidR="006B6A3A" w:rsidRPr="00D41BFD" w:rsidTr="00A426F6">
        <w:trPr>
          <w:cantSplit/>
        </w:trPr>
        <w:tc>
          <w:tcPr>
            <w:tcW w:w="9576" w:type="dxa"/>
            <w:gridSpan w:val="2"/>
          </w:tcPr>
          <w:p w:rsidR="006B6A3A" w:rsidRPr="006B6A3A" w:rsidRDefault="006B6A3A" w:rsidP="006B6A3A">
            <w:pPr>
              <w:ind w:firstLine="720"/>
              <w:jc w:val="both"/>
              <w:rPr>
                <w:sz w:val="20"/>
                <w:szCs w:val="20"/>
              </w:rPr>
            </w:pPr>
            <w:r w:rsidRPr="006B6A3A">
              <w:rPr>
                <w:sz w:val="20"/>
                <w:szCs w:val="20"/>
              </w:rPr>
              <w:t>The motion for an extension of time to serve and file the application for leave to appeal is granted. The application for leave to appeal from the judgment of the Court of Appeal for Saskatchewan, Number CACV2194, 2013 SKCA 3, dated January 15, 2013, is dismissed with costs.</w:t>
            </w:r>
          </w:p>
          <w:p w:rsidR="006B6A3A" w:rsidRPr="006B6A3A" w:rsidRDefault="006B6A3A" w:rsidP="006B6A3A">
            <w:pPr>
              <w:jc w:val="both"/>
              <w:rPr>
                <w:sz w:val="20"/>
                <w:szCs w:val="20"/>
              </w:rPr>
            </w:pPr>
          </w:p>
          <w:p w:rsidR="006B6A3A" w:rsidRPr="006B6A3A" w:rsidRDefault="006B6A3A" w:rsidP="006B6A3A">
            <w:pPr>
              <w:ind w:firstLine="720"/>
              <w:jc w:val="both"/>
              <w:rPr>
                <w:sz w:val="20"/>
                <w:szCs w:val="20"/>
                <w:lang w:val="fr-CA"/>
              </w:rPr>
            </w:pPr>
            <w:r w:rsidRPr="006B6A3A">
              <w:rPr>
                <w:sz w:val="20"/>
                <w:szCs w:val="20"/>
                <w:lang w:val="fr-CA"/>
              </w:rPr>
              <w:t>La requête en prorogation du délai de signification et de dépôt de la demande d’autorisation d’appel est accueillie. La demande d’autorisation d’appel de l’arrêt de la Cour d’appel de la Saskatchewan, numéro CACV2194, 2013 SKCA 3, daté du 15 janvier 2013, est rejetée avec dépens.</w:t>
            </w:r>
          </w:p>
        </w:tc>
      </w:tr>
    </w:tbl>
    <w:p w:rsidR="00AA605C" w:rsidRPr="006B6A3A" w:rsidRDefault="00AA605C" w:rsidP="00AA605C">
      <w:pPr>
        <w:rPr>
          <w:sz w:val="20"/>
          <w:szCs w:val="20"/>
          <w:lang w:val="fr-CA"/>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C7A9A" w:rsidRPr="00667307" w:rsidTr="00E52F75">
        <w:tc>
          <w:tcPr>
            <w:tcW w:w="5000" w:type="pct"/>
            <w:gridSpan w:val="3"/>
          </w:tcPr>
          <w:p w:rsidR="003C7A9A" w:rsidRPr="00667307" w:rsidRDefault="003C7A9A" w:rsidP="00E52F75">
            <w:pPr>
              <w:jc w:val="both"/>
              <w:rPr>
                <w:rFonts w:eastAsia="Calibri"/>
                <w:sz w:val="20"/>
              </w:rPr>
            </w:pPr>
            <w:r w:rsidRPr="00667307">
              <w:rPr>
                <w:rFonts w:eastAsia="Calibri"/>
                <w:sz w:val="20"/>
              </w:rPr>
              <w:t xml:space="preserve">Law of professions – Discipline – Health law – Boards and tribunals – Alternative dispute resolution – Applicant surgeon entering into alternative dispute resolution agreement with respondent health authority – Authority later accepting applicant’s resignation – Appeals tribunal setting aside authority’s decision to accept resignation – How may an alternative dispute resolution agreement, on a question of law, circumscribe the range of reasonable outcomes from the tribunal’s decision to which an appellate court owes deference? – </w:t>
            </w:r>
            <w:r w:rsidRPr="00667307">
              <w:rPr>
                <w:rFonts w:eastAsia="Calibri"/>
                <w:i/>
                <w:sz w:val="20"/>
              </w:rPr>
              <w:t>The Regional Health Services Act</w:t>
            </w:r>
            <w:r w:rsidRPr="00667307">
              <w:rPr>
                <w:rFonts w:eastAsia="Calibri"/>
                <w:sz w:val="20"/>
              </w:rPr>
              <w:t>, S.S. 2002, c. R-8.2, s. 45.</w:t>
            </w:r>
          </w:p>
        </w:tc>
      </w:tr>
      <w:tr w:rsidR="003C7A9A" w:rsidRPr="00667307" w:rsidTr="00E52F75">
        <w:tc>
          <w:tcPr>
            <w:tcW w:w="5000" w:type="pct"/>
            <w:gridSpan w:val="3"/>
          </w:tcPr>
          <w:p w:rsidR="003C7A9A" w:rsidRPr="00667307" w:rsidRDefault="003C7A9A" w:rsidP="00E52F75">
            <w:pPr>
              <w:jc w:val="both"/>
              <w:rPr>
                <w:rFonts w:eastAsia="Calibri"/>
                <w:sz w:val="20"/>
              </w:rPr>
            </w:pPr>
          </w:p>
        </w:tc>
      </w:tr>
      <w:tr w:rsidR="003C7A9A" w:rsidRPr="00667307" w:rsidTr="00E52F75">
        <w:tc>
          <w:tcPr>
            <w:tcW w:w="5000" w:type="pct"/>
            <w:gridSpan w:val="3"/>
          </w:tcPr>
          <w:p w:rsidR="003C7A9A" w:rsidRPr="00667307" w:rsidRDefault="003C7A9A" w:rsidP="00E52F75">
            <w:pPr>
              <w:jc w:val="both"/>
              <w:rPr>
                <w:rFonts w:eastAsia="Calibri"/>
                <w:sz w:val="20"/>
              </w:rPr>
            </w:pPr>
            <w:r w:rsidRPr="00667307">
              <w:rPr>
                <w:rFonts w:eastAsia="Calibri"/>
                <w:sz w:val="20"/>
              </w:rPr>
              <w:t xml:space="preserve">The applicant disrupted his workplace at the Regina General Hospital and, as a disciplinary consequence, entered into an agreement with the respondent health authority.  The agreement provided that, in the event of any similar incident, the authority could accept the applicant’s resignation.  The authority did just that some time later when the applicant dealt angrily and disrespectfully with a colleague.  The applicant then appealed to the practitioner staff appeals tribunal, which set aside the authority’s decision to accept his resignation.  The tribunal’s decision was upheld on </w:t>
            </w:r>
            <w:r w:rsidRPr="00667307">
              <w:rPr>
                <w:rFonts w:eastAsia="Calibri"/>
                <w:sz w:val="20"/>
              </w:rPr>
              <w:lastRenderedPageBreak/>
              <w:t>appeal.  The Court of Appeal, in a majority decision, allowed the authority’s appeal.</w:t>
            </w:r>
          </w:p>
          <w:p w:rsidR="003C7A9A" w:rsidRPr="00667307" w:rsidRDefault="003C7A9A" w:rsidP="00E52F75">
            <w:pPr>
              <w:jc w:val="both"/>
              <w:rPr>
                <w:rFonts w:eastAsia="Calibri"/>
                <w:sz w:val="20"/>
              </w:rPr>
            </w:pPr>
          </w:p>
        </w:tc>
      </w:tr>
      <w:tr w:rsidR="003C7A9A" w:rsidRPr="00667307" w:rsidTr="00E52F75">
        <w:tc>
          <w:tcPr>
            <w:tcW w:w="2427" w:type="pct"/>
          </w:tcPr>
          <w:p w:rsidR="003C7A9A" w:rsidRPr="00667307" w:rsidRDefault="003C7A9A" w:rsidP="00E52F75">
            <w:pPr>
              <w:jc w:val="both"/>
              <w:rPr>
                <w:rFonts w:eastAsia="Calibri"/>
                <w:sz w:val="20"/>
              </w:rPr>
            </w:pPr>
            <w:r w:rsidRPr="00667307">
              <w:rPr>
                <w:rFonts w:eastAsia="Calibri"/>
                <w:sz w:val="20"/>
              </w:rPr>
              <w:lastRenderedPageBreak/>
              <w:t>October 20, 2011</w:t>
            </w:r>
          </w:p>
          <w:p w:rsidR="003C7A9A" w:rsidRPr="00667307" w:rsidRDefault="003C7A9A" w:rsidP="00E52F75">
            <w:pPr>
              <w:jc w:val="both"/>
              <w:rPr>
                <w:rFonts w:eastAsia="Calibri"/>
                <w:sz w:val="20"/>
              </w:rPr>
            </w:pPr>
            <w:r w:rsidRPr="00667307">
              <w:rPr>
                <w:rFonts w:eastAsia="Calibri"/>
                <w:sz w:val="20"/>
              </w:rPr>
              <w:t>Court of Queen’s Bench of Saskatchewan</w:t>
            </w:r>
          </w:p>
          <w:p w:rsidR="003C7A9A" w:rsidRPr="00667307" w:rsidRDefault="003C7A9A" w:rsidP="00E52F75">
            <w:pPr>
              <w:jc w:val="both"/>
              <w:rPr>
                <w:rFonts w:eastAsia="Calibri"/>
                <w:sz w:val="20"/>
              </w:rPr>
            </w:pPr>
            <w:r w:rsidRPr="00667307">
              <w:rPr>
                <w:rFonts w:eastAsia="Calibri"/>
                <w:sz w:val="20"/>
              </w:rPr>
              <w:t>(Zarzeczny J.)</w:t>
            </w:r>
          </w:p>
          <w:p w:rsidR="003C7A9A" w:rsidRPr="00667307" w:rsidRDefault="003C7A9A" w:rsidP="00E52F75">
            <w:pPr>
              <w:jc w:val="both"/>
              <w:rPr>
                <w:rFonts w:eastAsia="Calibri"/>
                <w:sz w:val="20"/>
              </w:rPr>
            </w:pPr>
            <w:r w:rsidRPr="00667307">
              <w:rPr>
                <w:rFonts w:eastAsia="Calibri"/>
                <w:sz w:val="20"/>
              </w:rPr>
              <w:t>2011 SKQB 392</w:t>
            </w:r>
          </w:p>
          <w:p w:rsidR="003C7A9A" w:rsidRPr="00667307" w:rsidRDefault="003C7A9A" w:rsidP="00E52F75">
            <w:pPr>
              <w:jc w:val="both"/>
              <w:rPr>
                <w:rFonts w:eastAsia="Calibri"/>
                <w:sz w:val="20"/>
              </w:rPr>
            </w:pPr>
          </w:p>
        </w:tc>
        <w:tc>
          <w:tcPr>
            <w:tcW w:w="243" w:type="pct"/>
          </w:tcPr>
          <w:p w:rsidR="003C7A9A" w:rsidRPr="00667307" w:rsidRDefault="003C7A9A" w:rsidP="00E52F75">
            <w:pPr>
              <w:jc w:val="both"/>
              <w:rPr>
                <w:rFonts w:eastAsia="Calibri"/>
                <w:sz w:val="20"/>
              </w:rPr>
            </w:pPr>
          </w:p>
        </w:tc>
        <w:tc>
          <w:tcPr>
            <w:tcW w:w="2330" w:type="pct"/>
          </w:tcPr>
          <w:p w:rsidR="003C7A9A" w:rsidRPr="00667307" w:rsidRDefault="003C7A9A" w:rsidP="00E52F75">
            <w:pPr>
              <w:jc w:val="both"/>
              <w:rPr>
                <w:rFonts w:eastAsia="Calibri"/>
                <w:sz w:val="20"/>
              </w:rPr>
            </w:pPr>
            <w:r w:rsidRPr="00667307">
              <w:rPr>
                <w:rFonts w:eastAsia="Calibri"/>
                <w:sz w:val="20"/>
              </w:rPr>
              <w:t>Appeal dismissed</w:t>
            </w:r>
          </w:p>
          <w:p w:rsidR="003C7A9A" w:rsidRPr="00667307" w:rsidRDefault="003C7A9A" w:rsidP="00E52F75">
            <w:pPr>
              <w:jc w:val="both"/>
              <w:rPr>
                <w:rFonts w:eastAsia="Calibri"/>
                <w:sz w:val="20"/>
              </w:rPr>
            </w:pPr>
          </w:p>
        </w:tc>
      </w:tr>
      <w:tr w:rsidR="003C7A9A" w:rsidRPr="00667307" w:rsidTr="00E52F75">
        <w:tc>
          <w:tcPr>
            <w:tcW w:w="2427" w:type="pct"/>
          </w:tcPr>
          <w:p w:rsidR="003C7A9A" w:rsidRPr="00667307" w:rsidRDefault="003C7A9A" w:rsidP="00E52F75">
            <w:pPr>
              <w:jc w:val="both"/>
              <w:rPr>
                <w:rFonts w:eastAsia="Calibri"/>
                <w:sz w:val="20"/>
              </w:rPr>
            </w:pPr>
            <w:r w:rsidRPr="00667307">
              <w:rPr>
                <w:rFonts w:eastAsia="Calibri"/>
                <w:sz w:val="20"/>
              </w:rPr>
              <w:t>January 15, 2013</w:t>
            </w:r>
          </w:p>
          <w:p w:rsidR="003C7A9A" w:rsidRPr="00667307" w:rsidRDefault="003C7A9A" w:rsidP="00E52F75">
            <w:pPr>
              <w:jc w:val="both"/>
              <w:rPr>
                <w:rFonts w:eastAsia="Calibri"/>
                <w:sz w:val="20"/>
              </w:rPr>
            </w:pPr>
            <w:r w:rsidRPr="00667307">
              <w:rPr>
                <w:rFonts w:eastAsia="Calibri"/>
                <w:sz w:val="20"/>
              </w:rPr>
              <w:t>Court of Appeal for Saskatchewan</w:t>
            </w:r>
          </w:p>
          <w:p w:rsidR="003C7A9A" w:rsidRPr="00667307" w:rsidRDefault="003C7A9A" w:rsidP="00E52F75">
            <w:pPr>
              <w:jc w:val="both"/>
              <w:rPr>
                <w:rFonts w:eastAsia="Calibri"/>
                <w:sz w:val="20"/>
              </w:rPr>
            </w:pPr>
            <w:r w:rsidRPr="00667307">
              <w:rPr>
                <w:rFonts w:eastAsia="Calibri"/>
                <w:sz w:val="20"/>
              </w:rPr>
              <w:t>(Lane (dissenting), Richards and Caldwell JJ.A.)</w:t>
            </w:r>
          </w:p>
          <w:p w:rsidR="003C7A9A" w:rsidRPr="00667307" w:rsidRDefault="003C7A9A" w:rsidP="00E52F75">
            <w:pPr>
              <w:jc w:val="both"/>
              <w:rPr>
                <w:rFonts w:eastAsia="Calibri"/>
                <w:sz w:val="20"/>
              </w:rPr>
            </w:pPr>
            <w:r w:rsidRPr="00667307">
              <w:rPr>
                <w:rFonts w:eastAsia="Calibri"/>
                <w:sz w:val="20"/>
              </w:rPr>
              <w:t>2013 SKCA 3</w:t>
            </w:r>
          </w:p>
          <w:p w:rsidR="003C7A9A" w:rsidRPr="00667307" w:rsidRDefault="003C7A9A" w:rsidP="00E52F75">
            <w:pPr>
              <w:jc w:val="both"/>
              <w:rPr>
                <w:rFonts w:eastAsia="Calibri"/>
                <w:sz w:val="20"/>
              </w:rPr>
            </w:pPr>
          </w:p>
        </w:tc>
        <w:tc>
          <w:tcPr>
            <w:tcW w:w="243" w:type="pct"/>
          </w:tcPr>
          <w:p w:rsidR="003C7A9A" w:rsidRPr="00667307" w:rsidRDefault="003C7A9A" w:rsidP="00E52F75">
            <w:pPr>
              <w:jc w:val="both"/>
              <w:rPr>
                <w:rFonts w:eastAsia="Calibri"/>
                <w:sz w:val="20"/>
              </w:rPr>
            </w:pPr>
          </w:p>
        </w:tc>
        <w:tc>
          <w:tcPr>
            <w:tcW w:w="2330" w:type="pct"/>
          </w:tcPr>
          <w:p w:rsidR="003C7A9A" w:rsidRPr="00667307" w:rsidRDefault="003C7A9A" w:rsidP="00E52F75">
            <w:pPr>
              <w:jc w:val="both"/>
              <w:rPr>
                <w:rFonts w:eastAsia="Calibri"/>
                <w:sz w:val="20"/>
              </w:rPr>
            </w:pPr>
            <w:r w:rsidRPr="00667307">
              <w:rPr>
                <w:rFonts w:eastAsia="Calibri"/>
                <w:sz w:val="20"/>
              </w:rPr>
              <w:t>Appeal allowed</w:t>
            </w:r>
          </w:p>
          <w:p w:rsidR="003C7A9A" w:rsidRPr="00667307" w:rsidRDefault="003C7A9A" w:rsidP="00E52F75">
            <w:pPr>
              <w:jc w:val="both"/>
              <w:rPr>
                <w:rFonts w:eastAsia="Calibri"/>
                <w:sz w:val="20"/>
              </w:rPr>
            </w:pPr>
          </w:p>
        </w:tc>
      </w:tr>
      <w:tr w:rsidR="003C7A9A" w:rsidRPr="00667307" w:rsidTr="00E52F75">
        <w:tc>
          <w:tcPr>
            <w:tcW w:w="2427" w:type="pct"/>
          </w:tcPr>
          <w:p w:rsidR="003C7A9A" w:rsidRPr="00667307" w:rsidRDefault="003C7A9A" w:rsidP="00E52F75">
            <w:pPr>
              <w:jc w:val="both"/>
              <w:rPr>
                <w:rFonts w:eastAsia="Calibri"/>
                <w:sz w:val="20"/>
              </w:rPr>
            </w:pPr>
            <w:r w:rsidRPr="00667307">
              <w:rPr>
                <w:rFonts w:eastAsia="Calibri"/>
                <w:sz w:val="20"/>
              </w:rPr>
              <w:t>March 22, 2013</w:t>
            </w:r>
          </w:p>
          <w:p w:rsidR="003C7A9A" w:rsidRPr="00667307" w:rsidRDefault="003C7A9A" w:rsidP="00E52F75">
            <w:pPr>
              <w:jc w:val="both"/>
              <w:rPr>
                <w:rFonts w:eastAsia="Calibri"/>
                <w:sz w:val="20"/>
              </w:rPr>
            </w:pPr>
            <w:r w:rsidRPr="00667307">
              <w:rPr>
                <w:rFonts w:eastAsia="Calibri"/>
                <w:sz w:val="20"/>
              </w:rPr>
              <w:t>Supreme Court of Canada</w:t>
            </w:r>
          </w:p>
        </w:tc>
        <w:tc>
          <w:tcPr>
            <w:tcW w:w="243" w:type="pct"/>
          </w:tcPr>
          <w:p w:rsidR="003C7A9A" w:rsidRPr="00667307" w:rsidRDefault="003C7A9A" w:rsidP="00E52F75">
            <w:pPr>
              <w:jc w:val="both"/>
              <w:rPr>
                <w:rFonts w:eastAsia="Calibri"/>
                <w:sz w:val="20"/>
              </w:rPr>
            </w:pPr>
          </w:p>
        </w:tc>
        <w:tc>
          <w:tcPr>
            <w:tcW w:w="2330" w:type="pct"/>
          </w:tcPr>
          <w:p w:rsidR="003C7A9A" w:rsidRPr="00667307" w:rsidRDefault="003C7A9A" w:rsidP="00E52F75">
            <w:pPr>
              <w:jc w:val="both"/>
              <w:rPr>
                <w:rFonts w:eastAsia="Calibri"/>
                <w:sz w:val="20"/>
              </w:rPr>
            </w:pPr>
            <w:r w:rsidRPr="00667307">
              <w:rPr>
                <w:rFonts w:eastAsia="Calibri"/>
                <w:sz w:val="20"/>
              </w:rPr>
              <w:t>Application for leave to appeal and motion for extension of time filed</w:t>
            </w: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72"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C7A9A" w:rsidRPr="00ED787A" w:rsidTr="00E52F75">
        <w:tc>
          <w:tcPr>
            <w:tcW w:w="5000" w:type="pct"/>
            <w:gridSpan w:val="3"/>
          </w:tcPr>
          <w:p w:rsidR="003C7A9A" w:rsidRPr="00667307" w:rsidRDefault="003C7A9A" w:rsidP="00E52F75">
            <w:pPr>
              <w:jc w:val="both"/>
              <w:rPr>
                <w:rFonts w:eastAsia="Calibri"/>
                <w:sz w:val="20"/>
                <w:lang w:val="fr-CA"/>
              </w:rPr>
            </w:pPr>
            <w:r w:rsidRPr="00667307">
              <w:rPr>
                <w:rFonts w:eastAsia="Calibri"/>
                <w:sz w:val="20"/>
                <w:lang w:val="fr-CA"/>
              </w:rPr>
              <w:t xml:space="preserve">Droit des professions – Discipline – Droit de la santé – Organismes et tribunaux administratifs – Règlement extrajudiciaire des différends – Le chirurgien demandeur a conclu un accord de règlement extrajudiciaire des différends avec l’autorité sanitaire intimée – L’autorité a accepté la démission du demandeur par la suite – Le tribunal d’appel a annulé la décision de l’autorité d’accepter la démission – Comment un accord de règlement extrajudiciaire des différends peut-il, relativement à une question de droit, circonscrire l’éventail des issues raisonnables de la décision du tribunal à l’égard de laquelle la cour d’appel doit faire preuve de déférence? – </w:t>
            </w:r>
            <w:r w:rsidRPr="00667307">
              <w:rPr>
                <w:rFonts w:eastAsia="Calibri"/>
                <w:i/>
                <w:sz w:val="20"/>
                <w:lang w:val="fr-CA"/>
              </w:rPr>
              <w:t>The Regional Health Services Act</w:t>
            </w:r>
            <w:r w:rsidRPr="00667307">
              <w:rPr>
                <w:rFonts w:eastAsia="Calibri"/>
                <w:sz w:val="20"/>
                <w:lang w:val="fr-CA"/>
              </w:rPr>
              <w:t>, S.S. 2002, ch. R-8.2, art. 45.</w:t>
            </w:r>
          </w:p>
        </w:tc>
      </w:tr>
      <w:tr w:rsidR="003C7A9A" w:rsidRPr="00ED787A" w:rsidTr="00E52F75">
        <w:tc>
          <w:tcPr>
            <w:tcW w:w="5000" w:type="pct"/>
            <w:gridSpan w:val="3"/>
          </w:tcPr>
          <w:p w:rsidR="003C7A9A" w:rsidRPr="00667307" w:rsidRDefault="003C7A9A" w:rsidP="00E52F75">
            <w:pPr>
              <w:jc w:val="both"/>
              <w:rPr>
                <w:rFonts w:eastAsia="Calibri"/>
                <w:sz w:val="20"/>
                <w:lang w:val="fr-CA"/>
              </w:rPr>
            </w:pPr>
          </w:p>
        </w:tc>
      </w:tr>
      <w:tr w:rsidR="003C7A9A" w:rsidRPr="00D41BFD" w:rsidTr="00E52F75">
        <w:tc>
          <w:tcPr>
            <w:tcW w:w="5000" w:type="pct"/>
            <w:gridSpan w:val="3"/>
          </w:tcPr>
          <w:p w:rsidR="003C7A9A" w:rsidRPr="00667307" w:rsidRDefault="003C7A9A" w:rsidP="00E52F75">
            <w:pPr>
              <w:jc w:val="both"/>
              <w:rPr>
                <w:rFonts w:eastAsia="Calibri"/>
                <w:sz w:val="20"/>
                <w:lang w:val="fr-CA"/>
              </w:rPr>
            </w:pPr>
            <w:r w:rsidRPr="00667307">
              <w:rPr>
                <w:rFonts w:eastAsia="Calibri"/>
                <w:sz w:val="20"/>
                <w:lang w:val="fr-CA"/>
              </w:rPr>
              <w:t>Le demandeur a perturbé son lieu de travail à l’hôpital général de Regina et, comme mesure disciplinaire, il a conclu un accord avec l’autorité sanitaire intimée.  L’accord stipulait qu’en cas d’incident similaire, l’autorité pouvait accepter la démission du demandeur.  L’autorité a agi en ce sens un peu plus tard lorsque le demandeur a traité un collègue de façon colérique et irrespectueuse.  Le demandeur a ensuite interjeté appel au tribunal d’appel du personnel praticien, qui a annulé la décision de l’autorité d’accepter sa démission.  La décision du tribunal a été confirmée en appel.  La Cour d’appel, à la majorité, a accueilli l’appel de l’autorité.</w:t>
            </w:r>
          </w:p>
          <w:p w:rsidR="003C7A9A" w:rsidRPr="00667307" w:rsidRDefault="003C7A9A" w:rsidP="00E52F75">
            <w:pPr>
              <w:jc w:val="both"/>
              <w:rPr>
                <w:rFonts w:eastAsia="Calibri"/>
                <w:sz w:val="20"/>
                <w:lang w:val="fr-CA"/>
              </w:rPr>
            </w:pPr>
          </w:p>
        </w:tc>
      </w:tr>
      <w:tr w:rsidR="003C7A9A" w:rsidRPr="00667307" w:rsidTr="00E52F75">
        <w:tc>
          <w:tcPr>
            <w:tcW w:w="2427" w:type="pct"/>
          </w:tcPr>
          <w:p w:rsidR="003C7A9A" w:rsidRPr="00667307" w:rsidRDefault="003C7A9A" w:rsidP="00E52F75">
            <w:pPr>
              <w:jc w:val="both"/>
              <w:rPr>
                <w:rFonts w:eastAsia="Calibri"/>
                <w:sz w:val="20"/>
                <w:lang w:val="fr-CA"/>
              </w:rPr>
            </w:pPr>
            <w:r w:rsidRPr="00667307">
              <w:rPr>
                <w:rFonts w:eastAsia="Calibri"/>
                <w:sz w:val="20"/>
                <w:lang w:val="fr-CA"/>
              </w:rPr>
              <w:t>20 octobre 2011</w:t>
            </w:r>
          </w:p>
          <w:p w:rsidR="003C7A9A" w:rsidRPr="00667307" w:rsidRDefault="003C7A9A" w:rsidP="00E52F75">
            <w:pPr>
              <w:jc w:val="both"/>
              <w:rPr>
                <w:rFonts w:eastAsia="Calibri"/>
                <w:sz w:val="20"/>
                <w:lang w:val="fr-CA"/>
              </w:rPr>
            </w:pPr>
            <w:r w:rsidRPr="00667307">
              <w:rPr>
                <w:rFonts w:eastAsia="Calibri"/>
                <w:sz w:val="20"/>
                <w:lang w:val="fr-CA"/>
              </w:rPr>
              <w:t>Cour du Banc de la Reine de la Saskatchewan</w:t>
            </w:r>
          </w:p>
          <w:p w:rsidR="003C7A9A" w:rsidRPr="00667307" w:rsidRDefault="003C7A9A" w:rsidP="00E52F75">
            <w:pPr>
              <w:jc w:val="both"/>
              <w:rPr>
                <w:rFonts w:eastAsia="Calibri"/>
                <w:sz w:val="20"/>
                <w:lang w:val="fr-CA"/>
              </w:rPr>
            </w:pPr>
            <w:r w:rsidRPr="00667307">
              <w:rPr>
                <w:rFonts w:eastAsia="Calibri"/>
                <w:sz w:val="20"/>
                <w:lang w:val="fr-CA"/>
              </w:rPr>
              <w:t>(Juge Zarzeczny)</w:t>
            </w:r>
          </w:p>
          <w:p w:rsidR="003C7A9A" w:rsidRPr="00667307" w:rsidRDefault="003C7A9A" w:rsidP="00E52F75">
            <w:pPr>
              <w:jc w:val="both"/>
              <w:rPr>
                <w:rFonts w:eastAsia="Calibri"/>
                <w:sz w:val="20"/>
                <w:lang w:val="fr-CA"/>
              </w:rPr>
            </w:pPr>
            <w:r w:rsidRPr="00667307">
              <w:rPr>
                <w:rFonts w:eastAsia="Calibri"/>
                <w:sz w:val="20"/>
                <w:lang w:val="fr-CA"/>
              </w:rPr>
              <w:t>2011 SKQB 392</w:t>
            </w:r>
          </w:p>
          <w:p w:rsidR="003C7A9A" w:rsidRPr="00667307" w:rsidRDefault="003C7A9A" w:rsidP="00E52F75">
            <w:pPr>
              <w:jc w:val="both"/>
              <w:rPr>
                <w:rFonts w:eastAsia="Calibri"/>
                <w:sz w:val="20"/>
                <w:lang w:val="fr-CA"/>
              </w:rPr>
            </w:pPr>
          </w:p>
        </w:tc>
        <w:tc>
          <w:tcPr>
            <w:tcW w:w="243" w:type="pct"/>
          </w:tcPr>
          <w:p w:rsidR="003C7A9A" w:rsidRPr="00667307" w:rsidRDefault="003C7A9A" w:rsidP="00E52F75">
            <w:pPr>
              <w:jc w:val="both"/>
              <w:rPr>
                <w:rFonts w:eastAsia="Calibri"/>
                <w:sz w:val="20"/>
                <w:lang w:val="fr-CA"/>
              </w:rPr>
            </w:pPr>
          </w:p>
        </w:tc>
        <w:tc>
          <w:tcPr>
            <w:tcW w:w="2330" w:type="pct"/>
          </w:tcPr>
          <w:p w:rsidR="003C7A9A" w:rsidRPr="00667307" w:rsidRDefault="003C7A9A" w:rsidP="00E52F75">
            <w:pPr>
              <w:jc w:val="both"/>
              <w:rPr>
                <w:rFonts w:eastAsia="Calibri"/>
                <w:sz w:val="20"/>
                <w:lang w:val="fr-CA"/>
              </w:rPr>
            </w:pPr>
            <w:r w:rsidRPr="00667307">
              <w:rPr>
                <w:rFonts w:eastAsia="Calibri"/>
                <w:sz w:val="20"/>
                <w:lang w:val="fr-CA"/>
              </w:rPr>
              <w:t>Appel rejeté</w:t>
            </w:r>
          </w:p>
          <w:p w:rsidR="003C7A9A" w:rsidRPr="00667307" w:rsidRDefault="003C7A9A" w:rsidP="00E52F75">
            <w:pPr>
              <w:jc w:val="both"/>
              <w:rPr>
                <w:rFonts w:eastAsia="Calibri"/>
                <w:sz w:val="20"/>
                <w:lang w:val="fr-CA"/>
              </w:rPr>
            </w:pPr>
          </w:p>
        </w:tc>
      </w:tr>
      <w:tr w:rsidR="003C7A9A" w:rsidRPr="00667307" w:rsidTr="00E52F75">
        <w:tc>
          <w:tcPr>
            <w:tcW w:w="2427" w:type="pct"/>
          </w:tcPr>
          <w:p w:rsidR="003C7A9A" w:rsidRPr="00667307" w:rsidRDefault="003C7A9A" w:rsidP="00E52F75">
            <w:pPr>
              <w:jc w:val="both"/>
              <w:rPr>
                <w:rFonts w:eastAsia="Calibri"/>
                <w:sz w:val="20"/>
                <w:lang w:val="fr-CA"/>
              </w:rPr>
            </w:pPr>
            <w:r w:rsidRPr="00667307">
              <w:rPr>
                <w:rFonts w:eastAsia="Calibri"/>
                <w:sz w:val="20"/>
                <w:lang w:val="fr-CA"/>
              </w:rPr>
              <w:t>15 janvier 2013</w:t>
            </w:r>
          </w:p>
          <w:p w:rsidR="003C7A9A" w:rsidRPr="00667307" w:rsidRDefault="003C7A9A" w:rsidP="00E52F75">
            <w:pPr>
              <w:jc w:val="both"/>
              <w:rPr>
                <w:rFonts w:eastAsia="Calibri"/>
                <w:sz w:val="20"/>
                <w:lang w:val="fr-CA"/>
              </w:rPr>
            </w:pPr>
            <w:r w:rsidRPr="00667307">
              <w:rPr>
                <w:rFonts w:eastAsia="Calibri"/>
                <w:sz w:val="20"/>
                <w:lang w:val="fr-CA"/>
              </w:rPr>
              <w:t>Cour d’appel de la Saskatchewan</w:t>
            </w:r>
          </w:p>
          <w:p w:rsidR="003C7A9A" w:rsidRPr="00667307" w:rsidRDefault="003C7A9A" w:rsidP="00E52F75">
            <w:pPr>
              <w:jc w:val="both"/>
              <w:rPr>
                <w:rFonts w:eastAsia="Calibri"/>
                <w:sz w:val="20"/>
                <w:lang w:val="fr-CA"/>
              </w:rPr>
            </w:pPr>
            <w:r w:rsidRPr="00667307">
              <w:rPr>
                <w:rFonts w:eastAsia="Calibri"/>
                <w:sz w:val="20"/>
                <w:lang w:val="fr-CA"/>
              </w:rPr>
              <w:t>(Juges Lane (dissident), Richards et Caldwell)</w:t>
            </w:r>
          </w:p>
          <w:p w:rsidR="003C7A9A" w:rsidRPr="00667307" w:rsidRDefault="003C7A9A" w:rsidP="00E52F75">
            <w:pPr>
              <w:jc w:val="both"/>
              <w:rPr>
                <w:rFonts w:eastAsia="Calibri"/>
                <w:sz w:val="20"/>
                <w:lang w:val="fr-CA"/>
              </w:rPr>
            </w:pPr>
            <w:r w:rsidRPr="00667307">
              <w:rPr>
                <w:rFonts w:eastAsia="Calibri"/>
                <w:sz w:val="20"/>
                <w:lang w:val="fr-CA"/>
              </w:rPr>
              <w:t>2013 SKCA 3</w:t>
            </w:r>
          </w:p>
          <w:p w:rsidR="003C7A9A" w:rsidRPr="00667307" w:rsidRDefault="003C7A9A" w:rsidP="00E52F75">
            <w:pPr>
              <w:jc w:val="both"/>
              <w:rPr>
                <w:rFonts w:eastAsia="Calibri"/>
                <w:sz w:val="20"/>
                <w:lang w:val="fr-CA"/>
              </w:rPr>
            </w:pPr>
          </w:p>
        </w:tc>
        <w:tc>
          <w:tcPr>
            <w:tcW w:w="243" w:type="pct"/>
          </w:tcPr>
          <w:p w:rsidR="003C7A9A" w:rsidRPr="00667307" w:rsidRDefault="003C7A9A" w:rsidP="00E52F75">
            <w:pPr>
              <w:jc w:val="both"/>
              <w:rPr>
                <w:rFonts w:eastAsia="Calibri"/>
                <w:sz w:val="20"/>
                <w:lang w:val="fr-CA"/>
              </w:rPr>
            </w:pPr>
          </w:p>
        </w:tc>
        <w:tc>
          <w:tcPr>
            <w:tcW w:w="2330" w:type="pct"/>
          </w:tcPr>
          <w:p w:rsidR="003C7A9A" w:rsidRPr="00667307" w:rsidRDefault="003C7A9A" w:rsidP="00E52F75">
            <w:pPr>
              <w:jc w:val="both"/>
              <w:rPr>
                <w:rFonts w:eastAsia="Calibri"/>
                <w:sz w:val="20"/>
                <w:lang w:val="fr-CA"/>
              </w:rPr>
            </w:pPr>
            <w:r w:rsidRPr="00667307">
              <w:rPr>
                <w:rFonts w:eastAsia="Calibri"/>
                <w:sz w:val="20"/>
                <w:lang w:val="fr-CA"/>
              </w:rPr>
              <w:t>Appel accueilli</w:t>
            </w:r>
          </w:p>
          <w:p w:rsidR="003C7A9A" w:rsidRPr="00667307" w:rsidRDefault="003C7A9A" w:rsidP="00E52F75">
            <w:pPr>
              <w:jc w:val="both"/>
              <w:rPr>
                <w:rFonts w:eastAsia="Calibri"/>
                <w:sz w:val="20"/>
                <w:lang w:val="fr-CA"/>
              </w:rPr>
            </w:pPr>
          </w:p>
        </w:tc>
      </w:tr>
      <w:tr w:rsidR="003C7A9A" w:rsidRPr="00D41BFD" w:rsidTr="00E52F75">
        <w:tc>
          <w:tcPr>
            <w:tcW w:w="2427" w:type="pct"/>
          </w:tcPr>
          <w:p w:rsidR="003C7A9A" w:rsidRPr="00667307" w:rsidRDefault="003C7A9A" w:rsidP="00E52F75">
            <w:pPr>
              <w:jc w:val="both"/>
              <w:rPr>
                <w:rFonts w:eastAsia="Calibri"/>
                <w:sz w:val="20"/>
                <w:lang w:val="fr-CA"/>
              </w:rPr>
            </w:pPr>
            <w:r w:rsidRPr="00667307">
              <w:rPr>
                <w:rFonts w:eastAsia="Calibri"/>
                <w:sz w:val="20"/>
                <w:lang w:val="fr-CA"/>
              </w:rPr>
              <w:t>22 mars 2013</w:t>
            </w:r>
          </w:p>
          <w:p w:rsidR="003C7A9A" w:rsidRPr="00667307" w:rsidRDefault="003C7A9A" w:rsidP="00E52F75">
            <w:pPr>
              <w:jc w:val="both"/>
              <w:rPr>
                <w:rFonts w:eastAsia="Calibri"/>
                <w:sz w:val="20"/>
                <w:lang w:val="fr-CA"/>
              </w:rPr>
            </w:pPr>
            <w:r w:rsidRPr="00667307">
              <w:rPr>
                <w:rFonts w:eastAsia="Calibri"/>
                <w:sz w:val="20"/>
                <w:lang w:val="fr-CA"/>
              </w:rPr>
              <w:t>Cour suprême du Canada</w:t>
            </w:r>
          </w:p>
        </w:tc>
        <w:tc>
          <w:tcPr>
            <w:tcW w:w="243" w:type="pct"/>
          </w:tcPr>
          <w:p w:rsidR="003C7A9A" w:rsidRPr="00667307" w:rsidRDefault="003C7A9A" w:rsidP="00E52F75">
            <w:pPr>
              <w:jc w:val="both"/>
              <w:rPr>
                <w:rFonts w:eastAsia="Calibri"/>
                <w:sz w:val="20"/>
                <w:lang w:val="fr-CA"/>
              </w:rPr>
            </w:pPr>
          </w:p>
        </w:tc>
        <w:tc>
          <w:tcPr>
            <w:tcW w:w="2330" w:type="pct"/>
          </w:tcPr>
          <w:p w:rsidR="003C7A9A" w:rsidRPr="00667307" w:rsidRDefault="003C7A9A" w:rsidP="00E52F75">
            <w:pPr>
              <w:jc w:val="both"/>
              <w:rPr>
                <w:rFonts w:eastAsia="Calibri"/>
                <w:sz w:val="20"/>
                <w:lang w:val="fr-CA"/>
              </w:rPr>
            </w:pPr>
            <w:r w:rsidRPr="00667307">
              <w:rPr>
                <w:rFonts w:eastAsia="Calibri"/>
                <w:sz w:val="20"/>
                <w:lang w:val="fr-CA"/>
              </w:rPr>
              <w:t>Demande d’autorisation d’appel et requête en prorogation de délai, déposées</w:t>
            </w:r>
          </w:p>
        </w:tc>
      </w:tr>
    </w:tbl>
    <w:p w:rsidR="00AA605C" w:rsidRPr="003C7A9A" w:rsidRDefault="00AA605C" w:rsidP="00AA605C">
      <w:pPr>
        <w:rPr>
          <w:sz w:val="20"/>
          <w:szCs w:val="20"/>
          <w:lang w:val="fr-CA"/>
        </w:rPr>
      </w:pPr>
    </w:p>
    <w:p w:rsidR="00AA605C" w:rsidRDefault="00B3404D" w:rsidP="00AA605C">
      <w:pPr>
        <w:rPr>
          <w:sz w:val="20"/>
          <w:szCs w:val="20"/>
          <w:lang w:val="fr-CA"/>
        </w:rPr>
      </w:pPr>
      <w:r w:rsidRPr="00B3404D">
        <w:rPr>
          <w:sz w:val="20"/>
          <w:szCs w:val="20"/>
          <w:lang w:val="fr-CA"/>
        </w:rPr>
        <w:pict>
          <v:rect id="_x0000_i1073" style="width:2in;height:1pt" o:hrpct="0" o:hralign="center" o:hrstd="t" o:hrnoshade="t" o:hr="t" fillcolor="black [3213]" stroked="f"/>
        </w:pict>
      </w:r>
    </w:p>
    <w:p w:rsidR="00AA605C" w:rsidRDefault="00AA605C" w:rsidP="00AA605C">
      <w:pPr>
        <w:rPr>
          <w:sz w:val="20"/>
          <w:szCs w:val="20"/>
        </w:rPr>
      </w:pPr>
    </w:p>
    <w:tbl>
      <w:tblPr>
        <w:tblStyle w:val="TableGrid1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07C53" w:rsidRPr="00D41BFD" w:rsidTr="00A426F6">
        <w:trPr>
          <w:cantSplit/>
        </w:trPr>
        <w:tc>
          <w:tcPr>
            <w:tcW w:w="1458" w:type="dxa"/>
          </w:tcPr>
          <w:p w:rsidR="00107C53" w:rsidRPr="00107C53" w:rsidRDefault="00107C53" w:rsidP="00107C53">
            <w:pPr>
              <w:rPr>
                <w:sz w:val="20"/>
                <w:szCs w:val="20"/>
              </w:rPr>
            </w:pPr>
            <w:r w:rsidRPr="00107C53">
              <w:rPr>
                <w:b/>
                <w:sz w:val="20"/>
                <w:lang w:val="fr-CA"/>
              </w:rPr>
              <w:lastRenderedPageBreak/>
              <w:t>35282</w:t>
            </w:r>
          </w:p>
          <w:p w:rsidR="00107C53" w:rsidRPr="00107C53" w:rsidRDefault="00107C53" w:rsidP="00107C53">
            <w:pPr>
              <w:rPr>
                <w:b/>
                <w:sz w:val="20"/>
                <w:szCs w:val="20"/>
                <w:lang w:val="fr-CA"/>
              </w:rPr>
            </w:pPr>
          </w:p>
        </w:tc>
        <w:tc>
          <w:tcPr>
            <w:tcW w:w="8118" w:type="dxa"/>
          </w:tcPr>
          <w:p w:rsidR="00107C53" w:rsidRPr="00107C53" w:rsidRDefault="00107C53" w:rsidP="00107C53">
            <w:pPr>
              <w:rPr>
                <w:sz w:val="20"/>
                <w:szCs w:val="20"/>
                <w:lang w:val="fr-CA"/>
              </w:rPr>
            </w:pPr>
            <w:r w:rsidRPr="00107C53">
              <w:rPr>
                <w:b/>
                <w:sz w:val="20"/>
                <w:u w:val="single"/>
                <w:lang w:val="fr-CA"/>
              </w:rPr>
              <w:t>Saïd Boukendour c. Andrée Gosselin</w:t>
            </w:r>
            <w:r w:rsidRPr="00107C53">
              <w:rPr>
                <w:sz w:val="20"/>
                <w:szCs w:val="20"/>
                <w:lang w:val="fr-CA"/>
              </w:rPr>
              <w:t xml:space="preserve"> (Qc) (Civile) (Autorisation)</w:t>
            </w:r>
          </w:p>
          <w:p w:rsidR="00107C53" w:rsidRPr="00107C53" w:rsidRDefault="00107C53" w:rsidP="00107C53">
            <w:pPr>
              <w:rPr>
                <w:sz w:val="20"/>
                <w:szCs w:val="20"/>
                <w:lang w:val="fr-CA"/>
              </w:rPr>
            </w:pPr>
          </w:p>
        </w:tc>
      </w:tr>
      <w:tr w:rsidR="00107C53" w:rsidRPr="00D41BFD" w:rsidTr="00A426F6">
        <w:trPr>
          <w:cantSplit/>
        </w:trPr>
        <w:tc>
          <w:tcPr>
            <w:tcW w:w="1458" w:type="dxa"/>
          </w:tcPr>
          <w:p w:rsidR="00107C53" w:rsidRPr="00107C53" w:rsidRDefault="00107C53" w:rsidP="00107C53">
            <w:pPr>
              <w:rPr>
                <w:sz w:val="20"/>
                <w:szCs w:val="20"/>
              </w:rPr>
            </w:pPr>
            <w:r w:rsidRPr="00107C53">
              <w:rPr>
                <w:sz w:val="20"/>
                <w:szCs w:val="20"/>
              </w:rPr>
              <w:t>Coram :</w:t>
            </w:r>
          </w:p>
        </w:tc>
        <w:tc>
          <w:tcPr>
            <w:tcW w:w="8118" w:type="dxa"/>
          </w:tcPr>
          <w:p w:rsidR="00107C53" w:rsidRPr="00107C53" w:rsidRDefault="00107C53" w:rsidP="00107C53">
            <w:pPr>
              <w:rPr>
                <w:sz w:val="20"/>
                <w:szCs w:val="20"/>
                <w:lang w:val="fr-CA"/>
              </w:rPr>
            </w:pPr>
            <w:r w:rsidRPr="00107C53">
              <w:rPr>
                <w:sz w:val="20"/>
                <w:u w:val="single"/>
                <w:lang w:val="fr-CA"/>
              </w:rPr>
              <w:t>Les juges LeBel, Karakatsanis et Wagner</w:t>
            </w:r>
          </w:p>
          <w:p w:rsidR="00107C53" w:rsidRPr="00107C53" w:rsidRDefault="00107C53" w:rsidP="00107C53">
            <w:pPr>
              <w:rPr>
                <w:sz w:val="20"/>
                <w:szCs w:val="20"/>
                <w:u w:val="single"/>
                <w:lang w:val="fr-CA"/>
              </w:rPr>
            </w:pPr>
          </w:p>
        </w:tc>
      </w:tr>
      <w:tr w:rsidR="00107C53" w:rsidRPr="00107C53" w:rsidTr="00A426F6">
        <w:trPr>
          <w:cantSplit/>
        </w:trPr>
        <w:tc>
          <w:tcPr>
            <w:tcW w:w="9576" w:type="dxa"/>
            <w:gridSpan w:val="2"/>
          </w:tcPr>
          <w:p w:rsidR="00107C53" w:rsidRPr="00107C53" w:rsidRDefault="00107C53" w:rsidP="00107C53">
            <w:pPr>
              <w:ind w:firstLine="720"/>
              <w:jc w:val="both"/>
              <w:rPr>
                <w:sz w:val="20"/>
                <w:szCs w:val="20"/>
                <w:lang w:val="fr-CA"/>
              </w:rPr>
            </w:pPr>
            <w:r w:rsidRPr="00107C53">
              <w:rPr>
                <w:sz w:val="20"/>
                <w:szCs w:val="20"/>
                <w:lang w:val="fr-CA"/>
              </w:rPr>
              <w:t>La demande d’autorisation d’appel de l’arrêt de la Cour d’appel du Québec (Montréal), numéro 500-09-023204-126, 2012 QCCA 2322, daté du 27 décembre 2012, est rejetée avec dépens.</w:t>
            </w:r>
          </w:p>
          <w:p w:rsidR="00107C53" w:rsidRPr="00107C53" w:rsidRDefault="00107C53" w:rsidP="00107C53">
            <w:pPr>
              <w:jc w:val="both"/>
              <w:rPr>
                <w:sz w:val="20"/>
                <w:szCs w:val="20"/>
                <w:lang w:val="fr-CA"/>
              </w:rPr>
            </w:pPr>
          </w:p>
          <w:p w:rsidR="00107C53" w:rsidRPr="00107C53" w:rsidRDefault="00107C53" w:rsidP="00107C53">
            <w:pPr>
              <w:ind w:firstLine="720"/>
              <w:jc w:val="both"/>
              <w:rPr>
                <w:sz w:val="20"/>
                <w:szCs w:val="20"/>
              </w:rPr>
            </w:pPr>
            <w:r w:rsidRPr="00107C53">
              <w:rPr>
                <w:sz w:val="20"/>
                <w:szCs w:val="20"/>
              </w:rPr>
              <w:t>The application for leave to appeal from the judgment of the Court of Appeal of Quebec (Montréal), Number 500-09-023204-126, 2012 QCCA 2322, dated December 27, 2012, is dismissed with costs.</w:t>
            </w:r>
          </w:p>
        </w:tc>
      </w:tr>
    </w:tbl>
    <w:p w:rsidR="00AA605C" w:rsidRDefault="00AA605C" w:rsidP="00AA605C">
      <w:pPr>
        <w:rPr>
          <w:sz w:val="20"/>
          <w:szCs w:val="20"/>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004E1" w:rsidRPr="00667307" w:rsidTr="00E52F75">
        <w:tc>
          <w:tcPr>
            <w:tcW w:w="5000" w:type="pct"/>
            <w:gridSpan w:val="3"/>
          </w:tcPr>
          <w:p w:rsidR="00A004E1" w:rsidRPr="00667307" w:rsidRDefault="00A004E1" w:rsidP="00E52F75">
            <w:pPr>
              <w:jc w:val="both"/>
              <w:rPr>
                <w:rFonts w:eastAsia="Calibri"/>
                <w:sz w:val="20"/>
              </w:rPr>
            </w:pPr>
            <w:r w:rsidRPr="00667307">
              <w:rPr>
                <w:rFonts w:eastAsia="Calibri"/>
                <w:sz w:val="20"/>
              </w:rPr>
              <w:t xml:space="preserve">Civil procedure – Amendment of pleading – Applicant renouncing portion of alleged claim –Subsequently seeking to go back on this choice, and court refusing to accept change – Whether courts treated applicant impartially – Whether amendment being sought is lawful – </w:t>
            </w:r>
            <w:r w:rsidRPr="00667307">
              <w:rPr>
                <w:rFonts w:eastAsia="Calibri"/>
                <w:i/>
                <w:sz w:val="20"/>
              </w:rPr>
              <w:t>Code of Civil Procedure</w:t>
            </w:r>
            <w:r w:rsidRPr="00667307">
              <w:rPr>
                <w:rFonts w:eastAsia="Calibri"/>
                <w:sz w:val="20"/>
              </w:rPr>
              <w:t>, R.S.Q., c. C</w:t>
            </w:r>
            <w:r w:rsidRPr="00667307">
              <w:rPr>
                <w:rFonts w:eastAsia="Calibri"/>
                <w:sz w:val="20"/>
              </w:rPr>
              <w:noBreakHyphen/>
              <w:t xml:space="preserve">25, art. 199 – </w:t>
            </w:r>
            <w:r w:rsidRPr="00667307">
              <w:rPr>
                <w:rFonts w:eastAsia="Calibri"/>
                <w:i/>
                <w:sz w:val="20"/>
              </w:rPr>
              <w:t>Civil Code of Québec</w:t>
            </w:r>
            <w:r w:rsidRPr="00667307">
              <w:rPr>
                <w:rFonts w:eastAsia="Calibri"/>
                <w:sz w:val="20"/>
              </w:rPr>
              <w:t>, S.Q. 1991, c. 64, art. 2631.</w:t>
            </w:r>
          </w:p>
        </w:tc>
      </w:tr>
      <w:tr w:rsidR="00A004E1" w:rsidRPr="00667307" w:rsidTr="00E52F75">
        <w:tc>
          <w:tcPr>
            <w:tcW w:w="5000" w:type="pct"/>
            <w:gridSpan w:val="3"/>
          </w:tcPr>
          <w:p w:rsidR="00A004E1" w:rsidRPr="00667307" w:rsidRDefault="00A004E1" w:rsidP="00E52F75">
            <w:pPr>
              <w:jc w:val="both"/>
              <w:rPr>
                <w:rFonts w:eastAsia="Calibri"/>
                <w:sz w:val="20"/>
              </w:rPr>
            </w:pPr>
          </w:p>
        </w:tc>
      </w:tr>
      <w:tr w:rsidR="00A004E1" w:rsidRPr="00667307" w:rsidTr="00E52F75">
        <w:tc>
          <w:tcPr>
            <w:tcW w:w="5000" w:type="pct"/>
            <w:gridSpan w:val="3"/>
          </w:tcPr>
          <w:p w:rsidR="00A004E1" w:rsidRPr="00667307" w:rsidRDefault="00A004E1" w:rsidP="00E52F75">
            <w:pPr>
              <w:jc w:val="both"/>
              <w:rPr>
                <w:rFonts w:eastAsia="Calibri"/>
                <w:sz w:val="20"/>
              </w:rPr>
            </w:pPr>
            <w:r w:rsidRPr="00667307">
              <w:rPr>
                <w:rFonts w:eastAsia="Calibri"/>
                <w:sz w:val="20"/>
              </w:rPr>
              <w:t>The respondent rendered professional services to the applicant at a time when she was a lawyer. The applicant contested the amount of the fees being claimed, namely $17,000, part of which he considered exaggerated and part false.  He renounced over half of his claim, which he made in small claims court.  In that court, he sought to increase the amount being claimed and transfer the case to the Court of Québec, Civil Division.  He was denied this amendment in reverse.</w:t>
            </w:r>
          </w:p>
          <w:p w:rsidR="00A004E1" w:rsidRPr="00667307" w:rsidRDefault="00A004E1" w:rsidP="00E52F75">
            <w:pPr>
              <w:jc w:val="both"/>
              <w:rPr>
                <w:rFonts w:eastAsia="Calibri"/>
                <w:sz w:val="20"/>
              </w:rPr>
            </w:pPr>
          </w:p>
        </w:tc>
      </w:tr>
      <w:tr w:rsidR="00A004E1" w:rsidRPr="00667307" w:rsidTr="00E52F75">
        <w:tc>
          <w:tcPr>
            <w:tcW w:w="2427" w:type="pct"/>
          </w:tcPr>
          <w:p w:rsidR="00A004E1" w:rsidRPr="00667307" w:rsidRDefault="00A004E1" w:rsidP="00E52F75">
            <w:pPr>
              <w:jc w:val="both"/>
              <w:rPr>
                <w:rFonts w:eastAsia="Calibri"/>
                <w:sz w:val="20"/>
              </w:rPr>
            </w:pPr>
            <w:r w:rsidRPr="00667307">
              <w:rPr>
                <w:rFonts w:eastAsia="Calibri"/>
                <w:sz w:val="20"/>
              </w:rPr>
              <w:t>December 4, 2012</w:t>
            </w:r>
          </w:p>
          <w:p w:rsidR="00A004E1" w:rsidRPr="00667307" w:rsidRDefault="00A004E1" w:rsidP="00E52F75">
            <w:pPr>
              <w:jc w:val="both"/>
              <w:rPr>
                <w:rFonts w:eastAsia="Calibri"/>
                <w:sz w:val="20"/>
              </w:rPr>
            </w:pPr>
            <w:r w:rsidRPr="00667307">
              <w:rPr>
                <w:rFonts w:eastAsia="Calibri"/>
                <w:sz w:val="20"/>
              </w:rPr>
              <w:t>Quebec Superior Court</w:t>
            </w:r>
          </w:p>
          <w:p w:rsidR="00A004E1" w:rsidRPr="00667307" w:rsidRDefault="00A004E1" w:rsidP="00E52F75">
            <w:pPr>
              <w:jc w:val="both"/>
              <w:rPr>
                <w:rFonts w:eastAsia="Calibri"/>
                <w:sz w:val="20"/>
              </w:rPr>
            </w:pPr>
            <w:r w:rsidRPr="00667307">
              <w:rPr>
                <w:rFonts w:eastAsia="Calibri"/>
                <w:sz w:val="20"/>
              </w:rPr>
              <w:t>(Downs J.)</w:t>
            </w:r>
          </w:p>
          <w:p w:rsidR="00A004E1" w:rsidRPr="00667307" w:rsidRDefault="00A004E1" w:rsidP="00E52F75">
            <w:pPr>
              <w:jc w:val="both"/>
              <w:rPr>
                <w:rFonts w:eastAsia="Calibri"/>
                <w:sz w:val="20"/>
              </w:rPr>
            </w:pPr>
            <w:r w:rsidRPr="00667307">
              <w:rPr>
                <w:rFonts w:eastAsia="Calibri"/>
                <w:sz w:val="20"/>
              </w:rPr>
              <w:t>2012 QCCS 6105</w:t>
            </w:r>
          </w:p>
          <w:p w:rsidR="00A004E1" w:rsidRPr="00667307" w:rsidRDefault="00A004E1" w:rsidP="00E52F75">
            <w:pPr>
              <w:jc w:val="both"/>
              <w:rPr>
                <w:rFonts w:eastAsia="Calibri"/>
                <w:sz w:val="20"/>
              </w:rPr>
            </w:pPr>
          </w:p>
        </w:tc>
        <w:tc>
          <w:tcPr>
            <w:tcW w:w="243" w:type="pct"/>
          </w:tcPr>
          <w:p w:rsidR="00A004E1" w:rsidRPr="00667307" w:rsidRDefault="00A004E1" w:rsidP="00E52F75">
            <w:pPr>
              <w:jc w:val="both"/>
              <w:rPr>
                <w:rFonts w:eastAsia="Calibri"/>
                <w:sz w:val="20"/>
              </w:rPr>
            </w:pPr>
          </w:p>
        </w:tc>
        <w:tc>
          <w:tcPr>
            <w:tcW w:w="2330" w:type="pct"/>
          </w:tcPr>
          <w:p w:rsidR="00A004E1" w:rsidRPr="00667307" w:rsidRDefault="00A004E1" w:rsidP="00E52F75">
            <w:pPr>
              <w:jc w:val="both"/>
              <w:rPr>
                <w:rFonts w:eastAsia="Calibri"/>
                <w:sz w:val="20"/>
              </w:rPr>
            </w:pPr>
            <w:r w:rsidRPr="00667307">
              <w:rPr>
                <w:rFonts w:eastAsia="Calibri"/>
                <w:sz w:val="20"/>
              </w:rPr>
              <w:t>Applicant’s motion for judicial review of decision of small claims court dismissed</w:t>
            </w:r>
          </w:p>
          <w:p w:rsidR="00A004E1" w:rsidRPr="00667307" w:rsidRDefault="00A004E1" w:rsidP="00E52F75">
            <w:pPr>
              <w:jc w:val="both"/>
              <w:rPr>
                <w:rFonts w:eastAsia="Calibri"/>
                <w:sz w:val="20"/>
              </w:rPr>
            </w:pPr>
          </w:p>
        </w:tc>
      </w:tr>
      <w:tr w:rsidR="00A004E1" w:rsidRPr="00667307" w:rsidTr="00E52F75">
        <w:tc>
          <w:tcPr>
            <w:tcW w:w="2427" w:type="pct"/>
          </w:tcPr>
          <w:p w:rsidR="00A004E1" w:rsidRPr="00667307" w:rsidRDefault="00A004E1" w:rsidP="00E52F75">
            <w:pPr>
              <w:jc w:val="both"/>
              <w:rPr>
                <w:rFonts w:eastAsia="Calibri"/>
                <w:sz w:val="20"/>
              </w:rPr>
            </w:pPr>
            <w:r w:rsidRPr="00667307">
              <w:rPr>
                <w:rFonts w:eastAsia="Calibri"/>
                <w:sz w:val="20"/>
              </w:rPr>
              <w:t>December 27, 2012</w:t>
            </w:r>
          </w:p>
          <w:p w:rsidR="00A004E1" w:rsidRPr="00667307" w:rsidRDefault="00A004E1" w:rsidP="00E52F75">
            <w:pPr>
              <w:jc w:val="both"/>
              <w:rPr>
                <w:rFonts w:eastAsia="Calibri"/>
                <w:sz w:val="20"/>
              </w:rPr>
            </w:pPr>
            <w:r w:rsidRPr="00667307">
              <w:rPr>
                <w:rFonts w:eastAsia="Calibri"/>
                <w:sz w:val="20"/>
              </w:rPr>
              <w:t>Quebec Court of Appeal (Montréal)</w:t>
            </w:r>
          </w:p>
          <w:p w:rsidR="00A004E1" w:rsidRPr="00667307" w:rsidRDefault="00A004E1" w:rsidP="00E52F75">
            <w:pPr>
              <w:jc w:val="both"/>
              <w:rPr>
                <w:rFonts w:eastAsia="Calibri"/>
                <w:sz w:val="20"/>
              </w:rPr>
            </w:pPr>
            <w:r w:rsidRPr="00667307">
              <w:rPr>
                <w:rFonts w:eastAsia="Calibri"/>
                <w:sz w:val="20"/>
              </w:rPr>
              <w:t>(Léger J.A.)</w:t>
            </w:r>
          </w:p>
          <w:p w:rsidR="00A004E1" w:rsidRPr="00667307" w:rsidRDefault="00A004E1" w:rsidP="00E52F75">
            <w:pPr>
              <w:jc w:val="both"/>
              <w:rPr>
                <w:rFonts w:eastAsia="Calibri"/>
                <w:sz w:val="20"/>
              </w:rPr>
            </w:pPr>
            <w:r w:rsidRPr="00667307">
              <w:rPr>
                <w:rFonts w:eastAsia="Calibri"/>
                <w:sz w:val="20"/>
              </w:rPr>
              <w:t>2012 QCCA 2322</w:t>
            </w:r>
          </w:p>
          <w:p w:rsidR="00A004E1" w:rsidRPr="00667307" w:rsidRDefault="00A004E1" w:rsidP="00E52F75">
            <w:pPr>
              <w:jc w:val="both"/>
              <w:rPr>
                <w:rFonts w:eastAsia="Calibri"/>
                <w:sz w:val="20"/>
              </w:rPr>
            </w:pPr>
          </w:p>
        </w:tc>
        <w:tc>
          <w:tcPr>
            <w:tcW w:w="243" w:type="pct"/>
          </w:tcPr>
          <w:p w:rsidR="00A004E1" w:rsidRPr="00667307" w:rsidRDefault="00A004E1" w:rsidP="00E52F75">
            <w:pPr>
              <w:jc w:val="both"/>
              <w:rPr>
                <w:rFonts w:eastAsia="Calibri"/>
                <w:sz w:val="20"/>
              </w:rPr>
            </w:pPr>
          </w:p>
        </w:tc>
        <w:tc>
          <w:tcPr>
            <w:tcW w:w="2330" w:type="pct"/>
          </w:tcPr>
          <w:p w:rsidR="00A004E1" w:rsidRPr="00667307" w:rsidRDefault="00A004E1" w:rsidP="00E52F75">
            <w:pPr>
              <w:jc w:val="both"/>
              <w:rPr>
                <w:rFonts w:eastAsia="Calibri"/>
                <w:sz w:val="20"/>
              </w:rPr>
            </w:pPr>
            <w:r w:rsidRPr="00667307">
              <w:rPr>
                <w:rFonts w:eastAsia="Calibri"/>
                <w:sz w:val="20"/>
              </w:rPr>
              <w:t>Leave to appeal from judgment of Superior Court refused</w:t>
            </w:r>
          </w:p>
        </w:tc>
      </w:tr>
      <w:tr w:rsidR="00A004E1" w:rsidRPr="00667307" w:rsidTr="00E52F75">
        <w:tc>
          <w:tcPr>
            <w:tcW w:w="2427" w:type="pct"/>
          </w:tcPr>
          <w:p w:rsidR="00A004E1" w:rsidRPr="00667307" w:rsidRDefault="00A004E1" w:rsidP="00E52F75">
            <w:pPr>
              <w:jc w:val="both"/>
              <w:rPr>
                <w:rFonts w:eastAsia="Calibri"/>
                <w:sz w:val="20"/>
              </w:rPr>
            </w:pPr>
            <w:r w:rsidRPr="00667307">
              <w:rPr>
                <w:rFonts w:eastAsia="Calibri"/>
                <w:sz w:val="20"/>
              </w:rPr>
              <w:t>February 26, 2013</w:t>
            </w:r>
          </w:p>
          <w:p w:rsidR="00A004E1" w:rsidRPr="00667307" w:rsidRDefault="00A004E1" w:rsidP="00E52F75">
            <w:pPr>
              <w:jc w:val="both"/>
              <w:rPr>
                <w:rFonts w:eastAsia="Calibri"/>
                <w:sz w:val="20"/>
              </w:rPr>
            </w:pPr>
            <w:r w:rsidRPr="00667307">
              <w:rPr>
                <w:rFonts w:eastAsia="Calibri"/>
                <w:sz w:val="20"/>
              </w:rPr>
              <w:t>Supreme Court of Canada</w:t>
            </w:r>
          </w:p>
        </w:tc>
        <w:tc>
          <w:tcPr>
            <w:tcW w:w="243" w:type="pct"/>
          </w:tcPr>
          <w:p w:rsidR="00A004E1" w:rsidRPr="00667307" w:rsidRDefault="00A004E1" w:rsidP="00E52F75">
            <w:pPr>
              <w:jc w:val="both"/>
              <w:rPr>
                <w:rFonts w:eastAsia="Calibri"/>
                <w:sz w:val="20"/>
              </w:rPr>
            </w:pPr>
          </w:p>
        </w:tc>
        <w:tc>
          <w:tcPr>
            <w:tcW w:w="2330" w:type="pct"/>
          </w:tcPr>
          <w:p w:rsidR="00A004E1" w:rsidRPr="00667307" w:rsidRDefault="00A004E1" w:rsidP="00E52F75">
            <w:pPr>
              <w:jc w:val="both"/>
              <w:rPr>
                <w:rFonts w:eastAsia="Calibri"/>
                <w:sz w:val="20"/>
              </w:rPr>
            </w:pPr>
            <w:r w:rsidRPr="00667307">
              <w:rPr>
                <w:rFonts w:eastAsia="Calibri"/>
                <w:sz w:val="20"/>
              </w:rPr>
              <w:t>Application for leave to appeal filed</w:t>
            </w: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74"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004E1" w:rsidRPr="00D41BFD" w:rsidTr="00E52F75">
        <w:tc>
          <w:tcPr>
            <w:tcW w:w="5000" w:type="pct"/>
            <w:gridSpan w:val="3"/>
          </w:tcPr>
          <w:p w:rsidR="00A004E1" w:rsidRPr="00667307" w:rsidRDefault="00A004E1" w:rsidP="00E52F75">
            <w:pPr>
              <w:jc w:val="both"/>
              <w:rPr>
                <w:rFonts w:eastAsia="Calibri"/>
                <w:sz w:val="20"/>
                <w:lang w:val="fr-CA"/>
              </w:rPr>
            </w:pPr>
            <w:r w:rsidRPr="00667307">
              <w:rPr>
                <w:rFonts w:eastAsia="Calibri"/>
                <w:sz w:val="20"/>
                <w:lang w:val="fr-CA"/>
              </w:rPr>
              <w:t>Procédure civile – Modification d’une procédure – Renonciation à une partie de créance alléguée – Changement de cette option recherché par la suite et refus du tribunal d’y acquiescer – Les tribunaux ont</w:t>
            </w:r>
            <w:r w:rsidRPr="00667307">
              <w:rPr>
                <w:rFonts w:eastAsia="Calibri"/>
                <w:sz w:val="20"/>
                <w:lang w:val="fr-CA"/>
              </w:rPr>
              <w:noBreakHyphen/>
              <w:t>ils traité le demandeur avec impartialité? – La modification recherchée était</w:t>
            </w:r>
            <w:r w:rsidRPr="00667307">
              <w:rPr>
                <w:rFonts w:eastAsia="Calibri"/>
                <w:sz w:val="20"/>
                <w:lang w:val="fr-CA"/>
              </w:rPr>
              <w:noBreakHyphen/>
              <w:t xml:space="preserve">elle permise par la loi? – </w:t>
            </w:r>
            <w:r w:rsidRPr="00667307">
              <w:rPr>
                <w:rFonts w:eastAsia="Calibri"/>
                <w:i/>
                <w:sz w:val="20"/>
                <w:lang w:val="fr-CA"/>
              </w:rPr>
              <w:t>Code de procédure civile</w:t>
            </w:r>
            <w:r w:rsidRPr="00667307">
              <w:rPr>
                <w:rFonts w:eastAsia="Calibri"/>
                <w:sz w:val="20"/>
                <w:lang w:val="fr-CA"/>
              </w:rPr>
              <w:t>, L.R.Q. ch. C</w:t>
            </w:r>
            <w:r w:rsidRPr="00667307">
              <w:rPr>
                <w:rFonts w:eastAsia="Calibri"/>
                <w:sz w:val="20"/>
                <w:lang w:val="fr-CA"/>
              </w:rPr>
              <w:noBreakHyphen/>
              <w:t xml:space="preserve">25, art. 199 – </w:t>
            </w:r>
            <w:r w:rsidRPr="00667307">
              <w:rPr>
                <w:rFonts w:eastAsia="Calibri"/>
                <w:i/>
                <w:sz w:val="20"/>
                <w:lang w:val="fr-CA"/>
              </w:rPr>
              <w:t>Code civil du Québec</w:t>
            </w:r>
            <w:r w:rsidRPr="00667307">
              <w:rPr>
                <w:rFonts w:eastAsia="Calibri"/>
                <w:sz w:val="20"/>
                <w:lang w:val="fr-CA"/>
              </w:rPr>
              <w:t>, L.Q. 1991, ch. 64, art. 2631.</w:t>
            </w:r>
          </w:p>
        </w:tc>
      </w:tr>
      <w:tr w:rsidR="00A004E1" w:rsidRPr="00D41BFD" w:rsidTr="00E52F75">
        <w:tc>
          <w:tcPr>
            <w:tcW w:w="5000" w:type="pct"/>
            <w:gridSpan w:val="3"/>
          </w:tcPr>
          <w:p w:rsidR="00A004E1" w:rsidRPr="00667307" w:rsidRDefault="00A004E1" w:rsidP="00E52F75">
            <w:pPr>
              <w:jc w:val="both"/>
              <w:rPr>
                <w:rFonts w:eastAsia="Calibri"/>
                <w:sz w:val="20"/>
                <w:lang w:val="fr-CA"/>
              </w:rPr>
            </w:pPr>
          </w:p>
        </w:tc>
      </w:tr>
      <w:tr w:rsidR="00A004E1" w:rsidRPr="00667307" w:rsidTr="00E52F75">
        <w:tc>
          <w:tcPr>
            <w:tcW w:w="5000" w:type="pct"/>
            <w:gridSpan w:val="3"/>
          </w:tcPr>
          <w:p w:rsidR="00A004E1" w:rsidRPr="00667307" w:rsidRDefault="00A004E1" w:rsidP="00E52F75">
            <w:pPr>
              <w:jc w:val="both"/>
              <w:rPr>
                <w:rFonts w:eastAsia="Calibri"/>
                <w:sz w:val="20"/>
                <w:lang w:val="fr-CA"/>
              </w:rPr>
            </w:pPr>
            <w:r w:rsidRPr="00667307">
              <w:rPr>
                <w:rFonts w:eastAsia="Calibri"/>
                <w:sz w:val="20"/>
                <w:lang w:val="fr-CA"/>
              </w:rPr>
              <w:t>L’intimée a rendu des services professionnels au demandeur à l’époque où elle était avocate. Celui</w:t>
            </w:r>
            <w:r w:rsidRPr="00667307">
              <w:rPr>
                <w:rFonts w:eastAsia="Calibri"/>
                <w:sz w:val="20"/>
                <w:lang w:val="fr-CA"/>
              </w:rPr>
              <w:noBreakHyphen/>
              <w:t xml:space="preserve">ci conteste le montant des honoraires réclamés, au montant de 17 000$, qu’il considère en partie exagérés et en partie fictifs.  Renonçant à plus de la moitié de sa réclamation, il la présente à la Cour des petites créances.  Devant ce tribunal, il demande l’augmentation du montant réclamé et le transfert du dossier à la Cour du Québec, chambre civile.  Cette </w:t>
            </w:r>
            <w:r w:rsidRPr="00667307">
              <w:rPr>
                <w:rFonts w:eastAsia="Calibri"/>
                <w:sz w:val="20"/>
                <w:lang w:val="fr-CA"/>
              </w:rPr>
              <w:lastRenderedPageBreak/>
              <w:t>modification à rebours lui est refusée.</w:t>
            </w:r>
          </w:p>
          <w:p w:rsidR="00A004E1" w:rsidRPr="00667307" w:rsidRDefault="00A004E1" w:rsidP="00E52F75">
            <w:pPr>
              <w:jc w:val="both"/>
              <w:rPr>
                <w:rFonts w:eastAsia="Calibri"/>
                <w:sz w:val="20"/>
                <w:lang w:val="fr-CA"/>
              </w:rPr>
            </w:pPr>
          </w:p>
        </w:tc>
      </w:tr>
      <w:tr w:rsidR="00A004E1" w:rsidRPr="00D41BFD" w:rsidTr="00E52F75">
        <w:tc>
          <w:tcPr>
            <w:tcW w:w="2427" w:type="pct"/>
          </w:tcPr>
          <w:p w:rsidR="00A004E1" w:rsidRPr="00667307" w:rsidRDefault="00A004E1" w:rsidP="00E52F75">
            <w:pPr>
              <w:jc w:val="both"/>
              <w:rPr>
                <w:rFonts w:eastAsia="Calibri"/>
                <w:sz w:val="20"/>
                <w:lang w:val="fr-CA"/>
              </w:rPr>
            </w:pPr>
            <w:r w:rsidRPr="00667307">
              <w:rPr>
                <w:rFonts w:eastAsia="Calibri"/>
                <w:sz w:val="20"/>
                <w:lang w:val="fr-CA"/>
              </w:rPr>
              <w:lastRenderedPageBreak/>
              <w:t>Le 4 décembre 2012</w:t>
            </w:r>
          </w:p>
          <w:p w:rsidR="00A004E1" w:rsidRPr="00667307" w:rsidRDefault="00A004E1" w:rsidP="00E52F75">
            <w:pPr>
              <w:jc w:val="both"/>
              <w:rPr>
                <w:rFonts w:eastAsia="Calibri"/>
                <w:sz w:val="20"/>
                <w:lang w:val="fr-CA"/>
              </w:rPr>
            </w:pPr>
            <w:r w:rsidRPr="00667307">
              <w:rPr>
                <w:rFonts w:eastAsia="Calibri"/>
                <w:sz w:val="20"/>
                <w:lang w:val="fr-CA"/>
              </w:rPr>
              <w:t>Cour supérieure du Québec</w:t>
            </w:r>
          </w:p>
          <w:p w:rsidR="00A004E1" w:rsidRPr="00667307" w:rsidRDefault="00A004E1" w:rsidP="00E52F75">
            <w:pPr>
              <w:jc w:val="both"/>
              <w:rPr>
                <w:rFonts w:eastAsia="Calibri"/>
                <w:sz w:val="20"/>
                <w:lang w:val="fr-CA"/>
              </w:rPr>
            </w:pPr>
            <w:r w:rsidRPr="00667307">
              <w:rPr>
                <w:rFonts w:eastAsia="Calibri"/>
                <w:sz w:val="20"/>
                <w:lang w:val="fr-CA"/>
              </w:rPr>
              <w:t>(Le juge Downs)</w:t>
            </w:r>
          </w:p>
          <w:p w:rsidR="00A004E1" w:rsidRPr="00667307" w:rsidRDefault="00A004E1" w:rsidP="00E52F75">
            <w:pPr>
              <w:jc w:val="both"/>
              <w:rPr>
                <w:rFonts w:eastAsia="Calibri"/>
                <w:sz w:val="20"/>
                <w:lang w:val="fr-CA"/>
              </w:rPr>
            </w:pPr>
            <w:r w:rsidRPr="00667307">
              <w:rPr>
                <w:rFonts w:eastAsia="Calibri"/>
                <w:sz w:val="20"/>
                <w:lang w:val="fr-CA"/>
              </w:rPr>
              <w:t>2012 QCCS 6105</w:t>
            </w:r>
          </w:p>
          <w:p w:rsidR="00A004E1" w:rsidRPr="00667307" w:rsidRDefault="00A004E1" w:rsidP="00E52F75">
            <w:pPr>
              <w:jc w:val="both"/>
              <w:rPr>
                <w:rFonts w:eastAsia="Calibri"/>
                <w:sz w:val="20"/>
                <w:lang w:val="fr-CA"/>
              </w:rPr>
            </w:pPr>
          </w:p>
        </w:tc>
        <w:tc>
          <w:tcPr>
            <w:tcW w:w="243" w:type="pct"/>
          </w:tcPr>
          <w:p w:rsidR="00A004E1" w:rsidRPr="00667307" w:rsidRDefault="00A004E1" w:rsidP="00E52F75">
            <w:pPr>
              <w:jc w:val="both"/>
              <w:rPr>
                <w:rFonts w:eastAsia="Calibri"/>
                <w:sz w:val="20"/>
              </w:rPr>
            </w:pPr>
          </w:p>
        </w:tc>
        <w:tc>
          <w:tcPr>
            <w:tcW w:w="2330" w:type="pct"/>
          </w:tcPr>
          <w:p w:rsidR="00A004E1" w:rsidRPr="00667307" w:rsidRDefault="00A004E1" w:rsidP="00E52F75">
            <w:pPr>
              <w:jc w:val="both"/>
              <w:rPr>
                <w:rFonts w:eastAsia="Calibri"/>
                <w:sz w:val="20"/>
                <w:lang w:val="fr-CA"/>
              </w:rPr>
            </w:pPr>
            <w:r w:rsidRPr="00667307">
              <w:rPr>
                <w:rFonts w:eastAsia="Calibri"/>
                <w:sz w:val="20"/>
                <w:lang w:val="fr-CA"/>
              </w:rPr>
              <w:t>Rejet de la requête du demandeur en contrôle judiciaire d’une décision de la Cour des petites créances.</w:t>
            </w:r>
          </w:p>
          <w:p w:rsidR="00A004E1" w:rsidRPr="00667307" w:rsidRDefault="00A004E1" w:rsidP="00E52F75">
            <w:pPr>
              <w:jc w:val="both"/>
              <w:rPr>
                <w:rFonts w:eastAsia="Calibri"/>
                <w:sz w:val="20"/>
                <w:lang w:val="fr-CA"/>
              </w:rPr>
            </w:pPr>
          </w:p>
        </w:tc>
      </w:tr>
      <w:tr w:rsidR="00A004E1" w:rsidRPr="00D41BFD" w:rsidTr="00E52F75">
        <w:tc>
          <w:tcPr>
            <w:tcW w:w="2427" w:type="pct"/>
          </w:tcPr>
          <w:p w:rsidR="00A004E1" w:rsidRPr="00667307" w:rsidRDefault="00A004E1" w:rsidP="00E52F75">
            <w:pPr>
              <w:jc w:val="both"/>
              <w:rPr>
                <w:rFonts w:eastAsia="Calibri"/>
                <w:sz w:val="20"/>
                <w:lang w:val="fr-CA"/>
              </w:rPr>
            </w:pPr>
            <w:r w:rsidRPr="00667307">
              <w:rPr>
                <w:rFonts w:eastAsia="Calibri"/>
                <w:sz w:val="20"/>
                <w:lang w:val="fr-CA"/>
              </w:rPr>
              <w:t>Le 27 décembre 2012</w:t>
            </w:r>
          </w:p>
          <w:p w:rsidR="00A004E1" w:rsidRPr="00667307" w:rsidRDefault="00A004E1" w:rsidP="00E52F75">
            <w:pPr>
              <w:jc w:val="both"/>
              <w:rPr>
                <w:rFonts w:eastAsia="Calibri"/>
                <w:sz w:val="20"/>
                <w:lang w:val="fr-CA"/>
              </w:rPr>
            </w:pPr>
            <w:r w:rsidRPr="00667307">
              <w:rPr>
                <w:rFonts w:eastAsia="Calibri"/>
                <w:sz w:val="20"/>
                <w:lang w:val="fr-CA"/>
              </w:rPr>
              <w:t>Cour d’appel du Québec (Montréal)</w:t>
            </w:r>
          </w:p>
          <w:p w:rsidR="00A004E1" w:rsidRPr="00667307" w:rsidRDefault="00A004E1" w:rsidP="00E52F75">
            <w:pPr>
              <w:jc w:val="both"/>
              <w:rPr>
                <w:rFonts w:eastAsia="Calibri"/>
                <w:sz w:val="20"/>
                <w:lang w:val="fr-CA"/>
              </w:rPr>
            </w:pPr>
            <w:r w:rsidRPr="00667307">
              <w:rPr>
                <w:rFonts w:eastAsia="Calibri"/>
                <w:sz w:val="20"/>
                <w:lang w:val="fr-CA"/>
              </w:rPr>
              <w:t>(Le juge Léger)</w:t>
            </w:r>
          </w:p>
          <w:p w:rsidR="00A004E1" w:rsidRPr="00667307" w:rsidRDefault="00A004E1" w:rsidP="00E52F75">
            <w:pPr>
              <w:jc w:val="both"/>
              <w:rPr>
                <w:rFonts w:eastAsia="Calibri"/>
                <w:sz w:val="20"/>
                <w:lang w:val="fr-CA"/>
              </w:rPr>
            </w:pPr>
            <w:r w:rsidRPr="00667307">
              <w:rPr>
                <w:rFonts w:eastAsia="Calibri"/>
                <w:sz w:val="20"/>
                <w:lang w:val="fr-CA"/>
              </w:rPr>
              <w:t>2012 QCCA 2322</w:t>
            </w:r>
          </w:p>
          <w:p w:rsidR="00A004E1" w:rsidRPr="00667307" w:rsidRDefault="00A004E1" w:rsidP="00E52F75">
            <w:pPr>
              <w:jc w:val="both"/>
              <w:rPr>
                <w:rFonts w:eastAsia="Calibri"/>
                <w:sz w:val="20"/>
                <w:lang w:val="fr-FR"/>
              </w:rPr>
            </w:pPr>
          </w:p>
        </w:tc>
        <w:tc>
          <w:tcPr>
            <w:tcW w:w="243" w:type="pct"/>
          </w:tcPr>
          <w:p w:rsidR="00A004E1" w:rsidRPr="00667307" w:rsidRDefault="00A004E1" w:rsidP="00E52F75">
            <w:pPr>
              <w:jc w:val="both"/>
              <w:rPr>
                <w:rFonts w:eastAsia="Calibri"/>
                <w:sz w:val="20"/>
                <w:lang w:val="fr-FR"/>
              </w:rPr>
            </w:pPr>
          </w:p>
        </w:tc>
        <w:tc>
          <w:tcPr>
            <w:tcW w:w="2330" w:type="pct"/>
          </w:tcPr>
          <w:p w:rsidR="00A004E1" w:rsidRPr="00667307" w:rsidRDefault="00A004E1" w:rsidP="00E52F75">
            <w:pPr>
              <w:jc w:val="both"/>
              <w:rPr>
                <w:rFonts w:eastAsia="Calibri"/>
                <w:sz w:val="20"/>
                <w:lang w:val="fr-CA"/>
              </w:rPr>
            </w:pPr>
            <w:r w:rsidRPr="00667307">
              <w:rPr>
                <w:rFonts w:eastAsia="Calibri"/>
                <w:sz w:val="20"/>
                <w:lang w:val="fr-CA"/>
              </w:rPr>
              <w:t>Refus de la permission d’en appeler du jugement de la Cour supérieure.</w:t>
            </w:r>
          </w:p>
        </w:tc>
      </w:tr>
      <w:tr w:rsidR="00A004E1" w:rsidRPr="00D41BFD" w:rsidTr="00E52F75">
        <w:tc>
          <w:tcPr>
            <w:tcW w:w="2427" w:type="pct"/>
          </w:tcPr>
          <w:p w:rsidR="00A004E1" w:rsidRPr="00667307" w:rsidRDefault="00A004E1" w:rsidP="00E52F75">
            <w:pPr>
              <w:jc w:val="both"/>
              <w:rPr>
                <w:rFonts w:eastAsia="Calibri"/>
                <w:sz w:val="20"/>
                <w:lang w:val="fr-CA"/>
              </w:rPr>
            </w:pPr>
            <w:r w:rsidRPr="00667307">
              <w:rPr>
                <w:rFonts w:eastAsia="Calibri"/>
                <w:sz w:val="20"/>
                <w:lang w:val="fr-CA"/>
              </w:rPr>
              <w:t>Le 26 février 2013</w:t>
            </w:r>
          </w:p>
          <w:p w:rsidR="00A004E1" w:rsidRPr="00667307" w:rsidRDefault="00A004E1" w:rsidP="00E52F75">
            <w:pPr>
              <w:jc w:val="both"/>
              <w:rPr>
                <w:rFonts w:eastAsia="Calibri"/>
                <w:sz w:val="20"/>
                <w:lang w:val="fr-CA"/>
              </w:rPr>
            </w:pPr>
            <w:r w:rsidRPr="00667307">
              <w:rPr>
                <w:rFonts w:eastAsia="Calibri"/>
                <w:sz w:val="20"/>
                <w:lang w:val="fr-CA"/>
              </w:rPr>
              <w:t>Cour suprême du Canada</w:t>
            </w:r>
          </w:p>
        </w:tc>
        <w:tc>
          <w:tcPr>
            <w:tcW w:w="243" w:type="pct"/>
          </w:tcPr>
          <w:p w:rsidR="00A004E1" w:rsidRPr="00667307" w:rsidRDefault="00A004E1" w:rsidP="00E52F75">
            <w:pPr>
              <w:jc w:val="both"/>
              <w:rPr>
                <w:rFonts w:eastAsia="Calibri"/>
                <w:sz w:val="20"/>
                <w:lang w:val="fr-CA"/>
              </w:rPr>
            </w:pPr>
          </w:p>
        </w:tc>
        <w:tc>
          <w:tcPr>
            <w:tcW w:w="2330" w:type="pct"/>
          </w:tcPr>
          <w:p w:rsidR="00A004E1" w:rsidRPr="00667307" w:rsidRDefault="00A004E1" w:rsidP="00E52F75">
            <w:pPr>
              <w:jc w:val="both"/>
              <w:rPr>
                <w:rFonts w:eastAsia="Calibri"/>
                <w:sz w:val="20"/>
                <w:lang w:val="fr-CA"/>
              </w:rPr>
            </w:pPr>
            <w:r w:rsidRPr="00667307">
              <w:rPr>
                <w:rFonts w:eastAsia="Calibri"/>
                <w:sz w:val="20"/>
                <w:lang w:val="fr-CA"/>
              </w:rPr>
              <w:t>Dépôt de la demande d'autorisation d'appel.</w:t>
            </w:r>
          </w:p>
        </w:tc>
      </w:tr>
    </w:tbl>
    <w:p w:rsidR="00AA605C" w:rsidRPr="00A004E1" w:rsidRDefault="00AA605C" w:rsidP="00AA605C">
      <w:pPr>
        <w:rPr>
          <w:sz w:val="20"/>
          <w:szCs w:val="20"/>
          <w:lang w:val="fr-CA"/>
        </w:rPr>
      </w:pPr>
    </w:p>
    <w:p w:rsidR="00AA605C" w:rsidRDefault="00B3404D" w:rsidP="00AA605C">
      <w:pPr>
        <w:rPr>
          <w:sz w:val="20"/>
          <w:szCs w:val="20"/>
          <w:lang w:val="fr-CA"/>
        </w:rPr>
      </w:pPr>
      <w:r w:rsidRPr="00B3404D">
        <w:rPr>
          <w:sz w:val="20"/>
          <w:szCs w:val="20"/>
          <w:lang w:val="fr-CA"/>
        </w:rPr>
        <w:pict>
          <v:rect id="_x0000_i1075" style="width:2in;height:1pt" o:hrpct="0" o:hralign="center" o:hrstd="t" o:hrnoshade="t" o:hr="t" fillcolor="black [3213]" stroked="f"/>
        </w:pict>
      </w:r>
    </w:p>
    <w:p w:rsidR="00AA605C" w:rsidRDefault="00AA605C" w:rsidP="00AA605C">
      <w:pPr>
        <w:rPr>
          <w:sz w:val="20"/>
          <w:szCs w:val="20"/>
        </w:rPr>
      </w:pPr>
    </w:p>
    <w:tbl>
      <w:tblPr>
        <w:tblStyle w:val="TableGrid1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07C53" w:rsidRPr="00107C53" w:rsidTr="00A426F6">
        <w:trPr>
          <w:cantSplit/>
        </w:trPr>
        <w:tc>
          <w:tcPr>
            <w:tcW w:w="1458" w:type="dxa"/>
          </w:tcPr>
          <w:p w:rsidR="00107C53" w:rsidRPr="00107C53" w:rsidRDefault="00107C53" w:rsidP="00107C53">
            <w:pPr>
              <w:rPr>
                <w:sz w:val="20"/>
                <w:szCs w:val="20"/>
              </w:rPr>
            </w:pPr>
            <w:r w:rsidRPr="00107C53">
              <w:rPr>
                <w:b/>
                <w:sz w:val="20"/>
                <w:lang w:val="fr-CA"/>
              </w:rPr>
              <w:t>35283</w:t>
            </w:r>
          </w:p>
          <w:p w:rsidR="00107C53" w:rsidRPr="00107C53" w:rsidRDefault="00107C53" w:rsidP="00107C53">
            <w:pPr>
              <w:rPr>
                <w:b/>
                <w:sz w:val="20"/>
                <w:szCs w:val="20"/>
                <w:lang w:val="fr-CA"/>
              </w:rPr>
            </w:pPr>
          </w:p>
        </w:tc>
        <w:tc>
          <w:tcPr>
            <w:tcW w:w="8118" w:type="dxa"/>
          </w:tcPr>
          <w:p w:rsidR="00107C53" w:rsidRPr="00107C53" w:rsidRDefault="00107C53" w:rsidP="00107C53">
            <w:pPr>
              <w:jc w:val="both"/>
              <w:rPr>
                <w:sz w:val="20"/>
                <w:szCs w:val="20"/>
              </w:rPr>
            </w:pPr>
            <w:r w:rsidRPr="00107C53">
              <w:rPr>
                <w:b/>
                <w:sz w:val="20"/>
                <w:u w:val="single"/>
              </w:rPr>
              <w:t>Mohamed Ahmed v. City of Vancouver, Mayor Gregor Robertson, City Councilors David Cadman, George Chow, Heather Deal, Kerry Jang, Raymond Louie, Geoff Meggs, Tim Stevenson</w:t>
            </w:r>
            <w:r w:rsidR="003532A0">
              <w:rPr>
                <w:b/>
                <w:sz w:val="20"/>
                <w:u w:val="single"/>
              </w:rPr>
              <w:t>,</w:t>
            </w:r>
            <w:r w:rsidRPr="00107C53">
              <w:rPr>
                <w:b/>
                <w:sz w:val="20"/>
                <w:u w:val="single"/>
              </w:rPr>
              <w:t xml:space="preserve"> Ellen Woodworth, Blue Sky Properties Inc., Dale Bosa and Robert Bosa</w:t>
            </w:r>
            <w:r w:rsidRPr="00107C53">
              <w:rPr>
                <w:sz w:val="20"/>
                <w:szCs w:val="20"/>
              </w:rPr>
              <w:t xml:space="preserve"> (B.C.) (Civil) (By Leave)</w:t>
            </w:r>
          </w:p>
          <w:p w:rsidR="00107C53" w:rsidRPr="00107C53" w:rsidRDefault="00107C53" w:rsidP="00107C53">
            <w:pPr>
              <w:jc w:val="both"/>
              <w:rPr>
                <w:sz w:val="20"/>
                <w:szCs w:val="20"/>
              </w:rPr>
            </w:pPr>
          </w:p>
        </w:tc>
      </w:tr>
      <w:tr w:rsidR="00107C53" w:rsidRPr="00107C53" w:rsidTr="00A426F6">
        <w:trPr>
          <w:cantSplit/>
        </w:trPr>
        <w:tc>
          <w:tcPr>
            <w:tcW w:w="1458" w:type="dxa"/>
          </w:tcPr>
          <w:p w:rsidR="00107C53" w:rsidRPr="00107C53" w:rsidRDefault="00107C53" w:rsidP="00107C53">
            <w:pPr>
              <w:rPr>
                <w:sz w:val="20"/>
                <w:szCs w:val="20"/>
              </w:rPr>
            </w:pPr>
            <w:r w:rsidRPr="00107C53">
              <w:rPr>
                <w:sz w:val="20"/>
                <w:szCs w:val="20"/>
              </w:rPr>
              <w:t>Coram :</w:t>
            </w:r>
          </w:p>
        </w:tc>
        <w:tc>
          <w:tcPr>
            <w:tcW w:w="8118" w:type="dxa"/>
          </w:tcPr>
          <w:p w:rsidR="00107C53" w:rsidRPr="00107C53" w:rsidRDefault="00107C53" w:rsidP="00107C53">
            <w:pPr>
              <w:rPr>
                <w:sz w:val="20"/>
                <w:szCs w:val="20"/>
              </w:rPr>
            </w:pPr>
            <w:r w:rsidRPr="00107C53">
              <w:rPr>
                <w:sz w:val="20"/>
                <w:u w:val="single"/>
              </w:rPr>
              <w:t>McLachlin C.J. and Abella and Cromwell JJ.</w:t>
            </w:r>
          </w:p>
          <w:p w:rsidR="00107C53" w:rsidRPr="00107C53" w:rsidRDefault="00107C53" w:rsidP="00107C53">
            <w:pPr>
              <w:rPr>
                <w:sz w:val="20"/>
                <w:szCs w:val="20"/>
                <w:u w:val="single"/>
              </w:rPr>
            </w:pPr>
          </w:p>
        </w:tc>
      </w:tr>
      <w:tr w:rsidR="00107C53" w:rsidRPr="00D41BFD" w:rsidTr="00A426F6">
        <w:trPr>
          <w:cantSplit/>
        </w:trPr>
        <w:tc>
          <w:tcPr>
            <w:tcW w:w="9576" w:type="dxa"/>
            <w:gridSpan w:val="2"/>
          </w:tcPr>
          <w:p w:rsidR="00107C53" w:rsidRPr="00107C53" w:rsidRDefault="00107C53" w:rsidP="00107C53">
            <w:pPr>
              <w:ind w:firstLine="720"/>
              <w:jc w:val="both"/>
              <w:rPr>
                <w:sz w:val="20"/>
                <w:szCs w:val="20"/>
              </w:rPr>
            </w:pPr>
            <w:r w:rsidRPr="00107C53">
              <w:rPr>
                <w:sz w:val="20"/>
                <w:szCs w:val="20"/>
              </w:rPr>
              <w:t>The application for leave to appeal from the judgment of the Court of Appeal for British Columbia (Vancouver), Number CA039795, 2013 BCCA 26, dated January 16, 2013, is dismissed with costs to the respondents Blue Sky Properties Inc., Dale Bosa and Robert Bosa.</w:t>
            </w:r>
          </w:p>
          <w:p w:rsidR="00107C53" w:rsidRPr="00107C53" w:rsidRDefault="00107C53" w:rsidP="00107C53">
            <w:pPr>
              <w:jc w:val="both"/>
              <w:rPr>
                <w:sz w:val="20"/>
                <w:szCs w:val="20"/>
              </w:rPr>
            </w:pPr>
          </w:p>
          <w:p w:rsidR="00107C53" w:rsidRPr="00107C53" w:rsidRDefault="00107C53" w:rsidP="00107C53">
            <w:pPr>
              <w:ind w:firstLine="720"/>
              <w:jc w:val="both"/>
              <w:rPr>
                <w:sz w:val="20"/>
                <w:szCs w:val="20"/>
                <w:lang w:val="fr-CA"/>
              </w:rPr>
            </w:pPr>
            <w:r w:rsidRPr="00107C53">
              <w:rPr>
                <w:sz w:val="20"/>
                <w:szCs w:val="20"/>
                <w:lang w:val="fr-CA"/>
              </w:rPr>
              <w:t>La demande d’autorisation d’appel de l’arrêt de la Cour d’appel de la Colombie-Britannique (Vancouver), numéro CA039795, 2013 BCCA 26, daté du 16 janvier 2013, est rejetée avec dépens en faveur des intimés Blue Sky Properties Inc., Dale Bosa et Robert Bosa.</w:t>
            </w:r>
          </w:p>
        </w:tc>
      </w:tr>
    </w:tbl>
    <w:p w:rsidR="00AA605C" w:rsidRPr="00107C53" w:rsidRDefault="00AA605C" w:rsidP="00AA605C">
      <w:pPr>
        <w:rPr>
          <w:sz w:val="20"/>
          <w:szCs w:val="20"/>
          <w:lang w:val="fr-CA"/>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004E1" w:rsidRPr="00667307" w:rsidTr="00E52F75">
        <w:tc>
          <w:tcPr>
            <w:tcW w:w="5000" w:type="pct"/>
            <w:gridSpan w:val="3"/>
          </w:tcPr>
          <w:p w:rsidR="00A004E1" w:rsidRPr="00667307" w:rsidRDefault="00A004E1" w:rsidP="00E52F75">
            <w:pPr>
              <w:jc w:val="both"/>
              <w:rPr>
                <w:rFonts w:eastAsia="Calibri"/>
                <w:sz w:val="20"/>
              </w:rPr>
            </w:pPr>
            <w:r w:rsidRPr="00667307">
              <w:rPr>
                <w:rFonts w:eastAsia="Calibri"/>
                <w:sz w:val="20"/>
              </w:rPr>
              <w:t xml:space="preserve">Civil procedure – Abuse of process – Vexatious litigants – Costs – Trial judge dismissing action as abuse of process, declaring applicant vexatious litigant and ordering him to pay special costs – Whether Court of Appeal erred in dismissing appeal – Whether Court of Appeal erred in granting special costs award – Whether party is entitled to a court order where construction in neighbourhood raises issues of environmental health and damage to property – Whether special costs can be awarded against party without the Court giving that party opportunity to be heard – Whether litigant can be declared vexatious based on reasons for judgment provided in other cases or matters </w:t>
            </w:r>
          </w:p>
        </w:tc>
      </w:tr>
      <w:tr w:rsidR="00A004E1" w:rsidRPr="00667307" w:rsidTr="00E52F75">
        <w:tc>
          <w:tcPr>
            <w:tcW w:w="5000" w:type="pct"/>
            <w:gridSpan w:val="3"/>
          </w:tcPr>
          <w:p w:rsidR="00A004E1" w:rsidRPr="00667307" w:rsidRDefault="00A004E1" w:rsidP="00E52F75">
            <w:pPr>
              <w:jc w:val="both"/>
              <w:rPr>
                <w:rFonts w:eastAsia="Calibri"/>
                <w:sz w:val="20"/>
              </w:rPr>
            </w:pPr>
          </w:p>
        </w:tc>
      </w:tr>
      <w:tr w:rsidR="00A004E1" w:rsidRPr="00667307" w:rsidTr="00E52F75">
        <w:tc>
          <w:tcPr>
            <w:tcW w:w="5000" w:type="pct"/>
            <w:gridSpan w:val="3"/>
          </w:tcPr>
          <w:p w:rsidR="00A004E1" w:rsidRPr="00667307" w:rsidRDefault="00A004E1" w:rsidP="00E52F75">
            <w:pPr>
              <w:jc w:val="both"/>
              <w:rPr>
                <w:rFonts w:eastAsia="Calibri"/>
                <w:sz w:val="20"/>
              </w:rPr>
            </w:pPr>
            <w:r w:rsidRPr="00667307">
              <w:rPr>
                <w:rFonts w:eastAsia="Calibri"/>
                <w:sz w:val="20"/>
              </w:rPr>
              <w:t xml:space="preserve">In 2010, Mr. Ahmed initiated an action against the respondents seeking $10,000,000 in damages for loss of income to a business and building (the Ahmed Building), for devaluation and contamination of that building as well as for loss of security, safety, privacy and view.  Alternatively, Mr. Ahmed sought an order revoking a development permit obtained by Blue Sky Properties Inc. for the construction of a nearby building and for compensation for the tenants of the Ahmed building. </w:t>
            </w:r>
          </w:p>
          <w:p w:rsidR="00A004E1" w:rsidRPr="00667307" w:rsidRDefault="00A004E1" w:rsidP="00E52F75">
            <w:pPr>
              <w:jc w:val="both"/>
              <w:rPr>
                <w:rFonts w:eastAsia="Calibri"/>
                <w:sz w:val="20"/>
              </w:rPr>
            </w:pPr>
          </w:p>
          <w:p w:rsidR="00A004E1" w:rsidRPr="00667307" w:rsidRDefault="00A004E1" w:rsidP="00E52F75">
            <w:pPr>
              <w:jc w:val="both"/>
              <w:rPr>
                <w:rFonts w:eastAsia="Calibri"/>
                <w:sz w:val="20"/>
              </w:rPr>
            </w:pPr>
            <w:r w:rsidRPr="00667307">
              <w:rPr>
                <w:rFonts w:eastAsia="Calibri"/>
                <w:sz w:val="20"/>
              </w:rPr>
              <w:t xml:space="preserve">Numerous interlocutory proceedings were initiated by Mr. Ahmed during the course of litigation.  Those proceedings as well as subsequent appeals launched by Mr. Ahmed were dismissed. </w:t>
            </w:r>
          </w:p>
          <w:p w:rsidR="00A004E1" w:rsidRPr="00667307" w:rsidRDefault="00A004E1" w:rsidP="00E52F75">
            <w:pPr>
              <w:jc w:val="both"/>
              <w:rPr>
                <w:rFonts w:eastAsia="Calibri"/>
                <w:sz w:val="20"/>
              </w:rPr>
            </w:pPr>
          </w:p>
          <w:p w:rsidR="00A004E1" w:rsidRPr="00667307" w:rsidRDefault="00A004E1" w:rsidP="00E52F75">
            <w:pPr>
              <w:jc w:val="both"/>
              <w:rPr>
                <w:rFonts w:eastAsia="Calibri"/>
                <w:sz w:val="20"/>
              </w:rPr>
            </w:pPr>
            <w:r w:rsidRPr="00667307">
              <w:rPr>
                <w:rFonts w:eastAsia="Calibri"/>
                <w:sz w:val="20"/>
              </w:rPr>
              <w:lastRenderedPageBreak/>
              <w:t xml:space="preserve">All of the respondents applied for an order dismissing Mr. Ahmed’s action against them while the respondents Blue Sky Properties, Dale Bosa and Robert Bosa (the Bosa defendants) also sought an order for special costs and an order pursuant to s. 18 of the </w:t>
            </w:r>
            <w:r w:rsidRPr="00667307">
              <w:rPr>
                <w:rFonts w:eastAsia="Calibri"/>
                <w:i/>
                <w:sz w:val="20"/>
              </w:rPr>
              <w:t>Supreme Court Act</w:t>
            </w:r>
            <w:r w:rsidRPr="00667307">
              <w:rPr>
                <w:rFonts w:eastAsia="Calibri"/>
                <w:sz w:val="20"/>
              </w:rPr>
              <w:t xml:space="preserve">, R.S.B.C. 1996, c. 443 that Mr. Ahmed be required to obtain leave of the Court prior to bringing further applications or actions.  In the context of that proceeding, Mr. Ahmed brought an application seeking that the judge recuse himself. </w:t>
            </w:r>
          </w:p>
          <w:p w:rsidR="00A004E1" w:rsidRPr="00667307" w:rsidRDefault="00A004E1" w:rsidP="00E52F75">
            <w:pPr>
              <w:jc w:val="both"/>
              <w:rPr>
                <w:rFonts w:eastAsia="Calibri"/>
                <w:sz w:val="20"/>
              </w:rPr>
            </w:pPr>
          </w:p>
        </w:tc>
      </w:tr>
      <w:tr w:rsidR="00A004E1" w:rsidRPr="00667307" w:rsidTr="00E52F75">
        <w:tc>
          <w:tcPr>
            <w:tcW w:w="2427" w:type="pct"/>
          </w:tcPr>
          <w:p w:rsidR="00A004E1" w:rsidRPr="00667307" w:rsidRDefault="00A004E1" w:rsidP="00E52F75">
            <w:pPr>
              <w:jc w:val="both"/>
              <w:rPr>
                <w:rFonts w:eastAsia="Calibri"/>
                <w:sz w:val="20"/>
              </w:rPr>
            </w:pPr>
            <w:r w:rsidRPr="00667307">
              <w:rPr>
                <w:rFonts w:eastAsia="Calibri"/>
                <w:sz w:val="20"/>
              </w:rPr>
              <w:lastRenderedPageBreak/>
              <w:t>February 29, 2012</w:t>
            </w:r>
          </w:p>
          <w:p w:rsidR="00A004E1" w:rsidRPr="00667307" w:rsidRDefault="00A004E1" w:rsidP="00E52F75">
            <w:pPr>
              <w:jc w:val="both"/>
              <w:rPr>
                <w:rFonts w:eastAsia="Calibri"/>
                <w:sz w:val="20"/>
              </w:rPr>
            </w:pPr>
            <w:r w:rsidRPr="00667307">
              <w:rPr>
                <w:rFonts w:eastAsia="Calibri"/>
                <w:sz w:val="20"/>
              </w:rPr>
              <w:t>Supreme Court of British Columbia</w:t>
            </w:r>
          </w:p>
          <w:p w:rsidR="00A004E1" w:rsidRPr="00667307" w:rsidRDefault="00A004E1" w:rsidP="00E52F75">
            <w:pPr>
              <w:jc w:val="both"/>
              <w:rPr>
                <w:rFonts w:eastAsia="Calibri"/>
                <w:sz w:val="20"/>
              </w:rPr>
            </w:pPr>
            <w:r w:rsidRPr="00667307">
              <w:rPr>
                <w:rFonts w:eastAsia="Calibri"/>
                <w:sz w:val="20"/>
              </w:rPr>
              <w:t>(Sewell J.)</w:t>
            </w:r>
          </w:p>
          <w:p w:rsidR="00A004E1" w:rsidRPr="00667307" w:rsidRDefault="00A004E1" w:rsidP="00E52F75">
            <w:pPr>
              <w:jc w:val="both"/>
              <w:rPr>
                <w:rFonts w:eastAsia="Calibri"/>
                <w:sz w:val="20"/>
              </w:rPr>
            </w:pPr>
            <w:r w:rsidRPr="00667307">
              <w:rPr>
                <w:rFonts w:eastAsia="Calibri"/>
                <w:sz w:val="20"/>
              </w:rPr>
              <w:t>2012 BCSC 301</w:t>
            </w:r>
          </w:p>
        </w:tc>
        <w:tc>
          <w:tcPr>
            <w:tcW w:w="243" w:type="pct"/>
          </w:tcPr>
          <w:p w:rsidR="00A004E1" w:rsidRPr="00667307" w:rsidRDefault="00A004E1" w:rsidP="00E52F75">
            <w:pPr>
              <w:jc w:val="both"/>
              <w:rPr>
                <w:rFonts w:eastAsia="Calibri"/>
                <w:sz w:val="20"/>
              </w:rPr>
            </w:pPr>
          </w:p>
        </w:tc>
        <w:tc>
          <w:tcPr>
            <w:tcW w:w="2330" w:type="pct"/>
          </w:tcPr>
          <w:p w:rsidR="00A004E1" w:rsidRPr="00667307" w:rsidRDefault="00A004E1" w:rsidP="00E52F75">
            <w:pPr>
              <w:jc w:val="both"/>
              <w:rPr>
                <w:rFonts w:eastAsia="Calibri"/>
                <w:sz w:val="20"/>
              </w:rPr>
            </w:pPr>
            <w:r w:rsidRPr="00667307">
              <w:rPr>
                <w:rFonts w:eastAsia="Calibri"/>
                <w:sz w:val="20"/>
              </w:rPr>
              <w:t xml:space="preserve">Action dismissed with costs; Blue Sky Properties Inc., Dale Bosa and Robert Bosa granted award of special costs; Applicant barred from commencing further proceedings without leave of the Court pursuant to s. 18 of the </w:t>
            </w:r>
            <w:r w:rsidRPr="00667307">
              <w:rPr>
                <w:rFonts w:eastAsia="Calibri"/>
                <w:i/>
                <w:sz w:val="20"/>
              </w:rPr>
              <w:t xml:space="preserve">Supreme Court Act, </w:t>
            </w:r>
            <w:r w:rsidRPr="00667307">
              <w:rPr>
                <w:rFonts w:eastAsia="Calibri"/>
                <w:sz w:val="20"/>
              </w:rPr>
              <w:t>R.S.B.C. 1996, c. 443</w:t>
            </w:r>
          </w:p>
          <w:p w:rsidR="00A004E1" w:rsidRPr="00667307" w:rsidRDefault="00A004E1" w:rsidP="00E52F75">
            <w:pPr>
              <w:jc w:val="both"/>
              <w:rPr>
                <w:rFonts w:eastAsia="Calibri"/>
                <w:sz w:val="20"/>
              </w:rPr>
            </w:pPr>
          </w:p>
        </w:tc>
      </w:tr>
      <w:tr w:rsidR="00A004E1" w:rsidRPr="00667307" w:rsidTr="00E52F75">
        <w:tc>
          <w:tcPr>
            <w:tcW w:w="2427" w:type="pct"/>
          </w:tcPr>
          <w:p w:rsidR="00A004E1" w:rsidRPr="00667307" w:rsidRDefault="00A004E1" w:rsidP="00E52F75">
            <w:pPr>
              <w:jc w:val="both"/>
              <w:rPr>
                <w:rFonts w:eastAsia="Calibri"/>
                <w:sz w:val="20"/>
              </w:rPr>
            </w:pPr>
            <w:r w:rsidRPr="00667307">
              <w:rPr>
                <w:rFonts w:eastAsia="Calibri"/>
                <w:sz w:val="20"/>
              </w:rPr>
              <w:t>January 16, 2013</w:t>
            </w:r>
          </w:p>
          <w:p w:rsidR="00A004E1" w:rsidRPr="00667307" w:rsidRDefault="00A004E1" w:rsidP="00E52F75">
            <w:pPr>
              <w:jc w:val="both"/>
              <w:rPr>
                <w:rFonts w:eastAsia="Calibri"/>
                <w:sz w:val="20"/>
              </w:rPr>
            </w:pPr>
            <w:r w:rsidRPr="00667307">
              <w:rPr>
                <w:rFonts w:eastAsia="Calibri"/>
                <w:sz w:val="20"/>
              </w:rPr>
              <w:t>Court of Appeal for British Columbia (Vancouver)</w:t>
            </w:r>
          </w:p>
          <w:p w:rsidR="00A004E1" w:rsidRPr="00667307" w:rsidRDefault="00A004E1" w:rsidP="00E52F75">
            <w:pPr>
              <w:jc w:val="both"/>
              <w:rPr>
                <w:rFonts w:eastAsia="Calibri"/>
                <w:sz w:val="20"/>
              </w:rPr>
            </w:pPr>
            <w:r w:rsidRPr="00667307">
              <w:rPr>
                <w:rFonts w:eastAsia="Calibri"/>
                <w:sz w:val="20"/>
              </w:rPr>
              <w:t>(Finch C.J. and Chiasson and Mackenzie JJ.A.)</w:t>
            </w:r>
          </w:p>
          <w:p w:rsidR="00A004E1" w:rsidRPr="00667307" w:rsidRDefault="00A004E1" w:rsidP="00E52F75">
            <w:pPr>
              <w:jc w:val="both"/>
              <w:rPr>
                <w:rFonts w:eastAsia="Calibri"/>
                <w:sz w:val="20"/>
              </w:rPr>
            </w:pPr>
            <w:r w:rsidRPr="00667307">
              <w:rPr>
                <w:rFonts w:eastAsia="Calibri"/>
                <w:sz w:val="20"/>
              </w:rPr>
              <w:t>2013 BCCA 26</w:t>
            </w:r>
          </w:p>
          <w:p w:rsidR="00A004E1" w:rsidRPr="00667307" w:rsidRDefault="00A004E1" w:rsidP="00E52F75">
            <w:pPr>
              <w:jc w:val="both"/>
              <w:rPr>
                <w:rFonts w:eastAsia="Calibri"/>
                <w:sz w:val="20"/>
              </w:rPr>
            </w:pPr>
          </w:p>
        </w:tc>
        <w:tc>
          <w:tcPr>
            <w:tcW w:w="243" w:type="pct"/>
          </w:tcPr>
          <w:p w:rsidR="00A004E1" w:rsidRPr="00667307" w:rsidRDefault="00A004E1" w:rsidP="00E52F75">
            <w:pPr>
              <w:jc w:val="both"/>
              <w:rPr>
                <w:rFonts w:eastAsia="Calibri"/>
                <w:sz w:val="20"/>
              </w:rPr>
            </w:pPr>
          </w:p>
        </w:tc>
        <w:tc>
          <w:tcPr>
            <w:tcW w:w="2330" w:type="pct"/>
          </w:tcPr>
          <w:p w:rsidR="00A004E1" w:rsidRPr="00667307" w:rsidRDefault="00A004E1" w:rsidP="00E52F75">
            <w:pPr>
              <w:jc w:val="both"/>
              <w:rPr>
                <w:rFonts w:eastAsia="Calibri"/>
                <w:sz w:val="20"/>
              </w:rPr>
            </w:pPr>
            <w:r w:rsidRPr="00667307">
              <w:rPr>
                <w:rFonts w:eastAsia="Calibri"/>
                <w:sz w:val="20"/>
              </w:rPr>
              <w:t>Appeal dismissed with costs; Blue Sky Properties Inc., Dale Bosa and Robert Bosa granted an award of special costs of appeal</w:t>
            </w:r>
          </w:p>
          <w:p w:rsidR="00A004E1" w:rsidRPr="00667307" w:rsidRDefault="00A004E1" w:rsidP="00E52F75">
            <w:pPr>
              <w:jc w:val="both"/>
              <w:rPr>
                <w:rFonts w:eastAsia="Calibri"/>
                <w:sz w:val="20"/>
              </w:rPr>
            </w:pPr>
          </w:p>
        </w:tc>
      </w:tr>
      <w:tr w:rsidR="00A004E1" w:rsidRPr="00667307" w:rsidTr="00E52F75">
        <w:tc>
          <w:tcPr>
            <w:tcW w:w="2427" w:type="pct"/>
          </w:tcPr>
          <w:p w:rsidR="00A004E1" w:rsidRPr="00667307" w:rsidRDefault="00A004E1" w:rsidP="00E52F75">
            <w:pPr>
              <w:jc w:val="both"/>
              <w:rPr>
                <w:rFonts w:eastAsia="Calibri"/>
                <w:sz w:val="20"/>
              </w:rPr>
            </w:pPr>
            <w:r w:rsidRPr="00667307">
              <w:rPr>
                <w:rFonts w:eastAsia="Calibri"/>
                <w:sz w:val="20"/>
              </w:rPr>
              <w:t>March 7, 2013</w:t>
            </w:r>
          </w:p>
          <w:p w:rsidR="00A004E1" w:rsidRPr="00667307" w:rsidRDefault="00A004E1" w:rsidP="00E52F75">
            <w:pPr>
              <w:jc w:val="both"/>
              <w:rPr>
                <w:rFonts w:eastAsia="Calibri"/>
                <w:sz w:val="20"/>
              </w:rPr>
            </w:pPr>
            <w:r w:rsidRPr="00667307">
              <w:rPr>
                <w:rFonts w:eastAsia="Calibri"/>
                <w:sz w:val="20"/>
              </w:rPr>
              <w:t>Supreme Court of Canada</w:t>
            </w:r>
          </w:p>
        </w:tc>
        <w:tc>
          <w:tcPr>
            <w:tcW w:w="243" w:type="pct"/>
          </w:tcPr>
          <w:p w:rsidR="00A004E1" w:rsidRPr="00667307" w:rsidRDefault="00A004E1" w:rsidP="00E52F75">
            <w:pPr>
              <w:jc w:val="both"/>
              <w:rPr>
                <w:rFonts w:eastAsia="Calibri"/>
                <w:sz w:val="20"/>
              </w:rPr>
            </w:pPr>
          </w:p>
        </w:tc>
        <w:tc>
          <w:tcPr>
            <w:tcW w:w="2330" w:type="pct"/>
          </w:tcPr>
          <w:p w:rsidR="00A004E1" w:rsidRPr="00667307" w:rsidRDefault="00A004E1" w:rsidP="00E52F75">
            <w:pPr>
              <w:jc w:val="both"/>
              <w:rPr>
                <w:rFonts w:eastAsia="Calibri"/>
                <w:sz w:val="20"/>
              </w:rPr>
            </w:pPr>
            <w:r w:rsidRPr="00667307">
              <w:rPr>
                <w:rFonts w:eastAsia="Calibri"/>
                <w:sz w:val="20"/>
              </w:rPr>
              <w:t>Application for leave to appeal filed</w:t>
            </w:r>
          </w:p>
          <w:p w:rsidR="00A004E1" w:rsidRPr="00667307" w:rsidRDefault="00A004E1" w:rsidP="00E52F75">
            <w:pPr>
              <w:jc w:val="both"/>
              <w:rPr>
                <w:rFonts w:eastAsia="Calibri"/>
                <w:sz w:val="20"/>
              </w:rPr>
            </w:pP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76"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004E1" w:rsidRPr="00D41BFD" w:rsidTr="00E52F75">
        <w:tc>
          <w:tcPr>
            <w:tcW w:w="5000" w:type="pct"/>
            <w:gridSpan w:val="3"/>
          </w:tcPr>
          <w:p w:rsidR="00A004E1" w:rsidRPr="00667307" w:rsidRDefault="00A004E1" w:rsidP="00E52F75">
            <w:pPr>
              <w:jc w:val="both"/>
              <w:rPr>
                <w:rFonts w:eastAsia="Calibri"/>
                <w:sz w:val="20"/>
                <w:lang w:val="fr-CA"/>
              </w:rPr>
            </w:pPr>
            <w:r w:rsidRPr="00667307">
              <w:rPr>
                <w:rFonts w:eastAsia="Calibri"/>
                <w:sz w:val="20"/>
                <w:lang w:val="fr-CA"/>
              </w:rPr>
              <w:t xml:space="preserve">Procédure civile – Abus de procédure – Plaideurs quérulents – Dépens – Le juge de première instance a rejeté l’action parce qu’elle constitue un abus de procédure, a déclaré le demandeur plaideur quérulent et l’a condamné à des dépens spéciaux – La Cour d’appel a-t-elle eu tort de rejeter l’appel? – La Cour d’appel a-t-elle eu tort d’accorder des dépens spéciaux? – Une partie a-t-elle droit à une ordonnance judiciaire lorsque la construction dans un quartier soulève des questions de santé environnementale et de dommages matériels? – Une partie peut-elle être condamnée à des dépens spéciaux sans que la cour ne lui donne l’occasion d’être entendue? – Un plaideur peut-il être déclaré quérulent sur le fondement de motifs de jugements prononcés dans d’autres instances? </w:t>
            </w:r>
          </w:p>
        </w:tc>
      </w:tr>
      <w:tr w:rsidR="00A004E1" w:rsidRPr="00D41BFD" w:rsidTr="00E52F75">
        <w:tc>
          <w:tcPr>
            <w:tcW w:w="5000" w:type="pct"/>
            <w:gridSpan w:val="3"/>
          </w:tcPr>
          <w:p w:rsidR="00A004E1" w:rsidRPr="00667307" w:rsidRDefault="00A004E1" w:rsidP="00E52F75">
            <w:pPr>
              <w:jc w:val="both"/>
              <w:rPr>
                <w:rFonts w:eastAsia="Calibri"/>
                <w:sz w:val="20"/>
                <w:lang w:val="fr-CA"/>
              </w:rPr>
            </w:pPr>
          </w:p>
        </w:tc>
      </w:tr>
      <w:tr w:rsidR="00A004E1" w:rsidRPr="00D41BFD" w:rsidTr="00E52F75">
        <w:tc>
          <w:tcPr>
            <w:tcW w:w="5000" w:type="pct"/>
            <w:gridSpan w:val="3"/>
          </w:tcPr>
          <w:p w:rsidR="00A004E1" w:rsidRPr="00667307" w:rsidRDefault="00A004E1" w:rsidP="00E52F75">
            <w:pPr>
              <w:jc w:val="both"/>
              <w:rPr>
                <w:rFonts w:eastAsia="Calibri"/>
                <w:sz w:val="20"/>
                <w:lang w:val="fr-CA"/>
              </w:rPr>
            </w:pPr>
            <w:r w:rsidRPr="00667307">
              <w:rPr>
                <w:rFonts w:eastAsia="Calibri"/>
                <w:sz w:val="20"/>
                <w:lang w:val="fr-CA"/>
              </w:rPr>
              <w:t xml:space="preserve">En 2010, M. Ahmed a intenté contre les intimés une action en dommages-intérêts de 10 000 000 $ pour perte de revenus d’entreprise et de biens (l’édifice Ahmed), pour dévaluation et contamination de cet édifice et pour perte de sécurité, de sûreté, de vie privée et de vue.  Subsidiairement, M. Ahmed a demandé une ordonnance de révocation d’un permis d’aménagement obtenu par Blue Sky Properties Inc. pour la construction d’un édifice voisin et en indemnisation des locataires de l’édifice Ahmed. </w:t>
            </w:r>
          </w:p>
          <w:p w:rsidR="00A004E1" w:rsidRPr="00667307" w:rsidRDefault="00A004E1" w:rsidP="00E52F75">
            <w:pPr>
              <w:jc w:val="both"/>
              <w:rPr>
                <w:rFonts w:eastAsia="Calibri"/>
                <w:sz w:val="20"/>
                <w:lang w:val="fr-CA"/>
              </w:rPr>
            </w:pPr>
          </w:p>
          <w:p w:rsidR="00A004E1" w:rsidRPr="00667307" w:rsidRDefault="00A004E1" w:rsidP="00E52F75">
            <w:pPr>
              <w:jc w:val="both"/>
              <w:rPr>
                <w:rFonts w:eastAsia="Calibri"/>
                <w:sz w:val="20"/>
                <w:lang w:val="fr-CA"/>
              </w:rPr>
            </w:pPr>
            <w:r w:rsidRPr="00667307">
              <w:rPr>
                <w:rFonts w:eastAsia="Calibri"/>
                <w:sz w:val="20"/>
                <w:lang w:val="fr-CA"/>
              </w:rPr>
              <w:t xml:space="preserve">Monsieur Ahmed a introduit de nombreuses demandes interlocutoires pendant l’instance.  Ces demandes, ainsi que les appels subséquents interjetés par M. Ahmed, ont été rejetés. </w:t>
            </w:r>
          </w:p>
          <w:p w:rsidR="00A004E1" w:rsidRPr="00667307" w:rsidRDefault="00A004E1" w:rsidP="00E52F75">
            <w:pPr>
              <w:jc w:val="both"/>
              <w:rPr>
                <w:rFonts w:eastAsia="Calibri"/>
                <w:sz w:val="20"/>
                <w:lang w:val="fr-CA"/>
              </w:rPr>
            </w:pPr>
          </w:p>
          <w:p w:rsidR="00A004E1" w:rsidRPr="00667307" w:rsidRDefault="00A004E1" w:rsidP="00E52F75">
            <w:pPr>
              <w:jc w:val="both"/>
              <w:rPr>
                <w:rFonts w:eastAsia="Calibri"/>
                <w:sz w:val="20"/>
                <w:lang w:val="fr-CA"/>
              </w:rPr>
            </w:pPr>
            <w:r w:rsidRPr="00667307">
              <w:rPr>
                <w:rFonts w:eastAsia="Calibri"/>
                <w:sz w:val="20"/>
                <w:lang w:val="fr-CA"/>
              </w:rPr>
              <w:t xml:space="preserve">Tous les intimés ont demandé une ordonnance rejetant les actions de M. Ahmed intentées contre eux, alors que Blue Sky Properties, Dale Bosa et Robert Bosa (les défendeurs Bosa) ont également demandé une ordonnance de dépens spéciaux et une ordonnance fondée sur l’art. 18 de la </w:t>
            </w:r>
            <w:r w:rsidRPr="00667307">
              <w:rPr>
                <w:rFonts w:eastAsia="Calibri"/>
                <w:i/>
                <w:sz w:val="20"/>
                <w:lang w:val="fr-CA"/>
              </w:rPr>
              <w:t>Supreme Court Act</w:t>
            </w:r>
            <w:r w:rsidRPr="00667307">
              <w:rPr>
                <w:rFonts w:eastAsia="Calibri"/>
                <w:sz w:val="20"/>
                <w:lang w:val="fr-CA"/>
              </w:rPr>
              <w:t xml:space="preserve">, R.S.B.C. 1996, ch. 443 pour que M. Ahmed soit obligé d’obtenir l’autorisation de la Cour avant d’introduire d’autres demandes ou actions.  Dans le contexte de cette instance, M. Ahmed a présenté une demande pour que le juge se récuse. </w:t>
            </w:r>
          </w:p>
          <w:p w:rsidR="00A004E1" w:rsidRPr="00667307" w:rsidRDefault="00A004E1" w:rsidP="00E52F75">
            <w:pPr>
              <w:jc w:val="both"/>
              <w:rPr>
                <w:rFonts w:eastAsia="Calibri"/>
                <w:sz w:val="20"/>
                <w:lang w:val="fr-CA"/>
              </w:rPr>
            </w:pPr>
          </w:p>
        </w:tc>
      </w:tr>
      <w:tr w:rsidR="00A004E1" w:rsidRPr="00D41BFD" w:rsidTr="00107C53">
        <w:trPr>
          <w:cantSplit/>
        </w:trPr>
        <w:tc>
          <w:tcPr>
            <w:tcW w:w="2427" w:type="pct"/>
          </w:tcPr>
          <w:p w:rsidR="00A004E1" w:rsidRPr="00667307" w:rsidRDefault="00A004E1" w:rsidP="00E52F75">
            <w:pPr>
              <w:jc w:val="both"/>
              <w:rPr>
                <w:rFonts w:eastAsia="Calibri"/>
                <w:sz w:val="20"/>
                <w:lang w:val="fr-CA"/>
              </w:rPr>
            </w:pPr>
            <w:r w:rsidRPr="00667307">
              <w:rPr>
                <w:rFonts w:eastAsia="Calibri"/>
                <w:sz w:val="20"/>
                <w:lang w:val="fr-CA"/>
              </w:rPr>
              <w:lastRenderedPageBreak/>
              <w:t>29 février 2012</w:t>
            </w:r>
          </w:p>
          <w:p w:rsidR="00A004E1" w:rsidRPr="00667307" w:rsidRDefault="00A004E1" w:rsidP="00E52F75">
            <w:pPr>
              <w:jc w:val="both"/>
              <w:rPr>
                <w:rFonts w:eastAsia="Calibri"/>
                <w:sz w:val="20"/>
                <w:lang w:val="fr-CA"/>
              </w:rPr>
            </w:pPr>
            <w:r w:rsidRPr="00667307">
              <w:rPr>
                <w:rFonts w:eastAsia="Calibri"/>
                <w:sz w:val="20"/>
                <w:lang w:val="fr-CA"/>
              </w:rPr>
              <w:t>Cour suprême de la Colombie-Britannique</w:t>
            </w:r>
          </w:p>
          <w:p w:rsidR="00A004E1" w:rsidRPr="00667307" w:rsidRDefault="00A004E1" w:rsidP="00E52F75">
            <w:pPr>
              <w:jc w:val="both"/>
              <w:rPr>
                <w:rFonts w:eastAsia="Calibri"/>
                <w:sz w:val="20"/>
                <w:lang w:val="fr-CA"/>
              </w:rPr>
            </w:pPr>
            <w:r w:rsidRPr="00667307">
              <w:rPr>
                <w:rFonts w:eastAsia="Calibri"/>
                <w:sz w:val="20"/>
                <w:lang w:val="fr-CA"/>
              </w:rPr>
              <w:t>(Juge Sewell)</w:t>
            </w:r>
          </w:p>
          <w:p w:rsidR="00A004E1" w:rsidRPr="00667307" w:rsidRDefault="00A004E1" w:rsidP="00E52F75">
            <w:pPr>
              <w:jc w:val="both"/>
              <w:rPr>
                <w:rFonts w:eastAsia="Calibri"/>
                <w:sz w:val="20"/>
                <w:lang w:val="fr-CA"/>
              </w:rPr>
            </w:pPr>
            <w:r w:rsidRPr="00667307">
              <w:rPr>
                <w:rFonts w:eastAsia="Calibri"/>
                <w:sz w:val="20"/>
                <w:lang w:val="fr-CA"/>
              </w:rPr>
              <w:t>2012 BCSC 301</w:t>
            </w:r>
          </w:p>
        </w:tc>
        <w:tc>
          <w:tcPr>
            <w:tcW w:w="243" w:type="pct"/>
          </w:tcPr>
          <w:p w:rsidR="00A004E1" w:rsidRPr="00667307" w:rsidRDefault="00A004E1" w:rsidP="00E52F75">
            <w:pPr>
              <w:jc w:val="both"/>
              <w:rPr>
                <w:rFonts w:eastAsia="Calibri"/>
                <w:sz w:val="20"/>
                <w:lang w:val="fr-CA"/>
              </w:rPr>
            </w:pPr>
          </w:p>
        </w:tc>
        <w:tc>
          <w:tcPr>
            <w:tcW w:w="2330" w:type="pct"/>
          </w:tcPr>
          <w:p w:rsidR="00A004E1" w:rsidRPr="00667307" w:rsidRDefault="00A004E1" w:rsidP="00E52F75">
            <w:pPr>
              <w:jc w:val="both"/>
              <w:rPr>
                <w:rFonts w:eastAsia="Calibri"/>
                <w:sz w:val="20"/>
                <w:lang w:val="fr-CA"/>
              </w:rPr>
            </w:pPr>
            <w:r w:rsidRPr="00667307">
              <w:rPr>
                <w:rFonts w:eastAsia="Calibri"/>
                <w:sz w:val="20"/>
                <w:lang w:val="fr-CA"/>
              </w:rPr>
              <w:t xml:space="preserve">Action rejetée avec dépens; Blue Sky Properties Inc., Dale Bosa et Robert Bosa se voient accorder des dépens spéciaux; demandeur interdit d’introduire d’autres instances sans autorisation de la cour en vertu de l’art. 18 de la </w:t>
            </w:r>
            <w:r w:rsidRPr="00667307">
              <w:rPr>
                <w:rFonts w:eastAsia="Calibri"/>
                <w:i/>
                <w:sz w:val="20"/>
                <w:lang w:val="fr-CA"/>
              </w:rPr>
              <w:t xml:space="preserve">Supreme Court Act, </w:t>
            </w:r>
            <w:r w:rsidRPr="00667307">
              <w:rPr>
                <w:rFonts w:eastAsia="Calibri"/>
                <w:sz w:val="20"/>
                <w:lang w:val="fr-CA"/>
              </w:rPr>
              <w:t>R.S.B.C. 1996, ch. 443</w:t>
            </w:r>
          </w:p>
          <w:p w:rsidR="00A004E1" w:rsidRPr="00667307" w:rsidRDefault="00A004E1" w:rsidP="00E52F75">
            <w:pPr>
              <w:jc w:val="both"/>
              <w:rPr>
                <w:rFonts w:eastAsia="Calibri"/>
                <w:sz w:val="20"/>
                <w:lang w:val="fr-CA"/>
              </w:rPr>
            </w:pPr>
          </w:p>
        </w:tc>
      </w:tr>
      <w:tr w:rsidR="00A004E1" w:rsidRPr="00D41BFD" w:rsidTr="00107C53">
        <w:trPr>
          <w:cantSplit/>
        </w:trPr>
        <w:tc>
          <w:tcPr>
            <w:tcW w:w="2427" w:type="pct"/>
          </w:tcPr>
          <w:p w:rsidR="00A004E1" w:rsidRPr="00667307" w:rsidRDefault="00A004E1" w:rsidP="00E52F75">
            <w:pPr>
              <w:jc w:val="both"/>
              <w:rPr>
                <w:rFonts w:eastAsia="Calibri"/>
                <w:sz w:val="20"/>
                <w:lang w:val="fr-CA"/>
              </w:rPr>
            </w:pPr>
            <w:r w:rsidRPr="00667307">
              <w:rPr>
                <w:rFonts w:eastAsia="Calibri"/>
                <w:sz w:val="20"/>
                <w:lang w:val="fr-CA"/>
              </w:rPr>
              <w:t>16 janvier 2013</w:t>
            </w:r>
          </w:p>
          <w:p w:rsidR="00A004E1" w:rsidRPr="00667307" w:rsidRDefault="00A004E1" w:rsidP="00E52F75">
            <w:pPr>
              <w:jc w:val="both"/>
              <w:rPr>
                <w:rFonts w:eastAsia="Calibri"/>
                <w:sz w:val="20"/>
                <w:lang w:val="fr-CA"/>
              </w:rPr>
            </w:pPr>
            <w:r w:rsidRPr="00667307">
              <w:rPr>
                <w:rFonts w:eastAsia="Calibri"/>
                <w:sz w:val="20"/>
                <w:lang w:val="fr-CA"/>
              </w:rPr>
              <w:t>Cour d’appel de la Colombie-Britannique (Vancouver)</w:t>
            </w:r>
          </w:p>
          <w:p w:rsidR="00A004E1" w:rsidRPr="00667307" w:rsidRDefault="00A004E1" w:rsidP="00E52F75">
            <w:pPr>
              <w:jc w:val="both"/>
              <w:rPr>
                <w:rFonts w:eastAsia="Calibri"/>
                <w:sz w:val="20"/>
                <w:lang w:val="fr-CA"/>
              </w:rPr>
            </w:pPr>
            <w:r w:rsidRPr="00667307">
              <w:rPr>
                <w:rFonts w:eastAsia="Calibri"/>
                <w:sz w:val="20"/>
                <w:lang w:val="fr-CA"/>
              </w:rPr>
              <w:t>(Juge en chef Finch et juges Chiasson et Mackenzie)</w:t>
            </w:r>
          </w:p>
          <w:p w:rsidR="00A004E1" w:rsidRPr="00667307" w:rsidRDefault="00A004E1" w:rsidP="00E52F75">
            <w:pPr>
              <w:jc w:val="both"/>
              <w:rPr>
                <w:rFonts w:eastAsia="Calibri"/>
                <w:sz w:val="20"/>
                <w:lang w:val="fr-CA"/>
              </w:rPr>
            </w:pPr>
            <w:r w:rsidRPr="00667307">
              <w:rPr>
                <w:rFonts w:eastAsia="Calibri"/>
                <w:sz w:val="20"/>
                <w:lang w:val="fr-CA"/>
              </w:rPr>
              <w:t>2013 BCCA 26</w:t>
            </w:r>
          </w:p>
          <w:p w:rsidR="00A004E1" w:rsidRPr="00667307" w:rsidRDefault="00A004E1" w:rsidP="00E52F75">
            <w:pPr>
              <w:jc w:val="both"/>
              <w:rPr>
                <w:rFonts w:eastAsia="Calibri"/>
                <w:sz w:val="20"/>
                <w:lang w:val="fr-CA"/>
              </w:rPr>
            </w:pPr>
          </w:p>
        </w:tc>
        <w:tc>
          <w:tcPr>
            <w:tcW w:w="243" w:type="pct"/>
          </w:tcPr>
          <w:p w:rsidR="00A004E1" w:rsidRPr="00667307" w:rsidRDefault="00A004E1" w:rsidP="00E52F75">
            <w:pPr>
              <w:jc w:val="both"/>
              <w:rPr>
                <w:rFonts w:eastAsia="Calibri"/>
                <w:sz w:val="20"/>
                <w:lang w:val="fr-CA"/>
              </w:rPr>
            </w:pPr>
          </w:p>
        </w:tc>
        <w:tc>
          <w:tcPr>
            <w:tcW w:w="2330" w:type="pct"/>
          </w:tcPr>
          <w:p w:rsidR="00A004E1" w:rsidRPr="00667307" w:rsidRDefault="00A004E1" w:rsidP="00E52F75">
            <w:pPr>
              <w:jc w:val="both"/>
              <w:rPr>
                <w:rFonts w:eastAsia="Calibri"/>
                <w:sz w:val="20"/>
                <w:lang w:val="fr-CA"/>
              </w:rPr>
            </w:pPr>
            <w:r w:rsidRPr="00667307">
              <w:rPr>
                <w:rFonts w:eastAsia="Calibri"/>
                <w:sz w:val="20"/>
                <w:lang w:val="fr-CA"/>
              </w:rPr>
              <w:t>Appel rejeté avec dépens; Blue Sky Properties Inc., Dale Bosa et Robert Bosa se voient accorder des dépens spéciaux en appel</w:t>
            </w:r>
          </w:p>
          <w:p w:rsidR="00A004E1" w:rsidRPr="00667307" w:rsidRDefault="00A004E1" w:rsidP="00E52F75">
            <w:pPr>
              <w:jc w:val="both"/>
              <w:rPr>
                <w:rFonts w:eastAsia="Calibri"/>
                <w:sz w:val="20"/>
                <w:lang w:val="fr-CA"/>
              </w:rPr>
            </w:pPr>
          </w:p>
        </w:tc>
      </w:tr>
      <w:tr w:rsidR="00A004E1" w:rsidRPr="00667307" w:rsidTr="00107C53">
        <w:trPr>
          <w:cantSplit/>
        </w:trPr>
        <w:tc>
          <w:tcPr>
            <w:tcW w:w="2427" w:type="pct"/>
          </w:tcPr>
          <w:p w:rsidR="00A004E1" w:rsidRPr="00667307" w:rsidRDefault="00A004E1" w:rsidP="00E52F75">
            <w:pPr>
              <w:jc w:val="both"/>
              <w:rPr>
                <w:rFonts w:eastAsia="Calibri"/>
                <w:sz w:val="20"/>
                <w:lang w:val="fr-CA"/>
              </w:rPr>
            </w:pPr>
            <w:r w:rsidRPr="00667307">
              <w:rPr>
                <w:rFonts w:eastAsia="Calibri"/>
                <w:sz w:val="20"/>
                <w:lang w:val="fr-CA"/>
              </w:rPr>
              <w:t>7 mars 2013</w:t>
            </w:r>
          </w:p>
          <w:p w:rsidR="00A004E1" w:rsidRPr="00667307" w:rsidRDefault="00A004E1" w:rsidP="00E52F75">
            <w:pPr>
              <w:jc w:val="both"/>
              <w:rPr>
                <w:rFonts w:eastAsia="Calibri"/>
                <w:sz w:val="20"/>
                <w:lang w:val="fr-CA"/>
              </w:rPr>
            </w:pPr>
            <w:r w:rsidRPr="00667307">
              <w:rPr>
                <w:rFonts w:eastAsia="Calibri"/>
                <w:sz w:val="20"/>
                <w:lang w:val="fr-CA"/>
              </w:rPr>
              <w:t>Cour suprême du Canada</w:t>
            </w:r>
          </w:p>
        </w:tc>
        <w:tc>
          <w:tcPr>
            <w:tcW w:w="243" w:type="pct"/>
          </w:tcPr>
          <w:p w:rsidR="00A004E1" w:rsidRPr="00667307" w:rsidRDefault="00A004E1" w:rsidP="00E52F75">
            <w:pPr>
              <w:jc w:val="both"/>
              <w:rPr>
                <w:rFonts w:eastAsia="Calibri"/>
                <w:sz w:val="20"/>
                <w:lang w:val="fr-CA"/>
              </w:rPr>
            </w:pPr>
          </w:p>
        </w:tc>
        <w:tc>
          <w:tcPr>
            <w:tcW w:w="2330" w:type="pct"/>
          </w:tcPr>
          <w:p w:rsidR="00A004E1" w:rsidRPr="00667307" w:rsidRDefault="00A004E1" w:rsidP="00E52F75">
            <w:pPr>
              <w:jc w:val="both"/>
              <w:rPr>
                <w:rFonts w:eastAsia="Calibri"/>
                <w:sz w:val="20"/>
                <w:lang w:val="fr-CA"/>
              </w:rPr>
            </w:pPr>
            <w:r w:rsidRPr="00667307">
              <w:rPr>
                <w:rFonts w:eastAsia="Calibri"/>
                <w:sz w:val="20"/>
                <w:lang w:val="fr-CA"/>
              </w:rPr>
              <w:t>Demande d’autorisation d’appel, déposée</w:t>
            </w:r>
          </w:p>
          <w:p w:rsidR="00A004E1" w:rsidRPr="00667307" w:rsidRDefault="00A004E1" w:rsidP="00E52F75">
            <w:pPr>
              <w:jc w:val="both"/>
              <w:rPr>
                <w:rFonts w:eastAsia="Calibri"/>
                <w:sz w:val="20"/>
                <w:lang w:val="fr-CA"/>
              </w:rPr>
            </w:pPr>
          </w:p>
        </w:tc>
      </w:tr>
    </w:tbl>
    <w:p w:rsidR="00AA605C" w:rsidRDefault="00AA605C" w:rsidP="00AA605C">
      <w:pPr>
        <w:rPr>
          <w:sz w:val="20"/>
          <w:szCs w:val="20"/>
        </w:rPr>
      </w:pPr>
    </w:p>
    <w:p w:rsidR="00AA605C" w:rsidRDefault="00B3404D" w:rsidP="00AA605C">
      <w:pPr>
        <w:rPr>
          <w:sz w:val="20"/>
          <w:szCs w:val="20"/>
          <w:lang w:val="fr-CA"/>
        </w:rPr>
      </w:pPr>
      <w:r w:rsidRPr="00B3404D">
        <w:rPr>
          <w:sz w:val="20"/>
          <w:szCs w:val="20"/>
          <w:lang w:val="fr-CA"/>
        </w:rPr>
        <w:pict>
          <v:rect id="_x0000_i1077" style="width:2in;height:1pt" o:hrpct="0" o:hralign="center" o:hrstd="t" o:hrnoshade="t" o:hr="t" fillcolor="black [3213]" stroked="f"/>
        </w:pict>
      </w:r>
    </w:p>
    <w:p w:rsidR="00AA605C" w:rsidRDefault="00AA605C" w:rsidP="00AA605C">
      <w:pPr>
        <w:rPr>
          <w:sz w:val="20"/>
          <w:szCs w:val="20"/>
        </w:rPr>
      </w:pPr>
    </w:p>
    <w:tbl>
      <w:tblPr>
        <w:tblStyle w:val="TableGrid1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07C53" w:rsidRPr="00107C53" w:rsidTr="00A426F6">
        <w:trPr>
          <w:cantSplit/>
        </w:trPr>
        <w:tc>
          <w:tcPr>
            <w:tcW w:w="1458" w:type="dxa"/>
          </w:tcPr>
          <w:p w:rsidR="00107C53" w:rsidRPr="00107C53" w:rsidRDefault="00107C53" w:rsidP="00107C53">
            <w:pPr>
              <w:rPr>
                <w:sz w:val="20"/>
                <w:szCs w:val="20"/>
              </w:rPr>
            </w:pPr>
            <w:r w:rsidRPr="00107C53">
              <w:rPr>
                <w:b/>
                <w:sz w:val="20"/>
                <w:lang w:val="fr-CA"/>
              </w:rPr>
              <w:t>35287</w:t>
            </w:r>
          </w:p>
          <w:p w:rsidR="00107C53" w:rsidRPr="00107C53" w:rsidRDefault="00107C53" w:rsidP="00107C53">
            <w:pPr>
              <w:rPr>
                <w:b/>
                <w:sz w:val="20"/>
                <w:szCs w:val="20"/>
                <w:lang w:val="fr-CA"/>
              </w:rPr>
            </w:pPr>
          </w:p>
        </w:tc>
        <w:tc>
          <w:tcPr>
            <w:tcW w:w="8118" w:type="dxa"/>
          </w:tcPr>
          <w:p w:rsidR="00107C53" w:rsidRPr="00107C53" w:rsidRDefault="00107C53" w:rsidP="00107C53">
            <w:pPr>
              <w:rPr>
                <w:sz w:val="20"/>
                <w:szCs w:val="20"/>
              </w:rPr>
            </w:pPr>
            <w:r w:rsidRPr="00107C53">
              <w:rPr>
                <w:b/>
                <w:sz w:val="20"/>
                <w:u w:val="single"/>
              </w:rPr>
              <w:t>R.P. v. Her Majesty the Queen</w:t>
            </w:r>
            <w:r w:rsidRPr="00107C53">
              <w:rPr>
                <w:sz w:val="20"/>
                <w:szCs w:val="20"/>
              </w:rPr>
              <w:t xml:space="preserve"> (Ont.) (Criminal) (By Leave)</w:t>
            </w:r>
          </w:p>
          <w:p w:rsidR="00107C53" w:rsidRPr="00107C53" w:rsidRDefault="00107C53" w:rsidP="00107C53">
            <w:pPr>
              <w:rPr>
                <w:sz w:val="20"/>
                <w:szCs w:val="20"/>
              </w:rPr>
            </w:pPr>
          </w:p>
        </w:tc>
      </w:tr>
      <w:tr w:rsidR="00107C53" w:rsidRPr="00107C53" w:rsidTr="00A426F6">
        <w:trPr>
          <w:cantSplit/>
        </w:trPr>
        <w:tc>
          <w:tcPr>
            <w:tcW w:w="1458" w:type="dxa"/>
          </w:tcPr>
          <w:p w:rsidR="00107C53" w:rsidRPr="00107C53" w:rsidRDefault="00107C53" w:rsidP="00107C53">
            <w:pPr>
              <w:rPr>
                <w:sz w:val="20"/>
                <w:szCs w:val="20"/>
              </w:rPr>
            </w:pPr>
            <w:r w:rsidRPr="00107C53">
              <w:rPr>
                <w:sz w:val="20"/>
                <w:szCs w:val="20"/>
              </w:rPr>
              <w:t>Coram :</w:t>
            </w:r>
          </w:p>
        </w:tc>
        <w:tc>
          <w:tcPr>
            <w:tcW w:w="8118" w:type="dxa"/>
          </w:tcPr>
          <w:p w:rsidR="00107C53" w:rsidRPr="00107C53" w:rsidRDefault="00107C53" w:rsidP="00107C53">
            <w:pPr>
              <w:rPr>
                <w:sz w:val="20"/>
                <w:szCs w:val="20"/>
              </w:rPr>
            </w:pPr>
            <w:r w:rsidRPr="00107C53">
              <w:rPr>
                <w:sz w:val="20"/>
                <w:u w:val="single"/>
              </w:rPr>
              <w:t>Fish, Rothstein and Moldaver JJ.</w:t>
            </w:r>
          </w:p>
          <w:p w:rsidR="00107C53" w:rsidRPr="00107C53" w:rsidRDefault="00107C53" w:rsidP="00107C53">
            <w:pPr>
              <w:rPr>
                <w:sz w:val="20"/>
                <w:szCs w:val="20"/>
                <w:u w:val="single"/>
              </w:rPr>
            </w:pPr>
          </w:p>
        </w:tc>
      </w:tr>
      <w:tr w:rsidR="00107C53" w:rsidRPr="00D41BFD" w:rsidTr="00A426F6">
        <w:trPr>
          <w:cantSplit/>
        </w:trPr>
        <w:tc>
          <w:tcPr>
            <w:tcW w:w="9576" w:type="dxa"/>
            <w:gridSpan w:val="2"/>
          </w:tcPr>
          <w:p w:rsidR="00107C53" w:rsidRPr="00107C53" w:rsidRDefault="00107C53" w:rsidP="00107C53">
            <w:pPr>
              <w:ind w:firstLine="720"/>
              <w:jc w:val="both"/>
              <w:rPr>
                <w:sz w:val="20"/>
                <w:szCs w:val="20"/>
              </w:rPr>
            </w:pPr>
            <w:r w:rsidRPr="00107C53">
              <w:rPr>
                <w:sz w:val="20"/>
                <w:szCs w:val="20"/>
              </w:rPr>
              <w:t>The application for leave to appeal from the judgment of the Court of Appeal for Ontario, Number C53141, 2013 ONCA 53, dated January 30, 2013, is dismissed without costs.</w:t>
            </w:r>
          </w:p>
          <w:p w:rsidR="00107C53" w:rsidRPr="00107C53" w:rsidRDefault="00107C53" w:rsidP="00107C53">
            <w:pPr>
              <w:jc w:val="both"/>
              <w:rPr>
                <w:sz w:val="20"/>
                <w:szCs w:val="20"/>
              </w:rPr>
            </w:pPr>
          </w:p>
          <w:p w:rsidR="00107C53" w:rsidRPr="00107C53" w:rsidRDefault="00107C53" w:rsidP="00107C53">
            <w:pPr>
              <w:ind w:firstLine="720"/>
              <w:jc w:val="both"/>
              <w:rPr>
                <w:sz w:val="20"/>
                <w:szCs w:val="20"/>
                <w:lang w:val="fr-CA"/>
              </w:rPr>
            </w:pPr>
            <w:r w:rsidRPr="00107C53">
              <w:rPr>
                <w:sz w:val="20"/>
                <w:szCs w:val="20"/>
                <w:lang w:val="fr-CA"/>
              </w:rPr>
              <w:t>La demande d’autorisation d’appel de l’arrêt de la Cour d’appel de l’Ontario, numéro C53141, 2013 ONCA 53, daté du 30 janvier 2013, est rejetée sans dépens.</w:t>
            </w:r>
          </w:p>
        </w:tc>
      </w:tr>
    </w:tbl>
    <w:p w:rsidR="00AA605C" w:rsidRPr="00107C53" w:rsidRDefault="00AA605C" w:rsidP="00AA605C">
      <w:pPr>
        <w:rPr>
          <w:sz w:val="20"/>
          <w:szCs w:val="20"/>
          <w:lang w:val="fr-CA"/>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004E1" w:rsidRPr="00667307" w:rsidTr="00E52F75">
        <w:tc>
          <w:tcPr>
            <w:tcW w:w="5000" w:type="pct"/>
            <w:gridSpan w:val="3"/>
          </w:tcPr>
          <w:p w:rsidR="00A004E1" w:rsidRPr="00667307" w:rsidRDefault="00A004E1" w:rsidP="00E52F75">
            <w:pPr>
              <w:jc w:val="both"/>
              <w:rPr>
                <w:rFonts w:eastAsia="Calibri"/>
                <w:smallCaps/>
                <w:sz w:val="20"/>
              </w:rPr>
            </w:pPr>
            <w:r w:rsidRPr="00667307">
              <w:rPr>
                <w:rFonts w:eastAsia="Calibri"/>
                <w:smallCaps/>
                <w:sz w:val="20"/>
              </w:rPr>
              <w:t xml:space="preserve">(Publication </w:t>
            </w:r>
            <w:r>
              <w:rPr>
                <w:rFonts w:eastAsia="Calibri"/>
                <w:smallCaps/>
                <w:sz w:val="20"/>
              </w:rPr>
              <w:t>B</w:t>
            </w:r>
            <w:r w:rsidRPr="00667307">
              <w:rPr>
                <w:rFonts w:eastAsia="Calibri"/>
                <w:smallCaps/>
                <w:sz w:val="20"/>
              </w:rPr>
              <w:t xml:space="preserve">an in </w:t>
            </w:r>
            <w:r>
              <w:rPr>
                <w:rFonts w:eastAsia="Calibri"/>
                <w:smallCaps/>
                <w:sz w:val="20"/>
              </w:rPr>
              <w:t>C</w:t>
            </w:r>
            <w:r w:rsidRPr="00667307">
              <w:rPr>
                <w:rFonts w:eastAsia="Calibri"/>
                <w:smallCaps/>
                <w:sz w:val="20"/>
              </w:rPr>
              <w:t xml:space="preserve">ase) (Publication </w:t>
            </w:r>
            <w:r>
              <w:rPr>
                <w:rFonts w:eastAsia="Calibri"/>
                <w:smallCaps/>
                <w:sz w:val="20"/>
              </w:rPr>
              <w:t>B</w:t>
            </w:r>
            <w:r w:rsidRPr="00667307">
              <w:rPr>
                <w:rFonts w:eastAsia="Calibri"/>
                <w:smallCaps/>
                <w:sz w:val="20"/>
              </w:rPr>
              <w:t xml:space="preserve">an on </w:t>
            </w:r>
            <w:r>
              <w:rPr>
                <w:rFonts w:eastAsia="Calibri"/>
                <w:smallCaps/>
                <w:sz w:val="20"/>
              </w:rPr>
              <w:t>P</w:t>
            </w:r>
            <w:r w:rsidRPr="00667307">
              <w:rPr>
                <w:rFonts w:eastAsia="Calibri"/>
                <w:smallCaps/>
                <w:sz w:val="20"/>
              </w:rPr>
              <w:t>arty)</w:t>
            </w:r>
          </w:p>
          <w:p w:rsidR="00A004E1" w:rsidRPr="00667307" w:rsidRDefault="00A004E1" w:rsidP="00E52F75">
            <w:pPr>
              <w:jc w:val="both"/>
              <w:rPr>
                <w:rFonts w:eastAsia="Calibri"/>
                <w:sz w:val="20"/>
              </w:rPr>
            </w:pPr>
          </w:p>
          <w:p w:rsidR="00A004E1" w:rsidRPr="00667307" w:rsidRDefault="00A004E1" w:rsidP="00E52F75">
            <w:pPr>
              <w:jc w:val="both"/>
              <w:rPr>
                <w:rFonts w:eastAsia="Calibri"/>
                <w:sz w:val="20"/>
              </w:rPr>
            </w:pPr>
            <w:r w:rsidRPr="00667307">
              <w:rPr>
                <w:rFonts w:eastAsia="Calibri"/>
                <w:sz w:val="20"/>
              </w:rPr>
              <w:t xml:space="preserve">Criminal law – Procedure – Pleas – </w:t>
            </w:r>
            <w:r w:rsidRPr="00667307">
              <w:rPr>
                <w:rFonts w:eastAsia="Calibri"/>
                <w:i/>
                <w:sz w:val="20"/>
              </w:rPr>
              <w:t>Nolo contendere</w:t>
            </w:r>
            <w:r w:rsidRPr="00667307">
              <w:rPr>
                <w:rFonts w:eastAsia="Calibri"/>
                <w:sz w:val="20"/>
              </w:rPr>
              <w:t xml:space="preserve"> – Ineffective assistance of counsel – Whether the Court of Appeal erred by holding that a “no contest”-like plea could be made by the applicant – Whether the Court of Appeal erred by finding that trial counsel was not ineffective in his representation of the applicant.</w:t>
            </w:r>
          </w:p>
        </w:tc>
      </w:tr>
      <w:tr w:rsidR="00A004E1" w:rsidRPr="00667307" w:rsidTr="00E52F75">
        <w:tc>
          <w:tcPr>
            <w:tcW w:w="5000" w:type="pct"/>
            <w:gridSpan w:val="3"/>
          </w:tcPr>
          <w:p w:rsidR="00A004E1" w:rsidRPr="00667307" w:rsidRDefault="00A004E1" w:rsidP="00E52F75">
            <w:pPr>
              <w:jc w:val="both"/>
              <w:rPr>
                <w:rFonts w:eastAsia="Calibri"/>
                <w:smallCaps/>
                <w:sz w:val="20"/>
              </w:rPr>
            </w:pPr>
          </w:p>
        </w:tc>
      </w:tr>
      <w:tr w:rsidR="00A004E1" w:rsidRPr="00667307" w:rsidTr="00E52F75">
        <w:tc>
          <w:tcPr>
            <w:tcW w:w="5000" w:type="pct"/>
            <w:gridSpan w:val="3"/>
          </w:tcPr>
          <w:p w:rsidR="00A004E1" w:rsidRPr="00667307" w:rsidRDefault="00A004E1" w:rsidP="00E52F75">
            <w:pPr>
              <w:jc w:val="both"/>
              <w:rPr>
                <w:rFonts w:eastAsia="Calibri"/>
                <w:sz w:val="20"/>
              </w:rPr>
            </w:pPr>
            <w:r w:rsidRPr="00667307">
              <w:rPr>
                <w:rFonts w:eastAsia="Calibri"/>
                <w:sz w:val="20"/>
              </w:rPr>
              <w:t>The applicant, R.P., was convicted of 19 counts of sexual assault and related offences in relation to four children.  The abuse began when each complainant was between 3 and 5 years of age and continued until each reached the ages of 9 to 12.  Early on at trial, R.P. re-elected to be tried by judge alone, and after the trial judge discharged the jury and declared a mistrial, he was re</w:t>
            </w:r>
            <w:r w:rsidRPr="00667307">
              <w:rPr>
                <w:rFonts w:eastAsia="Calibri"/>
                <w:sz w:val="20"/>
              </w:rPr>
              <w:noBreakHyphen/>
              <w:t xml:space="preserve">arraigned and pleaded not guilty to each count in the indictment.  Evidence was read into the record and the trial judge was subsequently invited to reach a verdict. In written instructions to his trial counsel, R.P. had indicated that he no longer wished to contest the charges and he signed a detailed document setting out the uncontested facts.  He also recognized that the Crown had a strong case.  R.P. appealed his convictions.  He argued that the “no-contest”-like plea was illegal and that the trial proceedings constituted a miscarriage of justice because his trial counsel provided him with ineffective assistance.  The appeal was dismissed. The Court of Appeal noted that there is no statutory provision or common law principle that prohibits the </w:t>
            </w:r>
            <w:r w:rsidRPr="00667307">
              <w:rPr>
                <w:rFonts w:eastAsia="Calibri"/>
                <w:i/>
                <w:sz w:val="20"/>
              </w:rPr>
              <w:t>nolo contendere</w:t>
            </w:r>
            <w:r w:rsidRPr="00667307">
              <w:rPr>
                <w:rFonts w:eastAsia="Calibri"/>
                <w:i/>
                <w:sz w:val="20"/>
              </w:rPr>
              <w:noBreakHyphen/>
            </w:r>
            <w:r w:rsidRPr="00667307">
              <w:rPr>
                <w:rFonts w:eastAsia="Calibri"/>
                <w:sz w:val="20"/>
              </w:rPr>
              <w:t xml:space="preserve">like procedure and concluded that it did not compromise the fairness of the hearing or contribute to an unreliable verdict.  The Court of Appeal further rejected the argument that trial counsel’s assistance had been ineffective.  It warned appeal counsel to “think twice about labelling as ‘incompetent’, or as providing ‘ineffective legal assistance’, trial counsel who participate in a procedure only later determined to be unauthorized”, because such an argument constitutes an “overreach, is unfair to trial counsel”, ignores the point-in-time requirements of the jurisprudence and invokes the </w:t>
            </w:r>
            <w:r w:rsidRPr="00667307">
              <w:rPr>
                <w:rFonts w:eastAsia="Calibri"/>
                <w:sz w:val="20"/>
              </w:rPr>
              <w:lastRenderedPageBreak/>
              <w:t>“counterfeit wisdom of hindsight as its currency”.</w:t>
            </w:r>
          </w:p>
          <w:p w:rsidR="00A004E1" w:rsidRPr="00667307" w:rsidRDefault="00A004E1" w:rsidP="00E52F75">
            <w:pPr>
              <w:jc w:val="both"/>
              <w:rPr>
                <w:rFonts w:eastAsia="Calibri"/>
                <w:sz w:val="20"/>
              </w:rPr>
            </w:pPr>
          </w:p>
        </w:tc>
      </w:tr>
      <w:tr w:rsidR="00A004E1" w:rsidRPr="00667307" w:rsidTr="00E52F75">
        <w:tc>
          <w:tcPr>
            <w:tcW w:w="2427" w:type="pct"/>
          </w:tcPr>
          <w:p w:rsidR="00A004E1" w:rsidRPr="00667307" w:rsidRDefault="00A004E1" w:rsidP="00E52F75">
            <w:pPr>
              <w:jc w:val="both"/>
              <w:rPr>
                <w:rFonts w:eastAsia="Calibri"/>
                <w:sz w:val="20"/>
              </w:rPr>
            </w:pPr>
            <w:r w:rsidRPr="00667307">
              <w:rPr>
                <w:rFonts w:eastAsia="Calibri"/>
                <w:sz w:val="20"/>
              </w:rPr>
              <w:lastRenderedPageBreak/>
              <w:t>April 13, 2010</w:t>
            </w:r>
          </w:p>
          <w:p w:rsidR="00A004E1" w:rsidRPr="00667307" w:rsidRDefault="00A004E1" w:rsidP="00E52F75">
            <w:pPr>
              <w:jc w:val="both"/>
              <w:rPr>
                <w:rFonts w:eastAsia="Calibri"/>
                <w:sz w:val="20"/>
              </w:rPr>
            </w:pPr>
            <w:r w:rsidRPr="00667307">
              <w:rPr>
                <w:rFonts w:eastAsia="Calibri"/>
                <w:sz w:val="20"/>
              </w:rPr>
              <w:t>Ontario Superior Court of Justice</w:t>
            </w:r>
          </w:p>
          <w:p w:rsidR="00A004E1" w:rsidRPr="00667307" w:rsidRDefault="00A004E1" w:rsidP="00E52F75">
            <w:pPr>
              <w:jc w:val="both"/>
              <w:rPr>
                <w:rFonts w:eastAsia="Calibri"/>
                <w:sz w:val="20"/>
              </w:rPr>
            </w:pPr>
            <w:r w:rsidRPr="00667307">
              <w:rPr>
                <w:rFonts w:eastAsia="Calibri"/>
                <w:sz w:val="20"/>
              </w:rPr>
              <w:t>(McIsaac J.)</w:t>
            </w:r>
          </w:p>
          <w:p w:rsidR="00A004E1" w:rsidRPr="00667307" w:rsidRDefault="00A004E1" w:rsidP="00E52F75">
            <w:pPr>
              <w:jc w:val="both"/>
              <w:rPr>
                <w:rFonts w:eastAsia="Calibri"/>
                <w:sz w:val="20"/>
              </w:rPr>
            </w:pPr>
          </w:p>
        </w:tc>
        <w:tc>
          <w:tcPr>
            <w:tcW w:w="243" w:type="pct"/>
          </w:tcPr>
          <w:p w:rsidR="00A004E1" w:rsidRPr="00667307" w:rsidRDefault="00A004E1" w:rsidP="00E52F75">
            <w:pPr>
              <w:jc w:val="both"/>
              <w:rPr>
                <w:rFonts w:eastAsia="Calibri"/>
                <w:sz w:val="20"/>
              </w:rPr>
            </w:pPr>
          </w:p>
        </w:tc>
        <w:tc>
          <w:tcPr>
            <w:tcW w:w="2330" w:type="pct"/>
          </w:tcPr>
          <w:p w:rsidR="00A004E1" w:rsidRPr="00667307" w:rsidRDefault="00A004E1" w:rsidP="00E52F75">
            <w:pPr>
              <w:jc w:val="both"/>
              <w:rPr>
                <w:rFonts w:eastAsia="Calibri"/>
                <w:sz w:val="20"/>
              </w:rPr>
            </w:pPr>
            <w:r w:rsidRPr="00667307">
              <w:rPr>
                <w:rFonts w:eastAsia="Calibri"/>
                <w:sz w:val="20"/>
              </w:rPr>
              <w:t>Applicant convicted of 19 counts of sexual assault and related offences</w:t>
            </w:r>
          </w:p>
          <w:p w:rsidR="00A004E1" w:rsidRPr="00667307" w:rsidRDefault="00A004E1" w:rsidP="00E52F75">
            <w:pPr>
              <w:jc w:val="both"/>
              <w:rPr>
                <w:rFonts w:eastAsia="Calibri"/>
                <w:sz w:val="20"/>
              </w:rPr>
            </w:pPr>
          </w:p>
        </w:tc>
      </w:tr>
      <w:tr w:rsidR="00A004E1" w:rsidRPr="00667307" w:rsidTr="00E52F75">
        <w:tc>
          <w:tcPr>
            <w:tcW w:w="2427" w:type="pct"/>
          </w:tcPr>
          <w:p w:rsidR="00A004E1" w:rsidRPr="00667307" w:rsidRDefault="00A004E1" w:rsidP="00E52F75">
            <w:pPr>
              <w:jc w:val="both"/>
              <w:rPr>
                <w:rFonts w:eastAsia="Calibri"/>
                <w:sz w:val="20"/>
              </w:rPr>
            </w:pPr>
            <w:r w:rsidRPr="00667307">
              <w:rPr>
                <w:rFonts w:eastAsia="Calibri"/>
                <w:sz w:val="20"/>
              </w:rPr>
              <w:t>January 30, 2013</w:t>
            </w:r>
          </w:p>
          <w:p w:rsidR="00A004E1" w:rsidRPr="00667307" w:rsidRDefault="00A004E1" w:rsidP="00E52F75">
            <w:pPr>
              <w:jc w:val="both"/>
              <w:rPr>
                <w:rFonts w:eastAsia="Calibri"/>
                <w:sz w:val="20"/>
              </w:rPr>
            </w:pPr>
            <w:r w:rsidRPr="00667307">
              <w:rPr>
                <w:rFonts w:eastAsia="Calibri"/>
                <w:sz w:val="20"/>
              </w:rPr>
              <w:t>Court of Appeal for Ontario</w:t>
            </w:r>
          </w:p>
          <w:p w:rsidR="00A004E1" w:rsidRPr="00667307" w:rsidRDefault="00A004E1" w:rsidP="00E52F75">
            <w:pPr>
              <w:jc w:val="both"/>
              <w:rPr>
                <w:rFonts w:eastAsia="Calibri"/>
                <w:sz w:val="20"/>
              </w:rPr>
            </w:pPr>
            <w:r w:rsidRPr="00667307">
              <w:rPr>
                <w:rFonts w:eastAsia="Calibri"/>
                <w:sz w:val="20"/>
              </w:rPr>
              <w:t>(Sharpe, Gillese and Watt JJ.A.)</w:t>
            </w:r>
          </w:p>
          <w:p w:rsidR="00A004E1" w:rsidRPr="00667307" w:rsidRDefault="00A004E1" w:rsidP="00E52F75">
            <w:pPr>
              <w:jc w:val="both"/>
              <w:rPr>
                <w:rFonts w:eastAsia="Calibri"/>
                <w:sz w:val="20"/>
              </w:rPr>
            </w:pPr>
            <w:r w:rsidRPr="00667307">
              <w:rPr>
                <w:rFonts w:eastAsia="Calibri"/>
                <w:sz w:val="20"/>
              </w:rPr>
              <w:t>2013 ONCA 53</w:t>
            </w:r>
          </w:p>
          <w:p w:rsidR="00A004E1" w:rsidRPr="00667307" w:rsidRDefault="00A004E1" w:rsidP="00E52F75">
            <w:pPr>
              <w:jc w:val="both"/>
              <w:rPr>
                <w:rFonts w:eastAsia="Calibri"/>
                <w:sz w:val="20"/>
              </w:rPr>
            </w:pPr>
          </w:p>
        </w:tc>
        <w:tc>
          <w:tcPr>
            <w:tcW w:w="243" w:type="pct"/>
          </w:tcPr>
          <w:p w:rsidR="00A004E1" w:rsidRPr="00667307" w:rsidRDefault="00A004E1" w:rsidP="00E52F75">
            <w:pPr>
              <w:jc w:val="both"/>
              <w:rPr>
                <w:rFonts w:eastAsia="Calibri"/>
                <w:sz w:val="20"/>
              </w:rPr>
            </w:pPr>
          </w:p>
        </w:tc>
        <w:tc>
          <w:tcPr>
            <w:tcW w:w="2330" w:type="pct"/>
          </w:tcPr>
          <w:p w:rsidR="00A004E1" w:rsidRPr="00667307" w:rsidRDefault="00A004E1" w:rsidP="00E52F75">
            <w:pPr>
              <w:jc w:val="both"/>
              <w:rPr>
                <w:rFonts w:eastAsia="Calibri"/>
                <w:sz w:val="20"/>
              </w:rPr>
            </w:pPr>
            <w:r w:rsidRPr="00667307">
              <w:rPr>
                <w:rFonts w:eastAsia="Calibri"/>
                <w:sz w:val="20"/>
              </w:rPr>
              <w:t xml:space="preserve">Appeal dismissed </w:t>
            </w:r>
          </w:p>
        </w:tc>
      </w:tr>
      <w:tr w:rsidR="00A004E1" w:rsidRPr="00667307" w:rsidTr="00E52F75">
        <w:tc>
          <w:tcPr>
            <w:tcW w:w="2427" w:type="pct"/>
          </w:tcPr>
          <w:p w:rsidR="00A004E1" w:rsidRPr="00667307" w:rsidRDefault="00A004E1" w:rsidP="00E52F75">
            <w:pPr>
              <w:jc w:val="both"/>
              <w:rPr>
                <w:rFonts w:eastAsia="Calibri"/>
                <w:sz w:val="20"/>
              </w:rPr>
            </w:pPr>
            <w:r w:rsidRPr="00667307">
              <w:rPr>
                <w:rFonts w:eastAsia="Calibri"/>
                <w:sz w:val="20"/>
              </w:rPr>
              <w:t>March 27, 2013</w:t>
            </w:r>
          </w:p>
          <w:p w:rsidR="00A004E1" w:rsidRPr="00667307" w:rsidRDefault="00A004E1" w:rsidP="00E52F75">
            <w:pPr>
              <w:jc w:val="both"/>
              <w:rPr>
                <w:rFonts w:eastAsia="Calibri"/>
                <w:sz w:val="20"/>
              </w:rPr>
            </w:pPr>
            <w:r w:rsidRPr="00667307">
              <w:rPr>
                <w:rFonts w:eastAsia="Calibri"/>
                <w:sz w:val="20"/>
              </w:rPr>
              <w:t>Supreme Court of Canada</w:t>
            </w:r>
          </w:p>
        </w:tc>
        <w:tc>
          <w:tcPr>
            <w:tcW w:w="243" w:type="pct"/>
          </w:tcPr>
          <w:p w:rsidR="00A004E1" w:rsidRPr="00667307" w:rsidRDefault="00A004E1" w:rsidP="00E52F75">
            <w:pPr>
              <w:jc w:val="both"/>
              <w:rPr>
                <w:rFonts w:eastAsia="Calibri"/>
                <w:sz w:val="20"/>
              </w:rPr>
            </w:pPr>
          </w:p>
        </w:tc>
        <w:tc>
          <w:tcPr>
            <w:tcW w:w="2330" w:type="pct"/>
          </w:tcPr>
          <w:p w:rsidR="00A004E1" w:rsidRPr="00667307" w:rsidRDefault="00A004E1" w:rsidP="00E52F75">
            <w:pPr>
              <w:jc w:val="both"/>
              <w:rPr>
                <w:rFonts w:eastAsia="Calibri"/>
                <w:sz w:val="20"/>
              </w:rPr>
            </w:pPr>
            <w:r w:rsidRPr="00667307">
              <w:rPr>
                <w:rFonts w:eastAsia="Calibri"/>
                <w:sz w:val="20"/>
              </w:rPr>
              <w:t>Application for leave to appeal filed</w:t>
            </w: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78"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004E1" w:rsidRPr="00D41BFD" w:rsidTr="00E52F75">
        <w:tc>
          <w:tcPr>
            <w:tcW w:w="5000" w:type="pct"/>
            <w:gridSpan w:val="3"/>
          </w:tcPr>
          <w:p w:rsidR="00A004E1" w:rsidRPr="00667307" w:rsidRDefault="00A004E1" w:rsidP="00E52F75">
            <w:pPr>
              <w:jc w:val="both"/>
              <w:rPr>
                <w:rFonts w:eastAsia="Calibri"/>
                <w:smallCaps/>
                <w:sz w:val="20"/>
                <w:lang w:val="fr-CA"/>
              </w:rPr>
            </w:pPr>
            <w:r w:rsidRPr="00667307">
              <w:rPr>
                <w:rFonts w:eastAsia="Calibri"/>
                <w:smallCaps/>
                <w:sz w:val="20"/>
                <w:lang w:val="fr-CA"/>
              </w:rPr>
              <w:t>(Ordonnance de non-publication dans le dossier) (Ordonnance de non-publication visant une partie)</w:t>
            </w:r>
          </w:p>
          <w:p w:rsidR="00A004E1" w:rsidRPr="00667307" w:rsidRDefault="00A004E1" w:rsidP="00E52F75">
            <w:pPr>
              <w:jc w:val="both"/>
              <w:rPr>
                <w:rFonts w:eastAsia="Calibri"/>
                <w:sz w:val="20"/>
                <w:lang w:val="fr-CA"/>
              </w:rPr>
            </w:pPr>
          </w:p>
          <w:p w:rsidR="00A004E1" w:rsidRPr="00667307" w:rsidRDefault="00A004E1" w:rsidP="00E52F75">
            <w:pPr>
              <w:jc w:val="both"/>
              <w:rPr>
                <w:rFonts w:eastAsia="Calibri"/>
                <w:sz w:val="20"/>
                <w:lang w:val="fr-CA"/>
              </w:rPr>
            </w:pPr>
            <w:r w:rsidRPr="00667307">
              <w:rPr>
                <w:rFonts w:eastAsia="Calibri"/>
                <w:sz w:val="20"/>
                <w:lang w:val="fr-CA"/>
              </w:rPr>
              <w:t xml:space="preserve">Droit criminel – Procédure – Plaidoyers – </w:t>
            </w:r>
            <w:r w:rsidRPr="00667307">
              <w:rPr>
                <w:rFonts w:eastAsia="Calibri"/>
                <w:i/>
                <w:sz w:val="20"/>
                <w:lang w:val="fr-CA"/>
              </w:rPr>
              <w:t>Nolo contendere</w:t>
            </w:r>
            <w:r w:rsidRPr="00667307">
              <w:rPr>
                <w:rFonts w:eastAsia="Calibri"/>
                <w:sz w:val="20"/>
                <w:lang w:val="fr-CA"/>
              </w:rPr>
              <w:t xml:space="preserve"> – Aide inefficace de l’avocat – La Cour d’appel a-t-elle eu tort de statuer que le demandeur pouvait faire un plaidoyer semblable à un plaidoyer de non-contestation? – La Cour d’appel a-t-elle eu tort de conclure que l’avocat au procès n’avait pas été inefficace dans sa représentation du demandeur?</w:t>
            </w:r>
          </w:p>
        </w:tc>
      </w:tr>
      <w:tr w:rsidR="00A004E1" w:rsidRPr="00D41BFD" w:rsidTr="00E52F75">
        <w:tc>
          <w:tcPr>
            <w:tcW w:w="5000" w:type="pct"/>
            <w:gridSpan w:val="3"/>
          </w:tcPr>
          <w:p w:rsidR="00A004E1" w:rsidRPr="00667307" w:rsidRDefault="00A004E1" w:rsidP="00E52F75">
            <w:pPr>
              <w:jc w:val="both"/>
              <w:rPr>
                <w:rFonts w:eastAsia="Calibri"/>
                <w:smallCaps/>
                <w:sz w:val="20"/>
                <w:lang w:val="fr-CA"/>
              </w:rPr>
            </w:pPr>
          </w:p>
        </w:tc>
      </w:tr>
      <w:tr w:rsidR="00A004E1" w:rsidRPr="00D41BFD" w:rsidTr="00E52F75">
        <w:tc>
          <w:tcPr>
            <w:tcW w:w="5000" w:type="pct"/>
            <w:gridSpan w:val="3"/>
          </w:tcPr>
          <w:p w:rsidR="00A004E1" w:rsidRPr="00667307" w:rsidRDefault="00A004E1" w:rsidP="00E52F75">
            <w:pPr>
              <w:jc w:val="both"/>
              <w:rPr>
                <w:rFonts w:eastAsia="Calibri"/>
                <w:sz w:val="20"/>
                <w:lang w:val="fr-CA"/>
              </w:rPr>
            </w:pPr>
            <w:r w:rsidRPr="00667307">
              <w:rPr>
                <w:rFonts w:eastAsia="Calibri"/>
                <w:sz w:val="20"/>
                <w:lang w:val="fr-CA"/>
              </w:rPr>
              <w:t xml:space="preserve">Le demandeur, R.P., a été déclaré coupable sous 19 chefs d’agression sexuelle et d’infractions connexes en lien avec quatre enfants.  Les sévices ont commencé alors que chaque plaignant était âgé de 3 à 5 ans et se sont poursuivis jusqu’à ce que chacun atteigne les âges de 9 à 12 ans.  Au début du procès, R.P. a choisi en deuxième lieu d’être jugé devant juge seul et, après que le juge a dissous le jury et déclaré la nullité du procès, il a été accusé de nouveau et plaidé non coupable sous chacun des chefs de l’acte d’accusation.  La preuve a été versée au dossier et le juge du procès a alors été invité à prononcer un verdict.  Dans des directives données par écrit à son avocat au procès, R.P. a fait savoir qu’il ne souhaitait plus contester les accusations et il a signé un document détaillé énonçant les faits non contestés.  Il a également reconnu que le ministère public avait une preuve solide.  R.P. a interjeté appel de ses condamnations.  Il a fait valoir que le plaidoyer semblable à un plaidoyer de non-contestation était illégal et que le procès constituait une erreur judiciaire parce que son avocat lui avait fourni une aide inefficace.  L’appel a été rejeté.  La Cour d’appel a souligné qu’aucune disposition législative et qu’aucun principe de common law n’interdisait la procédure semblable au </w:t>
            </w:r>
            <w:r w:rsidRPr="00667307">
              <w:rPr>
                <w:rFonts w:eastAsia="Calibri"/>
                <w:i/>
                <w:sz w:val="20"/>
                <w:lang w:val="fr-CA"/>
              </w:rPr>
              <w:t>nolo contendere</w:t>
            </w:r>
            <w:r w:rsidRPr="00667307">
              <w:rPr>
                <w:rFonts w:eastAsia="Calibri"/>
                <w:sz w:val="20"/>
                <w:lang w:val="fr-CA"/>
              </w:rPr>
              <w:t xml:space="preserve"> et a conclu que la procédure n’avait pas eu pour effet de compromettre l’équité de l’audience ou contribué à un verdict incertain.  La Cour d’appel a en outre rejeté l’argument selon lequel l’aide de l’avocat au procès avait été inefficace.  Elle a mis en garde l’avocat qui occupait en appel [</w:t>
            </w:r>
            <w:r w:rsidRPr="00667307">
              <w:rPr>
                <w:rFonts w:eastAsia="Calibri"/>
                <w:smallCaps/>
                <w:sz w:val="20"/>
                <w:lang w:val="fr-CA"/>
              </w:rPr>
              <w:t>traduction</w:t>
            </w:r>
            <w:r w:rsidRPr="00667307">
              <w:rPr>
                <w:rFonts w:eastAsia="Calibri"/>
                <w:sz w:val="20"/>
                <w:lang w:val="fr-CA"/>
              </w:rPr>
              <w:t>] « d’y penser à deux fois avant de qualifier ‘d’incompétent’ l’avocat qui avait occupé au procès – qui n’a été jugé non autorisé que par la suite – ou de qualifier d’‘inefficace’ l’aide qu’il avait apportée », puisqu’un tel argument constituait [</w:t>
            </w:r>
            <w:r w:rsidRPr="00667307">
              <w:rPr>
                <w:rFonts w:eastAsia="Calibri"/>
                <w:smallCaps/>
                <w:sz w:val="20"/>
                <w:lang w:val="fr-CA"/>
              </w:rPr>
              <w:t>traduction</w:t>
            </w:r>
            <w:r w:rsidRPr="00667307">
              <w:rPr>
                <w:rFonts w:eastAsia="Calibri"/>
                <w:sz w:val="20"/>
                <w:lang w:val="fr-CA"/>
              </w:rPr>
              <w:t>] « une exagération, injuste envers l’avocat qui a occupé au procès », qu’il faisait fi des exigences du droit à un moment donné et qu’il s’appuyait sur la [</w:t>
            </w:r>
            <w:r w:rsidRPr="00667307">
              <w:rPr>
                <w:rFonts w:eastAsia="Calibri"/>
                <w:smallCaps/>
                <w:sz w:val="20"/>
                <w:lang w:val="fr-CA"/>
              </w:rPr>
              <w:t>traduction</w:t>
            </w:r>
            <w:r w:rsidRPr="00667307">
              <w:rPr>
                <w:rFonts w:eastAsia="Calibri"/>
                <w:sz w:val="20"/>
                <w:lang w:val="fr-CA"/>
              </w:rPr>
              <w:t>] « sagesse factice de la rétrospection pour étayer l’allégation ».</w:t>
            </w:r>
          </w:p>
          <w:p w:rsidR="00A004E1" w:rsidRPr="00667307" w:rsidRDefault="00A004E1" w:rsidP="00E52F75">
            <w:pPr>
              <w:jc w:val="both"/>
              <w:rPr>
                <w:rFonts w:eastAsia="Calibri"/>
                <w:sz w:val="20"/>
                <w:lang w:val="fr-CA"/>
              </w:rPr>
            </w:pPr>
          </w:p>
        </w:tc>
      </w:tr>
      <w:tr w:rsidR="00A004E1" w:rsidRPr="00D41BFD" w:rsidTr="00E52F75">
        <w:tc>
          <w:tcPr>
            <w:tcW w:w="2427" w:type="pct"/>
          </w:tcPr>
          <w:p w:rsidR="00A004E1" w:rsidRPr="00667307" w:rsidRDefault="00A004E1" w:rsidP="00E52F75">
            <w:pPr>
              <w:jc w:val="both"/>
              <w:rPr>
                <w:rFonts w:eastAsia="Calibri"/>
                <w:sz w:val="20"/>
                <w:lang w:val="fr-CA"/>
              </w:rPr>
            </w:pPr>
            <w:r w:rsidRPr="00667307">
              <w:rPr>
                <w:rFonts w:eastAsia="Calibri"/>
                <w:sz w:val="20"/>
                <w:lang w:val="fr-CA"/>
              </w:rPr>
              <w:t>13 avril 2010</w:t>
            </w:r>
          </w:p>
          <w:p w:rsidR="00A004E1" w:rsidRPr="00667307" w:rsidRDefault="00A004E1" w:rsidP="00E52F75">
            <w:pPr>
              <w:jc w:val="both"/>
              <w:rPr>
                <w:rFonts w:eastAsia="Calibri"/>
                <w:sz w:val="20"/>
                <w:lang w:val="fr-CA"/>
              </w:rPr>
            </w:pPr>
            <w:r w:rsidRPr="00667307">
              <w:rPr>
                <w:rFonts w:eastAsia="Calibri"/>
                <w:sz w:val="20"/>
                <w:lang w:val="fr-CA"/>
              </w:rPr>
              <w:t>Cour supérieure de justice de l’Ontario</w:t>
            </w:r>
          </w:p>
          <w:p w:rsidR="00A004E1" w:rsidRPr="00667307" w:rsidRDefault="00A004E1" w:rsidP="00E52F75">
            <w:pPr>
              <w:jc w:val="both"/>
              <w:rPr>
                <w:rFonts w:eastAsia="Calibri"/>
                <w:sz w:val="20"/>
                <w:lang w:val="fr-CA"/>
              </w:rPr>
            </w:pPr>
            <w:r w:rsidRPr="00667307">
              <w:rPr>
                <w:rFonts w:eastAsia="Calibri"/>
                <w:sz w:val="20"/>
                <w:lang w:val="fr-CA"/>
              </w:rPr>
              <w:t>(Juge McIsaac)</w:t>
            </w:r>
          </w:p>
          <w:p w:rsidR="00A004E1" w:rsidRPr="00667307" w:rsidRDefault="00A004E1" w:rsidP="00E52F75">
            <w:pPr>
              <w:jc w:val="both"/>
              <w:rPr>
                <w:rFonts w:eastAsia="Calibri"/>
                <w:sz w:val="20"/>
                <w:lang w:val="fr-CA"/>
              </w:rPr>
            </w:pPr>
          </w:p>
        </w:tc>
        <w:tc>
          <w:tcPr>
            <w:tcW w:w="243" w:type="pct"/>
          </w:tcPr>
          <w:p w:rsidR="00A004E1" w:rsidRPr="00667307" w:rsidRDefault="00A004E1" w:rsidP="00E52F75">
            <w:pPr>
              <w:jc w:val="both"/>
              <w:rPr>
                <w:rFonts w:eastAsia="Calibri"/>
                <w:sz w:val="20"/>
                <w:lang w:val="fr-CA"/>
              </w:rPr>
            </w:pPr>
          </w:p>
        </w:tc>
        <w:tc>
          <w:tcPr>
            <w:tcW w:w="2330" w:type="pct"/>
          </w:tcPr>
          <w:p w:rsidR="00A004E1" w:rsidRPr="00667307" w:rsidRDefault="00A004E1" w:rsidP="00E52F75">
            <w:pPr>
              <w:jc w:val="both"/>
              <w:rPr>
                <w:rFonts w:eastAsia="Calibri"/>
                <w:sz w:val="20"/>
                <w:lang w:val="fr-CA"/>
              </w:rPr>
            </w:pPr>
            <w:r w:rsidRPr="00667307">
              <w:rPr>
                <w:rFonts w:eastAsia="Calibri"/>
                <w:sz w:val="20"/>
                <w:lang w:val="fr-CA"/>
              </w:rPr>
              <w:t>Demandeur déclaré coupable sous 19 chefs d’agression sexuelle et d’infractions connexes</w:t>
            </w:r>
          </w:p>
          <w:p w:rsidR="00A004E1" w:rsidRPr="00667307" w:rsidRDefault="00A004E1" w:rsidP="00E52F75">
            <w:pPr>
              <w:jc w:val="both"/>
              <w:rPr>
                <w:rFonts w:eastAsia="Calibri"/>
                <w:sz w:val="20"/>
                <w:lang w:val="fr-CA"/>
              </w:rPr>
            </w:pPr>
          </w:p>
        </w:tc>
      </w:tr>
      <w:tr w:rsidR="00A004E1" w:rsidRPr="00667307" w:rsidTr="00107C53">
        <w:trPr>
          <w:cantSplit/>
        </w:trPr>
        <w:tc>
          <w:tcPr>
            <w:tcW w:w="2427" w:type="pct"/>
          </w:tcPr>
          <w:p w:rsidR="00A004E1" w:rsidRPr="00667307" w:rsidRDefault="00A004E1" w:rsidP="00E52F75">
            <w:pPr>
              <w:jc w:val="both"/>
              <w:rPr>
                <w:rFonts w:eastAsia="Calibri"/>
                <w:sz w:val="20"/>
                <w:lang w:val="fr-CA"/>
              </w:rPr>
            </w:pPr>
            <w:r w:rsidRPr="00667307">
              <w:rPr>
                <w:rFonts w:eastAsia="Calibri"/>
                <w:sz w:val="20"/>
                <w:lang w:val="fr-CA"/>
              </w:rPr>
              <w:lastRenderedPageBreak/>
              <w:t>30 janvier 2013</w:t>
            </w:r>
          </w:p>
          <w:p w:rsidR="00A004E1" w:rsidRPr="00667307" w:rsidRDefault="00A004E1" w:rsidP="00E52F75">
            <w:pPr>
              <w:jc w:val="both"/>
              <w:rPr>
                <w:rFonts w:eastAsia="Calibri"/>
                <w:sz w:val="20"/>
                <w:lang w:val="fr-CA"/>
              </w:rPr>
            </w:pPr>
            <w:r w:rsidRPr="00667307">
              <w:rPr>
                <w:rFonts w:eastAsia="Calibri"/>
                <w:sz w:val="20"/>
                <w:lang w:val="fr-CA"/>
              </w:rPr>
              <w:t>Cour d’appel de l’Ontario</w:t>
            </w:r>
          </w:p>
          <w:p w:rsidR="00A004E1" w:rsidRPr="00667307" w:rsidRDefault="00A004E1" w:rsidP="00E52F75">
            <w:pPr>
              <w:jc w:val="both"/>
              <w:rPr>
                <w:rFonts w:eastAsia="Calibri"/>
                <w:sz w:val="20"/>
                <w:lang w:val="fr-CA"/>
              </w:rPr>
            </w:pPr>
            <w:r w:rsidRPr="00667307">
              <w:rPr>
                <w:rFonts w:eastAsia="Calibri"/>
                <w:sz w:val="20"/>
                <w:lang w:val="fr-CA"/>
              </w:rPr>
              <w:t>(Juges Sharpe, Gillese et Watt)</w:t>
            </w:r>
          </w:p>
          <w:p w:rsidR="00A004E1" w:rsidRPr="00667307" w:rsidRDefault="00A004E1" w:rsidP="00E52F75">
            <w:pPr>
              <w:jc w:val="both"/>
              <w:rPr>
                <w:rFonts w:eastAsia="Calibri"/>
                <w:sz w:val="20"/>
                <w:lang w:val="fr-CA"/>
              </w:rPr>
            </w:pPr>
            <w:r w:rsidRPr="00667307">
              <w:rPr>
                <w:rFonts w:eastAsia="Calibri"/>
                <w:sz w:val="20"/>
                <w:lang w:val="fr-CA"/>
              </w:rPr>
              <w:t>2013 ONCA 53</w:t>
            </w:r>
          </w:p>
          <w:p w:rsidR="00A004E1" w:rsidRPr="00667307" w:rsidRDefault="00A004E1" w:rsidP="00E52F75">
            <w:pPr>
              <w:jc w:val="both"/>
              <w:rPr>
                <w:rFonts w:eastAsia="Calibri"/>
                <w:sz w:val="20"/>
                <w:lang w:val="fr-CA"/>
              </w:rPr>
            </w:pPr>
          </w:p>
        </w:tc>
        <w:tc>
          <w:tcPr>
            <w:tcW w:w="243" w:type="pct"/>
          </w:tcPr>
          <w:p w:rsidR="00A004E1" w:rsidRPr="00667307" w:rsidRDefault="00A004E1" w:rsidP="00E52F75">
            <w:pPr>
              <w:jc w:val="both"/>
              <w:rPr>
                <w:rFonts w:eastAsia="Calibri"/>
                <w:sz w:val="20"/>
                <w:lang w:val="fr-CA"/>
              </w:rPr>
            </w:pPr>
          </w:p>
        </w:tc>
        <w:tc>
          <w:tcPr>
            <w:tcW w:w="2330" w:type="pct"/>
          </w:tcPr>
          <w:p w:rsidR="00A004E1" w:rsidRPr="00667307" w:rsidRDefault="00A004E1" w:rsidP="00E52F75">
            <w:pPr>
              <w:jc w:val="both"/>
              <w:rPr>
                <w:rFonts w:eastAsia="Calibri"/>
                <w:sz w:val="20"/>
                <w:lang w:val="fr-CA"/>
              </w:rPr>
            </w:pPr>
            <w:r w:rsidRPr="00667307">
              <w:rPr>
                <w:rFonts w:eastAsia="Calibri"/>
                <w:sz w:val="20"/>
                <w:lang w:val="fr-CA"/>
              </w:rPr>
              <w:t xml:space="preserve">Appel rejeté </w:t>
            </w:r>
          </w:p>
        </w:tc>
      </w:tr>
      <w:tr w:rsidR="00A004E1" w:rsidRPr="00667307" w:rsidTr="00107C53">
        <w:trPr>
          <w:cantSplit/>
        </w:trPr>
        <w:tc>
          <w:tcPr>
            <w:tcW w:w="2427" w:type="pct"/>
          </w:tcPr>
          <w:p w:rsidR="00A004E1" w:rsidRPr="00667307" w:rsidRDefault="00A004E1" w:rsidP="00E52F75">
            <w:pPr>
              <w:jc w:val="both"/>
              <w:rPr>
                <w:rFonts w:eastAsia="Calibri"/>
                <w:sz w:val="20"/>
                <w:lang w:val="fr-CA"/>
              </w:rPr>
            </w:pPr>
            <w:r w:rsidRPr="00667307">
              <w:rPr>
                <w:rFonts w:eastAsia="Calibri"/>
                <w:sz w:val="20"/>
                <w:lang w:val="fr-CA"/>
              </w:rPr>
              <w:t>27 mars 2013</w:t>
            </w:r>
          </w:p>
          <w:p w:rsidR="00A004E1" w:rsidRPr="00667307" w:rsidRDefault="00A004E1" w:rsidP="00E52F75">
            <w:pPr>
              <w:jc w:val="both"/>
              <w:rPr>
                <w:rFonts w:eastAsia="Calibri"/>
                <w:sz w:val="20"/>
                <w:lang w:val="fr-CA"/>
              </w:rPr>
            </w:pPr>
            <w:r w:rsidRPr="00667307">
              <w:rPr>
                <w:rFonts w:eastAsia="Calibri"/>
                <w:sz w:val="20"/>
                <w:lang w:val="fr-CA"/>
              </w:rPr>
              <w:t>Cour suprême du Canada</w:t>
            </w:r>
          </w:p>
        </w:tc>
        <w:tc>
          <w:tcPr>
            <w:tcW w:w="243" w:type="pct"/>
          </w:tcPr>
          <w:p w:rsidR="00A004E1" w:rsidRPr="00667307" w:rsidRDefault="00A004E1" w:rsidP="00E52F75">
            <w:pPr>
              <w:jc w:val="both"/>
              <w:rPr>
                <w:rFonts w:eastAsia="Calibri"/>
                <w:sz w:val="20"/>
                <w:lang w:val="fr-CA"/>
              </w:rPr>
            </w:pPr>
          </w:p>
        </w:tc>
        <w:tc>
          <w:tcPr>
            <w:tcW w:w="2330" w:type="pct"/>
          </w:tcPr>
          <w:p w:rsidR="00A004E1" w:rsidRPr="00667307" w:rsidRDefault="00A004E1" w:rsidP="00E52F75">
            <w:pPr>
              <w:jc w:val="both"/>
              <w:rPr>
                <w:rFonts w:eastAsia="Calibri"/>
                <w:sz w:val="20"/>
                <w:lang w:val="fr-CA"/>
              </w:rPr>
            </w:pPr>
            <w:r w:rsidRPr="00667307">
              <w:rPr>
                <w:rFonts w:eastAsia="Calibri"/>
                <w:sz w:val="20"/>
                <w:lang w:val="fr-CA"/>
              </w:rPr>
              <w:t>Demande d’autorisation d’appel, déposée</w:t>
            </w:r>
          </w:p>
        </w:tc>
      </w:tr>
    </w:tbl>
    <w:p w:rsidR="00AA605C" w:rsidRDefault="00AA605C" w:rsidP="00AA605C">
      <w:pPr>
        <w:rPr>
          <w:sz w:val="20"/>
          <w:szCs w:val="20"/>
        </w:rPr>
      </w:pPr>
    </w:p>
    <w:p w:rsidR="00AA605C" w:rsidRDefault="00B3404D" w:rsidP="00AA605C">
      <w:pPr>
        <w:rPr>
          <w:sz w:val="20"/>
          <w:szCs w:val="20"/>
          <w:lang w:val="fr-CA"/>
        </w:rPr>
      </w:pPr>
      <w:r w:rsidRPr="00B3404D">
        <w:rPr>
          <w:sz w:val="20"/>
          <w:szCs w:val="20"/>
          <w:lang w:val="fr-CA"/>
        </w:rPr>
        <w:pict>
          <v:rect id="_x0000_i1079" style="width:2in;height:1pt" o:hrpct="0" o:hralign="center" o:hrstd="t" o:hrnoshade="t" o:hr="t" fillcolor="black [3213]" stroked="f"/>
        </w:pict>
      </w:r>
    </w:p>
    <w:p w:rsidR="00AA605C" w:rsidRDefault="00AA605C" w:rsidP="00AA605C">
      <w:pPr>
        <w:rPr>
          <w:sz w:val="20"/>
          <w:szCs w:val="20"/>
        </w:rPr>
      </w:pPr>
    </w:p>
    <w:tbl>
      <w:tblPr>
        <w:tblStyle w:val="TableGrid2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07C53" w:rsidRPr="00D41BFD" w:rsidTr="00A426F6">
        <w:trPr>
          <w:cantSplit/>
        </w:trPr>
        <w:tc>
          <w:tcPr>
            <w:tcW w:w="1458" w:type="dxa"/>
          </w:tcPr>
          <w:p w:rsidR="00107C53" w:rsidRPr="00107C53" w:rsidRDefault="00107C53" w:rsidP="00107C53">
            <w:pPr>
              <w:rPr>
                <w:sz w:val="20"/>
                <w:szCs w:val="20"/>
              </w:rPr>
            </w:pPr>
            <w:r w:rsidRPr="00107C53">
              <w:rPr>
                <w:b/>
                <w:sz w:val="20"/>
                <w:lang w:val="fr-CA"/>
              </w:rPr>
              <w:t>35289</w:t>
            </w:r>
          </w:p>
          <w:p w:rsidR="00107C53" w:rsidRPr="00107C53" w:rsidRDefault="00107C53" w:rsidP="00107C53">
            <w:pPr>
              <w:rPr>
                <w:b/>
                <w:sz w:val="20"/>
                <w:szCs w:val="20"/>
                <w:lang w:val="fr-CA"/>
              </w:rPr>
            </w:pPr>
          </w:p>
        </w:tc>
        <w:tc>
          <w:tcPr>
            <w:tcW w:w="8118" w:type="dxa"/>
          </w:tcPr>
          <w:p w:rsidR="00107C53" w:rsidRPr="00107C53" w:rsidRDefault="00107C53" w:rsidP="00107C53">
            <w:pPr>
              <w:rPr>
                <w:sz w:val="20"/>
                <w:szCs w:val="20"/>
                <w:lang w:val="fr-CA"/>
              </w:rPr>
            </w:pPr>
            <w:r w:rsidRPr="00107C53">
              <w:rPr>
                <w:b/>
                <w:sz w:val="20"/>
                <w:u w:val="single"/>
                <w:lang w:val="fr-CA"/>
              </w:rPr>
              <w:t>Daniel Poulin c. Collège des médecins du Québec</w:t>
            </w:r>
            <w:r w:rsidRPr="00107C53">
              <w:rPr>
                <w:sz w:val="20"/>
                <w:szCs w:val="20"/>
                <w:lang w:val="fr-CA"/>
              </w:rPr>
              <w:t xml:space="preserve"> (Qc) (Civile) (Autorisation)</w:t>
            </w:r>
          </w:p>
          <w:p w:rsidR="00107C53" w:rsidRPr="00107C53" w:rsidRDefault="00107C53" w:rsidP="00107C53">
            <w:pPr>
              <w:rPr>
                <w:sz w:val="20"/>
                <w:szCs w:val="20"/>
                <w:lang w:val="fr-CA"/>
              </w:rPr>
            </w:pPr>
          </w:p>
        </w:tc>
      </w:tr>
      <w:tr w:rsidR="00107C53" w:rsidRPr="00D41BFD" w:rsidTr="00A426F6">
        <w:trPr>
          <w:cantSplit/>
        </w:trPr>
        <w:tc>
          <w:tcPr>
            <w:tcW w:w="1458" w:type="dxa"/>
          </w:tcPr>
          <w:p w:rsidR="00107C53" w:rsidRPr="00107C53" w:rsidRDefault="00107C53" w:rsidP="00107C53">
            <w:pPr>
              <w:rPr>
                <w:sz w:val="20"/>
                <w:szCs w:val="20"/>
              </w:rPr>
            </w:pPr>
            <w:r w:rsidRPr="00107C53">
              <w:rPr>
                <w:sz w:val="20"/>
                <w:szCs w:val="20"/>
              </w:rPr>
              <w:t>Coram :</w:t>
            </w:r>
          </w:p>
        </w:tc>
        <w:tc>
          <w:tcPr>
            <w:tcW w:w="8118" w:type="dxa"/>
          </w:tcPr>
          <w:p w:rsidR="00107C53" w:rsidRPr="00107C53" w:rsidRDefault="00107C53" w:rsidP="00107C53">
            <w:pPr>
              <w:rPr>
                <w:sz w:val="20"/>
                <w:szCs w:val="20"/>
                <w:lang w:val="fr-CA"/>
              </w:rPr>
            </w:pPr>
            <w:r w:rsidRPr="00107C53">
              <w:rPr>
                <w:sz w:val="20"/>
                <w:u w:val="single"/>
                <w:lang w:val="fr-CA"/>
              </w:rPr>
              <w:t>Les juges LeBel, Karakatsanis et Wagner</w:t>
            </w:r>
          </w:p>
          <w:p w:rsidR="00107C53" w:rsidRPr="00107C53" w:rsidRDefault="00107C53" w:rsidP="00107C53">
            <w:pPr>
              <w:rPr>
                <w:sz w:val="20"/>
                <w:szCs w:val="20"/>
                <w:u w:val="single"/>
                <w:lang w:val="fr-CA"/>
              </w:rPr>
            </w:pPr>
          </w:p>
        </w:tc>
      </w:tr>
      <w:tr w:rsidR="00107C53" w:rsidRPr="00107C53" w:rsidTr="00A426F6">
        <w:trPr>
          <w:cantSplit/>
        </w:trPr>
        <w:tc>
          <w:tcPr>
            <w:tcW w:w="9576" w:type="dxa"/>
            <w:gridSpan w:val="2"/>
          </w:tcPr>
          <w:p w:rsidR="00107C53" w:rsidRPr="00107C53" w:rsidRDefault="00107C53" w:rsidP="00107C53">
            <w:pPr>
              <w:ind w:firstLine="720"/>
              <w:jc w:val="both"/>
              <w:rPr>
                <w:sz w:val="20"/>
                <w:szCs w:val="20"/>
                <w:lang w:val="fr-CA"/>
              </w:rPr>
            </w:pPr>
            <w:r w:rsidRPr="00107C53">
              <w:rPr>
                <w:sz w:val="20"/>
                <w:szCs w:val="20"/>
                <w:lang w:val="fr-CA"/>
              </w:rPr>
              <w:t>La demande d’autorisation d’appel de l’arrêt de la Cour d’appel du Québec (Montréal), numéro 500-09-021565-114, 2013 QCCA 187, daté du 1</w:t>
            </w:r>
            <w:r w:rsidRPr="00CC6132">
              <w:rPr>
                <w:sz w:val="20"/>
                <w:szCs w:val="20"/>
                <w:vertAlign w:val="superscript"/>
                <w:lang w:val="fr-CA"/>
              </w:rPr>
              <w:t>er</w:t>
            </w:r>
            <w:r w:rsidRPr="00107C53">
              <w:rPr>
                <w:sz w:val="20"/>
                <w:szCs w:val="20"/>
                <w:lang w:val="fr-CA"/>
              </w:rPr>
              <w:t xml:space="preserve"> février 2013, est rejetée avec dépens.</w:t>
            </w:r>
          </w:p>
          <w:p w:rsidR="00107C53" w:rsidRPr="00107C53" w:rsidRDefault="00107C53" w:rsidP="00107C53">
            <w:pPr>
              <w:jc w:val="both"/>
              <w:rPr>
                <w:sz w:val="20"/>
                <w:szCs w:val="20"/>
                <w:lang w:val="fr-CA"/>
              </w:rPr>
            </w:pPr>
          </w:p>
          <w:p w:rsidR="00107C53" w:rsidRPr="00107C53" w:rsidRDefault="00107C53" w:rsidP="00107C53">
            <w:pPr>
              <w:ind w:firstLine="720"/>
              <w:jc w:val="both"/>
              <w:rPr>
                <w:sz w:val="20"/>
                <w:szCs w:val="20"/>
              </w:rPr>
            </w:pPr>
            <w:r w:rsidRPr="00107C53">
              <w:rPr>
                <w:sz w:val="20"/>
                <w:szCs w:val="20"/>
              </w:rPr>
              <w:t>The application for leave to appeal from the judgment of the Court of Appeal of Quebec (Montréal), Number 500-09-021565-114,  2013 QCCA 187, dated February 1, 2013, is dismissed with costs.</w:t>
            </w:r>
          </w:p>
        </w:tc>
      </w:tr>
    </w:tbl>
    <w:p w:rsidR="00AA605C" w:rsidRDefault="00AA605C" w:rsidP="00AA605C">
      <w:pPr>
        <w:rPr>
          <w:sz w:val="20"/>
          <w:szCs w:val="20"/>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86103" w:rsidRPr="00667307" w:rsidTr="00E52F75">
        <w:tc>
          <w:tcPr>
            <w:tcW w:w="5000" w:type="pct"/>
            <w:gridSpan w:val="3"/>
          </w:tcPr>
          <w:p w:rsidR="00986103" w:rsidRPr="00667307" w:rsidRDefault="00986103" w:rsidP="00E52F75">
            <w:pPr>
              <w:jc w:val="both"/>
              <w:rPr>
                <w:rFonts w:eastAsia="Calibri"/>
                <w:sz w:val="20"/>
              </w:rPr>
            </w:pPr>
            <w:r w:rsidRPr="00667307">
              <w:rPr>
                <w:rFonts w:eastAsia="Calibri"/>
                <w:sz w:val="20"/>
              </w:rPr>
              <w:t xml:space="preserve">Civil liability – Law of professions – Civil liability of professional order – Qualified privilege – Unsuccessful action by physician against his professional order alleging that it had acted in manner contrary to public order in failing to act to put end to what he alleged to be repeated and systematic breaches of code of ethics, and in particular in tolerating conflicts of interest engaged in by its members – Whether test of appearance of conflict of interest laid down by Supreme Court of Canada in </w:t>
            </w:r>
            <w:r w:rsidRPr="00667307">
              <w:rPr>
                <w:rFonts w:eastAsia="Calibri"/>
                <w:i/>
                <w:sz w:val="20"/>
              </w:rPr>
              <w:t>MacDonald Estate v. Martin</w:t>
            </w:r>
            <w:r w:rsidRPr="00667307">
              <w:rPr>
                <w:rFonts w:eastAsia="Calibri"/>
                <w:sz w:val="20"/>
              </w:rPr>
              <w:t>, [1990] 3 S.C.R. 1235, applied in this case – Whether elements of civil liability were proven.</w:t>
            </w:r>
          </w:p>
        </w:tc>
      </w:tr>
      <w:tr w:rsidR="00986103" w:rsidRPr="00667307" w:rsidTr="00E52F75">
        <w:tc>
          <w:tcPr>
            <w:tcW w:w="5000" w:type="pct"/>
            <w:gridSpan w:val="3"/>
          </w:tcPr>
          <w:p w:rsidR="00986103" w:rsidRPr="00667307" w:rsidRDefault="00986103" w:rsidP="00E52F75">
            <w:pPr>
              <w:jc w:val="both"/>
              <w:rPr>
                <w:rFonts w:eastAsia="Calibri"/>
                <w:sz w:val="20"/>
              </w:rPr>
            </w:pPr>
          </w:p>
        </w:tc>
      </w:tr>
      <w:tr w:rsidR="00986103" w:rsidRPr="00667307" w:rsidTr="00E52F75">
        <w:tc>
          <w:tcPr>
            <w:tcW w:w="5000" w:type="pct"/>
            <w:gridSpan w:val="3"/>
          </w:tcPr>
          <w:p w:rsidR="00986103" w:rsidRPr="00667307" w:rsidRDefault="00986103" w:rsidP="00E52F75">
            <w:pPr>
              <w:jc w:val="both"/>
              <w:rPr>
                <w:rFonts w:eastAsia="Calibri"/>
                <w:sz w:val="20"/>
              </w:rPr>
            </w:pPr>
            <w:r w:rsidRPr="00667307">
              <w:rPr>
                <w:rFonts w:eastAsia="Calibri"/>
                <w:sz w:val="20"/>
              </w:rPr>
              <w:t>The applicant, Dr. Poulin, owned a medical clinic.  In 2004, he brought an action in extracontractual liability against the respondent, the Collège des médecins du Québec.  He alleged that the Collège had permitted physicians to accept financial benefits, in the form of reduced rent, offered by drug store chains to induce them to open offices near their stores.  According to him, the Collège had refused to act to put an end to this practice, and this had caused him damage, as his colleagues had left his clinic to take advantage of the benefits granted by drug stores and he had had difficulty recruiting new physicians.  Dr. Poulin claimed that the Collège had [</w:t>
            </w:r>
            <w:r w:rsidRPr="00667307">
              <w:rPr>
                <w:rFonts w:eastAsia="Calibri"/>
                <w:smallCaps/>
                <w:sz w:val="20"/>
              </w:rPr>
              <w:t>translation</w:t>
            </w:r>
            <w:r w:rsidRPr="00667307">
              <w:rPr>
                <w:rFonts w:eastAsia="Calibri"/>
                <w:sz w:val="20"/>
              </w:rPr>
              <w:t xml:space="preserve">] “acted in a manner contrary to public order in failing to act to put an end to repeated and systematic breaches of the </w:t>
            </w:r>
            <w:r w:rsidRPr="00667307">
              <w:rPr>
                <w:rFonts w:eastAsia="Calibri"/>
                <w:i/>
                <w:sz w:val="20"/>
              </w:rPr>
              <w:t>Code of ethics of physicians</w:t>
            </w:r>
            <w:r w:rsidRPr="00667307">
              <w:rPr>
                <w:rFonts w:eastAsia="Calibri"/>
                <w:sz w:val="20"/>
              </w:rPr>
              <w:t>”.</w:t>
            </w:r>
          </w:p>
          <w:p w:rsidR="00986103" w:rsidRPr="00667307" w:rsidRDefault="00986103" w:rsidP="00E52F75">
            <w:pPr>
              <w:jc w:val="both"/>
              <w:rPr>
                <w:rFonts w:eastAsia="Calibri"/>
                <w:sz w:val="20"/>
              </w:rPr>
            </w:pPr>
          </w:p>
          <w:p w:rsidR="00986103" w:rsidRPr="00667307" w:rsidRDefault="00986103" w:rsidP="00E52F75">
            <w:pPr>
              <w:jc w:val="both"/>
              <w:rPr>
                <w:rFonts w:eastAsia="Calibri"/>
                <w:sz w:val="20"/>
              </w:rPr>
            </w:pPr>
            <w:r w:rsidRPr="00667307">
              <w:rPr>
                <w:rFonts w:eastAsia="Calibri"/>
                <w:sz w:val="20"/>
              </w:rPr>
              <w:t xml:space="preserve">Perrault J. of the Superior Court dismissed the action.  She found that Dr. Poulin had not shown that the Collège had committed a fault that triggered liability in this case.  The Court of Appeal dismissed Dr. Poulin’s appeal.  In its view, he had not shown that the Collège had acted in bad faith and that the trial judge had committed a palpable and overriding error that would justify its intervening.  The Court of Appeal also rejected Dr. Poulin’s argument that reduced rent gave rise to an “appearance of conflict of interest” within the meaning of </w:t>
            </w:r>
            <w:r w:rsidRPr="00667307">
              <w:rPr>
                <w:rFonts w:eastAsia="Calibri"/>
                <w:i/>
                <w:sz w:val="20"/>
              </w:rPr>
              <w:t>MacDonald Estate v. Martin</w:t>
            </w:r>
            <w:r w:rsidRPr="00667307">
              <w:rPr>
                <w:rFonts w:eastAsia="Calibri"/>
                <w:sz w:val="20"/>
              </w:rPr>
              <w:t xml:space="preserve"> and that the Collège, in refusing to recognize this, had committed a fault that triggered its liability.</w:t>
            </w:r>
          </w:p>
          <w:p w:rsidR="00986103" w:rsidRPr="00667307" w:rsidRDefault="00986103" w:rsidP="00E52F75">
            <w:pPr>
              <w:jc w:val="both"/>
              <w:rPr>
                <w:rFonts w:eastAsia="Calibri"/>
                <w:sz w:val="20"/>
              </w:rPr>
            </w:pPr>
          </w:p>
        </w:tc>
      </w:tr>
      <w:tr w:rsidR="00986103" w:rsidRPr="00667307" w:rsidTr="00E52F75">
        <w:tc>
          <w:tcPr>
            <w:tcW w:w="2427" w:type="pct"/>
          </w:tcPr>
          <w:p w:rsidR="00986103" w:rsidRPr="00667307" w:rsidRDefault="00986103" w:rsidP="00E52F75">
            <w:pPr>
              <w:jc w:val="both"/>
              <w:rPr>
                <w:rFonts w:eastAsia="Calibri"/>
                <w:sz w:val="20"/>
              </w:rPr>
            </w:pPr>
            <w:r w:rsidRPr="00667307">
              <w:rPr>
                <w:rFonts w:eastAsia="Calibri"/>
                <w:sz w:val="20"/>
              </w:rPr>
              <w:t>February 28, 2011</w:t>
            </w:r>
          </w:p>
          <w:p w:rsidR="00986103" w:rsidRPr="00667307" w:rsidRDefault="00986103" w:rsidP="00E52F75">
            <w:pPr>
              <w:jc w:val="both"/>
              <w:rPr>
                <w:rFonts w:eastAsia="Calibri"/>
                <w:sz w:val="20"/>
              </w:rPr>
            </w:pPr>
            <w:r w:rsidRPr="00667307">
              <w:rPr>
                <w:rFonts w:eastAsia="Calibri"/>
                <w:sz w:val="20"/>
              </w:rPr>
              <w:t>Quebec Superior Court</w:t>
            </w:r>
          </w:p>
          <w:p w:rsidR="00986103" w:rsidRPr="00667307" w:rsidRDefault="00986103" w:rsidP="00E52F75">
            <w:pPr>
              <w:jc w:val="both"/>
              <w:rPr>
                <w:rFonts w:eastAsia="Calibri"/>
                <w:sz w:val="20"/>
              </w:rPr>
            </w:pPr>
            <w:r w:rsidRPr="00667307">
              <w:rPr>
                <w:rFonts w:eastAsia="Calibri"/>
                <w:sz w:val="20"/>
              </w:rPr>
              <w:t>(Perrault J.)</w:t>
            </w:r>
          </w:p>
          <w:p w:rsidR="00986103" w:rsidRPr="00667307" w:rsidRDefault="00986103" w:rsidP="00E52F75">
            <w:pPr>
              <w:jc w:val="both"/>
              <w:rPr>
                <w:rFonts w:eastAsia="Calibri"/>
                <w:sz w:val="20"/>
              </w:rPr>
            </w:pPr>
          </w:p>
        </w:tc>
        <w:tc>
          <w:tcPr>
            <w:tcW w:w="243" w:type="pct"/>
          </w:tcPr>
          <w:p w:rsidR="00986103" w:rsidRPr="00667307" w:rsidRDefault="00986103" w:rsidP="00E52F75">
            <w:pPr>
              <w:jc w:val="both"/>
              <w:rPr>
                <w:rFonts w:eastAsia="Calibri"/>
                <w:sz w:val="20"/>
              </w:rPr>
            </w:pPr>
          </w:p>
        </w:tc>
        <w:tc>
          <w:tcPr>
            <w:tcW w:w="2330" w:type="pct"/>
          </w:tcPr>
          <w:p w:rsidR="00986103" w:rsidRPr="00667307" w:rsidRDefault="00986103" w:rsidP="00E52F75">
            <w:pPr>
              <w:jc w:val="both"/>
              <w:rPr>
                <w:rFonts w:eastAsia="Calibri"/>
                <w:sz w:val="20"/>
              </w:rPr>
            </w:pPr>
            <w:r w:rsidRPr="00667307">
              <w:rPr>
                <w:rFonts w:eastAsia="Calibri"/>
                <w:sz w:val="20"/>
              </w:rPr>
              <w:t>Action in extracontractual liability dismissed</w:t>
            </w:r>
          </w:p>
          <w:p w:rsidR="00986103" w:rsidRPr="00667307" w:rsidRDefault="00986103" w:rsidP="00E52F75">
            <w:pPr>
              <w:jc w:val="both"/>
              <w:rPr>
                <w:rFonts w:eastAsia="Calibri"/>
                <w:sz w:val="20"/>
              </w:rPr>
            </w:pPr>
          </w:p>
        </w:tc>
      </w:tr>
      <w:tr w:rsidR="00986103" w:rsidRPr="00667307" w:rsidTr="00107C53">
        <w:trPr>
          <w:cantSplit/>
        </w:trPr>
        <w:tc>
          <w:tcPr>
            <w:tcW w:w="2427" w:type="pct"/>
          </w:tcPr>
          <w:p w:rsidR="00986103" w:rsidRPr="00667307" w:rsidRDefault="00986103" w:rsidP="00E52F75">
            <w:pPr>
              <w:jc w:val="both"/>
              <w:rPr>
                <w:rFonts w:eastAsia="Calibri"/>
                <w:sz w:val="20"/>
              </w:rPr>
            </w:pPr>
            <w:r w:rsidRPr="00667307">
              <w:rPr>
                <w:rFonts w:eastAsia="Calibri"/>
                <w:sz w:val="20"/>
              </w:rPr>
              <w:lastRenderedPageBreak/>
              <w:t>February 1, 2013</w:t>
            </w:r>
          </w:p>
          <w:p w:rsidR="00986103" w:rsidRPr="00667307" w:rsidRDefault="00986103" w:rsidP="00E52F75">
            <w:pPr>
              <w:jc w:val="both"/>
              <w:rPr>
                <w:rFonts w:eastAsia="Calibri"/>
                <w:sz w:val="20"/>
              </w:rPr>
            </w:pPr>
            <w:r w:rsidRPr="00667307">
              <w:rPr>
                <w:rFonts w:eastAsia="Calibri"/>
                <w:sz w:val="20"/>
              </w:rPr>
              <w:t>Quebec Court of Appeal (Montréal)</w:t>
            </w:r>
          </w:p>
          <w:p w:rsidR="00986103" w:rsidRPr="00667307" w:rsidRDefault="00986103" w:rsidP="00E52F75">
            <w:pPr>
              <w:jc w:val="both"/>
              <w:rPr>
                <w:rFonts w:eastAsia="Calibri"/>
                <w:sz w:val="20"/>
              </w:rPr>
            </w:pPr>
            <w:r w:rsidRPr="00667307">
              <w:rPr>
                <w:rFonts w:eastAsia="Calibri"/>
                <w:sz w:val="20"/>
              </w:rPr>
              <w:t>(Morissette, Kasirer and Fournier JJ.A.)</w:t>
            </w:r>
          </w:p>
          <w:p w:rsidR="00986103" w:rsidRPr="00667307" w:rsidRDefault="00986103" w:rsidP="00E52F75">
            <w:pPr>
              <w:jc w:val="both"/>
              <w:rPr>
                <w:rFonts w:eastAsia="Calibri"/>
                <w:sz w:val="20"/>
              </w:rPr>
            </w:pPr>
            <w:r w:rsidRPr="00667307">
              <w:rPr>
                <w:rFonts w:eastAsia="Calibri"/>
                <w:sz w:val="20"/>
              </w:rPr>
              <w:t>500-09-021565-114; 2013 QCCA 187</w:t>
            </w:r>
          </w:p>
          <w:p w:rsidR="00986103" w:rsidRPr="00667307" w:rsidRDefault="00986103" w:rsidP="00E52F75">
            <w:pPr>
              <w:jc w:val="both"/>
              <w:rPr>
                <w:rFonts w:eastAsia="Calibri"/>
                <w:sz w:val="20"/>
              </w:rPr>
            </w:pPr>
          </w:p>
        </w:tc>
        <w:tc>
          <w:tcPr>
            <w:tcW w:w="243" w:type="pct"/>
          </w:tcPr>
          <w:p w:rsidR="00986103" w:rsidRPr="00667307" w:rsidRDefault="00986103" w:rsidP="00E52F75">
            <w:pPr>
              <w:jc w:val="both"/>
              <w:rPr>
                <w:rFonts w:eastAsia="Calibri"/>
                <w:sz w:val="20"/>
              </w:rPr>
            </w:pPr>
          </w:p>
        </w:tc>
        <w:tc>
          <w:tcPr>
            <w:tcW w:w="2330" w:type="pct"/>
          </w:tcPr>
          <w:p w:rsidR="00986103" w:rsidRPr="00667307" w:rsidRDefault="00986103" w:rsidP="00E52F75">
            <w:pPr>
              <w:jc w:val="both"/>
              <w:rPr>
                <w:rFonts w:eastAsia="Calibri"/>
                <w:sz w:val="20"/>
              </w:rPr>
            </w:pPr>
            <w:r w:rsidRPr="00667307">
              <w:rPr>
                <w:rFonts w:eastAsia="Calibri"/>
                <w:sz w:val="20"/>
              </w:rPr>
              <w:t>Appeal dismissed</w:t>
            </w:r>
          </w:p>
          <w:p w:rsidR="00986103" w:rsidRPr="00667307" w:rsidRDefault="00986103" w:rsidP="00E52F75">
            <w:pPr>
              <w:jc w:val="both"/>
              <w:rPr>
                <w:rFonts w:eastAsia="Calibri"/>
                <w:sz w:val="20"/>
              </w:rPr>
            </w:pPr>
          </w:p>
        </w:tc>
      </w:tr>
      <w:tr w:rsidR="00986103" w:rsidRPr="00667307" w:rsidTr="00107C53">
        <w:trPr>
          <w:cantSplit/>
        </w:trPr>
        <w:tc>
          <w:tcPr>
            <w:tcW w:w="2427" w:type="pct"/>
          </w:tcPr>
          <w:p w:rsidR="00986103" w:rsidRPr="00667307" w:rsidRDefault="00986103" w:rsidP="00E52F75">
            <w:pPr>
              <w:jc w:val="both"/>
              <w:rPr>
                <w:rFonts w:eastAsia="Calibri"/>
                <w:sz w:val="20"/>
              </w:rPr>
            </w:pPr>
            <w:r w:rsidRPr="00667307">
              <w:rPr>
                <w:rFonts w:eastAsia="Calibri"/>
                <w:sz w:val="20"/>
              </w:rPr>
              <w:t>April 2, 2013</w:t>
            </w:r>
          </w:p>
          <w:p w:rsidR="00986103" w:rsidRPr="00667307" w:rsidRDefault="00986103" w:rsidP="00E52F75">
            <w:pPr>
              <w:jc w:val="both"/>
              <w:rPr>
                <w:rFonts w:eastAsia="Calibri"/>
                <w:sz w:val="20"/>
              </w:rPr>
            </w:pPr>
            <w:r w:rsidRPr="00667307">
              <w:rPr>
                <w:rFonts w:eastAsia="Calibri"/>
                <w:sz w:val="20"/>
              </w:rPr>
              <w:t>Supreme Court of Canada</w:t>
            </w:r>
          </w:p>
        </w:tc>
        <w:tc>
          <w:tcPr>
            <w:tcW w:w="243" w:type="pct"/>
          </w:tcPr>
          <w:p w:rsidR="00986103" w:rsidRPr="00667307" w:rsidRDefault="00986103" w:rsidP="00E52F75">
            <w:pPr>
              <w:jc w:val="both"/>
              <w:rPr>
                <w:rFonts w:eastAsia="Calibri"/>
                <w:sz w:val="20"/>
              </w:rPr>
            </w:pPr>
          </w:p>
        </w:tc>
        <w:tc>
          <w:tcPr>
            <w:tcW w:w="2330" w:type="pct"/>
          </w:tcPr>
          <w:p w:rsidR="00986103" w:rsidRPr="00667307" w:rsidRDefault="00986103" w:rsidP="00E52F75">
            <w:pPr>
              <w:jc w:val="both"/>
              <w:rPr>
                <w:rFonts w:eastAsia="Calibri"/>
                <w:sz w:val="20"/>
              </w:rPr>
            </w:pPr>
            <w:r w:rsidRPr="00667307">
              <w:rPr>
                <w:rFonts w:eastAsia="Calibri"/>
                <w:sz w:val="20"/>
              </w:rPr>
              <w:t>Application for leave to appeal filed</w:t>
            </w:r>
          </w:p>
          <w:p w:rsidR="00986103" w:rsidRPr="00667307" w:rsidRDefault="00986103" w:rsidP="00E52F75">
            <w:pPr>
              <w:jc w:val="both"/>
              <w:rPr>
                <w:rFonts w:eastAsia="Calibri"/>
                <w:sz w:val="20"/>
              </w:rPr>
            </w:pP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80"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86103" w:rsidRPr="00D41BFD" w:rsidTr="00E52F75">
        <w:tc>
          <w:tcPr>
            <w:tcW w:w="5000" w:type="pct"/>
            <w:gridSpan w:val="3"/>
          </w:tcPr>
          <w:p w:rsidR="00986103" w:rsidRPr="00667307" w:rsidRDefault="00986103" w:rsidP="00E52F75">
            <w:pPr>
              <w:jc w:val="both"/>
              <w:rPr>
                <w:rFonts w:eastAsia="Calibri"/>
                <w:sz w:val="20"/>
                <w:lang w:val="fr-CA"/>
              </w:rPr>
            </w:pPr>
            <w:r w:rsidRPr="00667307">
              <w:rPr>
                <w:rFonts w:eastAsia="Calibri"/>
                <w:sz w:val="20"/>
                <w:lang w:val="fr-CA"/>
              </w:rPr>
              <w:t xml:space="preserve">Responsabilité civile – Droit des professions – Responsabilité civile d’un ordre professionnel – Immunité relative – Action infructueuse d’un médecin contre son ordre professionnel alléguant que celui-ci avait contrevenu à l’ordre public en ne prenant aucune mesure afin de faire cesser ce qu’il allègue constituer des violations répétées et systématiques du code de déontologie, notamment la tolérance de conflits d’intérêts chez les professionnels – Le critère de l’apparence de conflit d’intérêts établi par la Cour suprême du Canada dans l’arrêt </w:t>
            </w:r>
            <w:r w:rsidRPr="00667307">
              <w:rPr>
                <w:rFonts w:eastAsia="Calibri"/>
                <w:i/>
                <w:sz w:val="20"/>
                <w:lang w:val="fr-CA"/>
              </w:rPr>
              <w:t>Succession MacDonald c. Martin</w:t>
            </w:r>
            <w:r w:rsidRPr="00667307">
              <w:rPr>
                <w:rFonts w:eastAsia="Calibri"/>
                <w:sz w:val="20"/>
                <w:lang w:val="fr-CA"/>
              </w:rPr>
              <w:t>, [1990] 3 R.C.S. 1235, s’appliquait-il en l’espèce? – Les éléments constitutifs de la responsabilité civile ont-ils été prouvés?</w:t>
            </w:r>
          </w:p>
        </w:tc>
      </w:tr>
      <w:tr w:rsidR="00986103" w:rsidRPr="00D41BFD" w:rsidTr="00E52F75">
        <w:tc>
          <w:tcPr>
            <w:tcW w:w="5000" w:type="pct"/>
            <w:gridSpan w:val="3"/>
          </w:tcPr>
          <w:p w:rsidR="00986103" w:rsidRPr="00667307" w:rsidRDefault="00986103" w:rsidP="00E52F75">
            <w:pPr>
              <w:jc w:val="both"/>
              <w:rPr>
                <w:rFonts w:eastAsia="Calibri"/>
                <w:sz w:val="20"/>
                <w:lang w:val="fr-CA"/>
              </w:rPr>
            </w:pPr>
          </w:p>
        </w:tc>
      </w:tr>
      <w:tr w:rsidR="00986103" w:rsidRPr="00D41BFD" w:rsidTr="00E52F75">
        <w:tc>
          <w:tcPr>
            <w:tcW w:w="5000" w:type="pct"/>
            <w:gridSpan w:val="3"/>
          </w:tcPr>
          <w:p w:rsidR="00986103" w:rsidRPr="00667307" w:rsidRDefault="00986103" w:rsidP="00E52F75">
            <w:pPr>
              <w:jc w:val="both"/>
              <w:rPr>
                <w:rFonts w:eastAsia="Calibri"/>
                <w:sz w:val="20"/>
                <w:lang w:val="fr-CA"/>
              </w:rPr>
            </w:pPr>
            <w:r w:rsidRPr="00667307">
              <w:rPr>
                <w:rFonts w:eastAsia="Calibri"/>
                <w:sz w:val="20"/>
                <w:lang w:val="fr-CA"/>
              </w:rPr>
              <w:t xml:space="preserve">Le Dr Poulin, demandeur, était propriétaire d’une clinique médicale.  En 2004, il intente une action en responsabilité extracontractuelle contre le Collège des médecins intimé.  Il lui reproche d’avoir laissé des médecins accepter des avantages financiers, offerts par des chaînes de pharmacie sous forme de loyers à rabais afin de les inciter à s’établir à proximité de leurs succursales.  Selon lui, le Collège aurait refusé de prendre les mesures nécessaires pour mettre fin à cette pratique, ce qui lui aurait causé préjudice, car ses collègues auraient quitté sa clinique pour profiter des avantages consentis par les pharmacies, et il aurait eu de la difficulté à recruter de nouveaux médecins.  Le Dr Poulin estime que le Collège a « contrevenu à l’ordre public en ne prenant aucune mesure afin de faire cesser des violations répétées et systématiques au </w:t>
            </w:r>
            <w:r w:rsidRPr="00667307">
              <w:rPr>
                <w:rFonts w:eastAsia="Calibri"/>
                <w:i/>
                <w:sz w:val="20"/>
                <w:lang w:val="fr-CA"/>
              </w:rPr>
              <w:t>Code de déontologie des médecins</w:t>
            </w:r>
            <w:r w:rsidRPr="00667307">
              <w:rPr>
                <w:rFonts w:eastAsia="Calibri"/>
                <w:sz w:val="20"/>
                <w:lang w:val="fr-CA"/>
              </w:rPr>
              <w:t xml:space="preserve"> ». </w:t>
            </w:r>
          </w:p>
          <w:p w:rsidR="00986103" w:rsidRPr="00667307" w:rsidRDefault="00986103" w:rsidP="00E52F75">
            <w:pPr>
              <w:jc w:val="both"/>
              <w:rPr>
                <w:rFonts w:eastAsia="Calibri"/>
                <w:sz w:val="20"/>
                <w:lang w:val="fr-CA"/>
              </w:rPr>
            </w:pPr>
          </w:p>
          <w:p w:rsidR="00986103" w:rsidRPr="00667307" w:rsidRDefault="00986103" w:rsidP="00E52F75">
            <w:pPr>
              <w:jc w:val="both"/>
              <w:rPr>
                <w:rFonts w:eastAsia="Calibri"/>
                <w:sz w:val="20"/>
                <w:lang w:val="fr-CA"/>
              </w:rPr>
            </w:pPr>
            <w:r w:rsidRPr="00667307">
              <w:rPr>
                <w:rFonts w:eastAsia="Calibri"/>
                <w:sz w:val="20"/>
                <w:lang w:val="fr-CA"/>
              </w:rPr>
              <w:t xml:space="preserve">La juge Perrault de la Cour supérieure rejette l’action.  Elle conclut que le Dr Poulin n’a pas démontré que le Collège avait commis une faute génératrice de responsabilité en l’espèce.  La Cour d’appel rejette l’appel.  Selon elle, le Dr Poulin n’a pas démontré que le Collège avait agi de mauvaise foi et que la première juge avait commis une erreur manifeste et dominante justifiant une intervention.  La Cour d’appel rejette aussi la prétention du Dr Poulin selon laquelle les loyers à rabais donnaient lieu à une « apparence de conflit d’intérêts » au sens de l’arrêt </w:t>
            </w:r>
            <w:r w:rsidRPr="00667307">
              <w:rPr>
                <w:rFonts w:eastAsia="Calibri"/>
                <w:i/>
                <w:sz w:val="20"/>
                <w:lang w:val="fr-CA"/>
              </w:rPr>
              <w:t>Succession MacDonald c. Martin</w:t>
            </w:r>
            <w:r w:rsidRPr="00667307">
              <w:rPr>
                <w:rFonts w:eastAsia="Calibri"/>
                <w:sz w:val="20"/>
                <w:lang w:val="fr-CA"/>
              </w:rPr>
              <w:t xml:space="preserve"> et qu’en refusant d’admettre ceci, le Collège avait commis une faute entraînant sa responsabilité.</w:t>
            </w:r>
          </w:p>
          <w:p w:rsidR="00986103" w:rsidRPr="00667307" w:rsidRDefault="00986103" w:rsidP="00E52F75">
            <w:pPr>
              <w:jc w:val="both"/>
              <w:rPr>
                <w:rFonts w:eastAsia="Calibri"/>
                <w:sz w:val="20"/>
                <w:lang w:val="fr-CA"/>
              </w:rPr>
            </w:pPr>
          </w:p>
        </w:tc>
      </w:tr>
      <w:tr w:rsidR="00986103" w:rsidRPr="00667307" w:rsidTr="00E52F75">
        <w:tc>
          <w:tcPr>
            <w:tcW w:w="2427" w:type="pct"/>
          </w:tcPr>
          <w:p w:rsidR="00986103" w:rsidRPr="00667307" w:rsidRDefault="00986103" w:rsidP="00E52F75">
            <w:pPr>
              <w:jc w:val="both"/>
              <w:rPr>
                <w:rFonts w:eastAsia="Calibri"/>
                <w:sz w:val="20"/>
                <w:lang w:val="fr-CA"/>
              </w:rPr>
            </w:pPr>
            <w:r w:rsidRPr="00667307">
              <w:rPr>
                <w:rFonts w:eastAsia="Calibri"/>
                <w:sz w:val="20"/>
                <w:lang w:val="fr-CA"/>
              </w:rPr>
              <w:t>Le 28 février 2011</w:t>
            </w:r>
          </w:p>
          <w:p w:rsidR="00986103" w:rsidRPr="00667307" w:rsidRDefault="00986103" w:rsidP="00E52F75">
            <w:pPr>
              <w:jc w:val="both"/>
              <w:rPr>
                <w:rFonts w:eastAsia="Calibri"/>
                <w:sz w:val="20"/>
                <w:lang w:val="fr-CA"/>
              </w:rPr>
            </w:pPr>
            <w:r w:rsidRPr="00667307">
              <w:rPr>
                <w:rFonts w:eastAsia="Calibri"/>
                <w:sz w:val="20"/>
                <w:lang w:val="fr-CA"/>
              </w:rPr>
              <w:t>Cour supérieure du Québec</w:t>
            </w:r>
          </w:p>
          <w:p w:rsidR="00986103" w:rsidRPr="00667307" w:rsidRDefault="00986103" w:rsidP="00E52F75">
            <w:pPr>
              <w:jc w:val="both"/>
              <w:rPr>
                <w:rFonts w:eastAsia="Calibri"/>
                <w:sz w:val="20"/>
                <w:lang w:val="fr-CA"/>
              </w:rPr>
            </w:pPr>
            <w:r w:rsidRPr="00667307">
              <w:rPr>
                <w:rFonts w:eastAsia="Calibri"/>
                <w:sz w:val="20"/>
                <w:lang w:val="fr-CA"/>
              </w:rPr>
              <w:t>(La juge Perrault)</w:t>
            </w:r>
          </w:p>
          <w:p w:rsidR="00986103" w:rsidRPr="00667307" w:rsidRDefault="00986103" w:rsidP="00E52F75">
            <w:pPr>
              <w:jc w:val="both"/>
              <w:rPr>
                <w:rFonts w:eastAsia="Calibri"/>
                <w:sz w:val="20"/>
              </w:rPr>
            </w:pPr>
          </w:p>
        </w:tc>
        <w:tc>
          <w:tcPr>
            <w:tcW w:w="243" w:type="pct"/>
          </w:tcPr>
          <w:p w:rsidR="00986103" w:rsidRPr="00667307" w:rsidRDefault="00986103" w:rsidP="00E52F75">
            <w:pPr>
              <w:jc w:val="both"/>
              <w:rPr>
                <w:rFonts w:eastAsia="Calibri"/>
                <w:sz w:val="20"/>
              </w:rPr>
            </w:pPr>
          </w:p>
        </w:tc>
        <w:tc>
          <w:tcPr>
            <w:tcW w:w="2330" w:type="pct"/>
          </w:tcPr>
          <w:p w:rsidR="00986103" w:rsidRPr="00667307" w:rsidRDefault="00986103" w:rsidP="00E52F75">
            <w:pPr>
              <w:jc w:val="both"/>
              <w:rPr>
                <w:rFonts w:eastAsia="Calibri"/>
                <w:sz w:val="20"/>
                <w:lang w:val="fr-CA"/>
              </w:rPr>
            </w:pPr>
            <w:r w:rsidRPr="00667307">
              <w:rPr>
                <w:rFonts w:eastAsia="Calibri"/>
                <w:sz w:val="20"/>
                <w:lang w:val="fr-CA"/>
              </w:rPr>
              <w:t>Action en responsabilité extracontractuelle rejetée</w:t>
            </w:r>
          </w:p>
          <w:p w:rsidR="00986103" w:rsidRPr="00667307" w:rsidRDefault="00986103" w:rsidP="00E52F75">
            <w:pPr>
              <w:jc w:val="both"/>
              <w:rPr>
                <w:rFonts w:eastAsia="Calibri"/>
                <w:sz w:val="20"/>
                <w:lang w:val="fr-CA"/>
              </w:rPr>
            </w:pPr>
          </w:p>
        </w:tc>
      </w:tr>
      <w:tr w:rsidR="00986103" w:rsidRPr="00667307" w:rsidTr="00E52F75">
        <w:tc>
          <w:tcPr>
            <w:tcW w:w="2427" w:type="pct"/>
          </w:tcPr>
          <w:p w:rsidR="00986103" w:rsidRPr="00667307" w:rsidRDefault="00986103" w:rsidP="00E52F75">
            <w:pPr>
              <w:jc w:val="both"/>
              <w:rPr>
                <w:rFonts w:eastAsia="Calibri"/>
                <w:sz w:val="20"/>
                <w:lang w:val="fr-CA"/>
              </w:rPr>
            </w:pPr>
            <w:r w:rsidRPr="00667307">
              <w:rPr>
                <w:rFonts w:eastAsia="Calibri"/>
                <w:sz w:val="20"/>
                <w:lang w:val="fr-CA"/>
              </w:rPr>
              <w:t>Le 1</w:t>
            </w:r>
            <w:r w:rsidRPr="00667307">
              <w:rPr>
                <w:rFonts w:eastAsia="Calibri"/>
                <w:sz w:val="20"/>
                <w:vertAlign w:val="superscript"/>
                <w:lang w:val="fr-CA"/>
              </w:rPr>
              <w:t>er</w:t>
            </w:r>
            <w:r w:rsidRPr="00667307">
              <w:rPr>
                <w:rFonts w:eastAsia="Calibri"/>
                <w:sz w:val="20"/>
                <w:lang w:val="fr-CA"/>
              </w:rPr>
              <w:t xml:space="preserve"> février 2013</w:t>
            </w:r>
          </w:p>
          <w:p w:rsidR="00986103" w:rsidRPr="00667307" w:rsidRDefault="00986103" w:rsidP="00E52F75">
            <w:pPr>
              <w:jc w:val="both"/>
              <w:rPr>
                <w:rFonts w:eastAsia="Calibri"/>
                <w:sz w:val="20"/>
                <w:lang w:val="fr-CA"/>
              </w:rPr>
            </w:pPr>
            <w:r w:rsidRPr="00667307">
              <w:rPr>
                <w:rFonts w:eastAsia="Calibri"/>
                <w:sz w:val="20"/>
                <w:lang w:val="fr-CA"/>
              </w:rPr>
              <w:t>Cour d’appel du Québec (Montréal)</w:t>
            </w:r>
          </w:p>
          <w:p w:rsidR="00986103" w:rsidRPr="00667307" w:rsidRDefault="00986103" w:rsidP="00E52F75">
            <w:pPr>
              <w:jc w:val="both"/>
              <w:rPr>
                <w:rFonts w:eastAsia="Calibri"/>
                <w:sz w:val="20"/>
                <w:lang w:val="fr-CA"/>
              </w:rPr>
            </w:pPr>
            <w:r w:rsidRPr="00667307">
              <w:rPr>
                <w:rFonts w:eastAsia="Calibri"/>
                <w:sz w:val="20"/>
                <w:lang w:val="fr-CA"/>
              </w:rPr>
              <w:t>(Les juges Morissette, Kasirer et Fournier)</w:t>
            </w:r>
          </w:p>
          <w:p w:rsidR="00986103" w:rsidRPr="00667307" w:rsidRDefault="00986103" w:rsidP="00E52F75">
            <w:pPr>
              <w:jc w:val="both"/>
              <w:rPr>
                <w:rFonts w:eastAsia="Calibri"/>
                <w:sz w:val="20"/>
                <w:lang w:val="fr-CA"/>
              </w:rPr>
            </w:pPr>
            <w:r w:rsidRPr="00667307">
              <w:rPr>
                <w:rFonts w:eastAsia="Calibri"/>
                <w:sz w:val="20"/>
                <w:lang w:val="fr-CA"/>
              </w:rPr>
              <w:t>500-09-021565-114; 2013 QCCA 187</w:t>
            </w:r>
          </w:p>
          <w:p w:rsidR="00986103" w:rsidRPr="00667307" w:rsidRDefault="00986103" w:rsidP="00E52F75">
            <w:pPr>
              <w:jc w:val="both"/>
              <w:rPr>
                <w:rFonts w:eastAsia="Calibri"/>
                <w:sz w:val="20"/>
              </w:rPr>
            </w:pPr>
          </w:p>
        </w:tc>
        <w:tc>
          <w:tcPr>
            <w:tcW w:w="243" w:type="pct"/>
          </w:tcPr>
          <w:p w:rsidR="00986103" w:rsidRPr="00667307" w:rsidRDefault="00986103" w:rsidP="00E52F75">
            <w:pPr>
              <w:jc w:val="both"/>
              <w:rPr>
                <w:rFonts w:eastAsia="Calibri"/>
                <w:sz w:val="20"/>
              </w:rPr>
            </w:pPr>
          </w:p>
        </w:tc>
        <w:tc>
          <w:tcPr>
            <w:tcW w:w="2330" w:type="pct"/>
          </w:tcPr>
          <w:p w:rsidR="00986103" w:rsidRPr="00667307" w:rsidRDefault="00986103" w:rsidP="00E52F75">
            <w:pPr>
              <w:jc w:val="both"/>
              <w:rPr>
                <w:rFonts w:eastAsia="Calibri"/>
                <w:sz w:val="20"/>
                <w:lang w:val="fr-CA"/>
              </w:rPr>
            </w:pPr>
            <w:r w:rsidRPr="00667307">
              <w:rPr>
                <w:rFonts w:eastAsia="Calibri"/>
                <w:sz w:val="20"/>
                <w:lang w:val="fr-CA"/>
              </w:rPr>
              <w:t>Appel rejeté</w:t>
            </w:r>
          </w:p>
          <w:p w:rsidR="00986103" w:rsidRPr="00667307" w:rsidRDefault="00986103" w:rsidP="00E52F75">
            <w:pPr>
              <w:jc w:val="both"/>
              <w:rPr>
                <w:rFonts w:eastAsia="Calibri"/>
                <w:sz w:val="20"/>
                <w:lang w:val="fr-CA"/>
              </w:rPr>
            </w:pPr>
          </w:p>
        </w:tc>
      </w:tr>
      <w:tr w:rsidR="00986103" w:rsidRPr="00667307" w:rsidTr="00E52F75">
        <w:tc>
          <w:tcPr>
            <w:tcW w:w="2427" w:type="pct"/>
          </w:tcPr>
          <w:p w:rsidR="00986103" w:rsidRPr="00667307" w:rsidRDefault="00986103" w:rsidP="00E52F75">
            <w:pPr>
              <w:jc w:val="both"/>
              <w:rPr>
                <w:rFonts w:eastAsia="Calibri"/>
                <w:sz w:val="20"/>
                <w:lang w:val="fr-CA"/>
              </w:rPr>
            </w:pPr>
            <w:r w:rsidRPr="00667307">
              <w:rPr>
                <w:rFonts w:eastAsia="Calibri"/>
                <w:sz w:val="20"/>
                <w:lang w:val="fr-CA"/>
              </w:rPr>
              <w:t>Le 2 avril 2013</w:t>
            </w:r>
          </w:p>
          <w:p w:rsidR="00986103" w:rsidRPr="00667307" w:rsidRDefault="00986103" w:rsidP="00E52F75">
            <w:pPr>
              <w:jc w:val="both"/>
              <w:rPr>
                <w:rFonts w:eastAsia="Calibri"/>
                <w:sz w:val="20"/>
                <w:lang w:val="fr-CA"/>
              </w:rPr>
            </w:pPr>
            <w:r w:rsidRPr="00667307">
              <w:rPr>
                <w:rFonts w:eastAsia="Calibri"/>
                <w:sz w:val="20"/>
                <w:lang w:val="fr-CA"/>
              </w:rPr>
              <w:t>Cour suprême du Canada</w:t>
            </w:r>
          </w:p>
        </w:tc>
        <w:tc>
          <w:tcPr>
            <w:tcW w:w="243" w:type="pct"/>
          </w:tcPr>
          <w:p w:rsidR="00986103" w:rsidRPr="00667307" w:rsidRDefault="00986103" w:rsidP="00E52F75">
            <w:pPr>
              <w:jc w:val="both"/>
              <w:rPr>
                <w:rFonts w:eastAsia="Calibri"/>
                <w:sz w:val="20"/>
                <w:lang w:val="fr-CA"/>
              </w:rPr>
            </w:pPr>
          </w:p>
        </w:tc>
        <w:tc>
          <w:tcPr>
            <w:tcW w:w="2330" w:type="pct"/>
          </w:tcPr>
          <w:p w:rsidR="00986103" w:rsidRPr="00667307" w:rsidRDefault="00986103" w:rsidP="00E52F75">
            <w:pPr>
              <w:jc w:val="both"/>
              <w:rPr>
                <w:rFonts w:eastAsia="Calibri"/>
                <w:sz w:val="20"/>
                <w:lang w:val="fr-CA"/>
              </w:rPr>
            </w:pPr>
            <w:r w:rsidRPr="00667307">
              <w:rPr>
                <w:rFonts w:eastAsia="Calibri"/>
                <w:sz w:val="20"/>
                <w:lang w:val="fr-CA"/>
              </w:rPr>
              <w:t>Demande d'autorisation d'appel déposée</w:t>
            </w:r>
          </w:p>
          <w:p w:rsidR="00986103" w:rsidRPr="00667307" w:rsidRDefault="00986103" w:rsidP="00E52F75">
            <w:pPr>
              <w:jc w:val="both"/>
              <w:rPr>
                <w:rFonts w:eastAsia="Calibri"/>
                <w:sz w:val="20"/>
                <w:lang w:val="fr-CA"/>
              </w:rPr>
            </w:pPr>
          </w:p>
        </w:tc>
      </w:tr>
    </w:tbl>
    <w:p w:rsidR="00AA605C" w:rsidRDefault="00AA605C" w:rsidP="00AA605C">
      <w:pPr>
        <w:rPr>
          <w:sz w:val="20"/>
          <w:szCs w:val="20"/>
        </w:rPr>
      </w:pPr>
    </w:p>
    <w:p w:rsidR="00AA605C" w:rsidRDefault="00B3404D" w:rsidP="00AA605C">
      <w:pPr>
        <w:rPr>
          <w:sz w:val="20"/>
          <w:szCs w:val="20"/>
          <w:lang w:val="fr-CA"/>
        </w:rPr>
      </w:pPr>
      <w:r w:rsidRPr="00B3404D">
        <w:rPr>
          <w:sz w:val="20"/>
          <w:szCs w:val="20"/>
          <w:lang w:val="fr-CA"/>
        </w:rPr>
        <w:pict>
          <v:rect id="_x0000_i1081" style="width:2in;height:1pt" o:hrpct="0" o:hralign="center" o:hrstd="t" o:hrnoshade="t" o:hr="t" fillcolor="black [3213]" stroked="f"/>
        </w:pict>
      </w:r>
    </w:p>
    <w:p w:rsidR="00AA605C" w:rsidRDefault="00AA605C" w:rsidP="00AA605C">
      <w:pPr>
        <w:rPr>
          <w:sz w:val="20"/>
          <w:szCs w:val="20"/>
        </w:rPr>
      </w:pPr>
    </w:p>
    <w:tbl>
      <w:tblPr>
        <w:tblStyle w:val="TableGrid2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07C53" w:rsidRPr="00107C53" w:rsidTr="00A426F6">
        <w:trPr>
          <w:cantSplit/>
        </w:trPr>
        <w:tc>
          <w:tcPr>
            <w:tcW w:w="1458" w:type="dxa"/>
          </w:tcPr>
          <w:p w:rsidR="00107C53" w:rsidRPr="00107C53" w:rsidRDefault="00107C53" w:rsidP="00107C53">
            <w:pPr>
              <w:rPr>
                <w:sz w:val="20"/>
                <w:szCs w:val="20"/>
              </w:rPr>
            </w:pPr>
            <w:r w:rsidRPr="00107C53">
              <w:rPr>
                <w:b/>
                <w:sz w:val="20"/>
                <w:lang w:val="fr-CA"/>
              </w:rPr>
              <w:lastRenderedPageBreak/>
              <w:t>35294</w:t>
            </w:r>
          </w:p>
          <w:p w:rsidR="00107C53" w:rsidRPr="00107C53" w:rsidRDefault="00107C53" w:rsidP="00107C53">
            <w:pPr>
              <w:rPr>
                <w:b/>
                <w:sz w:val="20"/>
                <w:szCs w:val="20"/>
                <w:lang w:val="fr-CA"/>
              </w:rPr>
            </w:pPr>
          </w:p>
        </w:tc>
        <w:tc>
          <w:tcPr>
            <w:tcW w:w="8118" w:type="dxa"/>
          </w:tcPr>
          <w:p w:rsidR="00107C53" w:rsidRPr="00107C53" w:rsidRDefault="00107C53" w:rsidP="00107C53">
            <w:pPr>
              <w:jc w:val="both"/>
              <w:rPr>
                <w:sz w:val="20"/>
                <w:szCs w:val="20"/>
              </w:rPr>
            </w:pPr>
            <w:r w:rsidRPr="00107C53">
              <w:rPr>
                <w:b/>
                <w:sz w:val="20"/>
                <w:u w:val="single"/>
              </w:rPr>
              <w:t>Dwight W. Gaskin v. Canada Revenue Agency</w:t>
            </w:r>
            <w:r w:rsidR="00AB7673">
              <w:rPr>
                <w:b/>
                <w:sz w:val="20"/>
                <w:u w:val="single"/>
              </w:rPr>
              <w:t xml:space="preserve"> and</w:t>
            </w:r>
            <w:r w:rsidRPr="00107C53">
              <w:rPr>
                <w:b/>
                <w:sz w:val="20"/>
                <w:u w:val="single"/>
              </w:rPr>
              <w:t xml:space="preserve"> Public Service Labour Relations Board</w:t>
            </w:r>
            <w:r w:rsidRPr="00107C53">
              <w:rPr>
                <w:sz w:val="20"/>
                <w:szCs w:val="20"/>
              </w:rPr>
              <w:t xml:space="preserve"> (F.C.) (Civil) (By Leave)</w:t>
            </w:r>
          </w:p>
          <w:p w:rsidR="00107C53" w:rsidRPr="00107C53" w:rsidRDefault="00107C53" w:rsidP="00107C53">
            <w:pPr>
              <w:jc w:val="both"/>
              <w:rPr>
                <w:sz w:val="20"/>
                <w:szCs w:val="20"/>
              </w:rPr>
            </w:pPr>
          </w:p>
        </w:tc>
      </w:tr>
      <w:tr w:rsidR="00107C53" w:rsidRPr="00107C53" w:rsidTr="00A426F6">
        <w:trPr>
          <w:cantSplit/>
        </w:trPr>
        <w:tc>
          <w:tcPr>
            <w:tcW w:w="1458" w:type="dxa"/>
          </w:tcPr>
          <w:p w:rsidR="00107C53" w:rsidRPr="00107C53" w:rsidRDefault="00107C53" w:rsidP="00107C53">
            <w:pPr>
              <w:rPr>
                <w:sz w:val="20"/>
                <w:szCs w:val="20"/>
              </w:rPr>
            </w:pPr>
            <w:r w:rsidRPr="00107C53">
              <w:rPr>
                <w:sz w:val="20"/>
                <w:szCs w:val="20"/>
              </w:rPr>
              <w:t>Coram :</w:t>
            </w:r>
          </w:p>
        </w:tc>
        <w:tc>
          <w:tcPr>
            <w:tcW w:w="8118" w:type="dxa"/>
          </w:tcPr>
          <w:p w:rsidR="00107C53" w:rsidRPr="00107C53" w:rsidRDefault="00107C53" w:rsidP="00107C53">
            <w:pPr>
              <w:rPr>
                <w:sz w:val="20"/>
                <w:szCs w:val="20"/>
              </w:rPr>
            </w:pPr>
            <w:r w:rsidRPr="00107C53">
              <w:rPr>
                <w:sz w:val="20"/>
                <w:u w:val="single"/>
              </w:rPr>
              <w:t>LeBel, Karakatsanis and Wagner JJ.</w:t>
            </w:r>
          </w:p>
          <w:p w:rsidR="00107C53" w:rsidRPr="00107C53" w:rsidRDefault="00107C53" w:rsidP="00107C53">
            <w:pPr>
              <w:rPr>
                <w:sz w:val="20"/>
                <w:szCs w:val="20"/>
                <w:u w:val="single"/>
              </w:rPr>
            </w:pPr>
          </w:p>
        </w:tc>
      </w:tr>
      <w:tr w:rsidR="00107C53" w:rsidRPr="00D41BFD" w:rsidTr="00A426F6">
        <w:trPr>
          <w:cantSplit/>
        </w:trPr>
        <w:tc>
          <w:tcPr>
            <w:tcW w:w="9576" w:type="dxa"/>
            <w:gridSpan w:val="2"/>
          </w:tcPr>
          <w:p w:rsidR="00107C53" w:rsidRPr="00107C53" w:rsidRDefault="00107C53" w:rsidP="00107C53">
            <w:pPr>
              <w:ind w:firstLine="720"/>
              <w:jc w:val="both"/>
              <w:rPr>
                <w:sz w:val="20"/>
                <w:szCs w:val="20"/>
              </w:rPr>
            </w:pPr>
            <w:r w:rsidRPr="00107C53">
              <w:rPr>
                <w:sz w:val="20"/>
                <w:szCs w:val="20"/>
              </w:rPr>
              <w:t>The application for leave to appeal from the judgment of the Federal Court of Appeal, Number A-366-12, 2013 FCA 36, dated February 14, 2013, is dismissed with costs.</w:t>
            </w:r>
          </w:p>
          <w:p w:rsidR="00107C53" w:rsidRPr="00107C53" w:rsidRDefault="00107C53" w:rsidP="00107C53">
            <w:pPr>
              <w:jc w:val="both"/>
              <w:rPr>
                <w:sz w:val="20"/>
                <w:szCs w:val="20"/>
              </w:rPr>
            </w:pPr>
          </w:p>
          <w:p w:rsidR="00107C53" w:rsidRPr="00107C53" w:rsidRDefault="00107C53" w:rsidP="00107C53">
            <w:pPr>
              <w:ind w:firstLine="720"/>
              <w:jc w:val="both"/>
              <w:rPr>
                <w:sz w:val="20"/>
                <w:szCs w:val="20"/>
                <w:lang w:val="fr-CA"/>
              </w:rPr>
            </w:pPr>
            <w:r w:rsidRPr="00107C53">
              <w:rPr>
                <w:sz w:val="20"/>
                <w:szCs w:val="20"/>
                <w:lang w:val="fr-CA"/>
              </w:rPr>
              <w:t>La demande d’autorisation d’appel de l’arrêt de la Cour d’appel fédérale, numéro A-366-12, 2013 CAF 36, daté du 14 février 2013, est rejetée avec dépens.</w:t>
            </w:r>
          </w:p>
        </w:tc>
      </w:tr>
    </w:tbl>
    <w:p w:rsidR="00AA605C" w:rsidRPr="00107C53" w:rsidRDefault="00AA605C" w:rsidP="00AA605C">
      <w:pPr>
        <w:rPr>
          <w:sz w:val="20"/>
          <w:szCs w:val="20"/>
          <w:lang w:val="fr-CA"/>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86103" w:rsidRPr="00667307" w:rsidTr="00E52F75">
        <w:tc>
          <w:tcPr>
            <w:tcW w:w="5000" w:type="pct"/>
            <w:gridSpan w:val="3"/>
          </w:tcPr>
          <w:p w:rsidR="00986103" w:rsidRPr="00667307" w:rsidRDefault="00986103" w:rsidP="00E52F75">
            <w:pPr>
              <w:jc w:val="both"/>
              <w:rPr>
                <w:rFonts w:eastAsia="Calibri"/>
                <w:sz w:val="20"/>
              </w:rPr>
            </w:pPr>
            <w:r w:rsidRPr="00667307">
              <w:rPr>
                <w:rFonts w:eastAsia="Calibri"/>
                <w:sz w:val="20"/>
              </w:rPr>
              <w:t>Administrative law – Judicial review – Boards and tribunals – Public Service Labour Relations Board – Whether the Federal Court of Appeal erred in dismissing the applicant’s application for judicial review – Whether the applicant raises a legal issue – Whether this issue is of public importance.</w:t>
            </w:r>
          </w:p>
        </w:tc>
      </w:tr>
      <w:tr w:rsidR="00986103" w:rsidRPr="00667307" w:rsidTr="00E52F75">
        <w:tc>
          <w:tcPr>
            <w:tcW w:w="5000" w:type="pct"/>
            <w:gridSpan w:val="3"/>
          </w:tcPr>
          <w:p w:rsidR="00986103" w:rsidRPr="00667307" w:rsidRDefault="00986103" w:rsidP="00E52F75">
            <w:pPr>
              <w:jc w:val="both"/>
              <w:rPr>
                <w:rFonts w:eastAsia="Calibri"/>
                <w:sz w:val="20"/>
              </w:rPr>
            </w:pPr>
          </w:p>
        </w:tc>
      </w:tr>
      <w:tr w:rsidR="00986103" w:rsidRPr="00667307" w:rsidTr="00E52F75">
        <w:tc>
          <w:tcPr>
            <w:tcW w:w="5000" w:type="pct"/>
            <w:gridSpan w:val="3"/>
          </w:tcPr>
          <w:p w:rsidR="00986103" w:rsidRPr="00667307" w:rsidRDefault="00986103" w:rsidP="00E52F75">
            <w:pPr>
              <w:jc w:val="both"/>
              <w:rPr>
                <w:rFonts w:eastAsia="Calibri"/>
                <w:sz w:val="20"/>
              </w:rPr>
            </w:pPr>
            <w:r w:rsidRPr="00667307">
              <w:rPr>
                <w:rFonts w:eastAsia="Calibri"/>
                <w:sz w:val="20"/>
              </w:rPr>
              <w:t xml:space="preserve">The applicant brought a complaint under the </w:t>
            </w:r>
            <w:r w:rsidRPr="00667307">
              <w:rPr>
                <w:rFonts w:eastAsia="Calibri"/>
                <w:i/>
                <w:sz w:val="20"/>
              </w:rPr>
              <w:t>Canada Labour Code</w:t>
            </w:r>
            <w:r w:rsidRPr="00667307">
              <w:rPr>
                <w:rFonts w:eastAsia="Calibri"/>
                <w:sz w:val="20"/>
              </w:rPr>
              <w:t xml:space="preserve">, R.S.C. 1985, c. L-2, stating that his employer’s decision of October 31, 2011 to terminate him was a retaliatory measure which violated his rights to occupational health and safety as provided for under Part II of the </w:t>
            </w:r>
            <w:r w:rsidRPr="00667307">
              <w:rPr>
                <w:rFonts w:eastAsia="Calibri"/>
                <w:i/>
                <w:sz w:val="20"/>
              </w:rPr>
              <w:t>Code</w:t>
            </w:r>
            <w:r w:rsidRPr="00667307">
              <w:rPr>
                <w:rFonts w:eastAsia="Calibri"/>
                <w:sz w:val="20"/>
              </w:rPr>
              <w:t xml:space="preserve">.  His complaint was dismissed by the Public Service Labour Relations Board, which held that complaint did not reveal the exercise of a protected right that would bring it within the parameters of the </w:t>
            </w:r>
            <w:r w:rsidRPr="00667307">
              <w:rPr>
                <w:rFonts w:eastAsia="Calibri"/>
                <w:i/>
                <w:sz w:val="20"/>
              </w:rPr>
              <w:t xml:space="preserve">Code.  </w:t>
            </w:r>
            <w:r w:rsidRPr="00667307">
              <w:rPr>
                <w:rFonts w:eastAsia="Calibri"/>
                <w:sz w:val="20"/>
              </w:rPr>
              <w:t>The Federal Court of Appeal dismissed the applicant’s application for judicial review.</w:t>
            </w:r>
          </w:p>
          <w:p w:rsidR="00986103" w:rsidRPr="00667307" w:rsidRDefault="00986103" w:rsidP="00E52F75">
            <w:pPr>
              <w:jc w:val="both"/>
              <w:rPr>
                <w:rFonts w:eastAsia="Calibri"/>
                <w:sz w:val="20"/>
              </w:rPr>
            </w:pPr>
          </w:p>
        </w:tc>
      </w:tr>
      <w:tr w:rsidR="00986103" w:rsidRPr="00667307" w:rsidTr="00E52F75">
        <w:tc>
          <w:tcPr>
            <w:tcW w:w="2427" w:type="pct"/>
          </w:tcPr>
          <w:p w:rsidR="00986103" w:rsidRPr="00667307" w:rsidRDefault="00986103" w:rsidP="00E52F75">
            <w:pPr>
              <w:jc w:val="both"/>
              <w:rPr>
                <w:rFonts w:eastAsia="Calibri"/>
                <w:sz w:val="20"/>
              </w:rPr>
            </w:pPr>
            <w:r w:rsidRPr="00667307">
              <w:rPr>
                <w:rFonts w:eastAsia="Calibri"/>
                <w:sz w:val="20"/>
              </w:rPr>
              <w:t>July 20, 2012</w:t>
            </w:r>
          </w:p>
          <w:p w:rsidR="00986103" w:rsidRPr="00667307" w:rsidRDefault="00986103" w:rsidP="00E52F75">
            <w:pPr>
              <w:jc w:val="both"/>
              <w:rPr>
                <w:rFonts w:eastAsia="Calibri"/>
                <w:sz w:val="20"/>
              </w:rPr>
            </w:pPr>
            <w:r w:rsidRPr="00667307">
              <w:rPr>
                <w:rFonts w:eastAsia="Calibri"/>
                <w:sz w:val="20"/>
              </w:rPr>
              <w:t>Public Service Labour Relations Board</w:t>
            </w:r>
          </w:p>
          <w:p w:rsidR="00986103" w:rsidRPr="00667307" w:rsidRDefault="00986103" w:rsidP="00E52F75">
            <w:pPr>
              <w:jc w:val="both"/>
              <w:rPr>
                <w:rFonts w:eastAsia="Calibri"/>
                <w:sz w:val="20"/>
              </w:rPr>
            </w:pPr>
            <w:r w:rsidRPr="00667307">
              <w:rPr>
                <w:rFonts w:eastAsia="Calibri"/>
                <w:sz w:val="20"/>
              </w:rPr>
              <w:t>(K. Rogers, panel)</w:t>
            </w:r>
          </w:p>
          <w:p w:rsidR="00986103" w:rsidRPr="00667307" w:rsidRDefault="00986103" w:rsidP="00E52F75">
            <w:pPr>
              <w:jc w:val="both"/>
              <w:rPr>
                <w:rFonts w:eastAsia="Calibri"/>
                <w:sz w:val="20"/>
              </w:rPr>
            </w:pPr>
            <w:r w:rsidRPr="00667307">
              <w:rPr>
                <w:rFonts w:eastAsia="Calibri"/>
                <w:sz w:val="20"/>
              </w:rPr>
              <w:t>2012 PSLRB 76</w:t>
            </w:r>
          </w:p>
          <w:p w:rsidR="00986103" w:rsidRPr="00667307" w:rsidRDefault="00986103" w:rsidP="00E52F75">
            <w:pPr>
              <w:jc w:val="both"/>
              <w:rPr>
                <w:rFonts w:eastAsia="Calibri"/>
                <w:sz w:val="20"/>
              </w:rPr>
            </w:pPr>
          </w:p>
        </w:tc>
        <w:tc>
          <w:tcPr>
            <w:tcW w:w="243" w:type="pct"/>
          </w:tcPr>
          <w:p w:rsidR="00986103" w:rsidRPr="00667307" w:rsidRDefault="00986103" w:rsidP="00E52F75">
            <w:pPr>
              <w:jc w:val="both"/>
              <w:rPr>
                <w:rFonts w:eastAsia="Calibri"/>
                <w:sz w:val="20"/>
              </w:rPr>
            </w:pPr>
          </w:p>
        </w:tc>
        <w:tc>
          <w:tcPr>
            <w:tcW w:w="2330" w:type="pct"/>
          </w:tcPr>
          <w:p w:rsidR="00986103" w:rsidRPr="00667307" w:rsidRDefault="00986103" w:rsidP="00E52F75">
            <w:pPr>
              <w:jc w:val="both"/>
              <w:rPr>
                <w:rFonts w:eastAsia="Calibri"/>
                <w:sz w:val="20"/>
              </w:rPr>
            </w:pPr>
            <w:r w:rsidRPr="00667307">
              <w:rPr>
                <w:rFonts w:eastAsia="Calibri"/>
                <w:sz w:val="20"/>
              </w:rPr>
              <w:t>Applicant’s complaint under the</w:t>
            </w:r>
            <w:r w:rsidRPr="00667307">
              <w:rPr>
                <w:rFonts w:eastAsia="Calibri"/>
                <w:i/>
                <w:sz w:val="20"/>
              </w:rPr>
              <w:t xml:space="preserve"> Canada Labour Code</w:t>
            </w:r>
            <w:r w:rsidRPr="00667307">
              <w:rPr>
                <w:rFonts w:eastAsia="Calibri"/>
                <w:sz w:val="20"/>
              </w:rPr>
              <w:t xml:space="preserve"> dismissed</w:t>
            </w:r>
          </w:p>
        </w:tc>
      </w:tr>
      <w:tr w:rsidR="00986103" w:rsidRPr="00667307" w:rsidTr="00E52F75">
        <w:tc>
          <w:tcPr>
            <w:tcW w:w="2427" w:type="pct"/>
          </w:tcPr>
          <w:p w:rsidR="00986103" w:rsidRPr="00667307" w:rsidRDefault="00986103" w:rsidP="00E52F75">
            <w:pPr>
              <w:jc w:val="both"/>
              <w:rPr>
                <w:rFonts w:eastAsia="Calibri"/>
                <w:sz w:val="20"/>
              </w:rPr>
            </w:pPr>
            <w:r w:rsidRPr="00667307">
              <w:rPr>
                <w:rFonts w:eastAsia="Calibri"/>
                <w:sz w:val="20"/>
              </w:rPr>
              <w:t>February 14, 2013</w:t>
            </w:r>
          </w:p>
          <w:p w:rsidR="00986103" w:rsidRPr="00667307" w:rsidRDefault="00986103" w:rsidP="00E52F75">
            <w:pPr>
              <w:jc w:val="both"/>
              <w:rPr>
                <w:rFonts w:eastAsia="Calibri"/>
                <w:sz w:val="20"/>
              </w:rPr>
            </w:pPr>
            <w:r w:rsidRPr="00667307">
              <w:rPr>
                <w:rFonts w:eastAsia="Calibri"/>
                <w:sz w:val="20"/>
              </w:rPr>
              <w:t>Federal Court of Appeal</w:t>
            </w:r>
          </w:p>
          <w:p w:rsidR="00986103" w:rsidRPr="00667307" w:rsidRDefault="00986103" w:rsidP="00E52F75">
            <w:pPr>
              <w:jc w:val="both"/>
              <w:rPr>
                <w:rFonts w:eastAsia="Calibri"/>
                <w:sz w:val="20"/>
              </w:rPr>
            </w:pPr>
            <w:r w:rsidRPr="00667307">
              <w:rPr>
                <w:rFonts w:eastAsia="Calibri"/>
                <w:sz w:val="20"/>
              </w:rPr>
              <w:t>(Sharlow, Trudel and Webb JJ.A.)</w:t>
            </w:r>
          </w:p>
          <w:p w:rsidR="00986103" w:rsidRPr="00667307" w:rsidRDefault="00986103" w:rsidP="00E52F75">
            <w:pPr>
              <w:jc w:val="both"/>
              <w:rPr>
                <w:rFonts w:eastAsia="Calibri"/>
                <w:sz w:val="20"/>
              </w:rPr>
            </w:pPr>
            <w:r w:rsidRPr="00667307">
              <w:rPr>
                <w:rFonts w:eastAsia="Calibri"/>
                <w:sz w:val="20"/>
              </w:rPr>
              <w:t>2013 FCA 36</w:t>
            </w:r>
          </w:p>
          <w:p w:rsidR="00986103" w:rsidRPr="00667307" w:rsidRDefault="00986103" w:rsidP="00E52F75">
            <w:pPr>
              <w:jc w:val="both"/>
              <w:rPr>
                <w:rFonts w:eastAsia="Calibri"/>
                <w:sz w:val="20"/>
              </w:rPr>
            </w:pPr>
          </w:p>
        </w:tc>
        <w:tc>
          <w:tcPr>
            <w:tcW w:w="243" w:type="pct"/>
          </w:tcPr>
          <w:p w:rsidR="00986103" w:rsidRPr="00667307" w:rsidRDefault="00986103" w:rsidP="00E52F75">
            <w:pPr>
              <w:jc w:val="both"/>
              <w:rPr>
                <w:rFonts w:eastAsia="Calibri"/>
                <w:sz w:val="20"/>
              </w:rPr>
            </w:pPr>
          </w:p>
        </w:tc>
        <w:tc>
          <w:tcPr>
            <w:tcW w:w="2330" w:type="pct"/>
          </w:tcPr>
          <w:p w:rsidR="00986103" w:rsidRPr="00667307" w:rsidRDefault="00986103" w:rsidP="00E52F75">
            <w:pPr>
              <w:jc w:val="both"/>
              <w:rPr>
                <w:rFonts w:eastAsia="Calibri"/>
                <w:sz w:val="20"/>
              </w:rPr>
            </w:pPr>
            <w:r w:rsidRPr="00667307">
              <w:rPr>
                <w:rFonts w:eastAsia="Calibri"/>
                <w:sz w:val="20"/>
              </w:rPr>
              <w:t>Application for judicial review dismissed</w:t>
            </w:r>
          </w:p>
          <w:p w:rsidR="00986103" w:rsidRPr="00667307" w:rsidRDefault="00986103" w:rsidP="00E52F75">
            <w:pPr>
              <w:jc w:val="both"/>
              <w:rPr>
                <w:rFonts w:eastAsia="Calibri"/>
                <w:sz w:val="20"/>
              </w:rPr>
            </w:pPr>
          </w:p>
        </w:tc>
      </w:tr>
      <w:tr w:rsidR="00986103" w:rsidRPr="00667307" w:rsidTr="00E52F75">
        <w:tc>
          <w:tcPr>
            <w:tcW w:w="2427" w:type="pct"/>
          </w:tcPr>
          <w:p w:rsidR="00986103" w:rsidRPr="00667307" w:rsidRDefault="00986103" w:rsidP="00E52F75">
            <w:pPr>
              <w:jc w:val="both"/>
              <w:rPr>
                <w:rFonts w:eastAsia="Calibri"/>
                <w:sz w:val="20"/>
              </w:rPr>
            </w:pPr>
            <w:r w:rsidRPr="00667307">
              <w:rPr>
                <w:rFonts w:eastAsia="Calibri"/>
                <w:sz w:val="20"/>
              </w:rPr>
              <w:t>March 28, 2013</w:t>
            </w:r>
          </w:p>
          <w:p w:rsidR="00986103" w:rsidRPr="00667307" w:rsidRDefault="00986103" w:rsidP="00E52F75">
            <w:pPr>
              <w:jc w:val="both"/>
              <w:rPr>
                <w:rFonts w:eastAsia="Calibri"/>
                <w:sz w:val="20"/>
              </w:rPr>
            </w:pPr>
            <w:r w:rsidRPr="00667307">
              <w:rPr>
                <w:rFonts w:eastAsia="Calibri"/>
                <w:sz w:val="20"/>
              </w:rPr>
              <w:t>Supreme Court of Canada</w:t>
            </w:r>
          </w:p>
        </w:tc>
        <w:tc>
          <w:tcPr>
            <w:tcW w:w="243" w:type="pct"/>
          </w:tcPr>
          <w:p w:rsidR="00986103" w:rsidRPr="00667307" w:rsidRDefault="00986103" w:rsidP="00E52F75">
            <w:pPr>
              <w:jc w:val="both"/>
              <w:rPr>
                <w:rFonts w:eastAsia="Calibri"/>
                <w:sz w:val="20"/>
              </w:rPr>
            </w:pPr>
          </w:p>
        </w:tc>
        <w:tc>
          <w:tcPr>
            <w:tcW w:w="2330" w:type="pct"/>
          </w:tcPr>
          <w:p w:rsidR="00986103" w:rsidRPr="00667307" w:rsidRDefault="00986103" w:rsidP="00E52F75">
            <w:pPr>
              <w:jc w:val="both"/>
              <w:rPr>
                <w:rFonts w:eastAsia="Calibri"/>
                <w:sz w:val="20"/>
              </w:rPr>
            </w:pPr>
            <w:r w:rsidRPr="00667307">
              <w:rPr>
                <w:rFonts w:eastAsia="Calibri"/>
                <w:sz w:val="20"/>
              </w:rPr>
              <w:t>Application for leave to appeal filed</w:t>
            </w:r>
          </w:p>
          <w:p w:rsidR="00986103" w:rsidRPr="00667307" w:rsidRDefault="00986103" w:rsidP="00E52F75">
            <w:pPr>
              <w:jc w:val="both"/>
              <w:rPr>
                <w:rFonts w:eastAsia="Calibri"/>
                <w:sz w:val="20"/>
              </w:rPr>
            </w:pP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82"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86103" w:rsidRPr="00D41BFD" w:rsidTr="00E52F75">
        <w:tc>
          <w:tcPr>
            <w:tcW w:w="5000" w:type="pct"/>
            <w:gridSpan w:val="3"/>
          </w:tcPr>
          <w:p w:rsidR="00986103" w:rsidRPr="00667307" w:rsidRDefault="00986103" w:rsidP="00E52F75">
            <w:pPr>
              <w:jc w:val="both"/>
              <w:rPr>
                <w:rFonts w:eastAsia="Calibri"/>
                <w:sz w:val="20"/>
                <w:lang w:val="fr-CA"/>
              </w:rPr>
            </w:pPr>
            <w:r w:rsidRPr="00667307">
              <w:rPr>
                <w:rFonts w:eastAsia="Calibri"/>
                <w:sz w:val="20"/>
                <w:lang w:val="fr-CA"/>
              </w:rPr>
              <w:t>Droit administratif – Contrôle judiciaire – Organismes et tribunaux administratifs – Commission des relations de travail dans la fonction publique – La Cour d’appel fédérale a</w:t>
            </w:r>
            <w:r w:rsidRPr="00667307">
              <w:rPr>
                <w:rFonts w:eastAsia="Calibri"/>
                <w:sz w:val="20"/>
                <w:lang w:val="fr-CA"/>
              </w:rPr>
              <w:noBreakHyphen/>
              <w:t>t</w:t>
            </w:r>
            <w:r w:rsidRPr="00667307">
              <w:rPr>
                <w:rFonts w:eastAsia="Calibri"/>
                <w:sz w:val="20"/>
                <w:lang w:val="fr-CA"/>
              </w:rPr>
              <w:noBreakHyphen/>
              <w:t>elle eu tort de rejeter la demande de contrôle judiciaire présentée par le demandeur? – Le demandeur soulève</w:t>
            </w:r>
            <w:r w:rsidRPr="00667307">
              <w:rPr>
                <w:rFonts w:eastAsia="Calibri"/>
                <w:sz w:val="20"/>
                <w:lang w:val="fr-CA"/>
              </w:rPr>
              <w:noBreakHyphen/>
              <w:t>t</w:t>
            </w:r>
            <w:r w:rsidRPr="00667307">
              <w:rPr>
                <w:rFonts w:eastAsia="Calibri"/>
                <w:sz w:val="20"/>
                <w:lang w:val="fr-CA"/>
              </w:rPr>
              <w:noBreakHyphen/>
              <w:t>il une question de droit? – La question est</w:t>
            </w:r>
            <w:r w:rsidRPr="00667307">
              <w:rPr>
                <w:rFonts w:eastAsia="Calibri"/>
                <w:sz w:val="20"/>
                <w:lang w:val="fr-CA"/>
              </w:rPr>
              <w:noBreakHyphen/>
              <w:t>elle d’importance pour le public?</w:t>
            </w:r>
          </w:p>
        </w:tc>
      </w:tr>
      <w:tr w:rsidR="00986103" w:rsidRPr="00D41BFD" w:rsidTr="00E52F75">
        <w:tc>
          <w:tcPr>
            <w:tcW w:w="5000" w:type="pct"/>
            <w:gridSpan w:val="3"/>
          </w:tcPr>
          <w:p w:rsidR="00986103" w:rsidRPr="00667307" w:rsidRDefault="00986103" w:rsidP="00E52F75">
            <w:pPr>
              <w:jc w:val="both"/>
              <w:rPr>
                <w:rFonts w:eastAsia="Calibri"/>
                <w:sz w:val="20"/>
                <w:lang w:val="fr-CA"/>
              </w:rPr>
            </w:pPr>
          </w:p>
        </w:tc>
      </w:tr>
      <w:tr w:rsidR="00986103" w:rsidRPr="00D41BFD" w:rsidTr="00E52F75">
        <w:tc>
          <w:tcPr>
            <w:tcW w:w="5000" w:type="pct"/>
            <w:gridSpan w:val="3"/>
          </w:tcPr>
          <w:p w:rsidR="00986103" w:rsidRPr="00667307" w:rsidRDefault="00986103" w:rsidP="00E52F75">
            <w:pPr>
              <w:jc w:val="both"/>
              <w:rPr>
                <w:rFonts w:eastAsia="Calibri"/>
                <w:sz w:val="20"/>
                <w:lang w:val="fr-CA"/>
              </w:rPr>
            </w:pPr>
            <w:r w:rsidRPr="00667307">
              <w:rPr>
                <w:rFonts w:eastAsia="Calibri"/>
                <w:sz w:val="20"/>
                <w:lang w:val="fr-CA"/>
              </w:rPr>
              <w:t xml:space="preserve">Le demandeur a déposé une plainte sous le régime du </w:t>
            </w:r>
            <w:r w:rsidRPr="00667307">
              <w:rPr>
                <w:rFonts w:eastAsia="Calibri"/>
                <w:i/>
                <w:sz w:val="20"/>
                <w:lang w:val="fr-CA"/>
              </w:rPr>
              <w:t>Code canadien du travail</w:t>
            </w:r>
            <w:r w:rsidRPr="00667307">
              <w:rPr>
                <w:rFonts w:eastAsia="Calibri"/>
                <w:sz w:val="20"/>
                <w:lang w:val="fr-CA"/>
              </w:rPr>
              <w:t>, L.R.C. 1985, ch. L</w:t>
            </w:r>
            <w:r w:rsidRPr="00667307">
              <w:rPr>
                <w:rFonts w:eastAsia="Calibri"/>
                <w:sz w:val="20"/>
                <w:lang w:val="fr-CA"/>
              </w:rPr>
              <w:noBreakHyphen/>
              <w:t xml:space="preserve">2, affirmant que la décision de le congédier prise par son employeur le 31 octobre 2011 était une mesure de représailles qui violait ses droits à la santé et à la sécurité prévus à la Partie II du </w:t>
            </w:r>
            <w:r w:rsidRPr="00667307">
              <w:rPr>
                <w:rFonts w:eastAsia="Calibri"/>
                <w:i/>
                <w:sz w:val="20"/>
                <w:lang w:val="fr-CA"/>
              </w:rPr>
              <w:t>Code</w:t>
            </w:r>
            <w:r w:rsidRPr="00667307">
              <w:rPr>
                <w:rFonts w:eastAsia="Calibri"/>
                <w:sz w:val="20"/>
                <w:lang w:val="fr-CA"/>
              </w:rPr>
              <w:t xml:space="preserve">.  Sa plainte a été rejetée par la Commission des relations de travail dans la fonction publique qui a statué que la plainte ne révélait pas l’exercice d’un droit protégé faisant en </w:t>
            </w:r>
            <w:r w:rsidRPr="00667307">
              <w:rPr>
                <w:rFonts w:eastAsia="Calibri"/>
                <w:sz w:val="20"/>
                <w:lang w:val="fr-CA"/>
              </w:rPr>
              <w:lastRenderedPageBreak/>
              <w:t>sorte que la plainte s’inscrive dans les paramètres énoncés dans le</w:t>
            </w:r>
            <w:r w:rsidRPr="00667307">
              <w:rPr>
                <w:rFonts w:eastAsia="Calibri"/>
                <w:i/>
                <w:sz w:val="20"/>
                <w:lang w:val="fr-CA"/>
              </w:rPr>
              <w:t xml:space="preserve"> Code.  </w:t>
            </w:r>
            <w:r w:rsidRPr="00667307">
              <w:rPr>
                <w:rFonts w:eastAsia="Calibri"/>
                <w:sz w:val="20"/>
                <w:lang w:val="fr-CA"/>
              </w:rPr>
              <w:t>La Cour d’appel fédérale a rejeté la demande de contrôle judiciaire présentée par le demandeur.</w:t>
            </w:r>
          </w:p>
          <w:p w:rsidR="00986103" w:rsidRPr="00667307" w:rsidRDefault="00986103" w:rsidP="00E52F75">
            <w:pPr>
              <w:jc w:val="both"/>
              <w:rPr>
                <w:rFonts w:eastAsia="Calibri"/>
                <w:sz w:val="20"/>
                <w:lang w:val="fr-CA"/>
              </w:rPr>
            </w:pPr>
          </w:p>
        </w:tc>
      </w:tr>
      <w:tr w:rsidR="00986103" w:rsidRPr="00D41BFD" w:rsidTr="00E52F75">
        <w:tc>
          <w:tcPr>
            <w:tcW w:w="2427" w:type="pct"/>
          </w:tcPr>
          <w:p w:rsidR="00986103" w:rsidRPr="00667307" w:rsidRDefault="00986103" w:rsidP="00E52F75">
            <w:pPr>
              <w:jc w:val="both"/>
              <w:rPr>
                <w:rFonts w:eastAsia="Calibri"/>
                <w:sz w:val="20"/>
                <w:lang w:val="fr-CA"/>
              </w:rPr>
            </w:pPr>
            <w:r w:rsidRPr="00667307">
              <w:rPr>
                <w:rFonts w:eastAsia="Calibri"/>
                <w:sz w:val="20"/>
                <w:lang w:val="fr-CA"/>
              </w:rPr>
              <w:lastRenderedPageBreak/>
              <w:t>20 juillet 2012</w:t>
            </w:r>
          </w:p>
          <w:p w:rsidR="00986103" w:rsidRPr="00667307" w:rsidRDefault="00986103" w:rsidP="00E52F75">
            <w:pPr>
              <w:jc w:val="both"/>
              <w:rPr>
                <w:rFonts w:eastAsia="Calibri"/>
                <w:sz w:val="20"/>
                <w:lang w:val="fr-CA"/>
              </w:rPr>
            </w:pPr>
            <w:r w:rsidRPr="00667307">
              <w:rPr>
                <w:rFonts w:eastAsia="Calibri"/>
                <w:sz w:val="20"/>
                <w:lang w:val="fr-CA"/>
              </w:rPr>
              <w:t>Commission des relations de travail dans la fonction publique</w:t>
            </w:r>
          </w:p>
          <w:p w:rsidR="00986103" w:rsidRPr="00667307" w:rsidRDefault="00986103" w:rsidP="00E52F75">
            <w:pPr>
              <w:jc w:val="both"/>
              <w:rPr>
                <w:rFonts w:eastAsia="Calibri"/>
                <w:sz w:val="20"/>
                <w:lang w:val="fr-CA"/>
              </w:rPr>
            </w:pPr>
            <w:r w:rsidRPr="00667307">
              <w:rPr>
                <w:rFonts w:eastAsia="Calibri"/>
                <w:sz w:val="20"/>
                <w:lang w:val="fr-CA"/>
              </w:rPr>
              <w:t>(Commissaire K. Rogers)</w:t>
            </w:r>
          </w:p>
          <w:p w:rsidR="00986103" w:rsidRPr="00667307" w:rsidRDefault="00986103" w:rsidP="00E52F75">
            <w:pPr>
              <w:jc w:val="both"/>
              <w:rPr>
                <w:rFonts w:eastAsia="Calibri"/>
                <w:sz w:val="20"/>
                <w:lang w:val="fr-CA"/>
              </w:rPr>
            </w:pPr>
            <w:r w:rsidRPr="00667307">
              <w:rPr>
                <w:rFonts w:eastAsia="Calibri"/>
                <w:sz w:val="20"/>
                <w:lang w:val="fr-CA"/>
              </w:rPr>
              <w:t>2012 CRTFP 76</w:t>
            </w:r>
          </w:p>
          <w:p w:rsidR="00986103" w:rsidRPr="00667307" w:rsidRDefault="00986103" w:rsidP="00E52F75">
            <w:pPr>
              <w:jc w:val="both"/>
              <w:rPr>
                <w:rFonts w:eastAsia="Calibri"/>
                <w:sz w:val="20"/>
                <w:lang w:val="fr-CA"/>
              </w:rPr>
            </w:pPr>
          </w:p>
        </w:tc>
        <w:tc>
          <w:tcPr>
            <w:tcW w:w="243" w:type="pct"/>
          </w:tcPr>
          <w:p w:rsidR="00986103" w:rsidRPr="00667307" w:rsidRDefault="00986103" w:rsidP="00E52F75">
            <w:pPr>
              <w:jc w:val="both"/>
              <w:rPr>
                <w:rFonts w:eastAsia="Calibri"/>
                <w:sz w:val="20"/>
                <w:lang w:val="fr-CA"/>
              </w:rPr>
            </w:pPr>
          </w:p>
        </w:tc>
        <w:tc>
          <w:tcPr>
            <w:tcW w:w="2330" w:type="pct"/>
          </w:tcPr>
          <w:p w:rsidR="00986103" w:rsidRPr="00667307" w:rsidRDefault="00986103" w:rsidP="00E52F75">
            <w:pPr>
              <w:jc w:val="both"/>
              <w:rPr>
                <w:rFonts w:eastAsia="Calibri"/>
                <w:sz w:val="20"/>
                <w:lang w:val="fr-CA"/>
              </w:rPr>
            </w:pPr>
            <w:r w:rsidRPr="00667307">
              <w:rPr>
                <w:rFonts w:eastAsia="Calibri"/>
                <w:sz w:val="20"/>
                <w:lang w:val="fr-CA"/>
              </w:rPr>
              <w:t>Plainte du demandeur sous le régime du</w:t>
            </w:r>
            <w:r w:rsidRPr="00667307">
              <w:rPr>
                <w:rFonts w:eastAsia="Calibri"/>
                <w:i/>
                <w:sz w:val="20"/>
                <w:lang w:val="fr-CA"/>
              </w:rPr>
              <w:t xml:space="preserve"> Code canadien du travail</w:t>
            </w:r>
            <w:r w:rsidRPr="00667307">
              <w:rPr>
                <w:rFonts w:eastAsia="Calibri"/>
                <w:sz w:val="20"/>
                <w:lang w:val="fr-CA"/>
              </w:rPr>
              <w:t>, rejetée</w:t>
            </w:r>
          </w:p>
        </w:tc>
      </w:tr>
      <w:tr w:rsidR="00986103" w:rsidRPr="00667307" w:rsidTr="00E52F75">
        <w:tc>
          <w:tcPr>
            <w:tcW w:w="2427" w:type="pct"/>
          </w:tcPr>
          <w:p w:rsidR="00986103" w:rsidRPr="00667307" w:rsidRDefault="00986103" w:rsidP="00E52F75">
            <w:pPr>
              <w:jc w:val="both"/>
              <w:rPr>
                <w:rFonts w:eastAsia="Calibri"/>
                <w:sz w:val="20"/>
                <w:lang w:val="fr-CA"/>
              </w:rPr>
            </w:pPr>
            <w:r w:rsidRPr="00667307">
              <w:rPr>
                <w:rFonts w:eastAsia="Calibri"/>
                <w:sz w:val="20"/>
                <w:lang w:val="fr-CA"/>
              </w:rPr>
              <w:t>14 février 2013</w:t>
            </w:r>
          </w:p>
          <w:p w:rsidR="00986103" w:rsidRPr="00667307" w:rsidRDefault="00986103" w:rsidP="00E52F75">
            <w:pPr>
              <w:jc w:val="both"/>
              <w:rPr>
                <w:rFonts w:eastAsia="Calibri"/>
                <w:sz w:val="20"/>
                <w:lang w:val="fr-CA"/>
              </w:rPr>
            </w:pPr>
            <w:r w:rsidRPr="00667307">
              <w:rPr>
                <w:rFonts w:eastAsia="Calibri"/>
                <w:sz w:val="20"/>
                <w:lang w:val="fr-CA"/>
              </w:rPr>
              <w:t>Cour d’appel fédérale</w:t>
            </w:r>
          </w:p>
          <w:p w:rsidR="00986103" w:rsidRPr="00667307" w:rsidRDefault="00986103" w:rsidP="00E52F75">
            <w:pPr>
              <w:jc w:val="both"/>
              <w:rPr>
                <w:rFonts w:eastAsia="Calibri"/>
                <w:sz w:val="20"/>
                <w:lang w:val="fr-CA"/>
              </w:rPr>
            </w:pPr>
            <w:r w:rsidRPr="00667307">
              <w:rPr>
                <w:rFonts w:eastAsia="Calibri"/>
                <w:sz w:val="20"/>
                <w:lang w:val="fr-CA"/>
              </w:rPr>
              <w:t>(Juges Sharlow, Trudel et Webb)</w:t>
            </w:r>
          </w:p>
          <w:p w:rsidR="00986103" w:rsidRPr="00667307" w:rsidRDefault="00986103" w:rsidP="00E52F75">
            <w:pPr>
              <w:jc w:val="both"/>
              <w:rPr>
                <w:rFonts w:eastAsia="Calibri"/>
                <w:sz w:val="20"/>
                <w:lang w:val="fr-CA"/>
              </w:rPr>
            </w:pPr>
            <w:r w:rsidRPr="00667307">
              <w:rPr>
                <w:rFonts w:eastAsia="Calibri"/>
                <w:sz w:val="20"/>
                <w:lang w:val="fr-CA"/>
              </w:rPr>
              <w:t>2013 CAF 36</w:t>
            </w:r>
          </w:p>
          <w:p w:rsidR="00986103" w:rsidRPr="00667307" w:rsidRDefault="00986103" w:rsidP="00E52F75">
            <w:pPr>
              <w:jc w:val="both"/>
              <w:rPr>
                <w:rFonts w:eastAsia="Calibri"/>
                <w:sz w:val="20"/>
                <w:lang w:val="fr-CA"/>
              </w:rPr>
            </w:pPr>
          </w:p>
        </w:tc>
        <w:tc>
          <w:tcPr>
            <w:tcW w:w="243" w:type="pct"/>
          </w:tcPr>
          <w:p w:rsidR="00986103" w:rsidRPr="00667307" w:rsidRDefault="00986103" w:rsidP="00E52F75">
            <w:pPr>
              <w:jc w:val="both"/>
              <w:rPr>
                <w:rFonts w:eastAsia="Calibri"/>
                <w:sz w:val="20"/>
                <w:lang w:val="fr-CA"/>
              </w:rPr>
            </w:pPr>
          </w:p>
        </w:tc>
        <w:tc>
          <w:tcPr>
            <w:tcW w:w="2330" w:type="pct"/>
          </w:tcPr>
          <w:p w:rsidR="00986103" w:rsidRPr="00667307" w:rsidRDefault="00986103" w:rsidP="00E52F75">
            <w:pPr>
              <w:jc w:val="both"/>
              <w:rPr>
                <w:rFonts w:eastAsia="Calibri"/>
                <w:sz w:val="20"/>
                <w:lang w:val="fr-CA"/>
              </w:rPr>
            </w:pPr>
            <w:r w:rsidRPr="00667307">
              <w:rPr>
                <w:rFonts w:eastAsia="Calibri"/>
                <w:sz w:val="20"/>
                <w:lang w:val="fr-CA"/>
              </w:rPr>
              <w:t>Demande de contrôle judiciaire, rejetée</w:t>
            </w:r>
          </w:p>
          <w:p w:rsidR="00986103" w:rsidRPr="00667307" w:rsidRDefault="00986103" w:rsidP="00E52F75">
            <w:pPr>
              <w:jc w:val="both"/>
              <w:rPr>
                <w:rFonts w:eastAsia="Calibri"/>
                <w:sz w:val="20"/>
                <w:lang w:val="fr-CA"/>
              </w:rPr>
            </w:pPr>
          </w:p>
        </w:tc>
      </w:tr>
      <w:tr w:rsidR="00986103" w:rsidRPr="00667307" w:rsidTr="00E52F75">
        <w:tc>
          <w:tcPr>
            <w:tcW w:w="2427" w:type="pct"/>
          </w:tcPr>
          <w:p w:rsidR="00986103" w:rsidRPr="00667307" w:rsidRDefault="00986103" w:rsidP="00E52F75">
            <w:pPr>
              <w:jc w:val="both"/>
              <w:rPr>
                <w:rFonts w:eastAsia="Calibri"/>
                <w:sz w:val="20"/>
                <w:lang w:val="fr-CA"/>
              </w:rPr>
            </w:pPr>
            <w:r w:rsidRPr="00667307">
              <w:rPr>
                <w:rFonts w:eastAsia="Calibri"/>
                <w:sz w:val="20"/>
                <w:lang w:val="fr-CA"/>
              </w:rPr>
              <w:t>28 mars 2013</w:t>
            </w:r>
          </w:p>
          <w:p w:rsidR="00986103" w:rsidRPr="00667307" w:rsidRDefault="00986103" w:rsidP="00E52F75">
            <w:pPr>
              <w:jc w:val="both"/>
              <w:rPr>
                <w:rFonts w:eastAsia="Calibri"/>
                <w:sz w:val="20"/>
                <w:lang w:val="fr-CA"/>
              </w:rPr>
            </w:pPr>
            <w:r w:rsidRPr="00667307">
              <w:rPr>
                <w:rFonts w:eastAsia="Calibri"/>
                <w:sz w:val="20"/>
                <w:lang w:val="fr-CA"/>
              </w:rPr>
              <w:t>Cour suprême du Canada</w:t>
            </w:r>
          </w:p>
        </w:tc>
        <w:tc>
          <w:tcPr>
            <w:tcW w:w="243" w:type="pct"/>
          </w:tcPr>
          <w:p w:rsidR="00986103" w:rsidRPr="00667307" w:rsidRDefault="00986103" w:rsidP="00E52F75">
            <w:pPr>
              <w:jc w:val="both"/>
              <w:rPr>
                <w:rFonts w:eastAsia="Calibri"/>
                <w:sz w:val="20"/>
                <w:lang w:val="fr-CA"/>
              </w:rPr>
            </w:pPr>
          </w:p>
        </w:tc>
        <w:tc>
          <w:tcPr>
            <w:tcW w:w="2330" w:type="pct"/>
          </w:tcPr>
          <w:p w:rsidR="00986103" w:rsidRPr="00667307" w:rsidRDefault="00986103" w:rsidP="00E52F75">
            <w:pPr>
              <w:jc w:val="both"/>
              <w:rPr>
                <w:rFonts w:eastAsia="Calibri"/>
                <w:sz w:val="20"/>
                <w:lang w:val="fr-CA"/>
              </w:rPr>
            </w:pPr>
            <w:r w:rsidRPr="00667307">
              <w:rPr>
                <w:rFonts w:eastAsia="Calibri"/>
                <w:sz w:val="20"/>
                <w:lang w:val="fr-CA"/>
              </w:rPr>
              <w:t>Demande d’autorisation d’appel, déposée</w:t>
            </w:r>
          </w:p>
          <w:p w:rsidR="00986103" w:rsidRPr="00667307" w:rsidRDefault="00986103" w:rsidP="00E52F75">
            <w:pPr>
              <w:jc w:val="both"/>
              <w:rPr>
                <w:rFonts w:eastAsia="Calibri"/>
                <w:sz w:val="20"/>
                <w:lang w:val="fr-CA"/>
              </w:rPr>
            </w:pPr>
          </w:p>
        </w:tc>
      </w:tr>
    </w:tbl>
    <w:p w:rsidR="00AA605C" w:rsidRDefault="00AA605C" w:rsidP="00AA605C">
      <w:pPr>
        <w:rPr>
          <w:sz w:val="20"/>
          <w:szCs w:val="20"/>
        </w:rPr>
      </w:pPr>
    </w:p>
    <w:p w:rsidR="00AA605C" w:rsidRDefault="00B3404D" w:rsidP="00AA605C">
      <w:pPr>
        <w:rPr>
          <w:sz w:val="20"/>
          <w:szCs w:val="20"/>
          <w:lang w:val="fr-CA"/>
        </w:rPr>
      </w:pPr>
      <w:r w:rsidRPr="00B3404D">
        <w:rPr>
          <w:sz w:val="20"/>
          <w:szCs w:val="20"/>
          <w:lang w:val="fr-CA"/>
        </w:rPr>
        <w:pict>
          <v:rect id="_x0000_i1083" style="width:2in;height:1pt" o:hrpct="0" o:hralign="center" o:hrstd="t" o:hrnoshade="t" o:hr="t" fillcolor="black [3213]" stroked="f"/>
        </w:pict>
      </w:r>
    </w:p>
    <w:p w:rsidR="00AA605C" w:rsidRDefault="00AA605C" w:rsidP="00AA605C">
      <w:pPr>
        <w:rPr>
          <w:sz w:val="20"/>
          <w:szCs w:val="20"/>
        </w:rPr>
      </w:pPr>
    </w:p>
    <w:tbl>
      <w:tblPr>
        <w:tblStyle w:val="TableGrid2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426F6" w:rsidRPr="00A426F6" w:rsidTr="00A426F6">
        <w:trPr>
          <w:cantSplit/>
        </w:trPr>
        <w:tc>
          <w:tcPr>
            <w:tcW w:w="1458" w:type="dxa"/>
          </w:tcPr>
          <w:p w:rsidR="00A426F6" w:rsidRPr="00A426F6" w:rsidRDefault="00A426F6" w:rsidP="00A426F6">
            <w:pPr>
              <w:rPr>
                <w:sz w:val="20"/>
                <w:szCs w:val="20"/>
              </w:rPr>
            </w:pPr>
            <w:r w:rsidRPr="00A426F6">
              <w:rPr>
                <w:b/>
                <w:sz w:val="20"/>
                <w:lang w:val="fr-CA"/>
              </w:rPr>
              <w:t>35297</w:t>
            </w:r>
          </w:p>
          <w:p w:rsidR="00A426F6" w:rsidRPr="00A426F6" w:rsidRDefault="00A426F6" w:rsidP="00A426F6">
            <w:pPr>
              <w:rPr>
                <w:b/>
                <w:sz w:val="20"/>
                <w:szCs w:val="20"/>
                <w:lang w:val="fr-CA"/>
              </w:rPr>
            </w:pPr>
          </w:p>
        </w:tc>
        <w:tc>
          <w:tcPr>
            <w:tcW w:w="8118" w:type="dxa"/>
          </w:tcPr>
          <w:p w:rsidR="00A426F6" w:rsidRPr="00A426F6" w:rsidRDefault="00A426F6" w:rsidP="00A426F6">
            <w:pPr>
              <w:rPr>
                <w:sz w:val="20"/>
                <w:szCs w:val="20"/>
              </w:rPr>
            </w:pPr>
            <w:r w:rsidRPr="00A426F6">
              <w:rPr>
                <w:b/>
                <w:sz w:val="20"/>
                <w:u w:val="single"/>
              </w:rPr>
              <w:t>E.S. v. Children's Aid Society of Toronto</w:t>
            </w:r>
            <w:r w:rsidRPr="00A426F6">
              <w:rPr>
                <w:sz w:val="20"/>
                <w:szCs w:val="20"/>
              </w:rPr>
              <w:t xml:space="preserve"> (Ont.) (Civil) (By Leave)</w:t>
            </w:r>
          </w:p>
          <w:p w:rsidR="00A426F6" w:rsidRPr="00A426F6" w:rsidRDefault="00A426F6" w:rsidP="00A426F6">
            <w:pPr>
              <w:rPr>
                <w:sz w:val="20"/>
                <w:szCs w:val="20"/>
              </w:rPr>
            </w:pPr>
          </w:p>
        </w:tc>
      </w:tr>
      <w:tr w:rsidR="00A426F6" w:rsidRPr="00A426F6" w:rsidTr="00A426F6">
        <w:trPr>
          <w:cantSplit/>
        </w:trPr>
        <w:tc>
          <w:tcPr>
            <w:tcW w:w="1458" w:type="dxa"/>
          </w:tcPr>
          <w:p w:rsidR="00A426F6" w:rsidRPr="00A426F6" w:rsidRDefault="00A426F6" w:rsidP="00A426F6">
            <w:pPr>
              <w:rPr>
                <w:sz w:val="20"/>
                <w:szCs w:val="20"/>
              </w:rPr>
            </w:pPr>
            <w:r w:rsidRPr="00A426F6">
              <w:rPr>
                <w:sz w:val="20"/>
                <w:szCs w:val="20"/>
              </w:rPr>
              <w:t>Coram :</w:t>
            </w:r>
          </w:p>
        </w:tc>
        <w:tc>
          <w:tcPr>
            <w:tcW w:w="8118" w:type="dxa"/>
          </w:tcPr>
          <w:p w:rsidR="00A426F6" w:rsidRPr="00A426F6" w:rsidRDefault="00A426F6" w:rsidP="00A426F6">
            <w:pPr>
              <w:rPr>
                <w:sz w:val="20"/>
                <w:szCs w:val="20"/>
              </w:rPr>
            </w:pPr>
            <w:r w:rsidRPr="00A426F6">
              <w:rPr>
                <w:sz w:val="20"/>
                <w:u w:val="single"/>
              </w:rPr>
              <w:t>McLachlin C.J. and Abella and Cromwell JJ.</w:t>
            </w:r>
          </w:p>
          <w:p w:rsidR="00A426F6" w:rsidRPr="00A426F6" w:rsidRDefault="00A426F6" w:rsidP="00A426F6">
            <w:pPr>
              <w:rPr>
                <w:sz w:val="20"/>
                <w:szCs w:val="20"/>
                <w:u w:val="single"/>
              </w:rPr>
            </w:pPr>
          </w:p>
        </w:tc>
      </w:tr>
      <w:tr w:rsidR="00A426F6" w:rsidRPr="00D41BFD" w:rsidTr="00A426F6">
        <w:trPr>
          <w:cantSplit/>
        </w:trPr>
        <w:tc>
          <w:tcPr>
            <w:tcW w:w="9576" w:type="dxa"/>
            <w:gridSpan w:val="2"/>
          </w:tcPr>
          <w:p w:rsidR="00A426F6" w:rsidRPr="00A426F6" w:rsidRDefault="00A426F6" w:rsidP="00A426F6">
            <w:pPr>
              <w:ind w:firstLine="720"/>
              <w:jc w:val="both"/>
              <w:rPr>
                <w:sz w:val="20"/>
                <w:szCs w:val="20"/>
              </w:rPr>
            </w:pPr>
            <w:r w:rsidRPr="00A426F6">
              <w:rPr>
                <w:sz w:val="20"/>
                <w:szCs w:val="20"/>
              </w:rPr>
              <w:t>The application for leave to appeal from the judgment of the Court of Appeal for Ontario, Number C56039, 2013 ONCA 77, dated February 7, 2013, is dismissed without costs.</w:t>
            </w:r>
          </w:p>
          <w:p w:rsidR="00A426F6" w:rsidRPr="00A426F6" w:rsidRDefault="00A426F6" w:rsidP="00A426F6">
            <w:pPr>
              <w:jc w:val="both"/>
              <w:rPr>
                <w:sz w:val="20"/>
                <w:szCs w:val="20"/>
              </w:rPr>
            </w:pPr>
          </w:p>
          <w:p w:rsidR="00A426F6" w:rsidRPr="00A426F6" w:rsidRDefault="00A426F6" w:rsidP="00A426F6">
            <w:pPr>
              <w:ind w:firstLine="720"/>
              <w:jc w:val="both"/>
              <w:rPr>
                <w:sz w:val="20"/>
                <w:szCs w:val="20"/>
                <w:lang w:val="fr-CA"/>
              </w:rPr>
            </w:pPr>
            <w:r w:rsidRPr="00A426F6">
              <w:rPr>
                <w:sz w:val="20"/>
                <w:szCs w:val="20"/>
                <w:lang w:val="fr-CA"/>
              </w:rPr>
              <w:t>La demande d’autorisation d’appel de l’arrêt de la Cour d’appel de l’Ontario, numéro CA C56039, 2013 ONCA 77, daté du 7 février 2013, est rejeté sans dépens.</w:t>
            </w:r>
          </w:p>
        </w:tc>
      </w:tr>
    </w:tbl>
    <w:p w:rsidR="00AA605C" w:rsidRPr="00A426F6" w:rsidRDefault="00AA605C" w:rsidP="00AA605C">
      <w:pPr>
        <w:rPr>
          <w:sz w:val="20"/>
          <w:szCs w:val="20"/>
          <w:lang w:val="fr-CA"/>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532"/>
        <w:gridCol w:w="453"/>
        <w:gridCol w:w="4542"/>
      </w:tblGrid>
      <w:tr w:rsidR="00986103" w:rsidRPr="00667307" w:rsidTr="00E52F75">
        <w:tc>
          <w:tcPr>
            <w:tcW w:w="5000" w:type="pct"/>
            <w:gridSpan w:val="3"/>
          </w:tcPr>
          <w:p w:rsidR="00986103" w:rsidRPr="00667307" w:rsidRDefault="00986103" w:rsidP="00E52F75">
            <w:pPr>
              <w:jc w:val="both"/>
              <w:rPr>
                <w:rFonts w:eastAsia="Calibri"/>
                <w:smallCaps/>
                <w:sz w:val="20"/>
              </w:rPr>
            </w:pPr>
            <w:r w:rsidRPr="00667307">
              <w:rPr>
                <w:rFonts w:eastAsia="Calibri"/>
                <w:smallCaps/>
                <w:sz w:val="20"/>
              </w:rPr>
              <w:t xml:space="preserve">(Publication </w:t>
            </w:r>
            <w:r>
              <w:rPr>
                <w:rFonts w:eastAsia="Calibri"/>
                <w:smallCaps/>
                <w:sz w:val="20"/>
              </w:rPr>
              <w:t>B</w:t>
            </w:r>
            <w:r w:rsidRPr="00667307">
              <w:rPr>
                <w:rFonts w:eastAsia="Calibri"/>
                <w:smallCaps/>
                <w:sz w:val="20"/>
              </w:rPr>
              <w:t xml:space="preserve">an in </w:t>
            </w:r>
            <w:r>
              <w:rPr>
                <w:rFonts w:eastAsia="Calibri"/>
                <w:smallCaps/>
                <w:sz w:val="20"/>
              </w:rPr>
              <w:t>C</w:t>
            </w:r>
            <w:r w:rsidRPr="00667307">
              <w:rPr>
                <w:rFonts w:eastAsia="Calibri"/>
                <w:smallCaps/>
                <w:sz w:val="20"/>
              </w:rPr>
              <w:t xml:space="preserve">ase) (Publication </w:t>
            </w:r>
            <w:r>
              <w:rPr>
                <w:rFonts w:eastAsia="Calibri"/>
                <w:smallCaps/>
                <w:sz w:val="20"/>
              </w:rPr>
              <w:t>B</w:t>
            </w:r>
            <w:r w:rsidRPr="00667307">
              <w:rPr>
                <w:rFonts w:eastAsia="Calibri"/>
                <w:smallCaps/>
                <w:sz w:val="20"/>
              </w:rPr>
              <w:t xml:space="preserve">an on </w:t>
            </w:r>
            <w:r>
              <w:rPr>
                <w:rFonts w:eastAsia="Calibri"/>
                <w:smallCaps/>
                <w:sz w:val="20"/>
              </w:rPr>
              <w:t>P</w:t>
            </w:r>
            <w:r w:rsidRPr="00667307">
              <w:rPr>
                <w:rFonts w:eastAsia="Calibri"/>
                <w:smallCaps/>
                <w:sz w:val="20"/>
              </w:rPr>
              <w:t xml:space="preserve">arty) (Court </w:t>
            </w:r>
            <w:r>
              <w:rPr>
                <w:rFonts w:eastAsia="Calibri"/>
                <w:smallCaps/>
                <w:sz w:val="20"/>
              </w:rPr>
              <w:t>F</w:t>
            </w:r>
            <w:r w:rsidRPr="00667307">
              <w:rPr>
                <w:rFonts w:eastAsia="Calibri"/>
                <w:smallCaps/>
                <w:sz w:val="20"/>
              </w:rPr>
              <w:t xml:space="preserve">ile </w:t>
            </w:r>
            <w:r>
              <w:rPr>
                <w:rFonts w:eastAsia="Calibri"/>
                <w:smallCaps/>
                <w:sz w:val="20"/>
              </w:rPr>
              <w:t>C</w:t>
            </w:r>
            <w:r w:rsidRPr="00667307">
              <w:rPr>
                <w:rFonts w:eastAsia="Calibri"/>
                <w:smallCaps/>
                <w:sz w:val="20"/>
              </w:rPr>
              <w:t xml:space="preserve">ontains </w:t>
            </w:r>
            <w:r>
              <w:rPr>
                <w:rFonts w:eastAsia="Calibri"/>
                <w:smallCaps/>
                <w:sz w:val="20"/>
              </w:rPr>
              <w:t>I</w:t>
            </w:r>
            <w:r w:rsidRPr="00667307">
              <w:rPr>
                <w:rFonts w:eastAsia="Calibri"/>
                <w:smallCaps/>
                <w:sz w:val="20"/>
              </w:rPr>
              <w:t xml:space="preserve">nformation </w:t>
            </w:r>
            <w:r>
              <w:rPr>
                <w:rFonts w:eastAsia="Calibri"/>
                <w:smallCaps/>
                <w:sz w:val="20"/>
              </w:rPr>
              <w:t>T</w:t>
            </w:r>
            <w:r w:rsidRPr="00667307">
              <w:rPr>
                <w:rFonts w:eastAsia="Calibri"/>
                <w:smallCaps/>
                <w:sz w:val="20"/>
              </w:rPr>
              <w:t xml:space="preserve">hat is not </w:t>
            </w:r>
            <w:r>
              <w:rPr>
                <w:rFonts w:eastAsia="Calibri"/>
                <w:smallCaps/>
                <w:sz w:val="20"/>
              </w:rPr>
              <w:t>A</w:t>
            </w:r>
            <w:r w:rsidRPr="00667307">
              <w:rPr>
                <w:rFonts w:eastAsia="Calibri"/>
                <w:smallCaps/>
                <w:sz w:val="20"/>
              </w:rPr>
              <w:t xml:space="preserve">vailable for </w:t>
            </w:r>
            <w:r>
              <w:rPr>
                <w:rFonts w:eastAsia="Calibri"/>
                <w:smallCaps/>
                <w:sz w:val="20"/>
              </w:rPr>
              <w:t>I</w:t>
            </w:r>
            <w:r w:rsidRPr="00667307">
              <w:rPr>
                <w:rFonts w:eastAsia="Calibri"/>
                <w:smallCaps/>
                <w:sz w:val="20"/>
              </w:rPr>
              <w:t xml:space="preserve">nspection by the </w:t>
            </w:r>
            <w:r>
              <w:rPr>
                <w:rFonts w:eastAsia="Calibri"/>
                <w:smallCaps/>
                <w:sz w:val="20"/>
              </w:rPr>
              <w:t>P</w:t>
            </w:r>
            <w:r w:rsidRPr="00667307">
              <w:rPr>
                <w:rFonts w:eastAsia="Calibri"/>
                <w:smallCaps/>
                <w:sz w:val="20"/>
              </w:rPr>
              <w:t>ublic)</w:t>
            </w:r>
          </w:p>
          <w:p w:rsidR="00986103" w:rsidRPr="00667307" w:rsidRDefault="00986103" w:rsidP="00E52F75">
            <w:pPr>
              <w:jc w:val="both"/>
              <w:rPr>
                <w:rFonts w:eastAsia="Calibri"/>
                <w:sz w:val="20"/>
              </w:rPr>
            </w:pPr>
          </w:p>
          <w:p w:rsidR="00986103" w:rsidRPr="00667307" w:rsidRDefault="00986103" w:rsidP="00E52F75">
            <w:pPr>
              <w:jc w:val="both"/>
              <w:rPr>
                <w:rFonts w:eastAsia="Calibri"/>
                <w:sz w:val="20"/>
              </w:rPr>
            </w:pPr>
            <w:r w:rsidRPr="00667307">
              <w:rPr>
                <w:rFonts w:eastAsia="Calibri"/>
                <w:sz w:val="20"/>
              </w:rPr>
              <w:t>Status of persons – Child protection – Two children apprehended from mother at birth – Respondent seeking Crown wardship with no access – Whether Court of Appeal failed to properly balance the competing principles of the best interests of the children, against the principle that the judge on first appeal was entitled to significant deference in her approach to decision making – Whether Court of Appeal erred in limiting the use of fresh evidence</w:t>
            </w:r>
          </w:p>
        </w:tc>
      </w:tr>
      <w:tr w:rsidR="00986103" w:rsidRPr="00667307" w:rsidTr="00E52F75">
        <w:tc>
          <w:tcPr>
            <w:tcW w:w="5000" w:type="pct"/>
            <w:gridSpan w:val="3"/>
          </w:tcPr>
          <w:p w:rsidR="00986103" w:rsidRPr="00667307" w:rsidRDefault="00986103" w:rsidP="00E52F75">
            <w:pPr>
              <w:jc w:val="both"/>
              <w:rPr>
                <w:rFonts w:eastAsia="Calibri"/>
                <w:sz w:val="20"/>
              </w:rPr>
            </w:pPr>
          </w:p>
        </w:tc>
      </w:tr>
      <w:tr w:rsidR="00986103" w:rsidRPr="00667307" w:rsidTr="00E52F75">
        <w:tc>
          <w:tcPr>
            <w:tcW w:w="5000" w:type="pct"/>
            <w:gridSpan w:val="3"/>
          </w:tcPr>
          <w:p w:rsidR="00986103" w:rsidRPr="00667307" w:rsidRDefault="00986103" w:rsidP="00E52F75">
            <w:pPr>
              <w:jc w:val="both"/>
              <w:rPr>
                <w:rFonts w:eastAsia="Calibri"/>
                <w:sz w:val="20"/>
              </w:rPr>
            </w:pPr>
            <w:r w:rsidRPr="00667307">
              <w:rPr>
                <w:rFonts w:eastAsia="Calibri"/>
                <w:sz w:val="20"/>
              </w:rPr>
              <w:t xml:space="preserve">The Applicant’s two youngest children were apprehended at birth by the Children’s Aid Society of Toronto (“CAS”) in February, 2009 and October, 2010.  The Applicant also has three other older children who were also apprehended.  The eldest, born in 2004, was found to be in need of protection on consent when he was a few weeks old.  He was placed in the permanent custody of family friends.  The other two older children, both born in 2007, were apprehended at birth and were placed in the care of a paternal aunt under a supervision order.  </w:t>
            </w:r>
          </w:p>
          <w:p w:rsidR="00986103" w:rsidRPr="00667307" w:rsidRDefault="00986103" w:rsidP="00E52F75">
            <w:pPr>
              <w:jc w:val="both"/>
              <w:rPr>
                <w:rFonts w:eastAsia="Calibri"/>
                <w:sz w:val="20"/>
              </w:rPr>
            </w:pPr>
          </w:p>
          <w:p w:rsidR="00986103" w:rsidRPr="00667307" w:rsidRDefault="00986103" w:rsidP="00E52F75">
            <w:pPr>
              <w:jc w:val="both"/>
              <w:rPr>
                <w:rFonts w:eastAsia="Calibri"/>
                <w:sz w:val="20"/>
              </w:rPr>
            </w:pPr>
            <w:r w:rsidRPr="00667307">
              <w:rPr>
                <w:rFonts w:eastAsia="Calibri"/>
                <w:sz w:val="20"/>
              </w:rPr>
              <w:t xml:space="preserve">At the trial concerning the two youngest children, the family friend indicated to the court that he was prepared to commit to raising them.  The trial was adjourned to permit an assessment of that proposal by the CAS.  After the trial resumed, the parties filed affidavits to provide updated information about the children to the court.  The Applicant also filed a new affidavit indicating that she agreed with the placement of the children with the family friend.  Fresh evidence indicated that the children were doing well there until September, 2011 when the friend, his partner and the </w:t>
            </w:r>
            <w:r w:rsidRPr="00667307">
              <w:rPr>
                <w:rFonts w:eastAsia="Calibri"/>
                <w:sz w:val="20"/>
              </w:rPr>
              <w:lastRenderedPageBreak/>
              <w:t xml:space="preserve">children moved to another location where a different CAS case worker was assigned to the case.  The relationship between the family friend and the new case worker became conflicted.  The children were removed from that home in November, 2011 and were placed in a new foster home with parents who were not seeking to adopt them.  </w:t>
            </w:r>
          </w:p>
          <w:p w:rsidR="00986103" w:rsidRPr="00667307" w:rsidRDefault="00986103" w:rsidP="00E52F75">
            <w:pPr>
              <w:jc w:val="both"/>
              <w:rPr>
                <w:rFonts w:eastAsia="Calibri"/>
                <w:sz w:val="20"/>
              </w:rPr>
            </w:pPr>
          </w:p>
        </w:tc>
      </w:tr>
      <w:tr w:rsidR="00986103" w:rsidRPr="00667307" w:rsidTr="00E52F75">
        <w:tc>
          <w:tcPr>
            <w:tcW w:w="2378" w:type="pct"/>
          </w:tcPr>
          <w:p w:rsidR="00986103" w:rsidRPr="00667307" w:rsidRDefault="00986103" w:rsidP="00E52F75">
            <w:pPr>
              <w:jc w:val="both"/>
              <w:rPr>
                <w:rFonts w:eastAsia="Calibri"/>
                <w:sz w:val="20"/>
              </w:rPr>
            </w:pPr>
            <w:r w:rsidRPr="00667307">
              <w:rPr>
                <w:rFonts w:eastAsia="Calibri"/>
                <w:sz w:val="20"/>
              </w:rPr>
              <w:lastRenderedPageBreak/>
              <w:t>April 20, 2011</w:t>
            </w:r>
          </w:p>
          <w:p w:rsidR="00986103" w:rsidRPr="00667307" w:rsidRDefault="00986103" w:rsidP="00E52F75">
            <w:pPr>
              <w:jc w:val="both"/>
              <w:rPr>
                <w:rFonts w:eastAsia="Calibri"/>
                <w:sz w:val="20"/>
              </w:rPr>
            </w:pPr>
            <w:r w:rsidRPr="00667307">
              <w:rPr>
                <w:rFonts w:eastAsia="Calibri"/>
                <w:sz w:val="20"/>
              </w:rPr>
              <w:t>Ontario Court of Justice</w:t>
            </w:r>
          </w:p>
          <w:p w:rsidR="00986103" w:rsidRPr="00667307" w:rsidRDefault="00986103" w:rsidP="00E52F75">
            <w:pPr>
              <w:jc w:val="both"/>
              <w:rPr>
                <w:rFonts w:eastAsia="Calibri"/>
                <w:sz w:val="20"/>
              </w:rPr>
            </w:pPr>
            <w:r w:rsidRPr="00667307">
              <w:rPr>
                <w:rFonts w:eastAsia="Calibri"/>
                <w:sz w:val="20"/>
              </w:rPr>
              <w:t>(Curtis J.)</w:t>
            </w:r>
          </w:p>
          <w:p w:rsidR="00986103" w:rsidRPr="00667307" w:rsidRDefault="00986103" w:rsidP="00E52F75">
            <w:pPr>
              <w:jc w:val="both"/>
              <w:rPr>
                <w:rFonts w:eastAsia="Calibri"/>
                <w:sz w:val="20"/>
              </w:rPr>
            </w:pPr>
          </w:p>
        </w:tc>
        <w:tc>
          <w:tcPr>
            <w:tcW w:w="238" w:type="pct"/>
          </w:tcPr>
          <w:p w:rsidR="00986103" w:rsidRPr="00667307" w:rsidRDefault="00986103" w:rsidP="00E52F75">
            <w:pPr>
              <w:jc w:val="both"/>
              <w:rPr>
                <w:rFonts w:eastAsia="Calibri"/>
                <w:sz w:val="20"/>
              </w:rPr>
            </w:pPr>
          </w:p>
        </w:tc>
        <w:tc>
          <w:tcPr>
            <w:tcW w:w="2384" w:type="pct"/>
          </w:tcPr>
          <w:p w:rsidR="00986103" w:rsidRPr="00667307" w:rsidRDefault="00986103" w:rsidP="00E52F75">
            <w:pPr>
              <w:jc w:val="both"/>
              <w:rPr>
                <w:rFonts w:eastAsia="Calibri"/>
                <w:sz w:val="20"/>
              </w:rPr>
            </w:pPr>
            <w:r w:rsidRPr="00667307">
              <w:rPr>
                <w:rFonts w:eastAsia="Calibri"/>
                <w:sz w:val="20"/>
              </w:rPr>
              <w:t>Order making children Crown wards with no access for parents</w:t>
            </w:r>
          </w:p>
          <w:p w:rsidR="00986103" w:rsidRPr="00667307" w:rsidRDefault="00986103" w:rsidP="00E52F75">
            <w:pPr>
              <w:jc w:val="both"/>
              <w:rPr>
                <w:rFonts w:eastAsia="Calibri"/>
                <w:sz w:val="20"/>
              </w:rPr>
            </w:pPr>
          </w:p>
          <w:p w:rsidR="00986103" w:rsidRPr="00667307" w:rsidRDefault="00986103" w:rsidP="00E52F75">
            <w:pPr>
              <w:jc w:val="both"/>
              <w:rPr>
                <w:rFonts w:eastAsia="Calibri"/>
                <w:sz w:val="20"/>
              </w:rPr>
            </w:pPr>
          </w:p>
        </w:tc>
      </w:tr>
      <w:tr w:rsidR="00986103" w:rsidRPr="00667307" w:rsidTr="00E52F75">
        <w:tc>
          <w:tcPr>
            <w:tcW w:w="2378" w:type="pct"/>
          </w:tcPr>
          <w:p w:rsidR="00986103" w:rsidRPr="00667307" w:rsidRDefault="00986103" w:rsidP="00E52F75">
            <w:pPr>
              <w:jc w:val="both"/>
              <w:rPr>
                <w:rFonts w:eastAsia="Calibri"/>
                <w:sz w:val="20"/>
              </w:rPr>
            </w:pPr>
            <w:r w:rsidRPr="00667307">
              <w:rPr>
                <w:rFonts w:eastAsia="Calibri"/>
                <w:sz w:val="20"/>
              </w:rPr>
              <w:t>August 22, 2012</w:t>
            </w:r>
          </w:p>
          <w:p w:rsidR="00986103" w:rsidRPr="00667307" w:rsidRDefault="00986103" w:rsidP="00E52F75">
            <w:pPr>
              <w:jc w:val="both"/>
              <w:rPr>
                <w:rFonts w:eastAsia="Calibri"/>
                <w:sz w:val="20"/>
              </w:rPr>
            </w:pPr>
            <w:r w:rsidRPr="00667307">
              <w:rPr>
                <w:rFonts w:eastAsia="Calibri"/>
                <w:sz w:val="20"/>
              </w:rPr>
              <w:t>Ontario Superior Court of Justice</w:t>
            </w:r>
          </w:p>
          <w:p w:rsidR="00986103" w:rsidRPr="00667307" w:rsidRDefault="00986103" w:rsidP="00E52F75">
            <w:pPr>
              <w:jc w:val="both"/>
              <w:rPr>
                <w:rFonts w:eastAsia="Calibri"/>
                <w:sz w:val="20"/>
              </w:rPr>
            </w:pPr>
            <w:r w:rsidRPr="00667307">
              <w:rPr>
                <w:rFonts w:eastAsia="Calibri"/>
                <w:sz w:val="20"/>
              </w:rPr>
              <w:t>(Kiteley J.)</w:t>
            </w:r>
          </w:p>
          <w:p w:rsidR="00986103" w:rsidRPr="00667307" w:rsidRDefault="00986103" w:rsidP="00E52F75">
            <w:pPr>
              <w:jc w:val="both"/>
              <w:rPr>
                <w:rFonts w:eastAsia="Calibri"/>
                <w:sz w:val="20"/>
              </w:rPr>
            </w:pPr>
          </w:p>
        </w:tc>
        <w:tc>
          <w:tcPr>
            <w:tcW w:w="238" w:type="pct"/>
          </w:tcPr>
          <w:p w:rsidR="00986103" w:rsidRPr="00667307" w:rsidRDefault="00986103" w:rsidP="00E52F75">
            <w:pPr>
              <w:jc w:val="both"/>
              <w:rPr>
                <w:rFonts w:eastAsia="Calibri"/>
                <w:sz w:val="20"/>
              </w:rPr>
            </w:pPr>
          </w:p>
        </w:tc>
        <w:tc>
          <w:tcPr>
            <w:tcW w:w="2384" w:type="pct"/>
          </w:tcPr>
          <w:p w:rsidR="00986103" w:rsidRPr="00667307" w:rsidRDefault="00986103" w:rsidP="00E52F75">
            <w:pPr>
              <w:jc w:val="both"/>
              <w:rPr>
                <w:rFonts w:eastAsia="Calibri"/>
                <w:sz w:val="20"/>
              </w:rPr>
            </w:pPr>
            <w:r w:rsidRPr="00667307">
              <w:rPr>
                <w:rFonts w:eastAsia="Calibri"/>
                <w:sz w:val="20"/>
              </w:rPr>
              <w:t>Crown wardship with no access order upheld</w:t>
            </w:r>
          </w:p>
          <w:p w:rsidR="00986103" w:rsidRPr="00667307" w:rsidRDefault="00986103" w:rsidP="00E52F75">
            <w:pPr>
              <w:jc w:val="both"/>
              <w:rPr>
                <w:rFonts w:eastAsia="Calibri"/>
                <w:sz w:val="20"/>
              </w:rPr>
            </w:pPr>
          </w:p>
        </w:tc>
      </w:tr>
      <w:tr w:rsidR="00986103" w:rsidRPr="00667307" w:rsidTr="00E52F75">
        <w:tc>
          <w:tcPr>
            <w:tcW w:w="2378" w:type="pct"/>
          </w:tcPr>
          <w:p w:rsidR="00986103" w:rsidRPr="00667307" w:rsidRDefault="00986103" w:rsidP="00E52F75">
            <w:pPr>
              <w:jc w:val="both"/>
              <w:rPr>
                <w:rFonts w:eastAsia="Calibri"/>
                <w:sz w:val="20"/>
              </w:rPr>
            </w:pPr>
            <w:r w:rsidRPr="00667307">
              <w:rPr>
                <w:rFonts w:eastAsia="Calibri"/>
                <w:sz w:val="20"/>
              </w:rPr>
              <w:t>February 7, 2013</w:t>
            </w:r>
          </w:p>
          <w:p w:rsidR="00986103" w:rsidRPr="00667307" w:rsidRDefault="00986103" w:rsidP="00E52F75">
            <w:pPr>
              <w:jc w:val="both"/>
              <w:rPr>
                <w:rFonts w:eastAsia="Calibri"/>
                <w:sz w:val="20"/>
              </w:rPr>
            </w:pPr>
            <w:r w:rsidRPr="00667307">
              <w:rPr>
                <w:rFonts w:eastAsia="Calibri"/>
                <w:sz w:val="20"/>
              </w:rPr>
              <w:t>Court of Appeal for Ontario</w:t>
            </w:r>
          </w:p>
          <w:p w:rsidR="00986103" w:rsidRPr="00667307" w:rsidRDefault="00986103" w:rsidP="00E52F75">
            <w:pPr>
              <w:jc w:val="both"/>
              <w:rPr>
                <w:rFonts w:eastAsia="Calibri"/>
                <w:sz w:val="20"/>
              </w:rPr>
            </w:pPr>
            <w:r w:rsidRPr="00667307">
              <w:rPr>
                <w:rFonts w:eastAsia="Calibri"/>
                <w:sz w:val="20"/>
              </w:rPr>
              <w:t>(Goudge, Epstein and Tulloch JJ.A.)</w:t>
            </w:r>
          </w:p>
          <w:p w:rsidR="00986103" w:rsidRPr="00667307" w:rsidRDefault="00986103" w:rsidP="00E52F75">
            <w:pPr>
              <w:jc w:val="both"/>
              <w:rPr>
                <w:rFonts w:eastAsia="Calibri"/>
                <w:sz w:val="20"/>
              </w:rPr>
            </w:pPr>
            <w:r w:rsidRPr="00667307">
              <w:rPr>
                <w:rFonts w:eastAsia="Calibri"/>
                <w:sz w:val="20"/>
              </w:rPr>
              <w:t>2013 ONCA 77</w:t>
            </w:r>
          </w:p>
          <w:p w:rsidR="00986103" w:rsidRPr="00667307" w:rsidRDefault="00986103" w:rsidP="00E52F75">
            <w:pPr>
              <w:jc w:val="both"/>
              <w:rPr>
                <w:rFonts w:eastAsia="Calibri"/>
                <w:sz w:val="20"/>
              </w:rPr>
            </w:pPr>
          </w:p>
        </w:tc>
        <w:tc>
          <w:tcPr>
            <w:tcW w:w="238" w:type="pct"/>
          </w:tcPr>
          <w:p w:rsidR="00986103" w:rsidRPr="00667307" w:rsidRDefault="00986103" w:rsidP="00E52F75">
            <w:pPr>
              <w:jc w:val="both"/>
              <w:rPr>
                <w:rFonts w:eastAsia="Calibri"/>
                <w:sz w:val="20"/>
              </w:rPr>
            </w:pPr>
          </w:p>
        </w:tc>
        <w:tc>
          <w:tcPr>
            <w:tcW w:w="2384" w:type="pct"/>
          </w:tcPr>
          <w:p w:rsidR="00986103" w:rsidRPr="00667307" w:rsidRDefault="00986103" w:rsidP="00E52F75">
            <w:pPr>
              <w:jc w:val="both"/>
              <w:rPr>
                <w:rFonts w:eastAsia="Calibri"/>
                <w:sz w:val="20"/>
              </w:rPr>
            </w:pPr>
            <w:r w:rsidRPr="00667307">
              <w:rPr>
                <w:rFonts w:eastAsia="Calibri"/>
                <w:sz w:val="20"/>
              </w:rPr>
              <w:t xml:space="preserve">Crown wardship with no access order upheld </w:t>
            </w:r>
          </w:p>
          <w:p w:rsidR="00986103" w:rsidRPr="00667307" w:rsidRDefault="00986103" w:rsidP="00E52F75">
            <w:pPr>
              <w:jc w:val="both"/>
              <w:rPr>
                <w:rFonts w:eastAsia="Calibri"/>
                <w:sz w:val="20"/>
              </w:rPr>
            </w:pPr>
          </w:p>
          <w:p w:rsidR="00986103" w:rsidRPr="00667307" w:rsidRDefault="00986103" w:rsidP="00E52F75">
            <w:pPr>
              <w:jc w:val="both"/>
              <w:rPr>
                <w:rFonts w:eastAsia="Calibri"/>
                <w:sz w:val="20"/>
              </w:rPr>
            </w:pPr>
          </w:p>
        </w:tc>
      </w:tr>
      <w:tr w:rsidR="00986103" w:rsidRPr="00667307" w:rsidTr="00E52F75">
        <w:tc>
          <w:tcPr>
            <w:tcW w:w="2378" w:type="pct"/>
          </w:tcPr>
          <w:p w:rsidR="00986103" w:rsidRPr="00667307" w:rsidRDefault="00986103" w:rsidP="00E52F75">
            <w:pPr>
              <w:jc w:val="both"/>
              <w:rPr>
                <w:rFonts w:eastAsia="Calibri"/>
                <w:sz w:val="20"/>
              </w:rPr>
            </w:pPr>
            <w:r w:rsidRPr="00667307">
              <w:rPr>
                <w:rFonts w:eastAsia="Calibri"/>
                <w:sz w:val="20"/>
              </w:rPr>
              <w:t>April 5, 2013</w:t>
            </w:r>
          </w:p>
          <w:p w:rsidR="00986103" w:rsidRPr="00667307" w:rsidRDefault="00986103" w:rsidP="00E52F75">
            <w:pPr>
              <w:jc w:val="both"/>
              <w:rPr>
                <w:rFonts w:eastAsia="Calibri"/>
                <w:sz w:val="20"/>
              </w:rPr>
            </w:pPr>
            <w:r w:rsidRPr="00667307">
              <w:rPr>
                <w:rFonts w:eastAsia="Calibri"/>
                <w:sz w:val="20"/>
              </w:rPr>
              <w:t>Supreme Court of Canada</w:t>
            </w:r>
          </w:p>
        </w:tc>
        <w:tc>
          <w:tcPr>
            <w:tcW w:w="238" w:type="pct"/>
          </w:tcPr>
          <w:p w:rsidR="00986103" w:rsidRPr="00667307" w:rsidRDefault="00986103" w:rsidP="00E52F75">
            <w:pPr>
              <w:jc w:val="both"/>
              <w:rPr>
                <w:rFonts w:eastAsia="Calibri"/>
                <w:sz w:val="20"/>
              </w:rPr>
            </w:pPr>
          </w:p>
        </w:tc>
        <w:tc>
          <w:tcPr>
            <w:tcW w:w="2384" w:type="pct"/>
          </w:tcPr>
          <w:p w:rsidR="00986103" w:rsidRPr="00667307" w:rsidRDefault="00986103" w:rsidP="00E52F75">
            <w:pPr>
              <w:jc w:val="both"/>
              <w:rPr>
                <w:rFonts w:eastAsia="Calibri"/>
                <w:sz w:val="20"/>
              </w:rPr>
            </w:pPr>
            <w:r w:rsidRPr="00667307">
              <w:rPr>
                <w:rFonts w:eastAsia="Calibri"/>
                <w:sz w:val="20"/>
              </w:rPr>
              <w:t>Application for leave to appeal filed</w:t>
            </w: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84"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532"/>
        <w:gridCol w:w="453"/>
        <w:gridCol w:w="4542"/>
      </w:tblGrid>
      <w:tr w:rsidR="00986103" w:rsidRPr="00D41BFD" w:rsidTr="00E52F75">
        <w:tc>
          <w:tcPr>
            <w:tcW w:w="5000" w:type="pct"/>
            <w:gridSpan w:val="3"/>
          </w:tcPr>
          <w:p w:rsidR="00986103" w:rsidRPr="00667307" w:rsidRDefault="00986103" w:rsidP="00E52F75">
            <w:pPr>
              <w:jc w:val="both"/>
              <w:rPr>
                <w:rFonts w:eastAsia="Calibri"/>
                <w:smallCaps/>
                <w:sz w:val="20"/>
                <w:lang w:val="fr-CA"/>
              </w:rPr>
            </w:pPr>
            <w:r w:rsidRPr="00667307">
              <w:rPr>
                <w:rFonts w:eastAsia="Calibri"/>
                <w:smallCaps/>
                <w:sz w:val="20"/>
                <w:lang w:val="fr-CA"/>
              </w:rPr>
              <w:t xml:space="preserve">(Ordonnance de non-publication dans le dossier) (Ordonnance de non-publication visant une partie) (Le dossier de la </w:t>
            </w:r>
            <w:r>
              <w:rPr>
                <w:rFonts w:eastAsia="Calibri"/>
                <w:smallCaps/>
                <w:sz w:val="20"/>
                <w:lang w:val="fr-CA"/>
              </w:rPr>
              <w:t>c</w:t>
            </w:r>
            <w:r w:rsidRPr="00667307">
              <w:rPr>
                <w:rFonts w:eastAsia="Calibri"/>
                <w:smallCaps/>
                <w:sz w:val="20"/>
                <w:lang w:val="fr-CA"/>
              </w:rPr>
              <w:t>our renferme des données que le public n’est pas autorisé à consulter)</w:t>
            </w:r>
          </w:p>
          <w:p w:rsidR="00986103" w:rsidRPr="00667307" w:rsidRDefault="00986103" w:rsidP="00E52F75">
            <w:pPr>
              <w:jc w:val="both"/>
              <w:rPr>
                <w:rFonts w:eastAsia="Calibri"/>
                <w:sz w:val="20"/>
                <w:lang w:val="fr-CA"/>
              </w:rPr>
            </w:pPr>
          </w:p>
          <w:p w:rsidR="00986103" w:rsidRPr="00667307" w:rsidRDefault="00986103" w:rsidP="00E52F75">
            <w:pPr>
              <w:jc w:val="both"/>
              <w:rPr>
                <w:rFonts w:eastAsia="Calibri"/>
                <w:sz w:val="20"/>
                <w:lang w:val="fr-CA"/>
              </w:rPr>
            </w:pPr>
            <w:r w:rsidRPr="00667307">
              <w:rPr>
                <w:rFonts w:eastAsia="Calibri"/>
                <w:sz w:val="20"/>
                <w:lang w:val="fr-CA"/>
              </w:rPr>
              <w:t>Droit des personnes – Protection de l’enfance – Deux enfants ont été appréhendés et retirés de la garde de leur mère à la naissance – L’intimée demande la tutelle par la Couronne sans droit de visite – La Cour d’appel a-t-elle omis de soupeser comme il se doit les principes opposés de l’intérêt véritable de l’enfant, d’une part, et de la grande déférence dont il faut faire preuve à l’égard des décisions prises par la juge saisie du premier appel, d’autre part? – La Cour d’appel a-t-elle eu tort de limiter le recours à de nouveaux éléments de preuve?</w:t>
            </w:r>
          </w:p>
        </w:tc>
      </w:tr>
      <w:tr w:rsidR="00986103" w:rsidRPr="00D41BFD" w:rsidTr="00E52F75">
        <w:tc>
          <w:tcPr>
            <w:tcW w:w="5000" w:type="pct"/>
            <w:gridSpan w:val="3"/>
          </w:tcPr>
          <w:p w:rsidR="00986103" w:rsidRPr="00667307" w:rsidRDefault="00986103" w:rsidP="00E52F75">
            <w:pPr>
              <w:jc w:val="both"/>
              <w:rPr>
                <w:rFonts w:eastAsia="Calibri"/>
                <w:sz w:val="20"/>
                <w:lang w:val="fr-CA"/>
              </w:rPr>
            </w:pPr>
          </w:p>
        </w:tc>
      </w:tr>
      <w:tr w:rsidR="00986103" w:rsidRPr="00D41BFD" w:rsidTr="00E52F75">
        <w:tc>
          <w:tcPr>
            <w:tcW w:w="5000" w:type="pct"/>
            <w:gridSpan w:val="3"/>
          </w:tcPr>
          <w:p w:rsidR="00986103" w:rsidRPr="00667307" w:rsidRDefault="00986103" w:rsidP="00E52F75">
            <w:pPr>
              <w:jc w:val="both"/>
              <w:rPr>
                <w:rFonts w:eastAsia="Calibri"/>
                <w:sz w:val="20"/>
                <w:lang w:val="fr-CA"/>
              </w:rPr>
            </w:pPr>
            <w:r w:rsidRPr="00667307">
              <w:rPr>
                <w:rFonts w:eastAsia="Calibri"/>
                <w:sz w:val="20"/>
                <w:lang w:val="fr-CA"/>
              </w:rPr>
              <w:t xml:space="preserve">Les deux enfants cadets de la demanderesse ont été appréhendés à la naissance par la Children’s Aid Society of Toronto (« CAS ») en février 2009 et en octobre 2010.  La demanderesse a trois autres enfants plus âgés qui ont été appréhendés eux-aussi.  De consentement, il a été jugé que l’aîné, né en 2004, avait besoin de protection alors qu’il n’était âgé que de quelques semaines.  Il a été placé sous la garde permanente d’amis de la famille.  Les deux autres enfants plus âgés, tous les deux nés en 2007, ont été appréhendés à la naissance et placés sous la garde d’une tante paternelle en vertu d’une ordonnance portant sur la surveillance.  </w:t>
            </w:r>
          </w:p>
          <w:p w:rsidR="00986103" w:rsidRPr="00667307" w:rsidRDefault="00986103" w:rsidP="00E52F75">
            <w:pPr>
              <w:jc w:val="both"/>
              <w:rPr>
                <w:rFonts w:eastAsia="Calibri"/>
                <w:sz w:val="20"/>
                <w:lang w:val="fr-CA"/>
              </w:rPr>
            </w:pPr>
          </w:p>
          <w:p w:rsidR="00986103" w:rsidRPr="00667307" w:rsidRDefault="00986103" w:rsidP="00E52F75">
            <w:pPr>
              <w:jc w:val="both"/>
              <w:rPr>
                <w:rFonts w:eastAsia="Calibri"/>
                <w:sz w:val="20"/>
                <w:lang w:val="fr-CA"/>
              </w:rPr>
            </w:pPr>
            <w:r w:rsidRPr="00667307">
              <w:rPr>
                <w:rFonts w:eastAsia="Calibri"/>
                <w:sz w:val="20"/>
                <w:lang w:val="fr-CA"/>
              </w:rPr>
              <w:t xml:space="preserve">Au procès intéressant les deux enfants cadets, un ami de la famille a dit à la cour qu’il était disposé à prendre l’engagement de les élever.  Le procès a été ajourné pour permettre à la CAS d’évaluer cette proposition.  Après la reprise du procès, les parties ont déposé des affidavits pour fournir à la cour des renseignements mis à jour sur les enfants.  La demanderesse a elle-aussi produit un nouvel affidavit indiquant qu’elle acceptait le placement des enfants chez l’ami de la famille.  De nouveaux éléments de preuve ont indiqué que les enfants s’y portaient bien jusqu’en septembre 2011, lorsque l’ami, sa compagne et les enfants sont allés vivre à un autre endroit où un autre intervenant de la CAS a été affecté au dossier.  La relation entre l’ami de la famille et le nouvel intervenant est devenue conflictuelle.  Les enfants ont été retirés de ce foyer en novembre 2011 et placés dans un nouveau foyer d’accueil, chez des parents qui ne cherchaient pas à les adopter.  </w:t>
            </w:r>
          </w:p>
          <w:p w:rsidR="00986103" w:rsidRPr="00667307" w:rsidRDefault="00986103" w:rsidP="00E52F75">
            <w:pPr>
              <w:jc w:val="both"/>
              <w:rPr>
                <w:rFonts w:eastAsia="Calibri"/>
                <w:sz w:val="20"/>
                <w:lang w:val="fr-CA"/>
              </w:rPr>
            </w:pPr>
          </w:p>
        </w:tc>
      </w:tr>
      <w:tr w:rsidR="00986103" w:rsidRPr="00D41BFD" w:rsidTr="00E52F75">
        <w:tc>
          <w:tcPr>
            <w:tcW w:w="2378" w:type="pct"/>
          </w:tcPr>
          <w:p w:rsidR="00986103" w:rsidRPr="00667307" w:rsidRDefault="00986103" w:rsidP="00E52F75">
            <w:pPr>
              <w:jc w:val="both"/>
              <w:rPr>
                <w:rFonts w:eastAsia="Calibri"/>
                <w:sz w:val="20"/>
                <w:lang w:val="fr-CA"/>
              </w:rPr>
            </w:pPr>
            <w:r w:rsidRPr="00667307">
              <w:rPr>
                <w:rFonts w:eastAsia="Calibri"/>
                <w:sz w:val="20"/>
                <w:lang w:val="fr-CA"/>
              </w:rPr>
              <w:lastRenderedPageBreak/>
              <w:t>20 avril 2011</w:t>
            </w:r>
          </w:p>
          <w:p w:rsidR="00986103" w:rsidRPr="00667307" w:rsidRDefault="00986103" w:rsidP="00E52F75">
            <w:pPr>
              <w:jc w:val="both"/>
              <w:rPr>
                <w:rFonts w:eastAsia="Calibri"/>
                <w:sz w:val="20"/>
                <w:lang w:val="fr-CA"/>
              </w:rPr>
            </w:pPr>
            <w:r w:rsidRPr="00667307">
              <w:rPr>
                <w:rFonts w:eastAsia="Calibri"/>
                <w:sz w:val="20"/>
                <w:lang w:val="fr-CA"/>
              </w:rPr>
              <w:t>Cour de justice de l’Ontario</w:t>
            </w:r>
          </w:p>
          <w:p w:rsidR="00986103" w:rsidRPr="00667307" w:rsidRDefault="00986103" w:rsidP="00E52F75">
            <w:pPr>
              <w:jc w:val="both"/>
              <w:rPr>
                <w:rFonts w:eastAsia="Calibri"/>
                <w:sz w:val="20"/>
                <w:lang w:val="fr-CA"/>
              </w:rPr>
            </w:pPr>
            <w:r w:rsidRPr="00667307">
              <w:rPr>
                <w:rFonts w:eastAsia="Calibri"/>
                <w:sz w:val="20"/>
                <w:lang w:val="fr-CA"/>
              </w:rPr>
              <w:t>(Juge Curtis)</w:t>
            </w:r>
          </w:p>
          <w:p w:rsidR="00986103" w:rsidRPr="00667307" w:rsidRDefault="00986103" w:rsidP="00E52F75">
            <w:pPr>
              <w:jc w:val="both"/>
              <w:rPr>
                <w:rFonts w:eastAsia="Calibri"/>
                <w:sz w:val="20"/>
                <w:lang w:val="fr-CA"/>
              </w:rPr>
            </w:pPr>
          </w:p>
        </w:tc>
        <w:tc>
          <w:tcPr>
            <w:tcW w:w="238" w:type="pct"/>
          </w:tcPr>
          <w:p w:rsidR="00986103" w:rsidRPr="00667307" w:rsidRDefault="00986103" w:rsidP="00E52F75">
            <w:pPr>
              <w:jc w:val="both"/>
              <w:rPr>
                <w:rFonts w:eastAsia="Calibri"/>
                <w:sz w:val="20"/>
                <w:lang w:val="fr-CA"/>
              </w:rPr>
            </w:pPr>
          </w:p>
        </w:tc>
        <w:tc>
          <w:tcPr>
            <w:tcW w:w="2384" w:type="pct"/>
          </w:tcPr>
          <w:p w:rsidR="00986103" w:rsidRPr="00667307" w:rsidRDefault="00986103" w:rsidP="00E52F75">
            <w:pPr>
              <w:jc w:val="both"/>
              <w:rPr>
                <w:rFonts w:eastAsia="Calibri"/>
                <w:sz w:val="20"/>
                <w:lang w:val="fr-CA"/>
              </w:rPr>
            </w:pPr>
            <w:r w:rsidRPr="00667307">
              <w:rPr>
                <w:rFonts w:eastAsia="Calibri"/>
                <w:sz w:val="20"/>
                <w:lang w:val="fr-CA"/>
              </w:rPr>
              <w:t>Ordonnance constituant les enfants pupilles de la Couronne sans droit de visite des parents</w:t>
            </w:r>
          </w:p>
          <w:p w:rsidR="00986103" w:rsidRPr="00667307" w:rsidRDefault="00986103" w:rsidP="00E52F75">
            <w:pPr>
              <w:jc w:val="both"/>
              <w:rPr>
                <w:rFonts w:eastAsia="Calibri"/>
                <w:sz w:val="20"/>
                <w:lang w:val="fr-CA"/>
              </w:rPr>
            </w:pPr>
          </w:p>
          <w:p w:rsidR="00986103" w:rsidRPr="00667307" w:rsidRDefault="00986103" w:rsidP="00E52F75">
            <w:pPr>
              <w:jc w:val="both"/>
              <w:rPr>
                <w:rFonts w:eastAsia="Calibri"/>
                <w:sz w:val="20"/>
                <w:lang w:val="fr-CA"/>
              </w:rPr>
            </w:pPr>
          </w:p>
        </w:tc>
      </w:tr>
      <w:tr w:rsidR="00986103" w:rsidRPr="00D41BFD" w:rsidTr="00E52F75">
        <w:tc>
          <w:tcPr>
            <w:tcW w:w="2378" w:type="pct"/>
          </w:tcPr>
          <w:p w:rsidR="00986103" w:rsidRPr="00667307" w:rsidRDefault="00986103" w:rsidP="00E52F75">
            <w:pPr>
              <w:jc w:val="both"/>
              <w:rPr>
                <w:rFonts w:eastAsia="Calibri"/>
                <w:sz w:val="20"/>
                <w:lang w:val="fr-CA"/>
              </w:rPr>
            </w:pPr>
            <w:r w:rsidRPr="00667307">
              <w:rPr>
                <w:rFonts w:eastAsia="Calibri"/>
                <w:sz w:val="20"/>
                <w:lang w:val="fr-CA"/>
              </w:rPr>
              <w:t>22 août 2012</w:t>
            </w:r>
          </w:p>
          <w:p w:rsidR="00986103" w:rsidRPr="00667307" w:rsidRDefault="00986103" w:rsidP="00E52F75">
            <w:pPr>
              <w:jc w:val="both"/>
              <w:rPr>
                <w:rFonts w:eastAsia="Calibri"/>
                <w:sz w:val="20"/>
                <w:lang w:val="fr-CA"/>
              </w:rPr>
            </w:pPr>
            <w:r w:rsidRPr="00667307">
              <w:rPr>
                <w:rFonts w:eastAsia="Calibri"/>
                <w:sz w:val="20"/>
                <w:lang w:val="fr-CA"/>
              </w:rPr>
              <w:t>Cour supérieure de justice de l’Ontario</w:t>
            </w:r>
          </w:p>
          <w:p w:rsidR="00986103" w:rsidRPr="00667307" w:rsidRDefault="00986103" w:rsidP="00E52F75">
            <w:pPr>
              <w:jc w:val="both"/>
              <w:rPr>
                <w:rFonts w:eastAsia="Calibri"/>
                <w:sz w:val="20"/>
                <w:lang w:val="fr-CA"/>
              </w:rPr>
            </w:pPr>
            <w:r w:rsidRPr="00667307">
              <w:rPr>
                <w:rFonts w:eastAsia="Calibri"/>
                <w:sz w:val="20"/>
                <w:lang w:val="fr-CA"/>
              </w:rPr>
              <w:t>(Juge Kiteley)</w:t>
            </w:r>
          </w:p>
          <w:p w:rsidR="00986103" w:rsidRPr="00667307" w:rsidRDefault="00986103" w:rsidP="00E52F75">
            <w:pPr>
              <w:jc w:val="both"/>
              <w:rPr>
                <w:rFonts w:eastAsia="Calibri"/>
                <w:sz w:val="20"/>
                <w:lang w:val="fr-CA"/>
              </w:rPr>
            </w:pPr>
          </w:p>
        </w:tc>
        <w:tc>
          <w:tcPr>
            <w:tcW w:w="238" w:type="pct"/>
          </w:tcPr>
          <w:p w:rsidR="00986103" w:rsidRPr="00667307" w:rsidRDefault="00986103" w:rsidP="00E52F75">
            <w:pPr>
              <w:jc w:val="both"/>
              <w:rPr>
                <w:rFonts w:eastAsia="Calibri"/>
                <w:sz w:val="20"/>
                <w:lang w:val="fr-CA"/>
              </w:rPr>
            </w:pPr>
          </w:p>
        </w:tc>
        <w:tc>
          <w:tcPr>
            <w:tcW w:w="2384" w:type="pct"/>
          </w:tcPr>
          <w:p w:rsidR="00986103" w:rsidRPr="00667307" w:rsidRDefault="00986103" w:rsidP="00E52F75">
            <w:pPr>
              <w:jc w:val="both"/>
              <w:rPr>
                <w:rFonts w:eastAsia="Calibri"/>
                <w:sz w:val="20"/>
                <w:lang w:val="fr-CA"/>
              </w:rPr>
            </w:pPr>
            <w:r w:rsidRPr="00667307">
              <w:rPr>
                <w:rFonts w:eastAsia="Calibri"/>
                <w:sz w:val="20"/>
                <w:lang w:val="fr-CA"/>
              </w:rPr>
              <w:t>Ordonnance de tutelle de la Couronne sans droit de visite, confirmée</w:t>
            </w:r>
          </w:p>
          <w:p w:rsidR="00986103" w:rsidRPr="00667307" w:rsidRDefault="00986103" w:rsidP="00E52F75">
            <w:pPr>
              <w:jc w:val="both"/>
              <w:rPr>
                <w:rFonts w:eastAsia="Calibri"/>
                <w:sz w:val="20"/>
                <w:lang w:val="fr-CA"/>
              </w:rPr>
            </w:pPr>
          </w:p>
        </w:tc>
      </w:tr>
      <w:tr w:rsidR="00986103" w:rsidRPr="00D41BFD" w:rsidTr="00E52F75">
        <w:tc>
          <w:tcPr>
            <w:tcW w:w="2378" w:type="pct"/>
          </w:tcPr>
          <w:p w:rsidR="00986103" w:rsidRPr="00667307" w:rsidRDefault="00986103" w:rsidP="00E52F75">
            <w:pPr>
              <w:jc w:val="both"/>
              <w:rPr>
                <w:rFonts w:eastAsia="Calibri"/>
                <w:sz w:val="20"/>
                <w:lang w:val="fr-CA"/>
              </w:rPr>
            </w:pPr>
            <w:r w:rsidRPr="00667307">
              <w:rPr>
                <w:rFonts w:eastAsia="Calibri"/>
                <w:sz w:val="20"/>
                <w:lang w:val="fr-CA"/>
              </w:rPr>
              <w:t>7 février 2013</w:t>
            </w:r>
          </w:p>
          <w:p w:rsidR="00986103" w:rsidRPr="00667307" w:rsidRDefault="00986103" w:rsidP="00E52F75">
            <w:pPr>
              <w:jc w:val="both"/>
              <w:rPr>
                <w:rFonts w:eastAsia="Calibri"/>
                <w:sz w:val="20"/>
                <w:lang w:val="fr-CA"/>
              </w:rPr>
            </w:pPr>
            <w:r w:rsidRPr="00667307">
              <w:rPr>
                <w:rFonts w:eastAsia="Calibri"/>
                <w:sz w:val="20"/>
                <w:lang w:val="fr-CA"/>
              </w:rPr>
              <w:t>Cour d’appel de l’Ontario</w:t>
            </w:r>
          </w:p>
          <w:p w:rsidR="00986103" w:rsidRPr="00667307" w:rsidRDefault="00986103" w:rsidP="00E52F75">
            <w:pPr>
              <w:jc w:val="both"/>
              <w:rPr>
                <w:rFonts w:eastAsia="Calibri"/>
                <w:sz w:val="20"/>
                <w:lang w:val="fr-CA"/>
              </w:rPr>
            </w:pPr>
            <w:r w:rsidRPr="00667307">
              <w:rPr>
                <w:rFonts w:eastAsia="Calibri"/>
                <w:sz w:val="20"/>
                <w:lang w:val="fr-CA"/>
              </w:rPr>
              <w:t>(Juges Goudge, Epstein et Tulloch)</w:t>
            </w:r>
          </w:p>
          <w:p w:rsidR="00986103" w:rsidRPr="00667307" w:rsidRDefault="00986103" w:rsidP="00E52F75">
            <w:pPr>
              <w:jc w:val="both"/>
              <w:rPr>
                <w:rFonts w:eastAsia="Calibri"/>
                <w:sz w:val="20"/>
                <w:lang w:val="fr-CA"/>
              </w:rPr>
            </w:pPr>
            <w:r w:rsidRPr="00667307">
              <w:rPr>
                <w:rFonts w:eastAsia="Calibri"/>
                <w:sz w:val="20"/>
                <w:lang w:val="fr-CA"/>
              </w:rPr>
              <w:t>2013 ONCA 77</w:t>
            </w:r>
          </w:p>
          <w:p w:rsidR="00986103" w:rsidRPr="00667307" w:rsidRDefault="00986103" w:rsidP="00E52F75">
            <w:pPr>
              <w:jc w:val="both"/>
              <w:rPr>
                <w:rFonts w:eastAsia="Calibri"/>
                <w:sz w:val="20"/>
                <w:lang w:val="fr-CA"/>
              </w:rPr>
            </w:pPr>
          </w:p>
        </w:tc>
        <w:tc>
          <w:tcPr>
            <w:tcW w:w="238" w:type="pct"/>
          </w:tcPr>
          <w:p w:rsidR="00986103" w:rsidRPr="00667307" w:rsidRDefault="00986103" w:rsidP="00E52F75">
            <w:pPr>
              <w:jc w:val="both"/>
              <w:rPr>
                <w:rFonts w:eastAsia="Calibri"/>
                <w:sz w:val="20"/>
                <w:lang w:val="fr-CA"/>
              </w:rPr>
            </w:pPr>
          </w:p>
        </w:tc>
        <w:tc>
          <w:tcPr>
            <w:tcW w:w="2384" w:type="pct"/>
          </w:tcPr>
          <w:p w:rsidR="00986103" w:rsidRPr="00667307" w:rsidRDefault="00986103" w:rsidP="00E52F75">
            <w:pPr>
              <w:jc w:val="both"/>
              <w:rPr>
                <w:rFonts w:eastAsia="Calibri"/>
                <w:sz w:val="20"/>
                <w:lang w:val="fr-CA"/>
              </w:rPr>
            </w:pPr>
            <w:r w:rsidRPr="00667307">
              <w:rPr>
                <w:rFonts w:eastAsia="Calibri"/>
                <w:sz w:val="20"/>
                <w:lang w:val="fr-CA"/>
              </w:rPr>
              <w:t>Ordonnance de tutelle de la Couronne sans droit d’accès, confirmée</w:t>
            </w:r>
          </w:p>
          <w:p w:rsidR="00986103" w:rsidRPr="00667307" w:rsidRDefault="00986103" w:rsidP="00E52F75">
            <w:pPr>
              <w:jc w:val="both"/>
              <w:rPr>
                <w:rFonts w:eastAsia="Calibri"/>
                <w:sz w:val="20"/>
                <w:lang w:val="fr-CA"/>
              </w:rPr>
            </w:pPr>
          </w:p>
          <w:p w:rsidR="00986103" w:rsidRPr="00667307" w:rsidRDefault="00986103" w:rsidP="00E52F75">
            <w:pPr>
              <w:jc w:val="both"/>
              <w:rPr>
                <w:rFonts w:eastAsia="Calibri"/>
                <w:sz w:val="20"/>
                <w:lang w:val="fr-CA"/>
              </w:rPr>
            </w:pPr>
          </w:p>
        </w:tc>
      </w:tr>
      <w:tr w:rsidR="00986103" w:rsidRPr="00667307" w:rsidTr="00E52F75">
        <w:tc>
          <w:tcPr>
            <w:tcW w:w="2378" w:type="pct"/>
          </w:tcPr>
          <w:p w:rsidR="00986103" w:rsidRPr="00667307" w:rsidRDefault="00986103" w:rsidP="00E52F75">
            <w:pPr>
              <w:jc w:val="both"/>
              <w:rPr>
                <w:rFonts w:eastAsia="Calibri"/>
                <w:sz w:val="20"/>
                <w:lang w:val="fr-CA"/>
              </w:rPr>
            </w:pPr>
            <w:r w:rsidRPr="00667307">
              <w:rPr>
                <w:rFonts w:eastAsia="Calibri"/>
                <w:sz w:val="20"/>
                <w:lang w:val="fr-CA"/>
              </w:rPr>
              <w:t>5 avril 2013</w:t>
            </w:r>
          </w:p>
          <w:p w:rsidR="00986103" w:rsidRPr="00667307" w:rsidRDefault="00986103" w:rsidP="00E52F75">
            <w:pPr>
              <w:jc w:val="both"/>
              <w:rPr>
                <w:rFonts w:eastAsia="Calibri"/>
                <w:sz w:val="20"/>
                <w:lang w:val="fr-CA"/>
              </w:rPr>
            </w:pPr>
            <w:r w:rsidRPr="00667307">
              <w:rPr>
                <w:rFonts w:eastAsia="Calibri"/>
                <w:sz w:val="20"/>
                <w:lang w:val="fr-CA"/>
              </w:rPr>
              <w:t>Cour suprême du Canada</w:t>
            </w:r>
          </w:p>
        </w:tc>
        <w:tc>
          <w:tcPr>
            <w:tcW w:w="238" w:type="pct"/>
          </w:tcPr>
          <w:p w:rsidR="00986103" w:rsidRPr="00667307" w:rsidRDefault="00986103" w:rsidP="00E52F75">
            <w:pPr>
              <w:jc w:val="both"/>
              <w:rPr>
                <w:rFonts w:eastAsia="Calibri"/>
                <w:sz w:val="20"/>
                <w:lang w:val="fr-CA"/>
              </w:rPr>
            </w:pPr>
          </w:p>
        </w:tc>
        <w:tc>
          <w:tcPr>
            <w:tcW w:w="2384" w:type="pct"/>
          </w:tcPr>
          <w:p w:rsidR="00986103" w:rsidRPr="00667307" w:rsidRDefault="00986103" w:rsidP="00E52F75">
            <w:pPr>
              <w:jc w:val="both"/>
              <w:rPr>
                <w:rFonts w:eastAsia="Calibri"/>
                <w:sz w:val="20"/>
                <w:lang w:val="fr-CA"/>
              </w:rPr>
            </w:pPr>
            <w:r w:rsidRPr="00667307">
              <w:rPr>
                <w:rFonts w:eastAsia="Calibri"/>
                <w:sz w:val="20"/>
                <w:lang w:val="fr-CA"/>
              </w:rPr>
              <w:t>Demande d’autorisation d’appel, déposée</w:t>
            </w:r>
          </w:p>
          <w:p w:rsidR="00986103" w:rsidRPr="00667307" w:rsidRDefault="00986103" w:rsidP="00E52F75">
            <w:pPr>
              <w:jc w:val="both"/>
              <w:rPr>
                <w:rFonts w:eastAsia="Calibri"/>
                <w:sz w:val="20"/>
                <w:lang w:val="fr-CA"/>
              </w:rPr>
            </w:pPr>
          </w:p>
        </w:tc>
      </w:tr>
    </w:tbl>
    <w:p w:rsidR="00AA605C" w:rsidRDefault="00AA605C" w:rsidP="00AA605C">
      <w:pPr>
        <w:rPr>
          <w:sz w:val="20"/>
          <w:szCs w:val="20"/>
        </w:rPr>
      </w:pPr>
    </w:p>
    <w:p w:rsidR="00AA605C" w:rsidRDefault="00B3404D" w:rsidP="00AA605C">
      <w:pPr>
        <w:rPr>
          <w:sz w:val="20"/>
          <w:szCs w:val="20"/>
          <w:lang w:val="fr-CA"/>
        </w:rPr>
      </w:pPr>
      <w:r w:rsidRPr="00B3404D">
        <w:rPr>
          <w:sz w:val="20"/>
          <w:szCs w:val="20"/>
          <w:lang w:val="fr-CA"/>
        </w:rPr>
        <w:pict>
          <v:rect id="_x0000_i1085" style="width:2in;height:1pt" o:hrpct="0" o:hralign="center" o:hrstd="t" o:hrnoshade="t" o:hr="t" fillcolor="black [3213]" stroked="f"/>
        </w:pict>
      </w:r>
    </w:p>
    <w:p w:rsidR="00AA605C" w:rsidRDefault="00AA605C" w:rsidP="00AA605C">
      <w:pPr>
        <w:rPr>
          <w:sz w:val="20"/>
          <w:szCs w:val="20"/>
        </w:rPr>
      </w:pPr>
    </w:p>
    <w:tbl>
      <w:tblPr>
        <w:tblStyle w:val="TableGrid2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426F6" w:rsidRPr="00A426F6" w:rsidTr="00A426F6">
        <w:trPr>
          <w:cantSplit/>
        </w:trPr>
        <w:tc>
          <w:tcPr>
            <w:tcW w:w="1458" w:type="dxa"/>
          </w:tcPr>
          <w:p w:rsidR="00A426F6" w:rsidRPr="00A426F6" w:rsidRDefault="00A426F6" w:rsidP="00A426F6">
            <w:pPr>
              <w:rPr>
                <w:sz w:val="20"/>
                <w:szCs w:val="20"/>
              </w:rPr>
            </w:pPr>
            <w:r w:rsidRPr="00A426F6">
              <w:rPr>
                <w:b/>
                <w:sz w:val="20"/>
                <w:lang w:val="fr-CA"/>
              </w:rPr>
              <w:t>35299</w:t>
            </w:r>
          </w:p>
          <w:p w:rsidR="00A426F6" w:rsidRPr="00A426F6" w:rsidRDefault="00A426F6" w:rsidP="00A426F6">
            <w:pPr>
              <w:rPr>
                <w:b/>
                <w:sz w:val="20"/>
                <w:szCs w:val="20"/>
                <w:lang w:val="fr-CA"/>
              </w:rPr>
            </w:pPr>
          </w:p>
        </w:tc>
        <w:tc>
          <w:tcPr>
            <w:tcW w:w="8118" w:type="dxa"/>
          </w:tcPr>
          <w:p w:rsidR="00A426F6" w:rsidRPr="00A426F6" w:rsidRDefault="00A426F6" w:rsidP="00A426F6">
            <w:pPr>
              <w:rPr>
                <w:sz w:val="20"/>
                <w:szCs w:val="20"/>
              </w:rPr>
            </w:pPr>
            <w:r w:rsidRPr="00A426F6">
              <w:rPr>
                <w:b/>
                <w:sz w:val="20"/>
                <w:u w:val="single"/>
              </w:rPr>
              <w:t>Zhu Shi Li v. Her Majesty the Queen</w:t>
            </w:r>
            <w:r w:rsidRPr="00A426F6">
              <w:rPr>
                <w:sz w:val="20"/>
                <w:szCs w:val="20"/>
              </w:rPr>
              <w:t xml:space="preserve"> (Ont.) (Criminal) (By Leave)</w:t>
            </w:r>
          </w:p>
          <w:p w:rsidR="00A426F6" w:rsidRPr="00A426F6" w:rsidRDefault="00A426F6" w:rsidP="00A426F6">
            <w:pPr>
              <w:rPr>
                <w:sz w:val="20"/>
                <w:szCs w:val="20"/>
              </w:rPr>
            </w:pPr>
          </w:p>
        </w:tc>
      </w:tr>
      <w:tr w:rsidR="00A426F6" w:rsidRPr="00A426F6" w:rsidTr="00A426F6">
        <w:trPr>
          <w:cantSplit/>
        </w:trPr>
        <w:tc>
          <w:tcPr>
            <w:tcW w:w="1458" w:type="dxa"/>
          </w:tcPr>
          <w:p w:rsidR="00A426F6" w:rsidRPr="00A426F6" w:rsidRDefault="00A426F6" w:rsidP="00A426F6">
            <w:pPr>
              <w:rPr>
                <w:sz w:val="20"/>
                <w:szCs w:val="20"/>
              </w:rPr>
            </w:pPr>
            <w:r w:rsidRPr="00A426F6">
              <w:rPr>
                <w:sz w:val="20"/>
                <w:szCs w:val="20"/>
              </w:rPr>
              <w:t>Coram :</w:t>
            </w:r>
          </w:p>
        </w:tc>
        <w:tc>
          <w:tcPr>
            <w:tcW w:w="8118" w:type="dxa"/>
          </w:tcPr>
          <w:p w:rsidR="00A426F6" w:rsidRPr="00A426F6" w:rsidRDefault="00A426F6" w:rsidP="00A426F6">
            <w:pPr>
              <w:rPr>
                <w:sz w:val="20"/>
                <w:szCs w:val="20"/>
              </w:rPr>
            </w:pPr>
            <w:r w:rsidRPr="00A426F6">
              <w:rPr>
                <w:sz w:val="20"/>
                <w:u w:val="single"/>
              </w:rPr>
              <w:t>McLachlin C.J. and Abella and Cromwell JJ.</w:t>
            </w:r>
          </w:p>
          <w:p w:rsidR="00A426F6" w:rsidRPr="00A426F6" w:rsidRDefault="00A426F6" w:rsidP="00A426F6">
            <w:pPr>
              <w:rPr>
                <w:sz w:val="20"/>
                <w:szCs w:val="20"/>
                <w:u w:val="single"/>
              </w:rPr>
            </w:pPr>
          </w:p>
        </w:tc>
      </w:tr>
      <w:tr w:rsidR="00A426F6" w:rsidRPr="00D41BFD" w:rsidTr="00A426F6">
        <w:trPr>
          <w:cantSplit/>
        </w:trPr>
        <w:tc>
          <w:tcPr>
            <w:tcW w:w="9576" w:type="dxa"/>
            <w:gridSpan w:val="2"/>
          </w:tcPr>
          <w:p w:rsidR="00A426F6" w:rsidRPr="00A426F6" w:rsidRDefault="00A426F6" w:rsidP="00A426F6">
            <w:pPr>
              <w:ind w:firstLine="720"/>
              <w:jc w:val="both"/>
              <w:rPr>
                <w:sz w:val="20"/>
                <w:szCs w:val="20"/>
              </w:rPr>
            </w:pPr>
            <w:r w:rsidRPr="00A426F6">
              <w:rPr>
                <w:sz w:val="20"/>
                <w:szCs w:val="20"/>
              </w:rPr>
              <w:t>The application for leave to appeal from the judgment of the Court of Appeal for Ontario, Number C53382, 2013 ONCA 81, dated February 8, 2013, is dismissed without costs.</w:t>
            </w:r>
          </w:p>
          <w:p w:rsidR="00A426F6" w:rsidRPr="00A426F6" w:rsidRDefault="00A426F6" w:rsidP="00A426F6">
            <w:pPr>
              <w:jc w:val="both"/>
              <w:rPr>
                <w:sz w:val="20"/>
                <w:szCs w:val="20"/>
              </w:rPr>
            </w:pPr>
          </w:p>
          <w:p w:rsidR="00A426F6" w:rsidRPr="00A426F6" w:rsidRDefault="00A426F6" w:rsidP="00A426F6">
            <w:pPr>
              <w:ind w:firstLine="720"/>
              <w:jc w:val="both"/>
              <w:rPr>
                <w:sz w:val="20"/>
                <w:szCs w:val="20"/>
                <w:lang w:val="fr-CA"/>
              </w:rPr>
            </w:pPr>
            <w:r w:rsidRPr="00A426F6">
              <w:rPr>
                <w:sz w:val="20"/>
                <w:szCs w:val="20"/>
                <w:lang w:val="fr-CA"/>
              </w:rPr>
              <w:t>La demande d’autorisation d’appel de l’arrêt de la Cour d’appel de l’Ontario, numéro C53382, 2013 ONCA 81, daté du 8 février 2013, est rejetée sans dépens.</w:t>
            </w:r>
          </w:p>
        </w:tc>
      </w:tr>
    </w:tbl>
    <w:p w:rsidR="00AA605C" w:rsidRPr="00A426F6" w:rsidRDefault="00AA605C" w:rsidP="00AA605C">
      <w:pPr>
        <w:rPr>
          <w:sz w:val="20"/>
          <w:szCs w:val="20"/>
          <w:lang w:val="fr-CA"/>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26E3" w:rsidRPr="00667307" w:rsidTr="00E52F75">
        <w:tc>
          <w:tcPr>
            <w:tcW w:w="5000" w:type="pct"/>
            <w:gridSpan w:val="3"/>
          </w:tcPr>
          <w:p w:rsidR="003626E3" w:rsidRPr="00667307" w:rsidRDefault="003626E3" w:rsidP="00E52F75">
            <w:pPr>
              <w:jc w:val="both"/>
              <w:rPr>
                <w:rFonts w:eastAsia="Calibri"/>
                <w:sz w:val="20"/>
              </w:rPr>
            </w:pPr>
            <w:r w:rsidRPr="00667307">
              <w:rPr>
                <w:rFonts w:eastAsia="Calibri"/>
                <w:i/>
                <w:sz w:val="20"/>
              </w:rPr>
              <w:t>Charter of Rights</w:t>
            </w:r>
            <w:r w:rsidRPr="00667307">
              <w:rPr>
                <w:rFonts w:eastAsia="Calibri"/>
                <w:sz w:val="20"/>
              </w:rPr>
              <w:t xml:space="preserve"> – Criminal law – Search and seizure – General warrants – Video surveillance – Solicitor-client privilege – Where a judge lacks jurisdiction to issue a warrant, must a reviewing court rely only on s. 24(2) of the </w:t>
            </w:r>
            <w:r w:rsidRPr="00667307">
              <w:rPr>
                <w:rFonts w:eastAsia="Calibri"/>
                <w:i/>
                <w:sz w:val="20"/>
              </w:rPr>
              <w:t>Charter</w:t>
            </w:r>
            <w:r w:rsidRPr="00667307">
              <w:rPr>
                <w:rFonts w:eastAsia="Calibri"/>
                <w:sz w:val="20"/>
              </w:rPr>
              <w:t xml:space="preserve"> when considering a remedy? – If so, whether the evidence should have been excluded having regard to the jurisdictional error and the police seizure and review of privileged communications – Whether police should be required to comply with the minimum requirements of </w:t>
            </w:r>
            <w:r w:rsidRPr="00667307">
              <w:rPr>
                <w:rFonts w:eastAsia="Calibri"/>
                <w:bCs/>
                <w:i/>
                <w:sz w:val="20"/>
                <w:lang w:val="en-GB"/>
              </w:rPr>
              <w:t xml:space="preserve">Lavallee, Rackel &amp; Heintz </w:t>
            </w:r>
            <w:r w:rsidRPr="00667307">
              <w:rPr>
                <w:rFonts w:eastAsia="Calibri"/>
                <w:bCs/>
                <w:i/>
                <w:iCs/>
                <w:sz w:val="20"/>
                <w:lang w:val="en-GB"/>
              </w:rPr>
              <w:t>v</w:t>
            </w:r>
            <w:r w:rsidRPr="00667307">
              <w:rPr>
                <w:rFonts w:eastAsia="Calibri"/>
                <w:bCs/>
                <w:i/>
                <w:sz w:val="20"/>
                <w:lang w:val="en-GB"/>
              </w:rPr>
              <w:t>. Canada (Attorney General)</w:t>
            </w:r>
            <w:r w:rsidRPr="00667307">
              <w:rPr>
                <w:rFonts w:eastAsia="Calibri"/>
                <w:bCs/>
                <w:sz w:val="20"/>
                <w:lang w:val="en-GB"/>
              </w:rPr>
              <w:t xml:space="preserve">, [2002] 3 S.C.R. 209, </w:t>
            </w:r>
            <w:r w:rsidRPr="00667307">
              <w:rPr>
                <w:rFonts w:eastAsia="Calibri"/>
                <w:sz w:val="20"/>
              </w:rPr>
              <w:t xml:space="preserve">when seizing solicitor-client communications in a residence as opposed to a law office – </w:t>
            </w:r>
            <w:r w:rsidRPr="00667307">
              <w:rPr>
                <w:rFonts w:eastAsia="Calibri"/>
                <w:i/>
                <w:sz w:val="20"/>
              </w:rPr>
              <w:t>Criminal Code</w:t>
            </w:r>
            <w:r w:rsidRPr="00667307">
              <w:rPr>
                <w:rFonts w:eastAsia="Calibri"/>
                <w:sz w:val="20"/>
              </w:rPr>
              <w:t>, R.S.C. 1985, c. C-46, s. 487.01.</w:t>
            </w:r>
          </w:p>
        </w:tc>
      </w:tr>
      <w:tr w:rsidR="003626E3" w:rsidRPr="00667307" w:rsidTr="00E52F75">
        <w:tc>
          <w:tcPr>
            <w:tcW w:w="5000" w:type="pct"/>
            <w:gridSpan w:val="3"/>
          </w:tcPr>
          <w:p w:rsidR="003626E3" w:rsidRPr="00667307" w:rsidRDefault="003626E3" w:rsidP="00E52F75">
            <w:pPr>
              <w:jc w:val="both"/>
              <w:rPr>
                <w:rFonts w:eastAsia="Calibri"/>
                <w:sz w:val="20"/>
              </w:rPr>
            </w:pPr>
          </w:p>
        </w:tc>
      </w:tr>
      <w:tr w:rsidR="003626E3" w:rsidRPr="00667307" w:rsidTr="00E52F75">
        <w:tc>
          <w:tcPr>
            <w:tcW w:w="5000" w:type="pct"/>
            <w:gridSpan w:val="3"/>
          </w:tcPr>
          <w:p w:rsidR="003626E3" w:rsidRPr="00667307" w:rsidRDefault="003626E3" w:rsidP="00E52F75">
            <w:pPr>
              <w:jc w:val="both"/>
              <w:rPr>
                <w:rFonts w:eastAsia="Calibri"/>
                <w:sz w:val="20"/>
              </w:rPr>
            </w:pPr>
            <w:r w:rsidRPr="00667307">
              <w:rPr>
                <w:rFonts w:eastAsia="Calibri"/>
                <w:sz w:val="20"/>
              </w:rPr>
              <w:t xml:space="preserve">The applicant, Mr. Li, was convicted of production, conspiracy to produce and possession of marijuana for the purpose of trafficking.  He and three other individuals grew thousands of marijuana plants on large parcels of land located in rural areas of eastern and northeastern Ontario.  Mr. Li was the owner of one of the properties and was linked by surveillance to another.  During the course of their investigation the police obtained general warrants and search warrants from provincial court judges.  The general warrants issued under s. 487.01 of the </w:t>
            </w:r>
            <w:r w:rsidRPr="00667307">
              <w:rPr>
                <w:rFonts w:eastAsia="Calibri"/>
                <w:i/>
                <w:sz w:val="20"/>
              </w:rPr>
              <w:t>Criminal Code</w:t>
            </w:r>
            <w:r w:rsidRPr="00667307">
              <w:rPr>
                <w:rFonts w:eastAsia="Calibri"/>
                <w:sz w:val="20"/>
              </w:rPr>
              <w:t xml:space="preserve"> authorized the use of video surveillance as an investigative procedure. During the execution of one of the search warrants at a residence, the police seized and reviewed a number of real estate documents.  At trial, Mr. Li challenged the general warrants, arguing that a provincial court judge does not have the jurisdiction to issue general warrants authorizing video surveillance.  He also challenged the seizure of the real estate documents, arguing that they were protected by solicitor-client privilege.  The trial judge agreed that the provincial court judge did not have the authority to issue the general warrants allowing video surveillance and he thus found them to be unlawful.  However, despite the violation of Mr. Li’s s. 8 </w:t>
            </w:r>
            <w:r w:rsidRPr="00667307">
              <w:rPr>
                <w:rFonts w:eastAsia="Calibri"/>
                <w:i/>
                <w:sz w:val="20"/>
              </w:rPr>
              <w:t xml:space="preserve">Charter </w:t>
            </w:r>
            <w:r w:rsidRPr="00667307">
              <w:rPr>
                <w:rFonts w:eastAsia="Calibri"/>
                <w:sz w:val="20"/>
              </w:rPr>
              <w:t xml:space="preserve">rights, an analysis under s. 24(2) of the </w:t>
            </w:r>
            <w:r w:rsidRPr="00667307">
              <w:rPr>
                <w:rFonts w:eastAsia="Calibri"/>
                <w:i/>
                <w:sz w:val="20"/>
              </w:rPr>
              <w:t>Charter</w:t>
            </w:r>
            <w:r w:rsidRPr="00667307">
              <w:rPr>
                <w:rFonts w:eastAsia="Calibri"/>
                <w:sz w:val="20"/>
              </w:rPr>
              <w:t xml:space="preserve"> led him to admit the evidence.  The Court of </w:t>
            </w:r>
            <w:r w:rsidRPr="00667307">
              <w:rPr>
                <w:rFonts w:eastAsia="Calibri"/>
                <w:sz w:val="20"/>
              </w:rPr>
              <w:lastRenderedPageBreak/>
              <w:t>Appeal dismissed the appeal.</w:t>
            </w:r>
          </w:p>
          <w:p w:rsidR="003626E3" w:rsidRPr="00667307" w:rsidRDefault="003626E3" w:rsidP="00E52F75">
            <w:pPr>
              <w:jc w:val="both"/>
              <w:rPr>
                <w:rFonts w:eastAsia="Calibri"/>
                <w:sz w:val="20"/>
              </w:rPr>
            </w:pPr>
          </w:p>
        </w:tc>
      </w:tr>
      <w:tr w:rsidR="003626E3" w:rsidRPr="00667307" w:rsidTr="00E52F75">
        <w:tc>
          <w:tcPr>
            <w:tcW w:w="2427" w:type="pct"/>
          </w:tcPr>
          <w:p w:rsidR="003626E3" w:rsidRPr="00667307" w:rsidRDefault="003626E3" w:rsidP="00E52F75">
            <w:pPr>
              <w:jc w:val="both"/>
              <w:rPr>
                <w:rFonts w:eastAsia="Calibri"/>
                <w:sz w:val="20"/>
              </w:rPr>
            </w:pPr>
            <w:r w:rsidRPr="00667307">
              <w:rPr>
                <w:rFonts w:eastAsia="Calibri"/>
                <w:sz w:val="20"/>
              </w:rPr>
              <w:lastRenderedPageBreak/>
              <w:t>May 28, 2010</w:t>
            </w:r>
          </w:p>
          <w:p w:rsidR="003626E3" w:rsidRPr="00667307" w:rsidRDefault="003626E3" w:rsidP="00E52F75">
            <w:pPr>
              <w:jc w:val="both"/>
              <w:rPr>
                <w:rFonts w:eastAsia="Calibri"/>
                <w:sz w:val="20"/>
              </w:rPr>
            </w:pPr>
            <w:r w:rsidRPr="00667307">
              <w:rPr>
                <w:rFonts w:eastAsia="Calibri"/>
                <w:sz w:val="20"/>
              </w:rPr>
              <w:t>Ontario Superior Court of Justice</w:t>
            </w:r>
          </w:p>
          <w:p w:rsidR="003626E3" w:rsidRPr="00667307" w:rsidRDefault="003626E3" w:rsidP="00E52F75">
            <w:pPr>
              <w:jc w:val="both"/>
              <w:rPr>
                <w:rFonts w:eastAsia="Calibri"/>
                <w:sz w:val="20"/>
              </w:rPr>
            </w:pPr>
            <w:r w:rsidRPr="00667307">
              <w:rPr>
                <w:rFonts w:eastAsia="Calibri"/>
                <w:sz w:val="20"/>
              </w:rPr>
              <w:t>(Pedlar J.)</w:t>
            </w:r>
          </w:p>
          <w:p w:rsidR="003626E3" w:rsidRPr="00667307" w:rsidRDefault="003626E3" w:rsidP="00E52F75">
            <w:pPr>
              <w:jc w:val="both"/>
              <w:rPr>
                <w:rFonts w:eastAsia="Calibri"/>
                <w:sz w:val="20"/>
              </w:rPr>
            </w:pPr>
          </w:p>
        </w:tc>
        <w:tc>
          <w:tcPr>
            <w:tcW w:w="243" w:type="pct"/>
          </w:tcPr>
          <w:p w:rsidR="003626E3" w:rsidRPr="00667307" w:rsidRDefault="003626E3" w:rsidP="00E52F75">
            <w:pPr>
              <w:jc w:val="both"/>
              <w:rPr>
                <w:rFonts w:eastAsia="Calibri"/>
                <w:sz w:val="20"/>
              </w:rPr>
            </w:pPr>
          </w:p>
        </w:tc>
        <w:tc>
          <w:tcPr>
            <w:tcW w:w="2330" w:type="pct"/>
          </w:tcPr>
          <w:p w:rsidR="003626E3" w:rsidRPr="00667307" w:rsidRDefault="003626E3" w:rsidP="00E52F75">
            <w:pPr>
              <w:jc w:val="both"/>
              <w:rPr>
                <w:rFonts w:eastAsia="Calibri"/>
                <w:sz w:val="20"/>
              </w:rPr>
            </w:pPr>
            <w:r w:rsidRPr="00667307">
              <w:rPr>
                <w:rFonts w:eastAsia="Calibri"/>
                <w:sz w:val="20"/>
              </w:rPr>
              <w:t>Applicant convicted of production, conspiracy to produce and possession of marijuana for the purpose of trafficking</w:t>
            </w:r>
          </w:p>
          <w:p w:rsidR="003626E3" w:rsidRPr="00667307" w:rsidRDefault="003626E3" w:rsidP="00E52F75">
            <w:pPr>
              <w:jc w:val="both"/>
              <w:rPr>
                <w:rFonts w:eastAsia="Calibri"/>
                <w:sz w:val="20"/>
              </w:rPr>
            </w:pPr>
          </w:p>
        </w:tc>
      </w:tr>
      <w:tr w:rsidR="003626E3" w:rsidRPr="00667307" w:rsidTr="00E52F75">
        <w:tc>
          <w:tcPr>
            <w:tcW w:w="2427" w:type="pct"/>
          </w:tcPr>
          <w:p w:rsidR="003626E3" w:rsidRPr="00667307" w:rsidRDefault="003626E3" w:rsidP="00E52F75">
            <w:pPr>
              <w:jc w:val="both"/>
              <w:rPr>
                <w:rFonts w:eastAsia="Calibri"/>
                <w:sz w:val="20"/>
              </w:rPr>
            </w:pPr>
            <w:r w:rsidRPr="00667307">
              <w:rPr>
                <w:rFonts w:eastAsia="Calibri"/>
                <w:sz w:val="20"/>
              </w:rPr>
              <w:t>February 8, 2013</w:t>
            </w:r>
          </w:p>
          <w:p w:rsidR="003626E3" w:rsidRPr="00667307" w:rsidRDefault="003626E3" w:rsidP="00E52F75">
            <w:pPr>
              <w:jc w:val="both"/>
              <w:rPr>
                <w:rFonts w:eastAsia="Calibri"/>
                <w:sz w:val="20"/>
              </w:rPr>
            </w:pPr>
            <w:r w:rsidRPr="00667307">
              <w:rPr>
                <w:rFonts w:eastAsia="Calibri"/>
                <w:sz w:val="20"/>
              </w:rPr>
              <w:t>Court of Appeal for Ontario</w:t>
            </w:r>
          </w:p>
          <w:p w:rsidR="003626E3" w:rsidRPr="00667307" w:rsidRDefault="003626E3" w:rsidP="00E52F75">
            <w:pPr>
              <w:jc w:val="both"/>
              <w:rPr>
                <w:rFonts w:eastAsia="Calibri"/>
                <w:sz w:val="20"/>
              </w:rPr>
            </w:pPr>
            <w:r w:rsidRPr="00667307">
              <w:rPr>
                <w:rFonts w:eastAsia="Calibri"/>
                <w:sz w:val="20"/>
              </w:rPr>
              <w:t>(Doherty, Watt and Pepall [</w:t>
            </w:r>
            <w:r w:rsidRPr="00667307">
              <w:rPr>
                <w:rFonts w:eastAsia="Calibri"/>
                <w:i/>
                <w:sz w:val="20"/>
              </w:rPr>
              <w:t>ad hoc</w:t>
            </w:r>
            <w:r w:rsidRPr="00667307">
              <w:rPr>
                <w:rFonts w:eastAsia="Calibri"/>
                <w:sz w:val="20"/>
              </w:rPr>
              <w:t>] JJ.A.)</w:t>
            </w:r>
          </w:p>
          <w:p w:rsidR="003626E3" w:rsidRPr="00667307" w:rsidRDefault="003626E3" w:rsidP="00E52F75">
            <w:pPr>
              <w:jc w:val="both"/>
              <w:rPr>
                <w:rFonts w:eastAsia="Calibri"/>
                <w:sz w:val="20"/>
              </w:rPr>
            </w:pPr>
            <w:r w:rsidRPr="00667307">
              <w:rPr>
                <w:rFonts w:eastAsia="Calibri"/>
                <w:sz w:val="20"/>
              </w:rPr>
              <w:t>2013 ONCA 81</w:t>
            </w:r>
          </w:p>
          <w:p w:rsidR="003626E3" w:rsidRPr="00667307" w:rsidRDefault="003626E3" w:rsidP="00E52F75">
            <w:pPr>
              <w:jc w:val="both"/>
              <w:rPr>
                <w:rFonts w:eastAsia="Calibri"/>
                <w:sz w:val="20"/>
              </w:rPr>
            </w:pPr>
          </w:p>
        </w:tc>
        <w:tc>
          <w:tcPr>
            <w:tcW w:w="243" w:type="pct"/>
          </w:tcPr>
          <w:p w:rsidR="003626E3" w:rsidRPr="00667307" w:rsidRDefault="003626E3" w:rsidP="00E52F75">
            <w:pPr>
              <w:jc w:val="both"/>
              <w:rPr>
                <w:rFonts w:eastAsia="Calibri"/>
                <w:sz w:val="20"/>
              </w:rPr>
            </w:pPr>
          </w:p>
        </w:tc>
        <w:tc>
          <w:tcPr>
            <w:tcW w:w="2330" w:type="pct"/>
          </w:tcPr>
          <w:p w:rsidR="003626E3" w:rsidRPr="00667307" w:rsidRDefault="003626E3" w:rsidP="00E52F75">
            <w:pPr>
              <w:jc w:val="both"/>
              <w:rPr>
                <w:rFonts w:eastAsia="Calibri"/>
                <w:sz w:val="20"/>
              </w:rPr>
            </w:pPr>
            <w:r w:rsidRPr="00667307">
              <w:rPr>
                <w:rFonts w:eastAsia="Calibri"/>
                <w:sz w:val="20"/>
              </w:rPr>
              <w:t>Appeal dismissed</w:t>
            </w:r>
          </w:p>
          <w:p w:rsidR="003626E3" w:rsidRPr="00667307" w:rsidRDefault="003626E3" w:rsidP="00E52F75">
            <w:pPr>
              <w:jc w:val="both"/>
              <w:rPr>
                <w:rFonts w:eastAsia="Calibri"/>
                <w:sz w:val="20"/>
              </w:rPr>
            </w:pPr>
          </w:p>
        </w:tc>
      </w:tr>
      <w:tr w:rsidR="003626E3" w:rsidRPr="00667307" w:rsidTr="00E52F75">
        <w:tc>
          <w:tcPr>
            <w:tcW w:w="2427" w:type="pct"/>
          </w:tcPr>
          <w:p w:rsidR="003626E3" w:rsidRPr="00667307" w:rsidRDefault="003626E3" w:rsidP="00E52F75">
            <w:pPr>
              <w:jc w:val="both"/>
              <w:rPr>
                <w:rFonts w:eastAsia="Calibri"/>
                <w:sz w:val="20"/>
              </w:rPr>
            </w:pPr>
            <w:r w:rsidRPr="00667307">
              <w:rPr>
                <w:rFonts w:eastAsia="Calibri"/>
                <w:sz w:val="20"/>
              </w:rPr>
              <w:t>April 8, 2013</w:t>
            </w:r>
          </w:p>
          <w:p w:rsidR="003626E3" w:rsidRPr="00667307" w:rsidRDefault="003626E3" w:rsidP="00E52F75">
            <w:pPr>
              <w:jc w:val="both"/>
              <w:rPr>
                <w:rFonts w:eastAsia="Calibri"/>
                <w:sz w:val="20"/>
              </w:rPr>
            </w:pPr>
            <w:r w:rsidRPr="00667307">
              <w:rPr>
                <w:rFonts w:eastAsia="Calibri"/>
                <w:sz w:val="20"/>
              </w:rPr>
              <w:t>Supreme Court of Canada</w:t>
            </w:r>
          </w:p>
        </w:tc>
        <w:tc>
          <w:tcPr>
            <w:tcW w:w="243" w:type="pct"/>
          </w:tcPr>
          <w:p w:rsidR="003626E3" w:rsidRPr="00667307" w:rsidRDefault="003626E3" w:rsidP="00E52F75">
            <w:pPr>
              <w:jc w:val="both"/>
              <w:rPr>
                <w:rFonts w:eastAsia="Calibri"/>
                <w:sz w:val="20"/>
              </w:rPr>
            </w:pPr>
          </w:p>
        </w:tc>
        <w:tc>
          <w:tcPr>
            <w:tcW w:w="2330" w:type="pct"/>
          </w:tcPr>
          <w:p w:rsidR="003626E3" w:rsidRPr="00667307" w:rsidRDefault="003626E3" w:rsidP="00E52F75">
            <w:pPr>
              <w:jc w:val="both"/>
              <w:rPr>
                <w:rFonts w:eastAsia="Calibri"/>
                <w:sz w:val="20"/>
              </w:rPr>
            </w:pPr>
            <w:r w:rsidRPr="00667307">
              <w:rPr>
                <w:rFonts w:eastAsia="Calibri"/>
                <w:sz w:val="20"/>
              </w:rPr>
              <w:t>Application for leave to appeal filed</w:t>
            </w: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86"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26E3" w:rsidRPr="00EB43CD" w:rsidTr="00E52F75">
        <w:tc>
          <w:tcPr>
            <w:tcW w:w="5000" w:type="pct"/>
            <w:gridSpan w:val="3"/>
          </w:tcPr>
          <w:p w:rsidR="003626E3" w:rsidRPr="00667307" w:rsidRDefault="003626E3" w:rsidP="00E52F75">
            <w:pPr>
              <w:jc w:val="both"/>
              <w:rPr>
                <w:rFonts w:eastAsia="Calibri"/>
                <w:sz w:val="20"/>
                <w:lang w:val="fr-CA"/>
              </w:rPr>
            </w:pPr>
            <w:r w:rsidRPr="00667307">
              <w:rPr>
                <w:rFonts w:eastAsia="Calibri"/>
                <w:i/>
                <w:sz w:val="20"/>
                <w:lang w:val="fr-CA"/>
              </w:rPr>
              <w:t>Charte des droits</w:t>
            </w:r>
            <w:r w:rsidRPr="00667307">
              <w:rPr>
                <w:rFonts w:eastAsia="Calibri"/>
                <w:sz w:val="20"/>
                <w:lang w:val="fr-CA"/>
              </w:rPr>
              <w:t xml:space="preserve"> – Droit criminel – Fouilles et perquisitions – Mandats généraux – Vidéo</w:t>
            </w:r>
            <w:r w:rsidRPr="00667307">
              <w:rPr>
                <w:rFonts w:eastAsia="Calibri"/>
                <w:sz w:val="20"/>
                <w:lang w:val="fr-CA"/>
              </w:rPr>
              <w:noBreakHyphen/>
              <w:t xml:space="preserve">surveillance – Secret professionnel de l’avocat – Lorsqu’un juge n’a pas compétence pour délivrer un mandat, le tribunal siégeant en révision doit-il s’appuyer exclusivement sur le par. 24(2) de la </w:t>
            </w:r>
            <w:r w:rsidRPr="00667307">
              <w:rPr>
                <w:rFonts w:eastAsia="Calibri"/>
                <w:i/>
                <w:sz w:val="20"/>
                <w:lang w:val="fr-CA"/>
              </w:rPr>
              <w:t>Charte</w:t>
            </w:r>
            <w:r w:rsidRPr="00667307">
              <w:rPr>
                <w:rFonts w:eastAsia="Calibri"/>
                <w:sz w:val="20"/>
                <w:lang w:val="fr-CA"/>
              </w:rPr>
              <w:t xml:space="preserve"> lorsqu’il envisage une réparation? – Dans l’affirmative, la preuve aurait</w:t>
            </w:r>
            <w:r w:rsidRPr="00667307">
              <w:rPr>
                <w:rFonts w:eastAsia="Calibri"/>
                <w:sz w:val="20"/>
                <w:lang w:val="fr-CA"/>
              </w:rPr>
              <w:noBreakHyphen/>
              <w:t xml:space="preserve">elle dû être exclue eu égard à l’erreur de compétence et à la saisie et examen par la police de communications protégées par le secret professionnel? – La police devrait-elle être tenue de respecter les exigences minimales de </w:t>
            </w:r>
            <w:r w:rsidRPr="00667307">
              <w:rPr>
                <w:rFonts w:eastAsia="Calibri"/>
                <w:bCs/>
                <w:i/>
                <w:sz w:val="20"/>
                <w:lang w:val="fr-CA"/>
              </w:rPr>
              <w:t xml:space="preserve">Lavallee, Rackel &amp; Heintz </w:t>
            </w:r>
            <w:r w:rsidRPr="00667307">
              <w:rPr>
                <w:rFonts w:eastAsia="Calibri"/>
                <w:bCs/>
                <w:i/>
                <w:iCs/>
                <w:sz w:val="20"/>
                <w:lang w:val="fr-CA"/>
              </w:rPr>
              <w:t>c</w:t>
            </w:r>
            <w:r w:rsidRPr="00667307">
              <w:rPr>
                <w:rFonts w:eastAsia="Calibri"/>
                <w:bCs/>
                <w:i/>
                <w:sz w:val="20"/>
                <w:lang w:val="fr-CA"/>
              </w:rPr>
              <w:t>. Canada (Procureur général)</w:t>
            </w:r>
            <w:r w:rsidRPr="00667307">
              <w:rPr>
                <w:rFonts w:eastAsia="Calibri"/>
                <w:bCs/>
                <w:sz w:val="20"/>
                <w:lang w:val="fr-CA"/>
              </w:rPr>
              <w:t xml:space="preserve">, [2002] 3 R.C.S. 209 </w:t>
            </w:r>
            <w:r w:rsidRPr="00667307">
              <w:rPr>
                <w:rFonts w:eastAsia="Calibri"/>
                <w:sz w:val="20"/>
                <w:lang w:val="fr-CA"/>
              </w:rPr>
              <w:t xml:space="preserve">lorsqu’elle saisit des communications entre l’avocat et son client dans une maison d’habitation par opposition à un cabinet d’avocats? – </w:t>
            </w:r>
            <w:r w:rsidRPr="00667307">
              <w:rPr>
                <w:rFonts w:eastAsia="Calibri"/>
                <w:i/>
                <w:sz w:val="20"/>
                <w:lang w:val="fr-CA"/>
              </w:rPr>
              <w:t>Code criminel</w:t>
            </w:r>
            <w:r w:rsidRPr="00667307">
              <w:rPr>
                <w:rFonts w:eastAsia="Calibri"/>
                <w:sz w:val="20"/>
                <w:lang w:val="fr-CA"/>
              </w:rPr>
              <w:t>, L.R.C. 1985, ch. C-46, art. 487.01.</w:t>
            </w:r>
          </w:p>
        </w:tc>
      </w:tr>
      <w:tr w:rsidR="003626E3" w:rsidRPr="00EB43CD" w:rsidTr="00E52F75">
        <w:tc>
          <w:tcPr>
            <w:tcW w:w="5000" w:type="pct"/>
            <w:gridSpan w:val="3"/>
          </w:tcPr>
          <w:p w:rsidR="003626E3" w:rsidRPr="00667307" w:rsidRDefault="003626E3" w:rsidP="00E52F75">
            <w:pPr>
              <w:jc w:val="both"/>
              <w:rPr>
                <w:rFonts w:eastAsia="Calibri"/>
                <w:sz w:val="20"/>
                <w:lang w:val="fr-CA"/>
              </w:rPr>
            </w:pPr>
          </w:p>
        </w:tc>
      </w:tr>
      <w:tr w:rsidR="003626E3" w:rsidRPr="00667307" w:rsidTr="00E52F75">
        <w:tc>
          <w:tcPr>
            <w:tcW w:w="5000" w:type="pct"/>
            <w:gridSpan w:val="3"/>
          </w:tcPr>
          <w:p w:rsidR="003626E3" w:rsidRPr="00667307" w:rsidRDefault="003626E3" w:rsidP="00E52F75">
            <w:pPr>
              <w:jc w:val="both"/>
              <w:rPr>
                <w:rFonts w:eastAsia="Calibri"/>
                <w:sz w:val="20"/>
                <w:lang w:val="fr-CA"/>
              </w:rPr>
            </w:pPr>
            <w:r w:rsidRPr="00667307">
              <w:rPr>
                <w:rFonts w:eastAsia="Calibri"/>
                <w:sz w:val="20"/>
                <w:lang w:val="fr-CA"/>
              </w:rPr>
              <w:t xml:space="preserve">Le demandeur, M. Li, a été déclaré coupable de production, de complot en vue de produire et de possession de marijuana en vue d’en faire le trafic.  Lui et trois autres personnes ont cultivé des milliers de plants de marijuana sur de grandes parcelles de terre situées dans des régions rurales de l’est et du nord-est de l’Ontario.  Monsieur Li était propriétaire de l’une de ces parcelles et une surveillance a permis de le lier à une autre.  Dans le cours de leur enquête, les policiers ont obtenu des mandats généraux et des mandats de perquisition de juges de la cour provinciale.  Les mandats généraux obtenus en vertu de l’art. 487.01 du </w:t>
            </w:r>
            <w:r w:rsidRPr="00667307">
              <w:rPr>
                <w:rFonts w:eastAsia="Calibri"/>
                <w:i/>
                <w:sz w:val="20"/>
                <w:lang w:val="fr-CA"/>
              </w:rPr>
              <w:t>Code criminel</w:t>
            </w:r>
            <w:r w:rsidRPr="00667307">
              <w:rPr>
                <w:rFonts w:eastAsia="Calibri"/>
                <w:sz w:val="20"/>
                <w:lang w:val="fr-CA"/>
              </w:rPr>
              <w:t xml:space="preserve"> autorisaient l’utilisation de vidéo-surveillance comme méthode d’enquête.  Durant l’exécution de l’un des mandats de perquisition dans une maison d’habitation, les policiers ont saisi et examiné un certain nombre de documents en matière immobilière.  Au procès, M. Li a contesté les mandats généraux, plaidant qu’un juge de la cour provinciale n’avait pas compétence pour délivrer de tels mandats autorisant la vidéo-surveillance.  Il a également contesté la saisie des documents en matière immobilière, plaidant qu’ils étaient protégés par le secret professionnel de l’avocat.  Le juge du procès a souscrit à l’argument selon lequel le juge de la cour provinciale n’avait pas le pouvoir de délivrer des mandats généraux autorisant la vidéo-surveillance et il les a donc jugés illégaux.  Toutefois, malgré la violation des droits de M. Li garantis par l’art. 8 de la </w:t>
            </w:r>
            <w:r w:rsidRPr="00667307">
              <w:rPr>
                <w:rFonts w:eastAsia="Calibri"/>
                <w:i/>
                <w:sz w:val="20"/>
                <w:lang w:val="fr-CA"/>
              </w:rPr>
              <w:t>Charte</w:t>
            </w:r>
            <w:r w:rsidRPr="00667307">
              <w:rPr>
                <w:rFonts w:eastAsia="Calibri"/>
                <w:sz w:val="20"/>
                <w:lang w:val="fr-CA"/>
              </w:rPr>
              <w:t xml:space="preserve">, une analyse effectuée en application du par. 24(2) de la </w:t>
            </w:r>
            <w:r w:rsidRPr="00667307">
              <w:rPr>
                <w:rFonts w:eastAsia="Calibri"/>
                <w:i/>
                <w:sz w:val="20"/>
                <w:lang w:val="fr-CA"/>
              </w:rPr>
              <w:t>Charte</w:t>
            </w:r>
            <w:r w:rsidRPr="00667307">
              <w:rPr>
                <w:rFonts w:eastAsia="Calibri"/>
                <w:sz w:val="20"/>
                <w:lang w:val="fr-CA"/>
              </w:rPr>
              <w:t xml:space="preserve"> l’a amené à admettre la preuve.  La Cour d’appel a rejeté l’appel.</w:t>
            </w:r>
          </w:p>
          <w:p w:rsidR="003626E3" w:rsidRPr="00667307" w:rsidRDefault="003626E3" w:rsidP="00E52F75">
            <w:pPr>
              <w:jc w:val="both"/>
              <w:rPr>
                <w:rFonts w:eastAsia="Calibri"/>
                <w:sz w:val="20"/>
                <w:lang w:val="fr-CA"/>
              </w:rPr>
            </w:pPr>
          </w:p>
        </w:tc>
      </w:tr>
      <w:tr w:rsidR="003626E3" w:rsidRPr="00D41BFD" w:rsidTr="00E52F75">
        <w:tc>
          <w:tcPr>
            <w:tcW w:w="2427" w:type="pct"/>
          </w:tcPr>
          <w:p w:rsidR="003626E3" w:rsidRPr="00667307" w:rsidRDefault="003626E3" w:rsidP="00E52F75">
            <w:pPr>
              <w:jc w:val="both"/>
              <w:rPr>
                <w:rFonts w:eastAsia="Calibri"/>
                <w:sz w:val="20"/>
                <w:lang w:val="fr-CA"/>
              </w:rPr>
            </w:pPr>
            <w:r w:rsidRPr="00667307">
              <w:rPr>
                <w:rFonts w:eastAsia="Calibri"/>
                <w:sz w:val="20"/>
                <w:lang w:val="fr-CA"/>
              </w:rPr>
              <w:t>28 mai 2010</w:t>
            </w:r>
          </w:p>
          <w:p w:rsidR="003626E3" w:rsidRPr="00667307" w:rsidRDefault="003626E3" w:rsidP="00E52F75">
            <w:pPr>
              <w:jc w:val="both"/>
              <w:rPr>
                <w:rFonts w:eastAsia="Calibri"/>
                <w:sz w:val="20"/>
                <w:lang w:val="fr-CA"/>
              </w:rPr>
            </w:pPr>
            <w:r w:rsidRPr="00667307">
              <w:rPr>
                <w:rFonts w:eastAsia="Calibri"/>
                <w:sz w:val="20"/>
                <w:lang w:val="fr-CA"/>
              </w:rPr>
              <w:t>Cour supérieure de justice de l’Ontario</w:t>
            </w:r>
          </w:p>
          <w:p w:rsidR="003626E3" w:rsidRPr="00667307" w:rsidRDefault="003626E3" w:rsidP="00E52F75">
            <w:pPr>
              <w:jc w:val="both"/>
              <w:rPr>
                <w:rFonts w:eastAsia="Calibri"/>
                <w:sz w:val="20"/>
                <w:lang w:val="fr-CA"/>
              </w:rPr>
            </w:pPr>
            <w:r w:rsidRPr="00667307">
              <w:rPr>
                <w:rFonts w:eastAsia="Calibri"/>
                <w:sz w:val="20"/>
                <w:lang w:val="fr-CA"/>
              </w:rPr>
              <w:t>(Juge Pedlar)</w:t>
            </w:r>
          </w:p>
          <w:p w:rsidR="003626E3" w:rsidRPr="00667307" w:rsidRDefault="003626E3" w:rsidP="00E52F75">
            <w:pPr>
              <w:jc w:val="both"/>
              <w:rPr>
                <w:rFonts w:eastAsia="Calibri"/>
                <w:sz w:val="20"/>
                <w:lang w:val="fr-CA"/>
              </w:rPr>
            </w:pPr>
          </w:p>
        </w:tc>
        <w:tc>
          <w:tcPr>
            <w:tcW w:w="243" w:type="pct"/>
          </w:tcPr>
          <w:p w:rsidR="003626E3" w:rsidRPr="00667307" w:rsidRDefault="003626E3" w:rsidP="00E52F75">
            <w:pPr>
              <w:jc w:val="both"/>
              <w:rPr>
                <w:rFonts w:eastAsia="Calibri"/>
                <w:sz w:val="20"/>
                <w:lang w:val="fr-CA"/>
              </w:rPr>
            </w:pPr>
          </w:p>
        </w:tc>
        <w:tc>
          <w:tcPr>
            <w:tcW w:w="2330" w:type="pct"/>
          </w:tcPr>
          <w:p w:rsidR="003626E3" w:rsidRPr="00667307" w:rsidRDefault="003626E3" w:rsidP="00E52F75">
            <w:pPr>
              <w:jc w:val="both"/>
              <w:rPr>
                <w:rFonts w:eastAsia="Calibri"/>
                <w:sz w:val="20"/>
                <w:lang w:val="fr-CA"/>
              </w:rPr>
            </w:pPr>
            <w:r w:rsidRPr="00667307">
              <w:rPr>
                <w:rFonts w:eastAsia="Calibri"/>
                <w:sz w:val="20"/>
                <w:lang w:val="fr-CA"/>
              </w:rPr>
              <w:t>Demandeur déclaré coupable de production, de complot en vue de produire et de possession de marijuana en vue d’en faire le trafic</w:t>
            </w:r>
          </w:p>
          <w:p w:rsidR="003626E3" w:rsidRPr="00667307" w:rsidRDefault="003626E3" w:rsidP="00E52F75">
            <w:pPr>
              <w:jc w:val="both"/>
              <w:rPr>
                <w:rFonts w:eastAsia="Calibri"/>
                <w:sz w:val="20"/>
                <w:lang w:val="fr-CA"/>
              </w:rPr>
            </w:pPr>
          </w:p>
        </w:tc>
      </w:tr>
      <w:tr w:rsidR="003626E3" w:rsidRPr="00667307" w:rsidTr="00A426F6">
        <w:trPr>
          <w:cantSplit/>
        </w:trPr>
        <w:tc>
          <w:tcPr>
            <w:tcW w:w="2427" w:type="pct"/>
          </w:tcPr>
          <w:p w:rsidR="003626E3" w:rsidRPr="00667307" w:rsidRDefault="003626E3" w:rsidP="00E52F75">
            <w:pPr>
              <w:jc w:val="both"/>
              <w:rPr>
                <w:rFonts w:eastAsia="Calibri"/>
                <w:sz w:val="20"/>
                <w:lang w:val="fr-CA"/>
              </w:rPr>
            </w:pPr>
            <w:r w:rsidRPr="00667307">
              <w:rPr>
                <w:rFonts w:eastAsia="Calibri"/>
                <w:sz w:val="20"/>
                <w:lang w:val="fr-CA"/>
              </w:rPr>
              <w:lastRenderedPageBreak/>
              <w:t>8 février 2013</w:t>
            </w:r>
          </w:p>
          <w:p w:rsidR="003626E3" w:rsidRPr="00667307" w:rsidRDefault="003626E3" w:rsidP="00E52F75">
            <w:pPr>
              <w:jc w:val="both"/>
              <w:rPr>
                <w:rFonts w:eastAsia="Calibri"/>
                <w:sz w:val="20"/>
                <w:lang w:val="fr-CA"/>
              </w:rPr>
            </w:pPr>
            <w:r w:rsidRPr="00667307">
              <w:rPr>
                <w:rFonts w:eastAsia="Calibri"/>
                <w:sz w:val="20"/>
                <w:lang w:val="fr-CA"/>
              </w:rPr>
              <w:t>Cour d’appel de l’Ontario</w:t>
            </w:r>
          </w:p>
          <w:p w:rsidR="003626E3" w:rsidRPr="00667307" w:rsidRDefault="003626E3" w:rsidP="00E52F75">
            <w:pPr>
              <w:jc w:val="both"/>
              <w:rPr>
                <w:rFonts w:eastAsia="Calibri"/>
                <w:sz w:val="20"/>
                <w:lang w:val="fr-CA"/>
              </w:rPr>
            </w:pPr>
            <w:r w:rsidRPr="00667307">
              <w:rPr>
                <w:rFonts w:eastAsia="Calibri"/>
                <w:sz w:val="20"/>
                <w:lang w:val="fr-CA"/>
              </w:rPr>
              <w:t>(Juges Doherty, Watt et Pepall [</w:t>
            </w:r>
            <w:r w:rsidRPr="00667307">
              <w:rPr>
                <w:rFonts w:eastAsia="Calibri"/>
                <w:i/>
                <w:sz w:val="20"/>
                <w:lang w:val="fr-CA"/>
              </w:rPr>
              <w:t>ad hoc</w:t>
            </w:r>
            <w:r w:rsidRPr="00667307">
              <w:rPr>
                <w:rFonts w:eastAsia="Calibri"/>
                <w:sz w:val="20"/>
                <w:lang w:val="fr-CA"/>
              </w:rPr>
              <w:t>])</w:t>
            </w:r>
          </w:p>
          <w:p w:rsidR="003626E3" w:rsidRPr="00667307" w:rsidRDefault="003626E3" w:rsidP="00E52F75">
            <w:pPr>
              <w:jc w:val="both"/>
              <w:rPr>
                <w:rFonts w:eastAsia="Calibri"/>
                <w:sz w:val="20"/>
                <w:lang w:val="fr-CA"/>
              </w:rPr>
            </w:pPr>
            <w:r w:rsidRPr="00667307">
              <w:rPr>
                <w:rFonts w:eastAsia="Calibri"/>
                <w:sz w:val="20"/>
                <w:lang w:val="fr-CA"/>
              </w:rPr>
              <w:t>2013 ONCA 81</w:t>
            </w:r>
          </w:p>
          <w:p w:rsidR="003626E3" w:rsidRPr="00667307" w:rsidRDefault="003626E3" w:rsidP="00E52F75">
            <w:pPr>
              <w:jc w:val="both"/>
              <w:rPr>
                <w:rFonts w:eastAsia="Calibri"/>
                <w:sz w:val="20"/>
                <w:lang w:val="fr-CA"/>
              </w:rPr>
            </w:pPr>
          </w:p>
        </w:tc>
        <w:tc>
          <w:tcPr>
            <w:tcW w:w="243" w:type="pct"/>
          </w:tcPr>
          <w:p w:rsidR="003626E3" w:rsidRPr="00667307" w:rsidRDefault="003626E3" w:rsidP="00E52F75">
            <w:pPr>
              <w:jc w:val="both"/>
              <w:rPr>
                <w:rFonts w:eastAsia="Calibri"/>
                <w:sz w:val="20"/>
                <w:lang w:val="fr-CA"/>
              </w:rPr>
            </w:pPr>
          </w:p>
        </w:tc>
        <w:tc>
          <w:tcPr>
            <w:tcW w:w="2330" w:type="pct"/>
          </w:tcPr>
          <w:p w:rsidR="003626E3" w:rsidRPr="00667307" w:rsidRDefault="003626E3" w:rsidP="00E52F75">
            <w:pPr>
              <w:jc w:val="both"/>
              <w:rPr>
                <w:rFonts w:eastAsia="Calibri"/>
                <w:sz w:val="20"/>
                <w:lang w:val="fr-CA"/>
              </w:rPr>
            </w:pPr>
            <w:r w:rsidRPr="00667307">
              <w:rPr>
                <w:rFonts w:eastAsia="Calibri"/>
                <w:sz w:val="20"/>
                <w:lang w:val="fr-CA"/>
              </w:rPr>
              <w:t>Appel rejeté</w:t>
            </w:r>
          </w:p>
          <w:p w:rsidR="003626E3" w:rsidRPr="00667307" w:rsidRDefault="003626E3" w:rsidP="00E52F75">
            <w:pPr>
              <w:jc w:val="both"/>
              <w:rPr>
                <w:rFonts w:eastAsia="Calibri"/>
                <w:sz w:val="20"/>
                <w:lang w:val="fr-CA"/>
              </w:rPr>
            </w:pPr>
          </w:p>
        </w:tc>
      </w:tr>
      <w:tr w:rsidR="003626E3" w:rsidRPr="00667307" w:rsidTr="00A426F6">
        <w:trPr>
          <w:cantSplit/>
        </w:trPr>
        <w:tc>
          <w:tcPr>
            <w:tcW w:w="2427" w:type="pct"/>
          </w:tcPr>
          <w:p w:rsidR="003626E3" w:rsidRPr="00667307" w:rsidRDefault="003626E3" w:rsidP="00E52F75">
            <w:pPr>
              <w:jc w:val="both"/>
              <w:rPr>
                <w:rFonts w:eastAsia="Calibri"/>
                <w:sz w:val="20"/>
                <w:lang w:val="fr-CA"/>
              </w:rPr>
            </w:pPr>
            <w:r w:rsidRPr="00667307">
              <w:rPr>
                <w:rFonts w:eastAsia="Calibri"/>
                <w:sz w:val="20"/>
                <w:lang w:val="fr-CA"/>
              </w:rPr>
              <w:t>8 avril 2013</w:t>
            </w:r>
          </w:p>
          <w:p w:rsidR="003626E3" w:rsidRPr="00667307" w:rsidRDefault="003626E3" w:rsidP="00E52F75">
            <w:pPr>
              <w:jc w:val="both"/>
              <w:rPr>
                <w:rFonts w:eastAsia="Calibri"/>
                <w:sz w:val="20"/>
                <w:lang w:val="fr-CA"/>
              </w:rPr>
            </w:pPr>
            <w:r w:rsidRPr="00667307">
              <w:rPr>
                <w:rFonts w:eastAsia="Calibri"/>
                <w:sz w:val="20"/>
                <w:lang w:val="fr-CA"/>
              </w:rPr>
              <w:t>Cour suprême du Canada</w:t>
            </w:r>
          </w:p>
        </w:tc>
        <w:tc>
          <w:tcPr>
            <w:tcW w:w="243" w:type="pct"/>
          </w:tcPr>
          <w:p w:rsidR="003626E3" w:rsidRPr="00667307" w:rsidRDefault="003626E3" w:rsidP="00E52F75">
            <w:pPr>
              <w:jc w:val="both"/>
              <w:rPr>
                <w:rFonts w:eastAsia="Calibri"/>
                <w:sz w:val="20"/>
                <w:lang w:val="fr-CA"/>
              </w:rPr>
            </w:pPr>
          </w:p>
        </w:tc>
        <w:tc>
          <w:tcPr>
            <w:tcW w:w="2330" w:type="pct"/>
          </w:tcPr>
          <w:p w:rsidR="003626E3" w:rsidRPr="00667307" w:rsidRDefault="003626E3" w:rsidP="00E52F75">
            <w:pPr>
              <w:jc w:val="both"/>
              <w:rPr>
                <w:rFonts w:eastAsia="Calibri"/>
                <w:sz w:val="20"/>
                <w:lang w:val="fr-CA"/>
              </w:rPr>
            </w:pPr>
            <w:r w:rsidRPr="00667307">
              <w:rPr>
                <w:rFonts w:eastAsia="Calibri"/>
                <w:sz w:val="20"/>
                <w:lang w:val="fr-CA"/>
              </w:rPr>
              <w:t>Demande d’autorisation d’appel, déposée</w:t>
            </w:r>
          </w:p>
        </w:tc>
      </w:tr>
    </w:tbl>
    <w:p w:rsidR="00AA605C" w:rsidRDefault="00AA605C" w:rsidP="00AA605C">
      <w:pPr>
        <w:rPr>
          <w:sz w:val="20"/>
          <w:szCs w:val="20"/>
        </w:rPr>
      </w:pPr>
    </w:p>
    <w:p w:rsidR="00AA605C" w:rsidRDefault="00B3404D" w:rsidP="00AA605C">
      <w:pPr>
        <w:rPr>
          <w:sz w:val="20"/>
          <w:szCs w:val="20"/>
          <w:lang w:val="fr-CA"/>
        </w:rPr>
      </w:pPr>
      <w:r w:rsidRPr="00B3404D">
        <w:rPr>
          <w:sz w:val="20"/>
          <w:szCs w:val="20"/>
          <w:lang w:val="fr-CA"/>
        </w:rPr>
        <w:pict>
          <v:rect id="_x0000_i1087" style="width:2in;height:1pt" o:hrpct="0" o:hralign="center" o:hrstd="t" o:hrnoshade="t" o:hr="t" fillcolor="black [3213]" stroked="f"/>
        </w:pict>
      </w:r>
    </w:p>
    <w:p w:rsidR="00AA605C" w:rsidRDefault="00AA605C" w:rsidP="00AA605C">
      <w:pPr>
        <w:rPr>
          <w:sz w:val="20"/>
          <w:szCs w:val="20"/>
        </w:rPr>
      </w:pPr>
    </w:p>
    <w:tbl>
      <w:tblPr>
        <w:tblStyle w:val="TableGrid2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426F6" w:rsidRPr="00A426F6" w:rsidTr="00A426F6">
        <w:trPr>
          <w:cantSplit/>
        </w:trPr>
        <w:tc>
          <w:tcPr>
            <w:tcW w:w="1458" w:type="dxa"/>
          </w:tcPr>
          <w:p w:rsidR="00A426F6" w:rsidRPr="00A426F6" w:rsidRDefault="00A426F6" w:rsidP="00A426F6">
            <w:pPr>
              <w:rPr>
                <w:sz w:val="20"/>
                <w:szCs w:val="20"/>
              </w:rPr>
            </w:pPr>
            <w:r w:rsidRPr="00A426F6">
              <w:rPr>
                <w:b/>
                <w:sz w:val="20"/>
                <w:lang w:val="fr-CA"/>
              </w:rPr>
              <w:t>35303</w:t>
            </w:r>
          </w:p>
          <w:p w:rsidR="00A426F6" w:rsidRPr="00A426F6" w:rsidRDefault="00A426F6" w:rsidP="00A426F6">
            <w:pPr>
              <w:rPr>
                <w:b/>
                <w:sz w:val="20"/>
                <w:szCs w:val="20"/>
                <w:lang w:val="fr-CA"/>
              </w:rPr>
            </w:pPr>
          </w:p>
        </w:tc>
        <w:tc>
          <w:tcPr>
            <w:tcW w:w="8118" w:type="dxa"/>
          </w:tcPr>
          <w:p w:rsidR="00A426F6" w:rsidRPr="00A426F6" w:rsidRDefault="00A426F6" w:rsidP="00A426F6">
            <w:pPr>
              <w:rPr>
                <w:sz w:val="20"/>
                <w:szCs w:val="20"/>
              </w:rPr>
            </w:pPr>
            <w:r w:rsidRPr="00A426F6">
              <w:rPr>
                <w:b/>
                <w:sz w:val="20"/>
                <w:u w:val="single"/>
              </w:rPr>
              <w:t>Cory R. Meadus v. Suzanne Meadus</w:t>
            </w:r>
            <w:r w:rsidRPr="00A426F6">
              <w:rPr>
                <w:sz w:val="20"/>
                <w:szCs w:val="20"/>
              </w:rPr>
              <w:t xml:space="preserve"> (N.L.) (Civil) (By Leave)</w:t>
            </w:r>
          </w:p>
          <w:p w:rsidR="00A426F6" w:rsidRPr="00A426F6" w:rsidRDefault="00A426F6" w:rsidP="00A426F6">
            <w:pPr>
              <w:rPr>
                <w:sz w:val="20"/>
                <w:szCs w:val="20"/>
              </w:rPr>
            </w:pPr>
          </w:p>
        </w:tc>
      </w:tr>
      <w:tr w:rsidR="00A426F6" w:rsidRPr="00A426F6" w:rsidTr="00A426F6">
        <w:trPr>
          <w:cantSplit/>
        </w:trPr>
        <w:tc>
          <w:tcPr>
            <w:tcW w:w="1458" w:type="dxa"/>
          </w:tcPr>
          <w:p w:rsidR="00A426F6" w:rsidRPr="00A426F6" w:rsidRDefault="00A426F6" w:rsidP="00A426F6">
            <w:pPr>
              <w:rPr>
                <w:sz w:val="20"/>
                <w:szCs w:val="20"/>
              </w:rPr>
            </w:pPr>
            <w:r w:rsidRPr="00A426F6">
              <w:rPr>
                <w:sz w:val="20"/>
                <w:szCs w:val="20"/>
              </w:rPr>
              <w:t>Coram :</w:t>
            </w:r>
          </w:p>
        </w:tc>
        <w:tc>
          <w:tcPr>
            <w:tcW w:w="8118" w:type="dxa"/>
          </w:tcPr>
          <w:p w:rsidR="00A426F6" w:rsidRPr="00A426F6" w:rsidRDefault="00A426F6" w:rsidP="00A426F6">
            <w:pPr>
              <w:rPr>
                <w:sz w:val="20"/>
                <w:szCs w:val="20"/>
              </w:rPr>
            </w:pPr>
            <w:r w:rsidRPr="00A426F6">
              <w:rPr>
                <w:sz w:val="20"/>
                <w:u w:val="single"/>
              </w:rPr>
              <w:t>Fish, Rothstein and Moldaver JJ.</w:t>
            </w:r>
          </w:p>
          <w:p w:rsidR="00A426F6" w:rsidRPr="00A426F6" w:rsidRDefault="00A426F6" w:rsidP="00A426F6">
            <w:pPr>
              <w:rPr>
                <w:sz w:val="20"/>
                <w:szCs w:val="20"/>
                <w:u w:val="single"/>
              </w:rPr>
            </w:pPr>
          </w:p>
        </w:tc>
      </w:tr>
      <w:tr w:rsidR="00A426F6" w:rsidRPr="00D41BFD" w:rsidTr="00A426F6">
        <w:trPr>
          <w:cantSplit/>
        </w:trPr>
        <w:tc>
          <w:tcPr>
            <w:tcW w:w="9576" w:type="dxa"/>
            <w:gridSpan w:val="2"/>
          </w:tcPr>
          <w:p w:rsidR="00A426F6" w:rsidRPr="00A426F6" w:rsidRDefault="00A426F6" w:rsidP="00A426F6">
            <w:pPr>
              <w:ind w:firstLine="720"/>
              <w:jc w:val="both"/>
              <w:rPr>
                <w:sz w:val="20"/>
                <w:szCs w:val="20"/>
              </w:rPr>
            </w:pPr>
            <w:r w:rsidRPr="00A426F6">
              <w:rPr>
                <w:sz w:val="20"/>
                <w:szCs w:val="20"/>
              </w:rPr>
              <w:t>The motion for an extension of time to serve and file the application for leave to appeal is granted. The application for leave to appeal from the judgment of the Supreme Court of Newfoundland and Labrador - Court of Appeal, Numbers 11/22, 11/35, 11/60, 11/61, and 11/92, 2012 NLCA 59, dated September 7, 2012, is dismissed with costs.</w:t>
            </w:r>
          </w:p>
          <w:p w:rsidR="00A426F6" w:rsidRPr="00A426F6" w:rsidRDefault="00A426F6" w:rsidP="00A426F6">
            <w:pPr>
              <w:jc w:val="both"/>
              <w:rPr>
                <w:sz w:val="20"/>
                <w:szCs w:val="20"/>
              </w:rPr>
            </w:pPr>
          </w:p>
          <w:p w:rsidR="00A426F6" w:rsidRPr="00A426F6" w:rsidRDefault="00A426F6" w:rsidP="00A426F6">
            <w:pPr>
              <w:ind w:firstLine="720"/>
              <w:jc w:val="both"/>
              <w:rPr>
                <w:sz w:val="20"/>
                <w:szCs w:val="20"/>
                <w:lang w:val="fr-CA"/>
              </w:rPr>
            </w:pPr>
            <w:r w:rsidRPr="00A426F6">
              <w:rPr>
                <w:sz w:val="20"/>
                <w:szCs w:val="20"/>
                <w:lang w:val="fr-CA"/>
              </w:rPr>
              <w:t>La requête en prorogation du délai de signification et de dépôt de la demande d’autorisation d’appel est accueillie. La demande d’autorisation d’appel de l’arrêt de la Cour suprême de Terre-Neuve-et-Labrador - Cour d'appel, numéros 11/22, 11/35, 11/60, 11/61, et 11/92, 2012 NLCA 59, daté du 7 septembre 2012, est rejetée avec dépens.</w:t>
            </w:r>
          </w:p>
        </w:tc>
      </w:tr>
    </w:tbl>
    <w:p w:rsidR="00AA605C" w:rsidRPr="00A426F6" w:rsidRDefault="00AA605C" w:rsidP="00AA605C">
      <w:pPr>
        <w:rPr>
          <w:sz w:val="20"/>
          <w:szCs w:val="20"/>
          <w:lang w:val="fr-CA"/>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26E3" w:rsidRPr="00667307" w:rsidTr="00E52F75">
        <w:tc>
          <w:tcPr>
            <w:tcW w:w="5000" w:type="pct"/>
            <w:gridSpan w:val="3"/>
          </w:tcPr>
          <w:p w:rsidR="003626E3" w:rsidRPr="00667307" w:rsidRDefault="003626E3" w:rsidP="00E52F75">
            <w:pPr>
              <w:jc w:val="both"/>
              <w:rPr>
                <w:rFonts w:eastAsia="Calibri"/>
                <w:sz w:val="20"/>
              </w:rPr>
            </w:pPr>
            <w:r w:rsidRPr="00667307">
              <w:rPr>
                <w:rFonts w:eastAsia="Calibri"/>
                <w:sz w:val="20"/>
              </w:rPr>
              <w:t>Family law – Custody – Support – Division of assets – Husband and wife separating - Whether lower courts erred in their disposition of the issues of custody, access, support and division of assets</w:t>
            </w:r>
          </w:p>
        </w:tc>
      </w:tr>
      <w:tr w:rsidR="003626E3" w:rsidRPr="00667307" w:rsidTr="00E52F75">
        <w:tc>
          <w:tcPr>
            <w:tcW w:w="5000" w:type="pct"/>
            <w:gridSpan w:val="3"/>
          </w:tcPr>
          <w:p w:rsidR="003626E3" w:rsidRPr="00667307" w:rsidRDefault="003626E3" w:rsidP="00E52F75">
            <w:pPr>
              <w:jc w:val="both"/>
              <w:rPr>
                <w:rFonts w:eastAsia="Calibri"/>
                <w:sz w:val="20"/>
              </w:rPr>
            </w:pPr>
          </w:p>
        </w:tc>
      </w:tr>
      <w:tr w:rsidR="003626E3" w:rsidRPr="00667307" w:rsidTr="00E52F75">
        <w:tc>
          <w:tcPr>
            <w:tcW w:w="5000" w:type="pct"/>
            <w:gridSpan w:val="3"/>
          </w:tcPr>
          <w:p w:rsidR="003626E3" w:rsidRPr="00667307" w:rsidRDefault="003626E3" w:rsidP="00E52F75">
            <w:pPr>
              <w:jc w:val="both"/>
              <w:rPr>
                <w:rFonts w:eastAsia="Calibri"/>
                <w:sz w:val="20"/>
              </w:rPr>
            </w:pPr>
            <w:r w:rsidRPr="00667307">
              <w:rPr>
                <w:rFonts w:eastAsia="Calibri"/>
                <w:sz w:val="20"/>
              </w:rPr>
              <w:t>The husband and wife were married in September, 1994 and separated finally in January, 2012.  Their three children were born in 1997, 1999 and 2001 and they have resided with their mother since the separation.  The issues of custody, access, support and division of property were all matters litigated in separate actions in the lower courts.  His appeals from five separate court orders were heard together.</w:t>
            </w:r>
          </w:p>
          <w:p w:rsidR="003626E3" w:rsidRPr="00667307" w:rsidRDefault="003626E3" w:rsidP="00E52F75">
            <w:pPr>
              <w:jc w:val="both"/>
              <w:rPr>
                <w:rFonts w:eastAsia="Calibri"/>
                <w:sz w:val="20"/>
              </w:rPr>
            </w:pPr>
          </w:p>
        </w:tc>
      </w:tr>
      <w:tr w:rsidR="003626E3" w:rsidRPr="00667307" w:rsidTr="00E52F75">
        <w:tc>
          <w:tcPr>
            <w:tcW w:w="2427" w:type="pct"/>
          </w:tcPr>
          <w:p w:rsidR="003626E3" w:rsidRPr="00667307" w:rsidRDefault="003626E3" w:rsidP="00E52F75">
            <w:pPr>
              <w:jc w:val="both"/>
              <w:rPr>
                <w:rFonts w:eastAsia="Calibri"/>
                <w:sz w:val="20"/>
              </w:rPr>
            </w:pPr>
            <w:r w:rsidRPr="00667307">
              <w:rPr>
                <w:rFonts w:eastAsia="Calibri"/>
                <w:sz w:val="20"/>
              </w:rPr>
              <w:t>September 7, 2012</w:t>
            </w:r>
          </w:p>
          <w:p w:rsidR="003626E3" w:rsidRPr="00667307" w:rsidRDefault="003626E3" w:rsidP="00E52F75">
            <w:pPr>
              <w:jc w:val="both"/>
              <w:rPr>
                <w:rFonts w:eastAsia="Calibri"/>
                <w:sz w:val="20"/>
              </w:rPr>
            </w:pPr>
            <w:r w:rsidRPr="00667307">
              <w:rPr>
                <w:rFonts w:eastAsia="Calibri"/>
                <w:sz w:val="20"/>
              </w:rPr>
              <w:t xml:space="preserve">Supreme Court of Newfoundland and </w:t>
            </w:r>
          </w:p>
          <w:p w:rsidR="003626E3" w:rsidRPr="00667307" w:rsidRDefault="003626E3" w:rsidP="00E52F75">
            <w:pPr>
              <w:jc w:val="both"/>
              <w:rPr>
                <w:rFonts w:eastAsia="Calibri"/>
                <w:sz w:val="20"/>
              </w:rPr>
            </w:pPr>
            <w:r w:rsidRPr="00667307">
              <w:rPr>
                <w:rFonts w:eastAsia="Calibri"/>
                <w:sz w:val="20"/>
              </w:rPr>
              <w:t>Labrador - Court of Appeal</w:t>
            </w:r>
          </w:p>
          <w:p w:rsidR="003626E3" w:rsidRPr="00667307" w:rsidRDefault="003626E3" w:rsidP="00E52F75">
            <w:pPr>
              <w:jc w:val="both"/>
              <w:rPr>
                <w:rFonts w:eastAsia="Calibri"/>
                <w:sz w:val="20"/>
              </w:rPr>
            </w:pPr>
            <w:r w:rsidRPr="00667307">
              <w:rPr>
                <w:rFonts w:eastAsia="Calibri"/>
                <w:sz w:val="20"/>
              </w:rPr>
              <w:t>(Welsh, Rowe and Barry JJ.A.)</w:t>
            </w:r>
          </w:p>
          <w:p w:rsidR="003626E3" w:rsidRPr="00667307" w:rsidRDefault="003626E3" w:rsidP="00E52F75">
            <w:pPr>
              <w:jc w:val="both"/>
              <w:rPr>
                <w:rFonts w:eastAsia="Calibri"/>
                <w:sz w:val="20"/>
              </w:rPr>
            </w:pPr>
            <w:r w:rsidRPr="00667307">
              <w:rPr>
                <w:rFonts w:eastAsia="Calibri"/>
                <w:sz w:val="20"/>
              </w:rPr>
              <w:t>2012 NLCA 59</w:t>
            </w:r>
          </w:p>
          <w:p w:rsidR="003626E3" w:rsidRPr="00667307" w:rsidRDefault="003626E3" w:rsidP="00E52F75">
            <w:pPr>
              <w:jc w:val="both"/>
              <w:rPr>
                <w:rFonts w:eastAsia="Calibri"/>
                <w:sz w:val="20"/>
              </w:rPr>
            </w:pPr>
            <w:r w:rsidRPr="00667307">
              <w:rPr>
                <w:rFonts w:eastAsia="Calibri"/>
                <w:sz w:val="20"/>
              </w:rPr>
              <w:t>Dockets: 11/22, 11/35;</w:t>
            </w:r>
          </w:p>
          <w:p w:rsidR="003626E3" w:rsidRPr="00667307" w:rsidRDefault="003626E3" w:rsidP="00E52F75">
            <w:pPr>
              <w:jc w:val="both"/>
              <w:rPr>
                <w:rFonts w:eastAsia="Calibri"/>
                <w:sz w:val="20"/>
              </w:rPr>
            </w:pPr>
            <w:r w:rsidRPr="00667307">
              <w:rPr>
                <w:rFonts w:eastAsia="Calibri"/>
                <w:sz w:val="20"/>
              </w:rPr>
              <w:t>11/60, 11/61, 11/92</w:t>
            </w:r>
          </w:p>
          <w:p w:rsidR="003626E3" w:rsidRPr="00667307" w:rsidRDefault="003626E3" w:rsidP="00E52F75">
            <w:pPr>
              <w:jc w:val="both"/>
              <w:rPr>
                <w:rFonts w:eastAsia="Calibri"/>
                <w:sz w:val="20"/>
              </w:rPr>
            </w:pPr>
          </w:p>
        </w:tc>
        <w:tc>
          <w:tcPr>
            <w:tcW w:w="243" w:type="pct"/>
          </w:tcPr>
          <w:p w:rsidR="003626E3" w:rsidRPr="00667307" w:rsidRDefault="003626E3" w:rsidP="00E52F75">
            <w:pPr>
              <w:jc w:val="both"/>
              <w:rPr>
                <w:rFonts w:eastAsia="Calibri"/>
                <w:sz w:val="20"/>
              </w:rPr>
            </w:pPr>
          </w:p>
        </w:tc>
        <w:tc>
          <w:tcPr>
            <w:tcW w:w="2330" w:type="pct"/>
          </w:tcPr>
          <w:p w:rsidR="003626E3" w:rsidRPr="00667307" w:rsidRDefault="003626E3" w:rsidP="00E52F75">
            <w:pPr>
              <w:jc w:val="both"/>
              <w:rPr>
                <w:rFonts w:eastAsia="Calibri"/>
                <w:sz w:val="20"/>
              </w:rPr>
            </w:pPr>
            <w:r w:rsidRPr="00667307">
              <w:rPr>
                <w:rFonts w:eastAsia="Calibri"/>
                <w:sz w:val="20"/>
              </w:rPr>
              <w:t>Order dismissing all of father’s appeals from lower court judgments; appeal allowed on the father’s right to participate in future proceedings</w:t>
            </w:r>
          </w:p>
          <w:p w:rsidR="003626E3" w:rsidRPr="00667307" w:rsidRDefault="003626E3" w:rsidP="00E52F75">
            <w:pPr>
              <w:jc w:val="both"/>
              <w:rPr>
                <w:rFonts w:eastAsia="Calibri"/>
                <w:sz w:val="20"/>
              </w:rPr>
            </w:pPr>
          </w:p>
          <w:p w:rsidR="003626E3" w:rsidRPr="00667307" w:rsidRDefault="003626E3" w:rsidP="00E52F75">
            <w:pPr>
              <w:jc w:val="both"/>
              <w:rPr>
                <w:rFonts w:eastAsia="Calibri"/>
                <w:sz w:val="20"/>
              </w:rPr>
            </w:pPr>
          </w:p>
        </w:tc>
      </w:tr>
      <w:tr w:rsidR="003626E3" w:rsidRPr="00667307" w:rsidTr="00E52F75">
        <w:tc>
          <w:tcPr>
            <w:tcW w:w="2427" w:type="pct"/>
          </w:tcPr>
          <w:p w:rsidR="003626E3" w:rsidRPr="00667307" w:rsidRDefault="003626E3" w:rsidP="00E52F75">
            <w:pPr>
              <w:jc w:val="both"/>
              <w:rPr>
                <w:rFonts w:eastAsia="Calibri"/>
                <w:sz w:val="20"/>
              </w:rPr>
            </w:pPr>
            <w:r w:rsidRPr="00667307">
              <w:rPr>
                <w:rFonts w:eastAsia="Calibri"/>
                <w:sz w:val="20"/>
              </w:rPr>
              <w:t>November 5, 2012</w:t>
            </w:r>
          </w:p>
          <w:p w:rsidR="003626E3" w:rsidRPr="00667307" w:rsidRDefault="003626E3" w:rsidP="00E52F75">
            <w:pPr>
              <w:jc w:val="both"/>
              <w:rPr>
                <w:rFonts w:eastAsia="Calibri"/>
                <w:sz w:val="20"/>
              </w:rPr>
            </w:pPr>
            <w:r w:rsidRPr="00667307">
              <w:rPr>
                <w:rFonts w:eastAsia="Calibri"/>
                <w:sz w:val="20"/>
              </w:rPr>
              <w:t>Supreme Court of Canada</w:t>
            </w:r>
          </w:p>
          <w:p w:rsidR="003626E3" w:rsidRPr="00667307" w:rsidRDefault="003626E3" w:rsidP="00E52F75">
            <w:pPr>
              <w:jc w:val="both"/>
              <w:rPr>
                <w:rFonts w:eastAsia="Calibri"/>
                <w:sz w:val="20"/>
              </w:rPr>
            </w:pPr>
          </w:p>
        </w:tc>
        <w:tc>
          <w:tcPr>
            <w:tcW w:w="243" w:type="pct"/>
          </w:tcPr>
          <w:p w:rsidR="003626E3" w:rsidRPr="00667307" w:rsidRDefault="003626E3" w:rsidP="00E52F75">
            <w:pPr>
              <w:jc w:val="both"/>
              <w:rPr>
                <w:rFonts w:eastAsia="Calibri"/>
                <w:sz w:val="20"/>
              </w:rPr>
            </w:pPr>
          </w:p>
        </w:tc>
        <w:tc>
          <w:tcPr>
            <w:tcW w:w="2330" w:type="pct"/>
          </w:tcPr>
          <w:p w:rsidR="003626E3" w:rsidRPr="00667307" w:rsidRDefault="003626E3" w:rsidP="00E52F75">
            <w:pPr>
              <w:jc w:val="both"/>
              <w:rPr>
                <w:rFonts w:eastAsia="Calibri"/>
                <w:sz w:val="20"/>
              </w:rPr>
            </w:pPr>
            <w:r w:rsidRPr="00667307">
              <w:rPr>
                <w:rFonts w:eastAsia="Calibri"/>
                <w:sz w:val="20"/>
              </w:rPr>
              <w:t>Application for leave to appeal filed</w:t>
            </w:r>
          </w:p>
          <w:p w:rsidR="003626E3" w:rsidRPr="00667307" w:rsidRDefault="003626E3" w:rsidP="00E52F75">
            <w:pPr>
              <w:jc w:val="both"/>
              <w:rPr>
                <w:rFonts w:eastAsia="Calibri"/>
                <w:sz w:val="20"/>
              </w:rPr>
            </w:pPr>
          </w:p>
        </w:tc>
      </w:tr>
      <w:tr w:rsidR="003626E3" w:rsidRPr="00667307" w:rsidTr="00E52F75">
        <w:tc>
          <w:tcPr>
            <w:tcW w:w="2427" w:type="pct"/>
          </w:tcPr>
          <w:p w:rsidR="003626E3" w:rsidRPr="00667307" w:rsidRDefault="003626E3" w:rsidP="00E52F75">
            <w:pPr>
              <w:jc w:val="both"/>
              <w:rPr>
                <w:rFonts w:eastAsia="Calibri"/>
                <w:sz w:val="20"/>
              </w:rPr>
            </w:pPr>
            <w:r w:rsidRPr="00667307">
              <w:rPr>
                <w:rFonts w:eastAsia="Calibri"/>
                <w:sz w:val="20"/>
              </w:rPr>
              <w:t>March 13, 2013</w:t>
            </w:r>
          </w:p>
          <w:p w:rsidR="003626E3" w:rsidRPr="00667307" w:rsidRDefault="003626E3" w:rsidP="00E52F75">
            <w:pPr>
              <w:jc w:val="both"/>
              <w:rPr>
                <w:rFonts w:eastAsia="Calibri"/>
                <w:sz w:val="20"/>
              </w:rPr>
            </w:pPr>
            <w:r w:rsidRPr="00667307">
              <w:rPr>
                <w:rFonts w:eastAsia="Calibri"/>
                <w:sz w:val="20"/>
              </w:rPr>
              <w:t>Supreme Court of Canada</w:t>
            </w:r>
          </w:p>
        </w:tc>
        <w:tc>
          <w:tcPr>
            <w:tcW w:w="243" w:type="pct"/>
          </w:tcPr>
          <w:p w:rsidR="003626E3" w:rsidRPr="00667307" w:rsidRDefault="003626E3" w:rsidP="00E52F75">
            <w:pPr>
              <w:jc w:val="both"/>
              <w:rPr>
                <w:rFonts w:eastAsia="Calibri"/>
                <w:sz w:val="20"/>
              </w:rPr>
            </w:pPr>
          </w:p>
        </w:tc>
        <w:tc>
          <w:tcPr>
            <w:tcW w:w="2330" w:type="pct"/>
          </w:tcPr>
          <w:p w:rsidR="003626E3" w:rsidRPr="00667307" w:rsidRDefault="003626E3" w:rsidP="00E52F75">
            <w:pPr>
              <w:jc w:val="both"/>
              <w:rPr>
                <w:rFonts w:eastAsia="Calibri"/>
                <w:sz w:val="20"/>
              </w:rPr>
            </w:pPr>
            <w:r w:rsidRPr="00667307">
              <w:rPr>
                <w:rFonts w:eastAsia="Calibri"/>
                <w:sz w:val="20"/>
              </w:rPr>
              <w:t>Motion for extension of time in which to serve and file application for leave to appeal filed</w:t>
            </w: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88"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26E3" w:rsidRPr="00D41BFD" w:rsidTr="00E52F75">
        <w:tc>
          <w:tcPr>
            <w:tcW w:w="5000" w:type="pct"/>
            <w:gridSpan w:val="3"/>
          </w:tcPr>
          <w:p w:rsidR="003626E3" w:rsidRPr="00667307" w:rsidRDefault="003626E3" w:rsidP="00E52F75">
            <w:pPr>
              <w:jc w:val="both"/>
              <w:rPr>
                <w:rFonts w:eastAsia="Calibri"/>
                <w:sz w:val="20"/>
                <w:lang w:val="fr-CA"/>
              </w:rPr>
            </w:pPr>
            <w:r w:rsidRPr="00667307">
              <w:rPr>
                <w:rFonts w:eastAsia="Calibri"/>
                <w:sz w:val="20"/>
                <w:lang w:val="fr-CA"/>
              </w:rPr>
              <w:t xml:space="preserve">Droit de la famille – Garde – Aliments – Partage des biens – Séparation des époux – Les tribunaux inférieurs ont-ils commis une erreur dans leurs décisions sur les questions de garde, de droits de visite, de pension alimentaire et de partage des biens? </w:t>
            </w:r>
          </w:p>
        </w:tc>
      </w:tr>
      <w:tr w:rsidR="003626E3" w:rsidRPr="00D41BFD" w:rsidTr="00E52F75">
        <w:tc>
          <w:tcPr>
            <w:tcW w:w="5000" w:type="pct"/>
            <w:gridSpan w:val="3"/>
          </w:tcPr>
          <w:p w:rsidR="003626E3" w:rsidRPr="00667307" w:rsidRDefault="003626E3" w:rsidP="00E52F75">
            <w:pPr>
              <w:jc w:val="both"/>
              <w:rPr>
                <w:rFonts w:eastAsia="Calibri"/>
                <w:sz w:val="20"/>
                <w:lang w:val="fr-CA"/>
              </w:rPr>
            </w:pPr>
          </w:p>
        </w:tc>
      </w:tr>
      <w:tr w:rsidR="003626E3" w:rsidRPr="00D41BFD" w:rsidTr="00E52F75">
        <w:tc>
          <w:tcPr>
            <w:tcW w:w="5000" w:type="pct"/>
            <w:gridSpan w:val="3"/>
          </w:tcPr>
          <w:p w:rsidR="003626E3" w:rsidRPr="00667307" w:rsidRDefault="003626E3" w:rsidP="00E52F75">
            <w:pPr>
              <w:jc w:val="both"/>
              <w:rPr>
                <w:rFonts w:eastAsia="Calibri"/>
                <w:sz w:val="20"/>
                <w:lang w:val="fr-CA"/>
              </w:rPr>
            </w:pPr>
            <w:r w:rsidRPr="00667307">
              <w:rPr>
                <w:rFonts w:eastAsia="Calibri"/>
                <w:sz w:val="20"/>
                <w:lang w:val="fr-CA"/>
              </w:rPr>
              <w:t xml:space="preserve">Mariés en septembre 1994, les époux se sont séparés définitivement en janvier 2012.  Leurs trois enfants, nés respectivement en 1997, 1999 et 2001, résident avec la mère depuis la séparation.  Les questions relatives à la garde, aux droits de visite, à la pension alimentaire et au partage des biens ont été réglées dans le cadre d’actions distinctes devant les juridictions inférieures.  Les appels interjetés à l’encontre des cinq ordonnances judiciaires ont été entendus conjointement.  </w:t>
            </w:r>
          </w:p>
          <w:p w:rsidR="003626E3" w:rsidRPr="00667307" w:rsidRDefault="003626E3" w:rsidP="00E52F75">
            <w:pPr>
              <w:jc w:val="both"/>
              <w:rPr>
                <w:rFonts w:eastAsia="Calibri"/>
                <w:sz w:val="20"/>
                <w:lang w:val="fr-CA"/>
              </w:rPr>
            </w:pPr>
          </w:p>
        </w:tc>
      </w:tr>
      <w:tr w:rsidR="003626E3" w:rsidRPr="00D41BFD" w:rsidTr="00E52F75">
        <w:tc>
          <w:tcPr>
            <w:tcW w:w="2427" w:type="pct"/>
          </w:tcPr>
          <w:p w:rsidR="003626E3" w:rsidRPr="00667307" w:rsidRDefault="003626E3" w:rsidP="00E52F75">
            <w:pPr>
              <w:jc w:val="both"/>
              <w:rPr>
                <w:rFonts w:eastAsia="Calibri"/>
                <w:sz w:val="20"/>
                <w:lang w:val="fr-CA"/>
              </w:rPr>
            </w:pPr>
            <w:r w:rsidRPr="00667307">
              <w:rPr>
                <w:rFonts w:eastAsia="Calibri"/>
                <w:sz w:val="20"/>
                <w:lang w:val="fr-CA"/>
              </w:rPr>
              <w:t>Le 7 septembre 2012</w:t>
            </w:r>
          </w:p>
          <w:p w:rsidR="003626E3" w:rsidRPr="00667307" w:rsidRDefault="003626E3" w:rsidP="00E52F75">
            <w:pPr>
              <w:jc w:val="both"/>
              <w:rPr>
                <w:rFonts w:eastAsia="Calibri"/>
                <w:sz w:val="20"/>
                <w:lang w:val="fr-CA"/>
              </w:rPr>
            </w:pPr>
            <w:r w:rsidRPr="00667307">
              <w:rPr>
                <w:rFonts w:eastAsia="Calibri"/>
                <w:sz w:val="20"/>
                <w:lang w:val="fr-CA"/>
              </w:rPr>
              <w:t>Cour suprême de Terre-Neuve-et-Labrador Cour d’appel</w:t>
            </w:r>
          </w:p>
          <w:p w:rsidR="003626E3" w:rsidRPr="00667307" w:rsidRDefault="003626E3" w:rsidP="00E52F75">
            <w:pPr>
              <w:jc w:val="both"/>
              <w:rPr>
                <w:rFonts w:eastAsia="Calibri"/>
                <w:sz w:val="20"/>
              </w:rPr>
            </w:pPr>
            <w:r w:rsidRPr="00667307">
              <w:rPr>
                <w:rFonts w:eastAsia="Calibri"/>
                <w:sz w:val="20"/>
              </w:rPr>
              <w:t>(juges Welsh, Rowe et Barry)</w:t>
            </w:r>
          </w:p>
          <w:p w:rsidR="003626E3" w:rsidRPr="00667307" w:rsidRDefault="003626E3" w:rsidP="00E52F75">
            <w:pPr>
              <w:jc w:val="both"/>
              <w:rPr>
                <w:rFonts w:eastAsia="Calibri"/>
                <w:sz w:val="20"/>
              </w:rPr>
            </w:pPr>
            <w:r w:rsidRPr="00667307">
              <w:rPr>
                <w:rFonts w:eastAsia="Calibri"/>
                <w:sz w:val="20"/>
              </w:rPr>
              <w:t>2012 NLCA 59</w:t>
            </w:r>
          </w:p>
          <w:p w:rsidR="003626E3" w:rsidRPr="00667307" w:rsidRDefault="003626E3" w:rsidP="00E52F75">
            <w:pPr>
              <w:jc w:val="both"/>
              <w:rPr>
                <w:rFonts w:eastAsia="Calibri"/>
                <w:sz w:val="20"/>
                <w:lang w:val="fr-CA"/>
              </w:rPr>
            </w:pPr>
            <w:r w:rsidRPr="00667307">
              <w:rPr>
                <w:rFonts w:eastAsia="Calibri"/>
                <w:sz w:val="20"/>
                <w:lang w:val="fr-CA"/>
              </w:rPr>
              <w:t>N</w:t>
            </w:r>
            <w:r w:rsidRPr="00667307">
              <w:rPr>
                <w:rFonts w:eastAsia="Calibri"/>
                <w:sz w:val="20"/>
                <w:vertAlign w:val="superscript"/>
                <w:lang w:val="fr-CA"/>
              </w:rPr>
              <w:t>os</w:t>
            </w:r>
            <w:r w:rsidRPr="00667307">
              <w:rPr>
                <w:rFonts w:eastAsia="Calibri"/>
                <w:sz w:val="20"/>
                <w:lang w:val="fr-CA"/>
              </w:rPr>
              <w:t> du greffe : 11/22, 11/35;</w:t>
            </w:r>
          </w:p>
          <w:p w:rsidR="003626E3" w:rsidRPr="00667307" w:rsidRDefault="003626E3" w:rsidP="00E52F75">
            <w:pPr>
              <w:jc w:val="both"/>
              <w:rPr>
                <w:rFonts w:eastAsia="Calibri"/>
                <w:sz w:val="20"/>
                <w:lang w:val="fr-CA"/>
              </w:rPr>
            </w:pPr>
            <w:r w:rsidRPr="00667307">
              <w:rPr>
                <w:rFonts w:eastAsia="Calibri"/>
                <w:sz w:val="20"/>
                <w:lang w:val="fr-CA"/>
              </w:rPr>
              <w:t>11/60, 11/61, 11/92</w:t>
            </w:r>
          </w:p>
          <w:p w:rsidR="003626E3" w:rsidRPr="00667307" w:rsidRDefault="003626E3" w:rsidP="00E52F75">
            <w:pPr>
              <w:jc w:val="both"/>
              <w:rPr>
                <w:rFonts w:eastAsia="Calibri"/>
                <w:sz w:val="20"/>
                <w:lang w:val="fr-CA"/>
              </w:rPr>
            </w:pPr>
          </w:p>
        </w:tc>
        <w:tc>
          <w:tcPr>
            <w:tcW w:w="243" w:type="pct"/>
          </w:tcPr>
          <w:p w:rsidR="003626E3" w:rsidRPr="00667307" w:rsidRDefault="003626E3" w:rsidP="00E52F75">
            <w:pPr>
              <w:jc w:val="both"/>
              <w:rPr>
                <w:rFonts w:eastAsia="Calibri"/>
                <w:sz w:val="20"/>
                <w:lang w:val="fr-CA"/>
              </w:rPr>
            </w:pPr>
          </w:p>
        </w:tc>
        <w:tc>
          <w:tcPr>
            <w:tcW w:w="2330" w:type="pct"/>
          </w:tcPr>
          <w:p w:rsidR="003626E3" w:rsidRPr="00667307" w:rsidRDefault="003626E3" w:rsidP="00E52F75">
            <w:pPr>
              <w:jc w:val="both"/>
              <w:rPr>
                <w:rFonts w:eastAsia="Calibri"/>
                <w:sz w:val="20"/>
                <w:lang w:val="fr-CA"/>
              </w:rPr>
            </w:pPr>
            <w:r w:rsidRPr="00667307">
              <w:rPr>
                <w:rFonts w:eastAsia="Calibri"/>
                <w:sz w:val="20"/>
                <w:lang w:val="fr-CA"/>
              </w:rPr>
              <w:t xml:space="preserve">Ordonnance rejetant les appels interjetés par le père des jugements des juridictions inférieures; appel interjeté par le père pour obtenir le droit de participer aux prochaines étapes de l’instance accueilli </w:t>
            </w:r>
          </w:p>
          <w:p w:rsidR="003626E3" w:rsidRPr="00667307" w:rsidRDefault="003626E3" w:rsidP="00E52F75">
            <w:pPr>
              <w:jc w:val="both"/>
              <w:rPr>
                <w:rFonts w:eastAsia="Calibri"/>
                <w:sz w:val="20"/>
                <w:lang w:val="fr-CA"/>
              </w:rPr>
            </w:pPr>
          </w:p>
          <w:p w:rsidR="003626E3" w:rsidRPr="00667307" w:rsidRDefault="003626E3" w:rsidP="00E52F75">
            <w:pPr>
              <w:jc w:val="both"/>
              <w:rPr>
                <w:rFonts w:eastAsia="Calibri"/>
                <w:sz w:val="20"/>
                <w:lang w:val="fr-CA"/>
              </w:rPr>
            </w:pPr>
          </w:p>
        </w:tc>
      </w:tr>
      <w:tr w:rsidR="003626E3" w:rsidRPr="00667307" w:rsidTr="00E52F75">
        <w:tc>
          <w:tcPr>
            <w:tcW w:w="2427" w:type="pct"/>
          </w:tcPr>
          <w:p w:rsidR="003626E3" w:rsidRPr="00667307" w:rsidRDefault="003626E3" w:rsidP="00E52F75">
            <w:pPr>
              <w:jc w:val="both"/>
              <w:rPr>
                <w:rFonts w:eastAsia="Calibri"/>
                <w:sz w:val="20"/>
                <w:lang w:val="fr-CA"/>
              </w:rPr>
            </w:pPr>
            <w:r w:rsidRPr="00667307">
              <w:rPr>
                <w:rFonts w:eastAsia="Calibri"/>
                <w:sz w:val="20"/>
                <w:lang w:val="fr-CA"/>
              </w:rPr>
              <w:t>Le 5 novembre 2012</w:t>
            </w:r>
          </w:p>
          <w:p w:rsidR="003626E3" w:rsidRPr="00667307" w:rsidRDefault="003626E3" w:rsidP="00E52F75">
            <w:pPr>
              <w:jc w:val="both"/>
              <w:rPr>
                <w:rFonts w:eastAsia="Calibri"/>
                <w:sz w:val="20"/>
                <w:lang w:val="fr-CA"/>
              </w:rPr>
            </w:pPr>
            <w:r w:rsidRPr="00667307">
              <w:rPr>
                <w:rFonts w:eastAsia="Calibri"/>
                <w:sz w:val="20"/>
                <w:lang w:val="fr-CA"/>
              </w:rPr>
              <w:t>Cour suprême du Canada</w:t>
            </w:r>
          </w:p>
          <w:p w:rsidR="003626E3" w:rsidRPr="00667307" w:rsidRDefault="003626E3" w:rsidP="00E52F75">
            <w:pPr>
              <w:jc w:val="both"/>
              <w:rPr>
                <w:rFonts w:eastAsia="Calibri"/>
                <w:sz w:val="20"/>
                <w:lang w:val="fr-CA"/>
              </w:rPr>
            </w:pPr>
          </w:p>
        </w:tc>
        <w:tc>
          <w:tcPr>
            <w:tcW w:w="243" w:type="pct"/>
          </w:tcPr>
          <w:p w:rsidR="003626E3" w:rsidRPr="00667307" w:rsidRDefault="003626E3" w:rsidP="00E52F75">
            <w:pPr>
              <w:jc w:val="both"/>
              <w:rPr>
                <w:rFonts w:eastAsia="Calibri"/>
                <w:sz w:val="20"/>
                <w:lang w:val="fr-CA"/>
              </w:rPr>
            </w:pPr>
          </w:p>
        </w:tc>
        <w:tc>
          <w:tcPr>
            <w:tcW w:w="2330" w:type="pct"/>
          </w:tcPr>
          <w:p w:rsidR="003626E3" w:rsidRPr="00667307" w:rsidRDefault="003626E3" w:rsidP="00E52F75">
            <w:pPr>
              <w:jc w:val="both"/>
              <w:rPr>
                <w:rFonts w:eastAsia="Calibri"/>
                <w:sz w:val="20"/>
              </w:rPr>
            </w:pPr>
            <w:r w:rsidRPr="00667307">
              <w:rPr>
                <w:rFonts w:eastAsia="Calibri"/>
                <w:sz w:val="20"/>
              </w:rPr>
              <w:t>Demande d’autorisation d’appel déposée</w:t>
            </w:r>
          </w:p>
          <w:p w:rsidR="003626E3" w:rsidRPr="00667307" w:rsidRDefault="003626E3" w:rsidP="00E52F75">
            <w:pPr>
              <w:jc w:val="both"/>
              <w:rPr>
                <w:rFonts w:eastAsia="Calibri"/>
                <w:sz w:val="20"/>
              </w:rPr>
            </w:pPr>
          </w:p>
        </w:tc>
      </w:tr>
      <w:tr w:rsidR="003626E3" w:rsidRPr="00D41BFD" w:rsidTr="00E52F75">
        <w:tc>
          <w:tcPr>
            <w:tcW w:w="2427" w:type="pct"/>
          </w:tcPr>
          <w:p w:rsidR="003626E3" w:rsidRPr="00667307" w:rsidRDefault="003626E3" w:rsidP="00E52F75">
            <w:pPr>
              <w:jc w:val="both"/>
              <w:rPr>
                <w:rFonts w:eastAsia="Calibri"/>
                <w:sz w:val="20"/>
                <w:lang w:val="fr-CA"/>
              </w:rPr>
            </w:pPr>
            <w:r w:rsidRPr="00667307">
              <w:rPr>
                <w:rFonts w:eastAsia="Calibri"/>
                <w:sz w:val="20"/>
                <w:lang w:val="fr-CA"/>
              </w:rPr>
              <w:t>Le 13 mars 2013</w:t>
            </w:r>
          </w:p>
          <w:p w:rsidR="003626E3" w:rsidRPr="00667307" w:rsidRDefault="003626E3" w:rsidP="00E52F75">
            <w:pPr>
              <w:jc w:val="both"/>
              <w:rPr>
                <w:rFonts w:eastAsia="Calibri"/>
                <w:sz w:val="20"/>
                <w:lang w:val="fr-CA"/>
              </w:rPr>
            </w:pPr>
            <w:r w:rsidRPr="00667307">
              <w:rPr>
                <w:rFonts w:eastAsia="Calibri"/>
                <w:sz w:val="20"/>
                <w:lang w:val="fr-CA"/>
              </w:rPr>
              <w:t>Cour suprême du Canada</w:t>
            </w:r>
          </w:p>
        </w:tc>
        <w:tc>
          <w:tcPr>
            <w:tcW w:w="243" w:type="pct"/>
          </w:tcPr>
          <w:p w:rsidR="003626E3" w:rsidRPr="00667307" w:rsidRDefault="003626E3" w:rsidP="00E52F75">
            <w:pPr>
              <w:jc w:val="both"/>
              <w:rPr>
                <w:rFonts w:eastAsia="Calibri"/>
                <w:sz w:val="20"/>
                <w:lang w:val="fr-CA"/>
              </w:rPr>
            </w:pPr>
          </w:p>
        </w:tc>
        <w:tc>
          <w:tcPr>
            <w:tcW w:w="2330" w:type="pct"/>
          </w:tcPr>
          <w:p w:rsidR="003626E3" w:rsidRPr="00667307" w:rsidRDefault="003626E3" w:rsidP="00E52F75">
            <w:pPr>
              <w:jc w:val="both"/>
              <w:rPr>
                <w:rFonts w:eastAsia="Calibri"/>
                <w:sz w:val="20"/>
                <w:lang w:val="fr-CA"/>
              </w:rPr>
            </w:pPr>
            <w:r w:rsidRPr="00667307">
              <w:rPr>
                <w:rFonts w:eastAsia="Calibri"/>
                <w:sz w:val="20"/>
                <w:lang w:val="fr-CA"/>
              </w:rPr>
              <w:t>Requête en prorogation du délai de signification et de dépôt de la demande d’autorisation d’appel</w:t>
            </w:r>
          </w:p>
        </w:tc>
      </w:tr>
    </w:tbl>
    <w:p w:rsidR="00AA605C" w:rsidRPr="003626E3" w:rsidRDefault="00AA605C" w:rsidP="00AA605C">
      <w:pPr>
        <w:rPr>
          <w:sz w:val="20"/>
          <w:szCs w:val="20"/>
          <w:lang w:val="fr-CA"/>
        </w:rPr>
      </w:pPr>
    </w:p>
    <w:p w:rsidR="00AA605C" w:rsidRDefault="00B3404D" w:rsidP="00AA605C">
      <w:pPr>
        <w:rPr>
          <w:sz w:val="20"/>
          <w:szCs w:val="20"/>
          <w:lang w:val="fr-CA"/>
        </w:rPr>
      </w:pPr>
      <w:r w:rsidRPr="00B3404D">
        <w:rPr>
          <w:sz w:val="20"/>
          <w:szCs w:val="20"/>
          <w:lang w:val="fr-CA"/>
        </w:rPr>
        <w:pict>
          <v:rect id="_x0000_i1089" style="width:2in;height:1pt" o:hrpct="0" o:hralign="center" o:hrstd="t" o:hrnoshade="t" o:hr="t" fillcolor="black [3213]" stroked="f"/>
        </w:pict>
      </w:r>
    </w:p>
    <w:p w:rsidR="00AA605C" w:rsidRDefault="00AA605C" w:rsidP="00AA605C">
      <w:pPr>
        <w:rPr>
          <w:sz w:val="20"/>
          <w:szCs w:val="20"/>
        </w:rPr>
      </w:pPr>
    </w:p>
    <w:tbl>
      <w:tblPr>
        <w:tblStyle w:val="TableGrid2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426F6" w:rsidRPr="00A426F6" w:rsidTr="00A426F6">
        <w:trPr>
          <w:cantSplit/>
        </w:trPr>
        <w:tc>
          <w:tcPr>
            <w:tcW w:w="1458" w:type="dxa"/>
          </w:tcPr>
          <w:p w:rsidR="00A426F6" w:rsidRPr="00A426F6" w:rsidRDefault="00A426F6" w:rsidP="00A426F6">
            <w:pPr>
              <w:rPr>
                <w:sz w:val="20"/>
                <w:szCs w:val="20"/>
              </w:rPr>
            </w:pPr>
            <w:r w:rsidRPr="00A426F6">
              <w:rPr>
                <w:b/>
                <w:sz w:val="20"/>
                <w:lang w:val="fr-CA"/>
              </w:rPr>
              <w:t>35320</w:t>
            </w:r>
          </w:p>
          <w:p w:rsidR="00A426F6" w:rsidRPr="00A426F6" w:rsidRDefault="00A426F6" w:rsidP="00A426F6">
            <w:pPr>
              <w:rPr>
                <w:b/>
                <w:sz w:val="20"/>
                <w:szCs w:val="20"/>
                <w:lang w:val="fr-CA"/>
              </w:rPr>
            </w:pPr>
          </w:p>
        </w:tc>
        <w:tc>
          <w:tcPr>
            <w:tcW w:w="8118" w:type="dxa"/>
          </w:tcPr>
          <w:p w:rsidR="00A426F6" w:rsidRPr="00A426F6" w:rsidRDefault="00A426F6" w:rsidP="00A426F6">
            <w:pPr>
              <w:jc w:val="both"/>
              <w:rPr>
                <w:sz w:val="20"/>
                <w:szCs w:val="20"/>
              </w:rPr>
            </w:pPr>
            <w:r w:rsidRPr="00A426F6">
              <w:rPr>
                <w:b/>
                <w:sz w:val="20"/>
                <w:u w:val="single"/>
              </w:rPr>
              <w:t>Ural Direk</w:t>
            </w:r>
            <w:r w:rsidR="001734E0">
              <w:rPr>
                <w:b/>
                <w:sz w:val="20"/>
                <w:u w:val="single"/>
              </w:rPr>
              <w:t xml:space="preserve"> and</w:t>
            </w:r>
            <w:r w:rsidRPr="00A426F6">
              <w:rPr>
                <w:b/>
                <w:sz w:val="20"/>
                <w:u w:val="single"/>
              </w:rPr>
              <w:t xml:space="preserve"> Kemal Direkoglu v. Information and Privacy Commissioner/Ontario, Peel Regional Police Services Board</w:t>
            </w:r>
            <w:r w:rsidR="001734E0">
              <w:rPr>
                <w:b/>
                <w:sz w:val="20"/>
                <w:u w:val="single"/>
              </w:rPr>
              <w:t xml:space="preserve"> and </w:t>
            </w:r>
            <w:r w:rsidRPr="00A426F6">
              <w:rPr>
                <w:b/>
                <w:sz w:val="20"/>
                <w:u w:val="single"/>
              </w:rPr>
              <w:t>Attorney General of Ontario AND BETWEEN Ural Direk</w:t>
            </w:r>
            <w:r w:rsidR="001734E0">
              <w:rPr>
                <w:b/>
                <w:sz w:val="20"/>
                <w:u w:val="single"/>
              </w:rPr>
              <w:t xml:space="preserve"> and</w:t>
            </w:r>
            <w:r w:rsidRPr="00A426F6">
              <w:rPr>
                <w:b/>
                <w:sz w:val="20"/>
                <w:u w:val="single"/>
              </w:rPr>
              <w:t xml:space="preserve"> Kemal Direkoglu v. Information and Privacy Commissioner/Ontario, Peel Regional Police Services Board</w:t>
            </w:r>
            <w:r w:rsidR="001734E0">
              <w:rPr>
                <w:b/>
                <w:sz w:val="20"/>
                <w:u w:val="single"/>
              </w:rPr>
              <w:t xml:space="preserve"> and</w:t>
            </w:r>
            <w:r w:rsidRPr="00A426F6">
              <w:rPr>
                <w:b/>
                <w:sz w:val="20"/>
                <w:u w:val="single"/>
              </w:rPr>
              <w:t xml:space="preserve"> Attorney General of Ontario</w:t>
            </w:r>
            <w:r w:rsidRPr="00A426F6">
              <w:rPr>
                <w:sz w:val="20"/>
                <w:szCs w:val="20"/>
              </w:rPr>
              <w:t xml:space="preserve"> (Ont.) (Civil) (By Leave)</w:t>
            </w:r>
          </w:p>
          <w:p w:rsidR="00A426F6" w:rsidRPr="00A426F6" w:rsidRDefault="00A426F6" w:rsidP="00A426F6">
            <w:pPr>
              <w:jc w:val="both"/>
              <w:rPr>
                <w:sz w:val="20"/>
                <w:szCs w:val="20"/>
              </w:rPr>
            </w:pPr>
          </w:p>
        </w:tc>
      </w:tr>
      <w:tr w:rsidR="00A426F6" w:rsidRPr="00A426F6" w:rsidTr="00A426F6">
        <w:trPr>
          <w:cantSplit/>
        </w:trPr>
        <w:tc>
          <w:tcPr>
            <w:tcW w:w="1458" w:type="dxa"/>
          </w:tcPr>
          <w:p w:rsidR="00A426F6" w:rsidRPr="00A426F6" w:rsidRDefault="00A426F6" w:rsidP="00A426F6">
            <w:pPr>
              <w:rPr>
                <w:sz w:val="20"/>
                <w:szCs w:val="20"/>
              </w:rPr>
            </w:pPr>
            <w:r w:rsidRPr="00A426F6">
              <w:rPr>
                <w:sz w:val="20"/>
                <w:szCs w:val="20"/>
              </w:rPr>
              <w:t>Coram :</w:t>
            </w:r>
          </w:p>
        </w:tc>
        <w:tc>
          <w:tcPr>
            <w:tcW w:w="8118" w:type="dxa"/>
          </w:tcPr>
          <w:p w:rsidR="00A426F6" w:rsidRPr="00A426F6" w:rsidRDefault="00A426F6" w:rsidP="00A426F6">
            <w:pPr>
              <w:rPr>
                <w:sz w:val="20"/>
                <w:szCs w:val="20"/>
              </w:rPr>
            </w:pPr>
            <w:r w:rsidRPr="00A426F6">
              <w:rPr>
                <w:sz w:val="20"/>
                <w:u w:val="single"/>
              </w:rPr>
              <w:t>Fish, Rothstein and Moldaver JJ.</w:t>
            </w:r>
          </w:p>
          <w:p w:rsidR="00A426F6" w:rsidRPr="00A426F6" w:rsidRDefault="00A426F6" w:rsidP="00A426F6">
            <w:pPr>
              <w:rPr>
                <w:sz w:val="20"/>
                <w:szCs w:val="20"/>
                <w:u w:val="single"/>
              </w:rPr>
            </w:pPr>
          </w:p>
        </w:tc>
      </w:tr>
      <w:tr w:rsidR="00A426F6" w:rsidRPr="00D41BFD" w:rsidTr="00A426F6">
        <w:trPr>
          <w:cantSplit/>
        </w:trPr>
        <w:tc>
          <w:tcPr>
            <w:tcW w:w="9576" w:type="dxa"/>
            <w:gridSpan w:val="2"/>
          </w:tcPr>
          <w:p w:rsidR="00A426F6" w:rsidRPr="00A426F6" w:rsidRDefault="00A426F6" w:rsidP="00A426F6">
            <w:pPr>
              <w:ind w:firstLine="720"/>
              <w:jc w:val="both"/>
              <w:rPr>
                <w:sz w:val="20"/>
                <w:szCs w:val="20"/>
              </w:rPr>
            </w:pPr>
            <w:r w:rsidRPr="00A426F6">
              <w:rPr>
                <w:sz w:val="20"/>
                <w:szCs w:val="20"/>
              </w:rPr>
              <w:t>The application for leave to appeal from the judgment of the Court of Appeal for Ontario, Number M41847, dated February 15, 2013, is dismissed without costs.</w:t>
            </w:r>
          </w:p>
          <w:p w:rsidR="00A426F6" w:rsidRPr="00A426F6" w:rsidRDefault="00A426F6" w:rsidP="00A426F6">
            <w:pPr>
              <w:jc w:val="both"/>
              <w:rPr>
                <w:sz w:val="20"/>
                <w:szCs w:val="20"/>
              </w:rPr>
            </w:pPr>
          </w:p>
          <w:p w:rsidR="00A426F6" w:rsidRPr="00A426F6" w:rsidRDefault="00A426F6" w:rsidP="00A426F6">
            <w:pPr>
              <w:ind w:firstLine="720"/>
              <w:jc w:val="both"/>
              <w:rPr>
                <w:sz w:val="20"/>
                <w:szCs w:val="20"/>
                <w:lang w:val="fr-CA"/>
              </w:rPr>
            </w:pPr>
            <w:r w:rsidRPr="00A426F6">
              <w:rPr>
                <w:sz w:val="20"/>
                <w:szCs w:val="20"/>
                <w:lang w:val="fr-CA"/>
              </w:rPr>
              <w:t>La demande d’autorisation d’appel de l’arrêt de la Cour d’appel de l’Ontario, numéro M41847, daté du 15 février 2013, est rejetée sans dépens.</w:t>
            </w:r>
          </w:p>
        </w:tc>
      </w:tr>
    </w:tbl>
    <w:p w:rsidR="00AA605C" w:rsidRPr="00A426F6" w:rsidRDefault="00AA605C" w:rsidP="00AA605C">
      <w:pPr>
        <w:rPr>
          <w:sz w:val="20"/>
          <w:szCs w:val="20"/>
          <w:lang w:val="fr-CA"/>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26E3" w:rsidRPr="00667307" w:rsidTr="00E52F75">
        <w:tc>
          <w:tcPr>
            <w:tcW w:w="5000" w:type="pct"/>
            <w:gridSpan w:val="3"/>
          </w:tcPr>
          <w:p w:rsidR="003626E3" w:rsidRPr="00667307" w:rsidRDefault="003626E3" w:rsidP="00E52F75">
            <w:pPr>
              <w:jc w:val="both"/>
              <w:rPr>
                <w:rFonts w:eastAsia="Calibri"/>
                <w:sz w:val="20"/>
              </w:rPr>
            </w:pPr>
            <w:r w:rsidRPr="00667307">
              <w:rPr>
                <w:rFonts w:eastAsia="Calibri"/>
                <w:sz w:val="20"/>
              </w:rPr>
              <w:t>Administrative law – Judicial review – Access to information – Information and Privacy Commissioner – Whether the Ontario Court of Appeal erred in dismissing the applicants’ motion for leave to appeal – Whether the application raises a legal issue – Whether this issue is of public importance.</w:t>
            </w:r>
          </w:p>
        </w:tc>
      </w:tr>
      <w:tr w:rsidR="003626E3" w:rsidRPr="00667307" w:rsidTr="00E52F75">
        <w:tc>
          <w:tcPr>
            <w:tcW w:w="5000" w:type="pct"/>
            <w:gridSpan w:val="3"/>
          </w:tcPr>
          <w:p w:rsidR="003626E3" w:rsidRPr="00667307" w:rsidRDefault="003626E3" w:rsidP="00E52F75">
            <w:pPr>
              <w:jc w:val="both"/>
              <w:rPr>
                <w:rFonts w:eastAsia="Calibri"/>
                <w:sz w:val="20"/>
              </w:rPr>
            </w:pPr>
          </w:p>
        </w:tc>
      </w:tr>
      <w:tr w:rsidR="003626E3" w:rsidRPr="00667307" w:rsidTr="00E52F75">
        <w:tc>
          <w:tcPr>
            <w:tcW w:w="5000" w:type="pct"/>
            <w:gridSpan w:val="3"/>
          </w:tcPr>
          <w:p w:rsidR="003626E3" w:rsidRPr="00667307" w:rsidRDefault="003626E3" w:rsidP="00E52F75">
            <w:pPr>
              <w:jc w:val="both"/>
              <w:rPr>
                <w:rFonts w:eastAsia="Calibri"/>
                <w:sz w:val="20"/>
              </w:rPr>
            </w:pPr>
            <w:r w:rsidRPr="00667307">
              <w:rPr>
                <w:rFonts w:eastAsia="Calibri"/>
                <w:sz w:val="20"/>
              </w:rPr>
              <w:t xml:space="preserve">In January 2010, the applicant Ural Direk appealed a decision of the Peel Regional Police Services Board with respect to the disclosure of records to the Information and Privacy Commissioner of Ontario.  The Commissioner dismissed </w:t>
            </w:r>
            <w:r w:rsidRPr="00667307">
              <w:rPr>
                <w:rFonts w:eastAsia="Calibri"/>
                <w:sz w:val="20"/>
              </w:rPr>
              <w:lastRenderedPageBreak/>
              <w:t>the appeal.  Mr. Direk filed a request for reconsideration with the Commissioner, which was rejected.  The applicants filed applications for judicial review in the Divisional Court, which were dismissed. A motion for leave to appeal to the Ontario Court of Appeal was also dismissed.</w:t>
            </w:r>
          </w:p>
          <w:p w:rsidR="003626E3" w:rsidRPr="00667307" w:rsidRDefault="003626E3" w:rsidP="00E52F75">
            <w:pPr>
              <w:jc w:val="both"/>
              <w:rPr>
                <w:rFonts w:eastAsia="Calibri"/>
                <w:sz w:val="20"/>
              </w:rPr>
            </w:pPr>
          </w:p>
        </w:tc>
      </w:tr>
      <w:tr w:rsidR="003626E3" w:rsidRPr="00667307" w:rsidTr="00E52F75">
        <w:tc>
          <w:tcPr>
            <w:tcW w:w="2427" w:type="pct"/>
          </w:tcPr>
          <w:p w:rsidR="003626E3" w:rsidRPr="00667307" w:rsidRDefault="003626E3" w:rsidP="00E52F75">
            <w:pPr>
              <w:jc w:val="both"/>
              <w:rPr>
                <w:rFonts w:eastAsia="Calibri"/>
                <w:sz w:val="20"/>
              </w:rPr>
            </w:pPr>
            <w:r w:rsidRPr="00667307">
              <w:rPr>
                <w:rFonts w:eastAsia="Calibri"/>
                <w:sz w:val="20"/>
              </w:rPr>
              <w:lastRenderedPageBreak/>
              <w:t>September 2, 2010</w:t>
            </w:r>
          </w:p>
          <w:p w:rsidR="003626E3" w:rsidRPr="00667307" w:rsidRDefault="003626E3" w:rsidP="00E52F75">
            <w:pPr>
              <w:jc w:val="both"/>
              <w:rPr>
                <w:rFonts w:eastAsia="Calibri"/>
                <w:sz w:val="20"/>
              </w:rPr>
            </w:pPr>
            <w:r w:rsidRPr="00667307">
              <w:rPr>
                <w:rFonts w:eastAsia="Calibri"/>
                <w:sz w:val="20"/>
              </w:rPr>
              <w:t xml:space="preserve">Information and Privacy Commissioner of </w:t>
            </w:r>
          </w:p>
          <w:p w:rsidR="003626E3" w:rsidRPr="00667307" w:rsidRDefault="003626E3" w:rsidP="00E52F75">
            <w:pPr>
              <w:jc w:val="both"/>
              <w:rPr>
                <w:rFonts w:eastAsia="Calibri"/>
                <w:sz w:val="20"/>
              </w:rPr>
            </w:pPr>
            <w:r w:rsidRPr="00667307">
              <w:rPr>
                <w:rFonts w:eastAsia="Calibri"/>
                <w:sz w:val="20"/>
              </w:rPr>
              <w:t>Ontario</w:t>
            </w:r>
          </w:p>
          <w:p w:rsidR="003626E3" w:rsidRPr="00667307" w:rsidRDefault="003626E3" w:rsidP="00E52F75">
            <w:pPr>
              <w:jc w:val="both"/>
              <w:rPr>
                <w:rFonts w:eastAsia="Calibri"/>
                <w:sz w:val="20"/>
              </w:rPr>
            </w:pPr>
            <w:r w:rsidRPr="00667307">
              <w:rPr>
                <w:rFonts w:eastAsia="Calibri"/>
                <w:sz w:val="20"/>
              </w:rPr>
              <w:t>(A. Barikage, Analyst)</w:t>
            </w:r>
          </w:p>
          <w:p w:rsidR="003626E3" w:rsidRPr="00667307" w:rsidRDefault="003626E3" w:rsidP="00E52F75">
            <w:pPr>
              <w:jc w:val="both"/>
              <w:rPr>
                <w:rFonts w:eastAsia="Calibri"/>
                <w:sz w:val="20"/>
              </w:rPr>
            </w:pPr>
          </w:p>
        </w:tc>
        <w:tc>
          <w:tcPr>
            <w:tcW w:w="243" w:type="pct"/>
          </w:tcPr>
          <w:p w:rsidR="003626E3" w:rsidRPr="00667307" w:rsidRDefault="003626E3" w:rsidP="00E52F75">
            <w:pPr>
              <w:jc w:val="both"/>
              <w:rPr>
                <w:rFonts w:eastAsia="Calibri"/>
                <w:sz w:val="20"/>
              </w:rPr>
            </w:pPr>
          </w:p>
        </w:tc>
        <w:tc>
          <w:tcPr>
            <w:tcW w:w="2330" w:type="pct"/>
          </w:tcPr>
          <w:p w:rsidR="003626E3" w:rsidRPr="00667307" w:rsidRDefault="003626E3" w:rsidP="00E52F75">
            <w:pPr>
              <w:jc w:val="both"/>
              <w:rPr>
                <w:rFonts w:eastAsia="Calibri"/>
                <w:sz w:val="20"/>
              </w:rPr>
            </w:pPr>
            <w:r w:rsidRPr="00667307">
              <w:rPr>
                <w:rFonts w:eastAsia="Calibri"/>
                <w:sz w:val="20"/>
              </w:rPr>
              <w:t>Appeal of decision of Peel Regional Police Services Board with respect to access to records dismissed</w:t>
            </w:r>
          </w:p>
        </w:tc>
      </w:tr>
      <w:tr w:rsidR="003626E3" w:rsidRPr="00667307" w:rsidTr="00E52F75">
        <w:tc>
          <w:tcPr>
            <w:tcW w:w="2427" w:type="pct"/>
          </w:tcPr>
          <w:p w:rsidR="003626E3" w:rsidRPr="00667307" w:rsidRDefault="003626E3" w:rsidP="00E52F75">
            <w:pPr>
              <w:jc w:val="both"/>
              <w:rPr>
                <w:rFonts w:eastAsia="Calibri"/>
                <w:sz w:val="20"/>
              </w:rPr>
            </w:pPr>
            <w:r w:rsidRPr="00667307">
              <w:rPr>
                <w:rFonts w:eastAsia="Calibri"/>
                <w:sz w:val="20"/>
              </w:rPr>
              <w:t>November 30, 2010</w:t>
            </w:r>
          </w:p>
          <w:p w:rsidR="003626E3" w:rsidRPr="00667307" w:rsidRDefault="003626E3" w:rsidP="00E52F75">
            <w:pPr>
              <w:jc w:val="both"/>
              <w:rPr>
                <w:rFonts w:eastAsia="Calibri"/>
                <w:sz w:val="20"/>
              </w:rPr>
            </w:pPr>
            <w:r w:rsidRPr="00667307">
              <w:rPr>
                <w:rFonts w:eastAsia="Calibri"/>
                <w:sz w:val="20"/>
              </w:rPr>
              <w:t xml:space="preserve">Information and Privacy Commissioner of </w:t>
            </w:r>
          </w:p>
          <w:p w:rsidR="003626E3" w:rsidRPr="00667307" w:rsidRDefault="003626E3" w:rsidP="00E52F75">
            <w:pPr>
              <w:jc w:val="both"/>
              <w:rPr>
                <w:rFonts w:eastAsia="Calibri"/>
                <w:sz w:val="20"/>
              </w:rPr>
            </w:pPr>
            <w:r w:rsidRPr="00667307">
              <w:rPr>
                <w:rFonts w:eastAsia="Calibri"/>
                <w:sz w:val="20"/>
              </w:rPr>
              <w:t>Ontario</w:t>
            </w:r>
          </w:p>
          <w:p w:rsidR="003626E3" w:rsidRPr="00667307" w:rsidRDefault="003626E3" w:rsidP="00E52F75">
            <w:pPr>
              <w:jc w:val="both"/>
              <w:rPr>
                <w:rFonts w:eastAsia="Calibri"/>
                <w:sz w:val="20"/>
              </w:rPr>
            </w:pPr>
            <w:r w:rsidRPr="00667307">
              <w:rPr>
                <w:rFonts w:eastAsia="Calibri"/>
                <w:sz w:val="20"/>
              </w:rPr>
              <w:t>(A. Barikage, Analyst)</w:t>
            </w:r>
          </w:p>
          <w:p w:rsidR="003626E3" w:rsidRPr="00667307" w:rsidRDefault="003626E3" w:rsidP="00E52F75">
            <w:pPr>
              <w:jc w:val="both"/>
              <w:rPr>
                <w:rFonts w:eastAsia="Calibri"/>
                <w:sz w:val="20"/>
              </w:rPr>
            </w:pPr>
          </w:p>
        </w:tc>
        <w:tc>
          <w:tcPr>
            <w:tcW w:w="243" w:type="pct"/>
          </w:tcPr>
          <w:p w:rsidR="003626E3" w:rsidRPr="00667307" w:rsidRDefault="003626E3" w:rsidP="00E52F75">
            <w:pPr>
              <w:jc w:val="both"/>
              <w:rPr>
                <w:rFonts w:eastAsia="Calibri"/>
                <w:sz w:val="20"/>
              </w:rPr>
            </w:pPr>
          </w:p>
        </w:tc>
        <w:tc>
          <w:tcPr>
            <w:tcW w:w="2330" w:type="pct"/>
          </w:tcPr>
          <w:p w:rsidR="003626E3" w:rsidRPr="00667307" w:rsidRDefault="003626E3" w:rsidP="00E52F75">
            <w:pPr>
              <w:jc w:val="both"/>
              <w:rPr>
                <w:rFonts w:eastAsia="Calibri"/>
                <w:sz w:val="20"/>
              </w:rPr>
            </w:pPr>
            <w:r w:rsidRPr="00667307">
              <w:rPr>
                <w:rFonts w:eastAsia="Calibri"/>
                <w:sz w:val="20"/>
              </w:rPr>
              <w:t>Request for reconsideration dismissed</w:t>
            </w:r>
          </w:p>
        </w:tc>
      </w:tr>
      <w:tr w:rsidR="003626E3" w:rsidRPr="00667307" w:rsidTr="00E52F75">
        <w:tc>
          <w:tcPr>
            <w:tcW w:w="2427" w:type="pct"/>
          </w:tcPr>
          <w:p w:rsidR="003626E3" w:rsidRPr="00667307" w:rsidRDefault="003626E3" w:rsidP="00E52F75">
            <w:pPr>
              <w:jc w:val="both"/>
              <w:rPr>
                <w:rFonts w:eastAsia="Calibri"/>
                <w:sz w:val="20"/>
              </w:rPr>
            </w:pPr>
            <w:r w:rsidRPr="00667307">
              <w:rPr>
                <w:rFonts w:eastAsia="Calibri"/>
                <w:sz w:val="20"/>
              </w:rPr>
              <w:t>October 11, 2012</w:t>
            </w:r>
          </w:p>
          <w:p w:rsidR="003626E3" w:rsidRPr="00667307" w:rsidRDefault="003626E3" w:rsidP="00E52F75">
            <w:pPr>
              <w:jc w:val="both"/>
              <w:rPr>
                <w:rFonts w:eastAsia="Calibri"/>
                <w:sz w:val="20"/>
              </w:rPr>
            </w:pPr>
            <w:r w:rsidRPr="00667307">
              <w:rPr>
                <w:rFonts w:eastAsia="Calibri"/>
                <w:sz w:val="20"/>
              </w:rPr>
              <w:t>Divisional Court of Ontario</w:t>
            </w:r>
          </w:p>
          <w:p w:rsidR="003626E3" w:rsidRPr="00667307" w:rsidRDefault="003626E3" w:rsidP="00E52F75">
            <w:pPr>
              <w:jc w:val="both"/>
              <w:rPr>
                <w:rFonts w:eastAsia="Calibri"/>
                <w:sz w:val="20"/>
              </w:rPr>
            </w:pPr>
            <w:r w:rsidRPr="00667307">
              <w:rPr>
                <w:rFonts w:eastAsia="Calibri"/>
                <w:sz w:val="20"/>
              </w:rPr>
              <w:t>(Lax, Hambly and Lederer JJ.)</w:t>
            </w:r>
          </w:p>
          <w:p w:rsidR="003626E3" w:rsidRPr="00667307" w:rsidRDefault="003626E3" w:rsidP="00E52F75">
            <w:pPr>
              <w:jc w:val="both"/>
              <w:rPr>
                <w:rFonts w:eastAsia="Calibri"/>
                <w:sz w:val="20"/>
              </w:rPr>
            </w:pPr>
            <w:r w:rsidRPr="00667307">
              <w:rPr>
                <w:rFonts w:eastAsia="Calibri"/>
                <w:sz w:val="20"/>
              </w:rPr>
              <w:t>2012 ONSC 5898</w:t>
            </w:r>
          </w:p>
          <w:p w:rsidR="003626E3" w:rsidRPr="00667307" w:rsidRDefault="003626E3" w:rsidP="00E52F75">
            <w:pPr>
              <w:jc w:val="both"/>
              <w:rPr>
                <w:rFonts w:eastAsia="Calibri"/>
                <w:sz w:val="20"/>
              </w:rPr>
            </w:pPr>
          </w:p>
        </w:tc>
        <w:tc>
          <w:tcPr>
            <w:tcW w:w="243" w:type="pct"/>
          </w:tcPr>
          <w:p w:rsidR="003626E3" w:rsidRPr="00667307" w:rsidRDefault="003626E3" w:rsidP="00E52F75">
            <w:pPr>
              <w:jc w:val="both"/>
              <w:rPr>
                <w:rFonts w:eastAsia="Calibri"/>
                <w:sz w:val="20"/>
              </w:rPr>
            </w:pPr>
          </w:p>
        </w:tc>
        <w:tc>
          <w:tcPr>
            <w:tcW w:w="2330" w:type="pct"/>
          </w:tcPr>
          <w:p w:rsidR="003626E3" w:rsidRPr="00667307" w:rsidRDefault="003626E3" w:rsidP="00E52F75">
            <w:pPr>
              <w:jc w:val="both"/>
              <w:rPr>
                <w:rFonts w:eastAsia="Calibri"/>
                <w:sz w:val="20"/>
              </w:rPr>
            </w:pPr>
            <w:r w:rsidRPr="00667307">
              <w:rPr>
                <w:rFonts w:eastAsia="Calibri"/>
                <w:sz w:val="20"/>
              </w:rPr>
              <w:t>Applications for judicial review dismissed</w:t>
            </w:r>
          </w:p>
          <w:p w:rsidR="003626E3" w:rsidRPr="00667307" w:rsidRDefault="003626E3" w:rsidP="00E52F75">
            <w:pPr>
              <w:jc w:val="both"/>
              <w:rPr>
                <w:rFonts w:eastAsia="Calibri"/>
                <w:sz w:val="20"/>
              </w:rPr>
            </w:pPr>
          </w:p>
        </w:tc>
      </w:tr>
      <w:tr w:rsidR="003626E3" w:rsidRPr="00667307" w:rsidTr="00E52F75">
        <w:tc>
          <w:tcPr>
            <w:tcW w:w="2427" w:type="pct"/>
          </w:tcPr>
          <w:p w:rsidR="003626E3" w:rsidRPr="00667307" w:rsidRDefault="003626E3" w:rsidP="00E52F75">
            <w:pPr>
              <w:jc w:val="both"/>
              <w:rPr>
                <w:rFonts w:eastAsia="Calibri"/>
                <w:sz w:val="20"/>
              </w:rPr>
            </w:pPr>
            <w:r w:rsidRPr="00667307">
              <w:rPr>
                <w:rFonts w:eastAsia="Calibri"/>
                <w:sz w:val="20"/>
              </w:rPr>
              <w:t>February 15, 2013</w:t>
            </w:r>
          </w:p>
          <w:p w:rsidR="003626E3" w:rsidRPr="00667307" w:rsidRDefault="003626E3" w:rsidP="00E52F75">
            <w:pPr>
              <w:jc w:val="both"/>
              <w:rPr>
                <w:rFonts w:eastAsia="Calibri"/>
                <w:sz w:val="20"/>
              </w:rPr>
            </w:pPr>
            <w:r w:rsidRPr="00667307">
              <w:rPr>
                <w:rFonts w:eastAsia="Calibri"/>
                <w:sz w:val="20"/>
              </w:rPr>
              <w:t>Court of Appeal for Ontario</w:t>
            </w:r>
          </w:p>
          <w:p w:rsidR="003626E3" w:rsidRPr="00667307" w:rsidRDefault="003626E3" w:rsidP="00E52F75">
            <w:pPr>
              <w:jc w:val="both"/>
              <w:rPr>
                <w:rFonts w:eastAsia="Calibri"/>
                <w:sz w:val="20"/>
              </w:rPr>
            </w:pPr>
            <w:r w:rsidRPr="00667307">
              <w:rPr>
                <w:rFonts w:eastAsia="Calibri"/>
                <w:sz w:val="20"/>
              </w:rPr>
              <w:t>(Blair, MacFarland and Rouleau JJ.A.</w:t>
            </w:r>
          </w:p>
          <w:p w:rsidR="003626E3" w:rsidRPr="00667307" w:rsidRDefault="003626E3" w:rsidP="00E52F75">
            <w:pPr>
              <w:jc w:val="both"/>
              <w:rPr>
                <w:rFonts w:eastAsia="Calibri"/>
                <w:sz w:val="20"/>
              </w:rPr>
            </w:pPr>
          </w:p>
        </w:tc>
        <w:tc>
          <w:tcPr>
            <w:tcW w:w="243" w:type="pct"/>
          </w:tcPr>
          <w:p w:rsidR="003626E3" w:rsidRPr="00667307" w:rsidRDefault="003626E3" w:rsidP="00E52F75">
            <w:pPr>
              <w:jc w:val="both"/>
              <w:rPr>
                <w:rFonts w:eastAsia="Calibri"/>
                <w:sz w:val="20"/>
              </w:rPr>
            </w:pPr>
          </w:p>
        </w:tc>
        <w:tc>
          <w:tcPr>
            <w:tcW w:w="2330" w:type="pct"/>
          </w:tcPr>
          <w:p w:rsidR="003626E3" w:rsidRPr="00667307" w:rsidRDefault="003626E3" w:rsidP="00E52F75">
            <w:pPr>
              <w:jc w:val="both"/>
              <w:rPr>
                <w:rFonts w:eastAsia="Calibri"/>
                <w:sz w:val="20"/>
              </w:rPr>
            </w:pPr>
            <w:r w:rsidRPr="00667307">
              <w:rPr>
                <w:rFonts w:eastAsia="Calibri"/>
                <w:sz w:val="20"/>
              </w:rPr>
              <w:t>Motion for leave to appeal dismissed</w:t>
            </w:r>
          </w:p>
          <w:p w:rsidR="003626E3" w:rsidRPr="00667307" w:rsidRDefault="003626E3" w:rsidP="00E52F75">
            <w:pPr>
              <w:jc w:val="both"/>
              <w:rPr>
                <w:rFonts w:eastAsia="Calibri"/>
                <w:sz w:val="20"/>
              </w:rPr>
            </w:pPr>
          </w:p>
        </w:tc>
      </w:tr>
      <w:tr w:rsidR="003626E3" w:rsidRPr="00667307" w:rsidTr="00E52F75">
        <w:tc>
          <w:tcPr>
            <w:tcW w:w="2427" w:type="pct"/>
          </w:tcPr>
          <w:p w:rsidR="003626E3" w:rsidRPr="00667307" w:rsidRDefault="003626E3" w:rsidP="00E52F75">
            <w:pPr>
              <w:jc w:val="both"/>
              <w:rPr>
                <w:rFonts w:eastAsia="Calibri"/>
                <w:sz w:val="20"/>
              </w:rPr>
            </w:pPr>
            <w:r w:rsidRPr="00667307">
              <w:rPr>
                <w:rFonts w:eastAsia="Calibri"/>
                <w:sz w:val="20"/>
              </w:rPr>
              <w:t>April 8, 2013</w:t>
            </w:r>
          </w:p>
          <w:p w:rsidR="003626E3" w:rsidRPr="00667307" w:rsidRDefault="003626E3" w:rsidP="00E52F75">
            <w:pPr>
              <w:jc w:val="both"/>
              <w:rPr>
                <w:rFonts w:eastAsia="Calibri"/>
                <w:sz w:val="20"/>
              </w:rPr>
            </w:pPr>
            <w:r w:rsidRPr="00667307">
              <w:rPr>
                <w:rFonts w:eastAsia="Calibri"/>
                <w:sz w:val="20"/>
              </w:rPr>
              <w:t>Supreme Court of Canada</w:t>
            </w:r>
          </w:p>
        </w:tc>
        <w:tc>
          <w:tcPr>
            <w:tcW w:w="243" w:type="pct"/>
          </w:tcPr>
          <w:p w:rsidR="003626E3" w:rsidRPr="00667307" w:rsidRDefault="003626E3" w:rsidP="00E52F75">
            <w:pPr>
              <w:jc w:val="both"/>
              <w:rPr>
                <w:rFonts w:eastAsia="Calibri"/>
                <w:sz w:val="20"/>
              </w:rPr>
            </w:pPr>
          </w:p>
        </w:tc>
        <w:tc>
          <w:tcPr>
            <w:tcW w:w="2330" w:type="pct"/>
          </w:tcPr>
          <w:p w:rsidR="003626E3" w:rsidRPr="00667307" w:rsidRDefault="003626E3" w:rsidP="00E52F75">
            <w:pPr>
              <w:jc w:val="both"/>
              <w:rPr>
                <w:rFonts w:eastAsia="Calibri"/>
                <w:sz w:val="20"/>
              </w:rPr>
            </w:pPr>
            <w:r w:rsidRPr="00667307">
              <w:rPr>
                <w:rFonts w:eastAsia="Calibri"/>
                <w:sz w:val="20"/>
              </w:rPr>
              <w:t>Application for leave to appeal filed</w:t>
            </w:r>
          </w:p>
          <w:p w:rsidR="003626E3" w:rsidRPr="00667307" w:rsidRDefault="003626E3" w:rsidP="00E52F75">
            <w:pPr>
              <w:jc w:val="both"/>
              <w:rPr>
                <w:rFonts w:eastAsia="Calibri"/>
                <w:sz w:val="20"/>
              </w:rPr>
            </w:pP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90"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26E3" w:rsidRPr="00D41BFD" w:rsidTr="00E52F75">
        <w:tc>
          <w:tcPr>
            <w:tcW w:w="5000" w:type="pct"/>
            <w:gridSpan w:val="3"/>
          </w:tcPr>
          <w:p w:rsidR="003626E3" w:rsidRPr="00667307" w:rsidRDefault="003626E3" w:rsidP="00E52F75">
            <w:pPr>
              <w:jc w:val="both"/>
              <w:rPr>
                <w:rFonts w:eastAsia="Calibri"/>
                <w:sz w:val="20"/>
                <w:lang w:val="fr-CA"/>
              </w:rPr>
            </w:pPr>
            <w:r w:rsidRPr="00667307">
              <w:rPr>
                <w:rFonts w:eastAsia="Calibri"/>
                <w:sz w:val="20"/>
                <w:lang w:val="fr-CA"/>
              </w:rPr>
              <w:t>Droit administratif – Contrôle judiciaire – Accès à l’information – Commissaire à l’information et à la protection de la vie privée – La Cour d’appel de l’Ontario a-t-elle fait erreur en rejetant la motion en autorisation d’appel des demandeurs? – La demande soulève-t-elle une question juridique? – Le cas échéant, s’agit-il d’une affaire d’importance pour le public?</w:t>
            </w:r>
          </w:p>
        </w:tc>
      </w:tr>
      <w:tr w:rsidR="003626E3" w:rsidRPr="00D41BFD" w:rsidTr="00E52F75">
        <w:tc>
          <w:tcPr>
            <w:tcW w:w="5000" w:type="pct"/>
            <w:gridSpan w:val="3"/>
          </w:tcPr>
          <w:p w:rsidR="003626E3" w:rsidRPr="00667307" w:rsidRDefault="003626E3" w:rsidP="00E52F75">
            <w:pPr>
              <w:jc w:val="both"/>
              <w:rPr>
                <w:rFonts w:eastAsia="Calibri"/>
                <w:sz w:val="20"/>
                <w:lang w:val="fr-CA"/>
              </w:rPr>
            </w:pPr>
          </w:p>
        </w:tc>
      </w:tr>
      <w:tr w:rsidR="003626E3" w:rsidRPr="00D41BFD" w:rsidTr="00E52F75">
        <w:tc>
          <w:tcPr>
            <w:tcW w:w="5000" w:type="pct"/>
            <w:gridSpan w:val="3"/>
          </w:tcPr>
          <w:p w:rsidR="003626E3" w:rsidRPr="00667307" w:rsidRDefault="003626E3" w:rsidP="00E52F75">
            <w:pPr>
              <w:jc w:val="both"/>
              <w:rPr>
                <w:rFonts w:eastAsia="Calibri"/>
                <w:sz w:val="20"/>
                <w:lang w:val="fr-CA"/>
              </w:rPr>
            </w:pPr>
            <w:r w:rsidRPr="00667307">
              <w:rPr>
                <w:rFonts w:eastAsia="Calibri"/>
                <w:sz w:val="20"/>
                <w:lang w:val="fr-CA"/>
              </w:rPr>
              <w:t>En janvier 2010, le demandeur (Ural Direk) a interjeté appel d’une décision de la Commission de services policiers de la région de Peel quant à la divulgation de documents devant le commissaire à l’information et à la protection de la vie privée de l’Ontario.  Le commissaire a rejeté l’appel.  M. Direk a présenté une demande en réexamen au commissaire, que ce dernier a rejetée.  Les demandeurs ont présenté des demandes de contrôle judiciaire à la Cour divisionnaire, qui les a rejetées.  En outre, la Cour d’appel de l’Ontario a rejeté la motion en autorisation d’appel.</w:t>
            </w:r>
          </w:p>
          <w:p w:rsidR="003626E3" w:rsidRPr="00667307" w:rsidRDefault="003626E3" w:rsidP="00E52F75">
            <w:pPr>
              <w:jc w:val="both"/>
              <w:rPr>
                <w:rFonts w:eastAsia="Calibri"/>
                <w:sz w:val="20"/>
                <w:lang w:val="fr-CA"/>
              </w:rPr>
            </w:pPr>
          </w:p>
        </w:tc>
      </w:tr>
      <w:tr w:rsidR="003626E3" w:rsidRPr="00D41BFD" w:rsidTr="00E52F75">
        <w:tc>
          <w:tcPr>
            <w:tcW w:w="2427" w:type="pct"/>
          </w:tcPr>
          <w:p w:rsidR="003626E3" w:rsidRPr="00667307" w:rsidRDefault="003626E3" w:rsidP="00E52F75">
            <w:pPr>
              <w:jc w:val="both"/>
              <w:rPr>
                <w:rFonts w:eastAsia="Calibri"/>
                <w:sz w:val="20"/>
                <w:lang w:val="fr-CA"/>
              </w:rPr>
            </w:pPr>
            <w:r w:rsidRPr="00667307">
              <w:rPr>
                <w:rFonts w:eastAsia="Calibri"/>
                <w:sz w:val="20"/>
                <w:lang w:val="fr-CA"/>
              </w:rPr>
              <w:t>Le 2 septembre 2010</w:t>
            </w:r>
          </w:p>
          <w:p w:rsidR="003626E3" w:rsidRPr="00667307" w:rsidRDefault="003626E3" w:rsidP="00E52F75">
            <w:pPr>
              <w:jc w:val="both"/>
              <w:rPr>
                <w:rFonts w:eastAsia="Calibri"/>
                <w:sz w:val="20"/>
                <w:lang w:val="fr-CA"/>
              </w:rPr>
            </w:pPr>
            <w:r w:rsidRPr="00667307">
              <w:rPr>
                <w:rFonts w:eastAsia="Calibri"/>
                <w:sz w:val="20"/>
                <w:lang w:val="fr-CA"/>
              </w:rPr>
              <w:t>Commissaire à l’information et à la protection de la vie privée de l’Ontario</w:t>
            </w:r>
          </w:p>
          <w:p w:rsidR="003626E3" w:rsidRPr="00667307" w:rsidRDefault="003626E3" w:rsidP="00E52F75">
            <w:pPr>
              <w:jc w:val="both"/>
              <w:rPr>
                <w:rFonts w:eastAsia="Calibri"/>
                <w:sz w:val="20"/>
              </w:rPr>
            </w:pPr>
            <w:r w:rsidRPr="00667307">
              <w:rPr>
                <w:rFonts w:eastAsia="Calibri"/>
                <w:sz w:val="20"/>
              </w:rPr>
              <w:t>(A. Barikage, analyste)</w:t>
            </w:r>
          </w:p>
          <w:p w:rsidR="003626E3" w:rsidRPr="00667307" w:rsidRDefault="003626E3" w:rsidP="00E52F75">
            <w:pPr>
              <w:jc w:val="both"/>
              <w:rPr>
                <w:rFonts w:eastAsia="Calibri"/>
                <w:sz w:val="20"/>
              </w:rPr>
            </w:pPr>
          </w:p>
        </w:tc>
        <w:tc>
          <w:tcPr>
            <w:tcW w:w="243" w:type="pct"/>
          </w:tcPr>
          <w:p w:rsidR="003626E3" w:rsidRPr="00667307" w:rsidRDefault="003626E3" w:rsidP="00E52F75">
            <w:pPr>
              <w:jc w:val="both"/>
              <w:rPr>
                <w:rFonts w:eastAsia="Calibri"/>
                <w:sz w:val="20"/>
              </w:rPr>
            </w:pPr>
          </w:p>
        </w:tc>
        <w:tc>
          <w:tcPr>
            <w:tcW w:w="2330" w:type="pct"/>
          </w:tcPr>
          <w:p w:rsidR="003626E3" w:rsidRPr="00667307" w:rsidRDefault="003626E3" w:rsidP="00E52F75">
            <w:pPr>
              <w:jc w:val="both"/>
              <w:rPr>
                <w:rFonts w:eastAsia="Calibri"/>
                <w:sz w:val="20"/>
                <w:lang w:val="fr-CA"/>
              </w:rPr>
            </w:pPr>
            <w:r w:rsidRPr="00667307">
              <w:rPr>
                <w:rFonts w:eastAsia="Calibri"/>
                <w:sz w:val="20"/>
                <w:lang w:val="fr-CA"/>
              </w:rPr>
              <w:t>Appel de la décision de la Commission de services policiers de la région de Peel sur l’accès aux documents rejeté</w:t>
            </w:r>
          </w:p>
        </w:tc>
      </w:tr>
      <w:tr w:rsidR="003626E3" w:rsidRPr="00667307" w:rsidTr="00E52F75">
        <w:tc>
          <w:tcPr>
            <w:tcW w:w="2427" w:type="pct"/>
          </w:tcPr>
          <w:p w:rsidR="003626E3" w:rsidRPr="00667307" w:rsidRDefault="003626E3" w:rsidP="00E52F75">
            <w:pPr>
              <w:jc w:val="both"/>
              <w:rPr>
                <w:rFonts w:eastAsia="Calibri"/>
                <w:sz w:val="20"/>
                <w:lang w:val="fr-CA"/>
              </w:rPr>
            </w:pPr>
            <w:r w:rsidRPr="00667307">
              <w:rPr>
                <w:rFonts w:eastAsia="Calibri"/>
                <w:sz w:val="20"/>
                <w:lang w:val="fr-CA"/>
              </w:rPr>
              <w:t>Le 30 novembre 2010</w:t>
            </w:r>
          </w:p>
          <w:p w:rsidR="003626E3" w:rsidRPr="00667307" w:rsidRDefault="003626E3" w:rsidP="00E52F75">
            <w:pPr>
              <w:jc w:val="both"/>
              <w:rPr>
                <w:rFonts w:eastAsia="Calibri"/>
                <w:sz w:val="20"/>
                <w:lang w:val="fr-CA"/>
              </w:rPr>
            </w:pPr>
            <w:r w:rsidRPr="00667307">
              <w:rPr>
                <w:rFonts w:eastAsia="Calibri"/>
                <w:sz w:val="20"/>
                <w:lang w:val="fr-CA"/>
              </w:rPr>
              <w:t>Commissaire à l’information et à la protection de la vie privée de l’Ontario</w:t>
            </w:r>
          </w:p>
          <w:p w:rsidR="003626E3" w:rsidRPr="00667307" w:rsidRDefault="003626E3" w:rsidP="00E52F75">
            <w:pPr>
              <w:jc w:val="both"/>
              <w:rPr>
                <w:rFonts w:eastAsia="Calibri"/>
                <w:sz w:val="20"/>
              </w:rPr>
            </w:pPr>
            <w:r w:rsidRPr="00667307">
              <w:rPr>
                <w:rFonts w:eastAsia="Calibri"/>
                <w:sz w:val="20"/>
              </w:rPr>
              <w:t>(A. Barikage, analyste)</w:t>
            </w:r>
          </w:p>
          <w:p w:rsidR="003626E3" w:rsidRPr="00667307" w:rsidRDefault="003626E3" w:rsidP="00E52F75">
            <w:pPr>
              <w:jc w:val="both"/>
              <w:rPr>
                <w:rFonts w:eastAsia="Calibri"/>
                <w:sz w:val="20"/>
              </w:rPr>
            </w:pPr>
          </w:p>
        </w:tc>
        <w:tc>
          <w:tcPr>
            <w:tcW w:w="243" w:type="pct"/>
          </w:tcPr>
          <w:p w:rsidR="003626E3" w:rsidRPr="00667307" w:rsidRDefault="003626E3" w:rsidP="00E52F75">
            <w:pPr>
              <w:jc w:val="both"/>
              <w:rPr>
                <w:rFonts w:eastAsia="Calibri"/>
                <w:sz w:val="20"/>
              </w:rPr>
            </w:pPr>
          </w:p>
        </w:tc>
        <w:tc>
          <w:tcPr>
            <w:tcW w:w="2330" w:type="pct"/>
          </w:tcPr>
          <w:p w:rsidR="003626E3" w:rsidRPr="00667307" w:rsidRDefault="003626E3" w:rsidP="00E52F75">
            <w:pPr>
              <w:jc w:val="both"/>
              <w:rPr>
                <w:rFonts w:eastAsia="Calibri"/>
                <w:sz w:val="20"/>
              </w:rPr>
            </w:pPr>
            <w:r w:rsidRPr="00667307">
              <w:rPr>
                <w:rFonts w:eastAsia="Calibri"/>
                <w:sz w:val="20"/>
              </w:rPr>
              <w:t>Demande en réexamen rejetée</w:t>
            </w:r>
          </w:p>
        </w:tc>
      </w:tr>
      <w:tr w:rsidR="003626E3" w:rsidRPr="00667307" w:rsidTr="00E52F75">
        <w:tc>
          <w:tcPr>
            <w:tcW w:w="2427" w:type="pct"/>
          </w:tcPr>
          <w:p w:rsidR="003626E3" w:rsidRPr="00667307" w:rsidRDefault="003626E3" w:rsidP="00E52F75">
            <w:pPr>
              <w:jc w:val="both"/>
              <w:rPr>
                <w:rFonts w:eastAsia="Calibri"/>
                <w:sz w:val="20"/>
                <w:lang w:val="fr-CA"/>
              </w:rPr>
            </w:pPr>
            <w:r w:rsidRPr="00667307">
              <w:rPr>
                <w:rFonts w:eastAsia="Calibri"/>
                <w:sz w:val="20"/>
                <w:lang w:val="fr-CA"/>
              </w:rPr>
              <w:lastRenderedPageBreak/>
              <w:t>Le 11 octobre 2012</w:t>
            </w:r>
          </w:p>
          <w:p w:rsidR="003626E3" w:rsidRPr="00667307" w:rsidRDefault="003626E3" w:rsidP="00E52F75">
            <w:pPr>
              <w:jc w:val="both"/>
              <w:rPr>
                <w:rFonts w:eastAsia="Calibri"/>
                <w:sz w:val="20"/>
                <w:lang w:val="fr-CA"/>
              </w:rPr>
            </w:pPr>
            <w:r w:rsidRPr="00667307">
              <w:rPr>
                <w:rFonts w:eastAsia="Calibri"/>
                <w:sz w:val="20"/>
                <w:lang w:val="fr-CA"/>
              </w:rPr>
              <w:t xml:space="preserve">Cour divisionnaire de l’Ontario </w:t>
            </w:r>
          </w:p>
          <w:p w:rsidR="003626E3" w:rsidRPr="00667307" w:rsidRDefault="003626E3" w:rsidP="00E52F75">
            <w:pPr>
              <w:jc w:val="both"/>
              <w:rPr>
                <w:rFonts w:eastAsia="Calibri"/>
                <w:sz w:val="20"/>
                <w:lang w:val="fr-CA"/>
              </w:rPr>
            </w:pPr>
            <w:r w:rsidRPr="00667307">
              <w:rPr>
                <w:rFonts w:eastAsia="Calibri"/>
                <w:sz w:val="20"/>
                <w:lang w:val="fr-CA"/>
              </w:rPr>
              <w:t>(juges Lax, Hambly et Lederer)</w:t>
            </w:r>
          </w:p>
          <w:p w:rsidR="003626E3" w:rsidRPr="00667307" w:rsidRDefault="003626E3" w:rsidP="00E52F75">
            <w:pPr>
              <w:jc w:val="both"/>
              <w:rPr>
                <w:rFonts w:eastAsia="Calibri"/>
                <w:sz w:val="20"/>
              </w:rPr>
            </w:pPr>
            <w:r w:rsidRPr="00667307">
              <w:rPr>
                <w:rFonts w:eastAsia="Calibri"/>
                <w:sz w:val="20"/>
              </w:rPr>
              <w:t>2012 ONSC 5898</w:t>
            </w:r>
          </w:p>
          <w:p w:rsidR="003626E3" w:rsidRPr="00667307" w:rsidRDefault="003626E3" w:rsidP="00E52F75">
            <w:pPr>
              <w:jc w:val="both"/>
              <w:rPr>
                <w:rFonts w:eastAsia="Calibri"/>
                <w:sz w:val="20"/>
              </w:rPr>
            </w:pPr>
          </w:p>
        </w:tc>
        <w:tc>
          <w:tcPr>
            <w:tcW w:w="243" w:type="pct"/>
          </w:tcPr>
          <w:p w:rsidR="003626E3" w:rsidRPr="00667307" w:rsidRDefault="003626E3" w:rsidP="00E52F75">
            <w:pPr>
              <w:jc w:val="both"/>
              <w:rPr>
                <w:rFonts w:eastAsia="Calibri"/>
                <w:sz w:val="20"/>
              </w:rPr>
            </w:pPr>
          </w:p>
        </w:tc>
        <w:tc>
          <w:tcPr>
            <w:tcW w:w="2330" w:type="pct"/>
          </w:tcPr>
          <w:p w:rsidR="003626E3" w:rsidRPr="00667307" w:rsidRDefault="003626E3" w:rsidP="00E52F75">
            <w:pPr>
              <w:jc w:val="both"/>
              <w:rPr>
                <w:rFonts w:eastAsia="Calibri"/>
                <w:sz w:val="20"/>
                <w:lang w:val="fr-CA"/>
              </w:rPr>
            </w:pPr>
            <w:r w:rsidRPr="00667307">
              <w:rPr>
                <w:rFonts w:eastAsia="Calibri"/>
                <w:sz w:val="20"/>
                <w:lang w:val="fr-CA"/>
              </w:rPr>
              <w:t>Demandes de contrôle judiciaire rejetées</w:t>
            </w:r>
          </w:p>
          <w:p w:rsidR="003626E3" w:rsidRPr="00667307" w:rsidRDefault="003626E3" w:rsidP="00E52F75">
            <w:pPr>
              <w:jc w:val="both"/>
              <w:rPr>
                <w:rFonts w:eastAsia="Calibri"/>
                <w:sz w:val="20"/>
                <w:lang w:val="fr-CA"/>
              </w:rPr>
            </w:pPr>
          </w:p>
        </w:tc>
      </w:tr>
      <w:tr w:rsidR="003626E3" w:rsidRPr="00667307" w:rsidTr="00E52F75">
        <w:tc>
          <w:tcPr>
            <w:tcW w:w="2427" w:type="pct"/>
          </w:tcPr>
          <w:p w:rsidR="003626E3" w:rsidRPr="00667307" w:rsidRDefault="003626E3" w:rsidP="00E52F75">
            <w:pPr>
              <w:jc w:val="both"/>
              <w:rPr>
                <w:rFonts w:eastAsia="Calibri"/>
                <w:sz w:val="20"/>
                <w:lang w:val="fr-CA"/>
              </w:rPr>
            </w:pPr>
            <w:r w:rsidRPr="00667307">
              <w:rPr>
                <w:rFonts w:eastAsia="Calibri"/>
                <w:sz w:val="20"/>
                <w:lang w:val="fr-CA"/>
              </w:rPr>
              <w:t>Le 15 février 2013</w:t>
            </w:r>
          </w:p>
          <w:p w:rsidR="003626E3" w:rsidRPr="00667307" w:rsidRDefault="003626E3" w:rsidP="00E52F75">
            <w:pPr>
              <w:jc w:val="both"/>
              <w:rPr>
                <w:rFonts w:eastAsia="Calibri"/>
                <w:sz w:val="20"/>
                <w:lang w:val="fr-CA"/>
              </w:rPr>
            </w:pPr>
            <w:r w:rsidRPr="00667307">
              <w:rPr>
                <w:rFonts w:eastAsia="Calibri"/>
                <w:sz w:val="20"/>
                <w:lang w:val="fr-CA"/>
              </w:rPr>
              <w:t>Cour d’appel de l’Ontario</w:t>
            </w:r>
          </w:p>
          <w:p w:rsidR="003626E3" w:rsidRPr="00667307" w:rsidRDefault="003626E3" w:rsidP="00E52F75">
            <w:pPr>
              <w:jc w:val="both"/>
              <w:rPr>
                <w:rFonts w:eastAsia="Calibri"/>
                <w:sz w:val="20"/>
              </w:rPr>
            </w:pPr>
            <w:r w:rsidRPr="00667307">
              <w:rPr>
                <w:rFonts w:eastAsia="Calibri"/>
                <w:sz w:val="20"/>
              </w:rPr>
              <w:t>(juges Blair, MacFarland et Rouleau</w:t>
            </w:r>
          </w:p>
          <w:p w:rsidR="003626E3" w:rsidRPr="00667307" w:rsidRDefault="003626E3" w:rsidP="00E52F75">
            <w:pPr>
              <w:jc w:val="both"/>
              <w:rPr>
                <w:rFonts w:eastAsia="Calibri"/>
                <w:sz w:val="20"/>
              </w:rPr>
            </w:pPr>
          </w:p>
        </w:tc>
        <w:tc>
          <w:tcPr>
            <w:tcW w:w="243" w:type="pct"/>
          </w:tcPr>
          <w:p w:rsidR="003626E3" w:rsidRPr="00667307" w:rsidRDefault="003626E3" w:rsidP="00E52F75">
            <w:pPr>
              <w:jc w:val="both"/>
              <w:rPr>
                <w:rFonts w:eastAsia="Calibri"/>
                <w:sz w:val="20"/>
              </w:rPr>
            </w:pPr>
          </w:p>
        </w:tc>
        <w:tc>
          <w:tcPr>
            <w:tcW w:w="2330" w:type="pct"/>
          </w:tcPr>
          <w:p w:rsidR="003626E3" w:rsidRPr="00667307" w:rsidRDefault="003626E3" w:rsidP="00E52F75">
            <w:pPr>
              <w:jc w:val="both"/>
              <w:rPr>
                <w:rFonts w:eastAsia="Calibri"/>
                <w:sz w:val="20"/>
              </w:rPr>
            </w:pPr>
            <w:r w:rsidRPr="00667307">
              <w:rPr>
                <w:rFonts w:eastAsia="Calibri"/>
                <w:sz w:val="20"/>
              </w:rPr>
              <w:t>Motion en autorisation d’appel rejetée</w:t>
            </w:r>
          </w:p>
          <w:p w:rsidR="003626E3" w:rsidRPr="00667307" w:rsidRDefault="003626E3" w:rsidP="00E52F75">
            <w:pPr>
              <w:jc w:val="both"/>
              <w:rPr>
                <w:rFonts w:eastAsia="Calibri"/>
                <w:sz w:val="20"/>
              </w:rPr>
            </w:pPr>
          </w:p>
        </w:tc>
      </w:tr>
      <w:tr w:rsidR="003626E3" w:rsidRPr="00667307" w:rsidTr="00E52F75">
        <w:tc>
          <w:tcPr>
            <w:tcW w:w="2427" w:type="pct"/>
          </w:tcPr>
          <w:p w:rsidR="003626E3" w:rsidRPr="00667307" w:rsidRDefault="003626E3" w:rsidP="00E52F75">
            <w:pPr>
              <w:jc w:val="both"/>
              <w:rPr>
                <w:rFonts w:eastAsia="Calibri"/>
                <w:sz w:val="20"/>
                <w:lang w:val="fr-CA"/>
              </w:rPr>
            </w:pPr>
            <w:r w:rsidRPr="00667307">
              <w:rPr>
                <w:rFonts w:eastAsia="Calibri"/>
                <w:sz w:val="20"/>
                <w:lang w:val="fr-CA"/>
              </w:rPr>
              <w:t>Le 8 avril 2013</w:t>
            </w:r>
          </w:p>
          <w:p w:rsidR="003626E3" w:rsidRPr="00667307" w:rsidRDefault="003626E3" w:rsidP="00E52F75">
            <w:pPr>
              <w:jc w:val="both"/>
              <w:rPr>
                <w:rFonts w:eastAsia="Calibri"/>
                <w:sz w:val="20"/>
                <w:lang w:val="fr-CA"/>
              </w:rPr>
            </w:pPr>
            <w:r w:rsidRPr="00667307">
              <w:rPr>
                <w:rFonts w:eastAsia="Calibri"/>
                <w:sz w:val="20"/>
                <w:lang w:val="fr-CA"/>
              </w:rPr>
              <w:t>Cour suprême du Canada</w:t>
            </w:r>
          </w:p>
        </w:tc>
        <w:tc>
          <w:tcPr>
            <w:tcW w:w="243" w:type="pct"/>
          </w:tcPr>
          <w:p w:rsidR="003626E3" w:rsidRPr="00667307" w:rsidRDefault="003626E3" w:rsidP="00E52F75">
            <w:pPr>
              <w:jc w:val="both"/>
              <w:rPr>
                <w:rFonts w:eastAsia="Calibri"/>
                <w:sz w:val="20"/>
                <w:lang w:val="fr-CA"/>
              </w:rPr>
            </w:pPr>
          </w:p>
        </w:tc>
        <w:tc>
          <w:tcPr>
            <w:tcW w:w="2330" w:type="pct"/>
          </w:tcPr>
          <w:p w:rsidR="003626E3" w:rsidRPr="00667307" w:rsidRDefault="003626E3" w:rsidP="00E52F75">
            <w:pPr>
              <w:jc w:val="both"/>
              <w:rPr>
                <w:rFonts w:eastAsia="Calibri"/>
                <w:sz w:val="20"/>
              </w:rPr>
            </w:pPr>
            <w:r w:rsidRPr="00667307">
              <w:rPr>
                <w:rFonts w:eastAsia="Calibri"/>
                <w:sz w:val="20"/>
              </w:rPr>
              <w:t>Demande d’autorisation d’appel déposée</w:t>
            </w:r>
          </w:p>
          <w:p w:rsidR="003626E3" w:rsidRPr="00667307" w:rsidRDefault="003626E3" w:rsidP="00E52F75">
            <w:pPr>
              <w:jc w:val="both"/>
              <w:rPr>
                <w:rFonts w:eastAsia="Calibri"/>
                <w:sz w:val="20"/>
              </w:rPr>
            </w:pPr>
          </w:p>
        </w:tc>
      </w:tr>
    </w:tbl>
    <w:p w:rsidR="00AA605C" w:rsidRDefault="00AA605C" w:rsidP="00AA605C">
      <w:pPr>
        <w:rPr>
          <w:sz w:val="20"/>
          <w:szCs w:val="20"/>
        </w:rPr>
      </w:pPr>
    </w:p>
    <w:p w:rsidR="00AA605C" w:rsidRDefault="00B3404D" w:rsidP="00AA605C">
      <w:pPr>
        <w:rPr>
          <w:sz w:val="20"/>
          <w:szCs w:val="20"/>
          <w:lang w:val="fr-CA"/>
        </w:rPr>
      </w:pPr>
      <w:r w:rsidRPr="00B3404D">
        <w:rPr>
          <w:sz w:val="20"/>
          <w:szCs w:val="20"/>
          <w:lang w:val="fr-CA"/>
        </w:rPr>
        <w:pict>
          <v:rect id="_x0000_i1091" style="width:2in;height:1pt" o:hrpct="0" o:hralign="center" o:hrstd="t" o:hrnoshade="t" o:hr="t" fillcolor="black [3213]" stroked="f"/>
        </w:pict>
      </w:r>
    </w:p>
    <w:p w:rsidR="00AA605C" w:rsidRDefault="00AA605C" w:rsidP="00AA605C">
      <w:pPr>
        <w:rPr>
          <w:sz w:val="20"/>
          <w:szCs w:val="20"/>
        </w:rPr>
      </w:pPr>
    </w:p>
    <w:tbl>
      <w:tblPr>
        <w:tblStyle w:val="TableGrid2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426F6" w:rsidRPr="00D41BFD" w:rsidTr="00A426F6">
        <w:trPr>
          <w:cantSplit/>
        </w:trPr>
        <w:tc>
          <w:tcPr>
            <w:tcW w:w="1458" w:type="dxa"/>
          </w:tcPr>
          <w:p w:rsidR="00A426F6" w:rsidRPr="00A426F6" w:rsidRDefault="00A426F6" w:rsidP="00A426F6">
            <w:pPr>
              <w:rPr>
                <w:sz w:val="20"/>
                <w:szCs w:val="20"/>
              </w:rPr>
            </w:pPr>
            <w:r w:rsidRPr="00A426F6">
              <w:rPr>
                <w:b/>
                <w:sz w:val="20"/>
                <w:lang w:val="fr-CA"/>
              </w:rPr>
              <w:t>35326</w:t>
            </w:r>
          </w:p>
          <w:p w:rsidR="00A426F6" w:rsidRPr="00A426F6" w:rsidRDefault="00A426F6" w:rsidP="00A426F6">
            <w:pPr>
              <w:rPr>
                <w:b/>
                <w:sz w:val="20"/>
                <w:szCs w:val="20"/>
                <w:lang w:val="fr-CA"/>
              </w:rPr>
            </w:pPr>
          </w:p>
        </w:tc>
        <w:tc>
          <w:tcPr>
            <w:tcW w:w="8118" w:type="dxa"/>
          </w:tcPr>
          <w:p w:rsidR="00A426F6" w:rsidRPr="00A426F6" w:rsidRDefault="00A426F6" w:rsidP="00A426F6">
            <w:pPr>
              <w:rPr>
                <w:sz w:val="20"/>
                <w:szCs w:val="20"/>
                <w:lang w:val="fr-CA"/>
              </w:rPr>
            </w:pPr>
            <w:r w:rsidRPr="00A426F6">
              <w:rPr>
                <w:b/>
                <w:sz w:val="20"/>
                <w:u w:val="single"/>
                <w:lang w:val="fr-CA"/>
              </w:rPr>
              <w:t>Gilles Patenaude c. Procureur général du Québec</w:t>
            </w:r>
            <w:r w:rsidRPr="00A426F6">
              <w:rPr>
                <w:sz w:val="20"/>
                <w:szCs w:val="20"/>
                <w:lang w:val="fr-CA"/>
              </w:rPr>
              <w:t xml:space="preserve"> (Qc) (Civile) (Autorisation)</w:t>
            </w:r>
          </w:p>
          <w:p w:rsidR="00A426F6" w:rsidRPr="00A426F6" w:rsidRDefault="00A426F6" w:rsidP="00A426F6">
            <w:pPr>
              <w:rPr>
                <w:sz w:val="20"/>
                <w:szCs w:val="20"/>
                <w:lang w:val="fr-CA"/>
              </w:rPr>
            </w:pPr>
          </w:p>
        </w:tc>
      </w:tr>
      <w:tr w:rsidR="00A426F6" w:rsidRPr="00D41BFD" w:rsidTr="00A426F6">
        <w:trPr>
          <w:cantSplit/>
        </w:trPr>
        <w:tc>
          <w:tcPr>
            <w:tcW w:w="1458" w:type="dxa"/>
          </w:tcPr>
          <w:p w:rsidR="00A426F6" w:rsidRPr="00A426F6" w:rsidRDefault="00A426F6" w:rsidP="00A426F6">
            <w:pPr>
              <w:rPr>
                <w:sz w:val="20"/>
                <w:szCs w:val="20"/>
              </w:rPr>
            </w:pPr>
            <w:r w:rsidRPr="00A426F6">
              <w:rPr>
                <w:sz w:val="20"/>
                <w:szCs w:val="20"/>
              </w:rPr>
              <w:t>Coram :</w:t>
            </w:r>
          </w:p>
        </w:tc>
        <w:tc>
          <w:tcPr>
            <w:tcW w:w="8118" w:type="dxa"/>
          </w:tcPr>
          <w:p w:rsidR="00A426F6" w:rsidRPr="00A426F6" w:rsidRDefault="00A426F6" w:rsidP="00A426F6">
            <w:pPr>
              <w:rPr>
                <w:sz w:val="20"/>
                <w:szCs w:val="20"/>
                <w:lang w:val="fr-CA"/>
              </w:rPr>
            </w:pPr>
            <w:r w:rsidRPr="00A426F6">
              <w:rPr>
                <w:sz w:val="20"/>
                <w:u w:val="single"/>
                <w:lang w:val="fr-CA"/>
              </w:rPr>
              <w:t>Les juges LeBel, Karakatsanis et Wagner</w:t>
            </w:r>
          </w:p>
          <w:p w:rsidR="00A426F6" w:rsidRPr="00A426F6" w:rsidRDefault="00A426F6" w:rsidP="00A426F6">
            <w:pPr>
              <w:rPr>
                <w:sz w:val="20"/>
                <w:szCs w:val="20"/>
                <w:u w:val="single"/>
                <w:lang w:val="fr-CA"/>
              </w:rPr>
            </w:pPr>
          </w:p>
        </w:tc>
      </w:tr>
      <w:tr w:rsidR="00A426F6" w:rsidRPr="00A426F6" w:rsidTr="00A426F6">
        <w:trPr>
          <w:cantSplit/>
        </w:trPr>
        <w:tc>
          <w:tcPr>
            <w:tcW w:w="9576" w:type="dxa"/>
            <w:gridSpan w:val="2"/>
          </w:tcPr>
          <w:p w:rsidR="00A426F6" w:rsidRPr="00A426F6" w:rsidRDefault="00A426F6" w:rsidP="00A426F6">
            <w:pPr>
              <w:ind w:firstLine="720"/>
              <w:jc w:val="both"/>
              <w:rPr>
                <w:sz w:val="20"/>
                <w:szCs w:val="20"/>
                <w:lang w:val="fr-CA"/>
              </w:rPr>
            </w:pPr>
            <w:r w:rsidRPr="00A426F6">
              <w:rPr>
                <w:sz w:val="20"/>
                <w:szCs w:val="20"/>
                <w:lang w:val="fr-CA"/>
              </w:rPr>
              <w:t>La demande d’autorisation d’appel de l’arrêt de la Cour d’appel du Québec (Montréal), numéro 500-09-023267-131,  2013 QCCA 660, daté du 8 avril 2013, est rejetée sans dépens.</w:t>
            </w:r>
          </w:p>
          <w:p w:rsidR="00A426F6" w:rsidRPr="00A426F6" w:rsidRDefault="00A426F6" w:rsidP="00A426F6">
            <w:pPr>
              <w:jc w:val="both"/>
              <w:rPr>
                <w:sz w:val="20"/>
                <w:szCs w:val="20"/>
                <w:lang w:val="fr-CA"/>
              </w:rPr>
            </w:pPr>
          </w:p>
          <w:p w:rsidR="00A426F6" w:rsidRPr="00A426F6" w:rsidRDefault="00A426F6" w:rsidP="00A426F6">
            <w:pPr>
              <w:ind w:firstLine="720"/>
              <w:jc w:val="both"/>
              <w:rPr>
                <w:sz w:val="20"/>
                <w:szCs w:val="20"/>
              </w:rPr>
            </w:pPr>
            <w:r w:rsidRPr="00A426F6">
              <w:rPr>
                <w:sz w:val="20"/>
                <w:szCs w:val="20"/>
              </w:rPr>
              <w:t>The application for leave to appeal from the judgment of the Court of Appeal of Quebec (Montréal), Number 500-09-023267-131, 2013 QCCA 660, dated April 8, 2013, is dismissed without costs.</w:t>
            </w:r>
          </w:p>
        </w:tc>
      </w:tr>
    </w:tbl>
    <w:p w:rsidR="00AA605C" w:rsidRDefault="00AA605C" w:rsidP="00AA605C">
      <w:pPr>
        <w:rPr>
          <w:sz w:val="20"/>
          <w:szCs w:val="20"/>
        </w:rPr>
      </w:pPr>
    </w:p>
    <w:p w:rsidR="00AA605C" w:rsidRPr="001B157C" w:rsidRDefault="00AA605C" w:rsidP="00AA605C">
      <w:pPr>
        <w:rPr>
          <w:sz w:val="20"/>
          <w:szCs w:val="20"/>
          <w:u w:val="single"/>
        </w:rPr>
      </w:pPr>
      <w:r w:rsidRPr="001B157C">
        <w:rPr>
          <w:sz w:val="20"/>
          <w:szCs w:val="20"/>
          <w:u w:val="single"/>
        </w:rPr>
        <w:t>CASE SUMMARY</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26E3" w:rsidRPr="00667307" w:rsidTr="00E52F75">
        <w:tc>
          <w:tcPr>
            <w:tcW w:w="5000" w:type="pct"/>
            <w:gridSpan w:val="3"/>
          </w:tcPr>
          <w:p w:rsidR="003626E3" w:rsidRPr="00667307" w:rsidRDefault="003626E3" w:rsidP="00E52F75">
            <w:pPr>
              <w:jc w:val="both"/>
              <w:rPr>
                <w:rFonts w:eastAsia="Calibri"/>
                <w:sz w:val="20"/>
              </w:rPr>
            </w:pPr>
            <w:r w:rsidRPr="00667307">
              <w:rPr>
                <w:rFonts w:eastAsia="Calibri"/>
                <w:i/>
                <w:sz w:val="20"/>
              </w:rPr>
              <w:t xml:space="preserve">Canadian Charter of Rights and Freedoms </w:t>
            </w:r>
            <w:r w:rsidRPr="00667307">
              <w:rPr>
                <w:rFonts w:eastAsia="Calibri"/>
                <w:sz w:val="20"/>
              </w:rPr>
              <w:t xml:space="preserve">– Civil procedure – Motion in nullity – Applicant applying for declaration that legislative provisions creating distinctions between types of vehicles for registration purposes are invalid – Distinctions having possible impact on fees and insurance contributions to be paid – Applicant alleging that distinctions so created are contrary to section 15 of </w:t>
            </w:r>
            <w:r w:rsidRPr="00667307">
              <w:rPr>
                <w:rFonts w:eastAsia="Calibri"/>
                <w:i/>
                <w:sz w:val="20"/>
              </w:rPr>
              <w:t xml:space="preserve">Canadian Charter of Rights and Freedoms </w:t>
            </w:r>
            <w:r w:rsidRPr="00667307">
              <w:rPr>
                <w:rFonts w:eastAsia="Calibri"/>
                <w:sz w:val="20"/>
              </w:rPr>
              <w:t xml:space="preserve">– Attorney General bringing motion to dismiss appeal – Whether Court of Appeal erred in law in granting motion to dismiss appeal on basis that appeal had no reasonable chance of success – </w:t>
            </w:r>
            <w:r w:rsidRPr="00667307">
              <w:rPr>
                <w:rFonts w:eastAsia="Calibri"/>
                <w:i/>
                <w:sz w:val="20"/>
              </w:rPr>
              <w:t>Highway Safety Code</w:t>
            </w:r>
            <w:r w:rsidRPr="00667307">
              <w:rPr>
                <w:rFonts w:eastAsia="Calibri"/>
                <w:sz w:val="20"/>
              </w:rPr>
              <w:t xml:space="preserve">, R.S.Q., c. C-24.2, s. 31.1 – </w:t>
            </w:r>
            <w:r w:rsidRPr="00667307">
              <w:rPr>
                <w:rFonts w:eastAsia="Calibri"/>
                <w:i/>
                <w:sz w:val="20"/>
              </w:rPr>
              <w:t>Automobile Insurance Act</w:t>
            </w:r>
            <w:r w:rsidRPr="00667307">
              <w:rPr>
                <w:rFonts w:eastAsia="Calibri"/>
                <w:sz w:val="20"/>
              </w:rPr>
              <w:t xml:space="preserve">, R.S.Q., c. A-32, s. 151.1 – </w:t>
            </w:r>
            <w:r w:rsidRPr="00667307">
              <w:rPr>
                <w:rFonts w:eastAsia="Calibri"/>
                <w:i/>
                <w:sz w:val="20"/>
              </w:rPr>
              <w:t>Regulation respecting road vehicle registration</w:t>
            </w:r>
            <w:r w:rsidRPr="00667307">
              <w:rPr>
                <w:rFonts w:eastAsia="Calibri"/>
                <w:sz w:val="20"/>
              </w:rPr>
              <w:t>, R.R.Q., c. C-24.2, r. 29, s. 101.</w:t>
            </w:r>
          </w:p>
        </w:tc>
      </w:tr>
      <w:tr w:rsidR="003626E3" w:rsidRPr="00667307" w:rsidTr="00E52F75">
        <w:tc>
          <w:tcPr>
            <w:tcW w:w="5000" w:type="pct"/>
            <w:gridSpan w:val="3"/>
          </w:tcPr>
          <w:p w:rsidR="003626E3" w:rsidRPr="00667307" w:rsidRDefault="003626E3" w:rsidP="00E52F75">
            <w:pPr>
              <w:jc w:val="both"/>
              <w:rPr>
                <w:rFonts w:eastAsia="Calibri"/>
                <w:sz w:val="20"/>
              </w:rPr>
            </w:pPr>
          </w:p>
        </w:tc>
      </w:tr>
      <w:tr w:rsidR="003626E3" w:rsidRPr="00667307" w:rsidTr="00E52F75">
        <w:tc>
          <w:tcPr>
            <w:tcW w:w="5000" w:type="pct"/>
            <w:gridSpan w:val="3"/>
          </w:tcPr>
          <w:p w:rsidR="003626E3" w:rsidRPr="00667307" w:rsidRDefault="003626E3" w:rsidP="00E52F75">
            <w:pPr>
              <w:jc w:val="both"/>
              <w:rPr>
                <w:rFonts w:eastAsia="Calibri"/>
                <w:sz w:val="20"/>
              </w:rPr>
            </w:pPr>
            <w:r w:rsidRPr="00667307">
              <w:rPr>
                <w:rFonts w:eastAsia="Calibri"/>
                <w:sz w:val="20"/>
              </w:rPr>
              <w:t xml:space="preserve">Mr. Patenaude owns a motorcycle.  In 2012, he brought a motion in nullity, seeking a declaration that certain legislative provisions establishing variations that can have an impact on fees and insurance contributions to be paid to register a road vehicle in Quebec are invalid.  Under the provisions in question, the registration fees claimed for a road vehicle vary on the basis of classes that are based on, among other things, the vehicle’s make, model, mass and number of axles. Mr. Patenaude argued that these provisions are unconstitutional, because the distinctions they create violate the right to equality protected by section 15 of the </w:t>
            </w:r>
            <w:r w:rsidRPr="00667307">
              <w:rPr>
                <w:rFonts w:eastAsia="Calibri"/>
                <w:i/>
                <w:sz w:val="20"/>
              </w:rPr>
              <w:t>Canadian Charter of Rights and Freedoms</w:t>
            </w:r>
            <w:r w:rsidRPr="00667307">
              <w:rPr>
                <w:rFonts w:eastAsia="Calibri"/>
                <w:sz w:val="20"/>
              </w:rPr>
              <w:t xml:space="preserve">.  The ground of discrimination cited by Mr. Patenaude relates to the characteristics of road vehicles. </w:t>
            </w:r>
          </w:p>
          <w:p w:rsidR="003626E3" w:rsidRPr="00667307" w:rsidRDefault="003626E3" w:rsidP="00E52F75">
            <w:pPr>
              <w:jc w:val="both"/>
              <w:rPr>
                <w:rFonts w:eastAsia="Calibri"/>
                <w:sz w:val="20"/>
              </w:rPr>
            </w:pPr>
          </w:p>
          <w:p w:rsidR="003626E3" w:rsidRPr="00667307" w:rsidRDefault="003626E3" w:rsidP="00E52F75">
            <w:pPr>
              <w:jc w:val="both"/>
              <w:rPr>
                <w:rFonts w:eastAsia="Calibri"/>
                <w:sz w:val="20"/>
              </w:rPr>
            </w:pPr>
            <w:r w:rsidRPr="00667307">
              <w:rPr>
                <w:rFonts w:eastAsia="Calibri"/>
                <w:sz w:val="20"/>
              </w:rPr>
              <w:t>The Attorney General of Quebec applied for dismissal of Mr. Patenaude’s motion in nullity.</w:t>
            </w:r>
          </w:p>
          <w:p w:rsidR="003626E3" w:rsidRPr="00667307" w:rsidRDefault="003626E3" w:rsidP="00E52F75">
            <w:pPr>
              <w:jc w:val="both"/>
              <w:rPr>
                <w:rFonts w:eastAsia="Calibri"/>
                <w:sz w:val="20"/>
              </w:rPr>
            </w:pPr>
          </w:p>
        </w:tc>
      </w:tr>
      <w:tr w:rsidR="003626E3" w:rsidRPr="00667307" w:rsidTr="00A426F6">
        <w:trPr>
          <w:cantSplit/>
        </w:trPr>
        <w:tc>
          <w:tcPr>
            <w:tcW w:w="2427" w:type="pct"/>
          </w:tcPr>
          <w:p w:rsidR="003626E3" w:rsidRPr="00667307" w:rsidRDefault="003626E3" w:rsidP="00E52F75">
            <w:pPr>
              <w:jc w:val="both"/>
              <w:rPr>
                <w:rFonts w:eastAsia="Calibri"/>
                <w:sz w:val="20"/>
              </w:rPr>
            </w:pPr>
            <w:r w:rsidRPr="00667307">
              <w:rPr>
                <w:rFonts w:eastAsia="Calibri"/>
                <w:sz w:val="20"/>
              </w:rPr>
              <w:lastRenderedPageBreak/>
              <w:t>November 27, 2012</w:t>
            </w:r>
          </w:p>
          <w:p w:rsidR="003626E3" w:rsidRPr="00667307" w:rsidRDefault="003626E3" w:rsidP="00E52F75">
            <w:pPr>
              <w:jc w:val="both"/>
              <w:rPr>
                <w:rFonts w:eastAsia="Calibri"/>
                <w:sz w:val="20"/>
              </w:rPr>
            </w:pPr>
            <w:r w:rsidRPr="00667307">
              <w:rPr>
                <w:rFonts w:eastAsia="Calibri"/>
                <w:sz w:val="20"/>
              </w:rPr>
              <w:t>Quebec Superior Court</w:t>
            </w:r>
          </w:p>
          <w:p w:rsidR="003626E3" w:rsidRPr="00667307" w:rsidRDefault="003626E3" w:rsidP="00E52F75">
            <w:pPr>
              <w:jc w:val="both"/>
              <w:rPr>
                <w:rFonts w:eastAsia="Calibri"/>
                <w:sz w:val="20"/>
              </w:rPr>
            </w:pPr>
            <w:r w:rsidRPr="00667307">
              <w:rPr>
                <w:rFonts w:eastAsia="Calibri"/>
                <w:sz w:val="20"/>
              </w:rPr>
              <w:t>(Julien J.)</w:t>
            </w:r>
          </w:p>
          <w:p w:rsidR="003626E3" w:rsidRPr="00667307" w:rsidRDefault="003626E3" w:rsidP="00E52F75">
            <w:pPr>
              <w:jc w:val="both"/>
              <w:rPr>
                <w:rFonts w:eastAsia="Calibri"/>
                <w:sz w:val="20"/>
              </w:rPr>
            </w:pPr>
            <w:r w:rsidRPr="00667307">
              <w:rPr>
                <w:rFonts w:eastAsia="Calibri"/>
                <w:sz w:val="20"/>
              </w:rPr>
              <w:t>2012 QCCS 5982</w:t>
            </w:r>
          </w:p>
          <w:p w:rsidR="003626E3" w:rsidRPr="00667307" w:rsidRDefault="003626E3" w:rsidP="00E52F75">
            <w:pPr>
              <w:jc w:val="both"/>
              <w:rPr>
                <w:rFonts w:eastAsia="Calibri"/>
                <w:sz w:val="20"/>
              </w:rPr>
            </w:pPr>
          </w:p>
        </w:tc>
        <w:tc>
          <w:tcPr>
            <w:tcW w:w="243" w:type="pct"/>
          </w:tcPr>
          <w:p w:rsidR="003626E3" w:rsidRPr="00667307" w:rsidRDefault="003626E3" w:rsidP="00E52F75">
            <w:pPr>
              <w:jc w:val="both"/>
              <w:rPr>
                <w:rFonts w:eastAsia="Calibri"/>
                <w:sz w:val="20"/>
              </w:rPr>
            </w:pPr>
          </w:p>
        </w:tc>
        <w:tc>
          <w:tcPr>
            <w:tcW w:w="2330" w:type="pct"/>
          </w:tcPr>
          <w:p w:rsidR="003626E3" w:rsidRPr="00667307" w:rsidRDefault="003626E3" w:rsidP="00E52F75">
            <w:pPr>
              <w:jc w:val="both"/>
              <w:rPr>
                <w:rFonts w:eastAsia="Calibri"/>
                <w:sz w:val="20"/>
              </w:rPr>
            </w:pPr>
            <w:r w:rsidRPr="00667307">
              <w:rPr>
                <w:rFonts w:eastAsia="Calibri"/>
                <w:sz w:val="20"/>
              </w:rPr>
              <w:t xml:space="preserve">Motion to dismiss granted, and motion in nullity dismissed </w:t>
            </w:r>
          </w:p>
        </w:tc>
      </w:tr>
      <w:tr w:rsidR="003626E3" w:rsidRPr="00667307" w:rsidTr="00A426F6">
        <w:trPr>
          <w:cantSplit/>
        </w:trPr>
        <w:tc>
          <w:tcPr>
            <w:tcW w:w="2427" w:type="pct"/>
          </w:tcPr>
          <w:p w:rsidR="003626E3" w:rsidRPr="00667307" w:rsidRDefault="003626E3" w:rsidP="00E52F75">
            <w:pPr>
              <w:jc w:val="both"/>
              <w:rPr>
                <w:rFonts w:eastAsia="Calibri"/>
                <w:sz w:val="20"/>
              </w:rPr>
            </w:pPr>
            <w:r w:rsidRPr="00667307">
              <w:rPr>
                <w:rFonts w:eastAsia="Calibri"/>
                <w:sz w:val="20"/>
              </w:rPr>
              <w:t>April 8, 2013</w:t>
            </w:r>
          </w:p>
          <w:p w:rsidR="003626E3" w:rsidRPr="00667307" w:rsidRDefault="003626E3" w:rsidP="00E52F75">
            <w:pPr>
              <w:jc w:val="both"/>
              <w:rPr>
                <w:rFonts w:eastAsia="Calibri"/>
                <w:sz w:val="20"/>
              </w:rPr>
            </w:pPr>
            <w:r w:rsidRPr="00667307">
              <w:rPr>
                <w:rFonts w:eastAsia="Calibri"/>
                <w:sz w:val="20"/>
              </w:rPr>
              <w:t>Quebec Court of Appeal (Montréal)</w:t>
            </w:r>
          </w:p>
          <w:p w:rsidR="003626E3" w:rsidRPr="00667307" w:rsidRDefault="003626E3" w:rsidP="00E52F75">
            <w:pPr>
              <w:jc w:val="both"/>
              <w:rPr>
                <w:rFonts w:eastAsia="Calibri"/>
                <w:sz w:val="20"/>
              </w:rPr>
            </w:pPr>
            <w:r w:rsidRPr="00667307">
              <w:rPr>
                <w:rFonts w:eastAsia="Calibri"/>
                <w:sz w:val="20"/>
              </w:rPr>
              <w:t>(Morissette, Bich and Gascon JJ.A.)</w:t>
            </w:r>
          </w:p>
          <w:p w:rsidR="003626E3" w:rsidRPr="00667307" w:rsidRDefault="003626E3" w:rsidP="00E52F75">
            <w:pPr>
              <w:jc w:val="both"/>
              <w:rPr>
                <w:rFonts w:eastAsia="Calibri"/>
                <w:sz w:val="20"/>
              </w:rPr>
            </w:pPr>
            <w:r w:rsidRPr="00667307">
              <w:rPr>
                <w:rFonts w:eastAsia="Calibri"/>
                <w:sz w:val="20"/>
              </w:rPr>
              <w:t>2013 QCCA 660</w:t>
            </w:r>
          </w:p>
          <w:p w:rsidR="003626E3" w:rsidRPr="00667307" w:rsidRDefault="003626E3" w:rsidP="00E52F75">
            <w:pPr>
              <w:jc w:val="both"/>
              <w:rPr>
                <w:rFonts w:eastAsia="Calibri"/>
                <w:sz w:val="20"/>
              </w:rPr>
            </w:pPr>
          </w:p>
        </w:tc>
        <w:tc>
          <w:tcPr>
            <w:tcW w:w="243" w:type="pct"/>
          </w:tcPr>
          <w:p w:rsidR="003626E3" w:rsidRPr="00667307" w:rsidRDefault="003626E3" w:rsidP="00E52F75">
            <w:pPr>
              <w:jc w:val="both"/>
              <w:rPr>
                <w:rFonts w:eastAsia="Calibri"/>
                <w:sz w:val="20"/>
              </w:rPr>
            </w:pPr>
          </w:p>
        </w:tc>
        <w:tc>
          <w:tcPr>
            <w:tcW w:w="2330" w:type="pct"/>
          </w:tcPr>
          <w:p w:rsidR="003626E3" w:rsidRPr="00667307" w:rsidRDefault="003626E3" w:rsidP="00E52F75">
            <w:pPr>
              <w:jc w:val="both"/>
              <w:rPr>
                <w:rFonts w:eastAsia="Calibri"/>
                <w:sz w:val="20"/>
              </w:rPr>
            </w:pPr>
            <w:r w:rsidRPr="00667307">
              <w:rPr>
                <w:rFonts w:eastAsia="Calibri"/>
                <w:sz w:val="20"/>
              </w:rPr>
              <w:t>Motion to dismiss appeal granted, and appeal dismissed</w:t>
            </w:r>
          </w:p>
          <w:p w:rsidR="003626E3" w:rsidRPr="00667307" w:rsidRDefault="003626E3" w:rsidP="00E52F75">
            <w:pPr>
              <w:jc w:val="both"/>
              <w:rPr>
                <w:rFonts w:eastAsia="Calibri"/>
                <w:sz w:val="20"/>
              </w:rPr>
            </w:pPr>
          </w:p>
        </w:tc>
      </w:tr>
      <w:tr w:rsidR="003626E3" w:rsidRPr="00667307" w:rsidTr="00A426F6">
        <w:trPr>
          <w:cantSplit/>
        </w:trPr>
        <w:tc>
          <w:tcPr>
            <w:tcW w:w="2427" w:type="pct"/>
          </w:tcPr>
          <w:p w:rsidR="003626E3" w:rsidRPr="00667307" w:rsidRDefault="003626E3" w:rsidP="00E52F75">
            <w:pPr>
              <w:jc w:val="both"/>
              <w:rPr>
                <w:rFonts w:eastAsia="Calibri"/>
                <w:sz w:val="20"/>
              </w:rPr>
            </w:pPr>
            <w:r w:rsidRPr="00667307">
              <w:rPr>
                <w:rFonts w:eastAsia="Calibri"/>
                <w:sz w:val="20"/>
              </w:rPr>
              <w:t>April 17, 2013</w:t>
            </w:r>
          </w:p>
          <w:p w:rsidR="003626E3" w:rsidRPr="00667307" w:rsidRDefault="003626E3" w:rsidP="00E52F75">
            <w:pPr>
              <w:jc w:val="both"/>
              <w:rPr>
                <w:rFonts w:eastAsia="Calibri"/>
                <w:sz w:val="20"/>
              </w:rPr>
            </w:pPr>
            <w:r w:rsidRPr="00667307">
              <w:rPr>
                <w:rFonts w:eastAsia="Calibri"/>
                <w:sz w:val="20"/>
              </w:rPr>
              <w:t>Supreme Court of Canada</w:t>
            </w:r>
          </w:p>
        </w:tc>
        <w:tc>
          <w:tcPr>
            <w:tcW w:w="243" w:type="pct"/>
          </w:tcPr>
          <w:p w:rsidR="003626E3" w:rsidRPr="00667307" w:rsidRDefault="003626E3" w:rsidP="00E52F75">
            <w:pPr>
              <w:jc w:val="both"/>
              <w:rPr>
                <w:rFonts w:eastAsia="Calibri"/>
                <w:sz w:val="20"/>
              </w:rPr>
            </w:pPr>
          </w:p>
        </w:tc>
        <w:tc>
          <w:tcPr>
            <w:tcW w:w="2330" w:type="pct"/>
          </w:tcPr>
          <w:p w:rsidR="003626E3" w:rsidRPr="00667307" w:rsidRDefault="003626E3" w:rsidP="00E52F75">
            <w:pPr>
              <w:jc w:val="both"/>
              <w:rPr>
                <w:rFonts w:eastAsia="Calibri"/>
                <w:sz w:val="20"/>
              </w:rPr>
            </w:pPr>
            <w:r w:rsidRPr="00667307">
              <w:rPr>
                <w:rFonts w:eastAsia="Calibri"/>
                <w:sz w:val="20"/>
              </w:rPr>
              <w:t>Application for leave to appeal filed</w:t>
            </w:r>
          </w:p>
          <w:p w:rsidR="003626E3" w:rsidRPr="00667307" w:rsidRDefault="003626E3" w:rsidP="00E52F75">
            <w:pPr>
              <w:jc w:val="both"/>
              <w:rPr>
                <w:rFonts w:eastAsia="Calibri"/>
                <w:sz w:val="20"/>
              </w:rPr>
            </w:pPr>
          </w:p>
        </w:tc>
      </w:tr>
    </w:tbl>
    <w:p w:rsidR="00AA605C" w:rsidRDefault="00AA605C" w:rsidP="00AA605C">
      <w:pPr>
        <w:rPr>
          <w:sz w:val="20"/>
          <w:szCs w:val="20"/>
        </w:rPr>
      </w:pPr>
    </w:p>
    <w:p w:rsidR="00AA605C" w:rsidRPr="00C50A5C" w:rsidRDefault="00B3404D" w:rsidP="00AA605C">
      <w:pPr>
        <w:rPr>
          <w:sz w:val="20"/>
          <w:szCs w:val="20"/>
        </w:rPr>
      </w:pPr>
      <w:r w:rsidRPr="00B3404D">
        <w:rPr>
          <w:sz w:val="20"/>
          <w:szCs w:val="20"/>
          <w:lang w:val="fr-CA"/>
        </w:rPr>
        <w:pict>
          <v:rect id="_x0000_i1092" style="width:2in;height:1pt" o:hrpct="0" o:hralign="center" o:hrstd="t" o:hrnoshade="t" o:hr="t" fillcolor="black [3213]" stroked="f"/>
        </w:pict>
      </w:r>
    </w:p>
    <w:p w:rsidR="00AA605C" w:rsidRDefault="00AA605C" w:rsidP="00AA605C">
      <w:pPr>
        <w:rPr>
          <w:sz w:val="20"/>
          <w:szCs w:val="20"/>
        </w:rPr>
      </w:pPr>
    </w:p>
    <w:p w:rsidR="00AA605C" w:rsidRPr="001B157C" w:rsidRDefault="00AA605C" w:rsidP="00AA605C">
      <w:pPr>
        <w:rPr>
          <w:sz w:val="20"/>
          <w:szCs w:val="20"/>
          <w:u w:val="single"/>
          <w:lang w:val="fr-CA"/>
        </w:rPr>
      </w:pPr>
      <w:r w:rsidRPr="001B157C">
        <w:rPr>
          <w:sz w:val="20"/>
          <w:szCs w:val="20"/>
          <w:u w:val="single"/>
          <w:lang w:val="fr-CA"/>
        </w:rPr>
        <w:t>RÉSUMÉ DE L’AFFAIRE</w:t>
      </w:r>
    </w:p>
    <w:p w:rsidR="00AA605C" w:rsidRDefault="00AA605C" w:rsidP="00AA605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26E3" w:rsidRPr="00D41BFD" w:rsidTr="00E52F75">
        <w:tc>
          <w:tcPr>
            <w:tcW w:w="5000" w:type="pct"/>
            <w:gridSpan w:val="3"/>
          </w:tcPr>
          <w:p w:rsidR="003626E3" w:rsidRPr="00667307" w:rsidRDefault="003626E3" w:rsidP="00E52F75">
            <w:pPr>
              <w:jc w:val="both"/>
              <w:rPr>
                <w:sz w:val="20"/>
                <w:lang w:val="fr-CA"/>
              </w:rPr>
            </w:pPr>
            <w:r w:rsidRPr="00667307">
              <w:rPr>
                <w:i/>
                <w:sz w:val="20"/>
                <w:lang w:val="fr-CA"/>
              </w:rPr>
              <w:t>Charte canadienne des droits et libertés</w:t>
            </w:r>
            <w:r w:rsidRPr="00667307">
              <w:rPr>
                <w:sz w:val="20"/>
                <w:lang w:val="fr-CA"/>
              </w:rPr>
              <w:t xml:space="preserve"> – Procédure civile – Requête en nullité – Demandeur ayant déposé requête cherchant à faire invalider dispositions législatives prévoyant distinctions entre types de véhicules aux fins d’immatriculation – Distinctions pouvant influer sur frais et contribution d’assurance à payer – Demandeur alléguant que distinctions crées sont contraires à l’article 15 de la </w:t>
            </w:r>
            <w:r w:rsidRPr="00667307">
              <w:rPr>
                <w:i/>
                <w:sz w:val="20"/>
                <w:lang w:val="fr-CA"/>
              </w:rPr>
              <w:t>Charte canadienne des droits et libertés</w:t>
            </w:r>
            <w:r w:rsidRPr="00667307">
              <w:rPr>
                <w:sz w:val="20"/>
                <w:lang w:val="fr-CA"/>
              </w:rPr>
              <w:t xml:space="preserve"> – Procureur général déposant requête en rejet d’appel – La Cour d’appel a-t-elle erré en droit en accueillant la requête en rejet d’appel au motif qu’appel n’avait aucune chance raisonnable de succès? – </w:t>
            </w:r>
            <w:r w:rsidRPr="00667307">
              <w:rPr>
                <w:i/>
                <w:sz w:val="20"/>
                <w:lang w:val="fr-CA"/>
              </w:rPr>
              <w:t>Code de la sécurité routière</w:t>
            </w:r>
            <w:r w:rsidRPr="00667307">
              <w:rPr>
                <w:sz w:val="20"/>
                <w:lang w:val="fr-CA"/>
              </w:rPr>
              <w:t xml:space="preserve">, L.R.Q. c. C-24.2, art. 31.1 – </w:t>
            </w:r>
            <w:r w:rsidRPr="00667307">
              <w:rPr>
                <w:i/>
                <w:sz w:val="20"/>
                <w:lang w:val="fr-CA"/>
              </w:rPr>
              <w:t>Loi sur l’assurance automobile</w:t>
            </w:r>
            <w:r w:rsidRPr="00667307">
              <w:rPr>
                <w:sz w:val="20"/>
                <w:lang w:val="fr-CA"/>
              </w:rPr>
              <w:t xml:space="preserve">, L.R.Q., c. A-32, art. 151.1 – </w:t>
            </w:r>
            <w:r w:rsidRPr="00667307">
              <w:rPr>
                <w:i/>
                <w:sz w:val="20"/>
                <w:lang w:val="fr-CA"/>
              </w:rPr>
              <w:t>Règlement sur l’immatriculation des véhicules routiers</w:t>
            </w:r>
            <w:r w:rsidRPr="00667307">
              <w:rPr>
                <w:sz w:val="20"/>
                <w:lang w:val="fr-CA"/>
              </w:rPr>
              <w:t>, R.R.Q. c. C-24.2, r-29, art. 101.</w:t>
            </w:r>
          </w:p>
        </w:tc>
      </w:tr>
      <w:tr w:rsidR="003626E3" w:rsidRPr="00D41BFD" w:rsidTr="00E52F75">
        <w:tc>
          <w:tcPr>
            <w:tcW w:w="5000" w:type="pct"/>
            <w:gridSpan w:val="3"/>
          </w:tcPr>
          <w:p w:rsidR="003626E3" w:rsidRPr="00667307" w:rsidRDefault="003626E3" w:rsidP="00E52F75">
            <w:pPr>
              <w:jc w:val="both"/>
              <w:rPr>
                <w:sz w:val="20"/>
                <w:lang w:val="fr-CA"/>
              </w:rPr>
            </w:pPr>
          </w:p>
        </w:tc>
      </w:tr>
      <w:tr w:rsidR="003626E3" w:rsidRPr="00D41BFD" w:rsidTr="00E52F75">
        <w:tc>
          <w:tcPr>
            <w:tcW w:w="5000" w:type="pct"/>
            <w:gridSpan w:val="3"/>
          </w:tcPr>
          <w:p w:rsidR="003626E3" w:rsidRPr="00667307" w:rsidRDefault="003626E3" w:rsidP="00E52F75">
            <w:pPr>
              <w:jc w:val="both"/>
              <w:rPr>
                <w:sz w:val="20"/>
                <w:lang w:val="fr-CA"/>
              </w:rPr>
            </w:pPr>
            <w:r w:rsidRPr="00667307">
              <w:rPr>
                <w:sz w:val="20"/>
                <w:lang w:val="fr-CA"/>
              </w:rPr>
              <w:t>M. Patenaude est propriétaire d’une motocyclette.  En 2012, il a déposé une requête en nullité visant à obtenir une déclaration invalidant certaines dispositions législatives qui prévoient les variantes pouvant influer sur les frais et la contribution d’assurance à payer pour obtenir l’immatriculation d’un véhicule routier au Québec.</w:t>
            </w:r>
            <w:r w:rsidRPr="00667307">
              <w:rPr>
                <w:i/>
                <w:sz w:val="20"/>
                <w:lang w:val="fr-CA"/>
              </w:rPr>
              <w:t xml:space="preserve">  </w:t>
            </w:r>
            <w:r w:rsidRPr="00667307">
              <w:rPr>
                <w:sz w:val="20"/>
                <w:lang w:val="fr-CA"/>
              </w:rPr>
              <w:t xml:space="preserve">En vertu de ces dispositions, les droits d’immatriculation réclamés pour un véhicule routier résultent de catégories fondées, entre autres, sur la marque, le modèle, la masse et le nombre d’essieux du véhicule.  Selon M. Patenaude, ces dispositions sont inconstitutionnelles car les distinctions qu’elles créent constituent une atteinte au droit à l’égalité protégé par l’article 15 de la </w:t>
            </w:r>
            <w:r w:rsidRPr="00667307">
              <w:rPr>
                <w:i/>
                <w:sz w:val="20"/>
                <w:lang w:val="fr-CA"/>
              </w:rPr>
              <w:t>Charte canadienne des droits et libertés</w:t>
            </w:r>
            <w:r w:rsidRPr="00667307">
              <w:rPr>
                <w:sz w:val="20"/>
                <w:lang w:val="fr-CA"/>
              </w:rPr>
              <w:t xml:space="preserve">.  Le motif de discrimination énoncé par M. Patenaude concerne les caractéristiques des véhicules routiers. </w:t>
            </w:r>
          </w:p>
          <w:p w:rsidR="003626E3" w:rsidRPr="00667307" w:rsidRDefault="003626E3" w:rsidP="00E52F75">
            <w:pPr>
              <w:jc w:val="both"/>
              <w:rPr>
                <w:sz w:val="20"/>
                <w:lang w:val="fr-CA"/>
              </w:rPr>
            </w:pPr>
          </w:p>
          <w:p w:rsidR="003626E3" w:rsidRPr="00667307" w:rsidRDefault="003626E3" w:rsidP="00E52F75">
            <w:pPr>
              <w:jc w:val="both"/>
              <w:rPr>
                <w:sz w:val="20"/>
                <w:lang w:val="fr-CA"/>
              </w:rPr>
            </w:pPr>
            <w:r w:rsidRPr="00667307">
              <w:rPr>
                <w:sz w:val="20"/>
                <w:lang w:val="fr-CA"/>
              </w:rPr>
              <w:t>Le Procureur général du Québec demanda le rejet de la requête en nullité déposée par M. Patenaude.</w:t>
            </w:r>
          </w:p>
          <w:p w:rsidR="003626E3" w:rsidRPr="00667307" w:rsidRDefault="003626E3" w:rsidP="00E52F75">
            <w:pPr>
              <w:jc w:val="both"/>
              <w:rPr>
                <w:sz w:val="20"/>
                <w:lang w:val="fr-CA"/>
              </w:rPr>
            </w:pPr>
          </w:p>
        </w:tc>
      </w:tr>
      <w:tr w:rsidR="003626E3" w:rsidRPr="00D41BFD" w:rsidTr="00E52F75">
        <w:tc>
          <w:tcPr>
            <w:tcW w:w="2427" w:type="pct"/>
          </w:tcPr>
          <w:p w:rsidR="003626E3" w:rsidRPr="00667307" w:rsidRDefault="003626E3" w:rsidP="00E52F75">
            <w:pPr>
              <w:jc w:val="both"/>
              <w:rPr>
                <w:sz w:val="20"/>
                <w:lang w:val="fr-CA"/>
              </w:rPr>
            </w:pPr>
            <w:r w:rsidRPr="00667307">
              <w:rPr>
                <w:sz w:val="20"/>
                <w:lang w:val="fr-CA"/>
              </w:rPr>
              <w:t>Le 27 novembre 2012</w:t>
            </w:r>
          </w:p>
          <w:p w:rsidR="003626E3" w:rsidRPr="00667307" w:rsidRDefault="003626E3" w:rsidP="00E52F75">
            <w:pPr>
              <w:jc w:val="both"/>
              <w:rPr>
                <w:sz w:val="20"/>
                <w:lang w:val="fr-CA"/>
              </w:rPr>
            </w:pPr>
            <w:r w:rsidRPr="00667307">
              <w:rPr>
                <w:sz w:val="20"/>
                <w:lang w:val="fr-CA"/>
              </w:rPr>
              <w:t>Cour supérieure du Québec</w:t>
            </w:r>
          </w:p>
          <w:p w:rsidR="003626E3" w:rsidRPr="00667307" w:rsidRDefault="003626E3" w:rsidP="00E52F75">
            <w:pPr>
              <w:jc w:val="both"/>
              <w:rPr>
                <w:sz w:val="20"/>
              </w:rPr>
            </w:pPr>
            <w:r w:rsidRPr="00667307">
              <w:rPr>
                <w:sz w:val="20"/>
              </w:rPr>
              <w:t>(La juge Julien)</w:t>
            </w:r>
          </w:p>
          <w:p w:rsidR="003626E3" w:rsidRPr="00667307" w:rsidRDefault="003626E3" w:rsidP="00E52F75">
            <w:pPr>
              <w:jc w:val="both"/>
              <w:rPr>
                <w:sz w:val="20"/>
              </w:rPr>
            </w:pPr>
            <w:r w:rsidRPr="00667307">
              <w:rPr>
                <w:sz w:val="20"/>
              </w:rPr>
              <w:t>2012 QCCS 5982</w:t>
            </w:r>
          </w:p>
          <w:p w:rsidR="003626E3" w:rsidRPr="00667307" w:rsidRDefault="003626E3" w:rsidP="00E52F75">
            <w:pPr>
              <w:jc w:val="both"/>
              <w:rPr>
                <w:sz w:val="20"/>
                <w:lang w:val="fr-FR"/>
              </w:rPr>
            </w:pPr>
          </w:p>
        </w:tc>
        <w:tc>
          <w:tcPr>
            <w:tcW w:w="243" w:type="pct"/>
          </w:tcPr>
          <w:p w:rsidR="003626E3" w:rsidRPr="00667307" w:rsidRDefault="003626E3" w:rsidP="00E52F75">
            <w:pPr>
              <w:jc w:val="both"/>
              <w:rPr>
                <w:sz w:val="20"/>
                <w:lang w:val="fr-FR"/>
              </w:rPr>
            </w:pPr>
          </w:p>
        </w:tc>
        <w:tc>
          <w:tcPr>
            <w:tcW w:w="2330" w:type="pct"/>
          </w:tcPr>
          <w:p w:rsidR="003626E3" w:rsidRPr="00667307" w:rsidRDefault="003626E3" w:rsidP="00E52F75">
            <w:pPr>
              <w:jc w:val="both"/>
              <w:rPr>
                <w:sz w:val="20"/>
                <w:lang w:val="fr-CA"/>
              </w:rPr>
            </w:pPr>
            <w:r w:rsidRPr="00667307">
              <w:rPr>
                <w:sz w:val="20"/>
                <w:lang w:val="fr-CA"/>
              </w:rPr>
              <w:t xml:space="preserve">Requête en irrecevabilité accueillie et requête en nullité rejetée </w:t>
            </w:r>
          </w:p>
        </w:tc>
      </w:tr>
      <w:tr w:rsidR="003626E3" w:rsidRPr="00D41BFD" w:rsidTr="00E52F75">
        <w:tc>
          <w:tcPr>
            <w:tcW w:w="2427" w:type="pct"/>
          </w:tcPr>
          <w:p w:rsidR="003626E3" w:rsidRPr="00667307" w:rsidRDefault="003626E3" w:rsidP="00E52F75">
            <w:pPr>
              <w:jc w:val="both"/>
              <w:rPr>
                <w:sz w:val="20"/>
                <w:lang w:val="fr-CA"/>
              </w:rPr>
            </w:pPr>
            <w:r w:rsidRPr="00667307">
              <w:rPr>
                <w:sz w:val="20"/>
                <w:lang w:val="fr-CA"/>
              </w:rPr>
              <w:t>Le 8 avril 2013</w:t>
            </w:r>
          </w:p>
          <w:p w:rsidR="003626E3" w:rsidRPr="00667307" w:rsidRDefault="003626E3" w:rsidP="00E52F75">
            <w:pPr>
              <w:jc w:val="both"/>
              <w:rPr>
                <w:sz w:val="20"/>
                <w:lang w:val="fr-CA"/>
              </w:rPr>
            </w:pPr>
            <w:r w:rsidRPr="00667307">
              <w:rPr>
                <w:sz w:val="20"/>
                <w:lang w:val="fr-CA"/>
              </w:rPr>
              <w:t>Cour d’appel du Québec (Montréal)</w:t>
            </w:r>
          </w:p>
          <w:p w:rsidR="003626E3" w:rsidRPr="00667307" w:rsidRDefault="003626E3" w:rsidP="00E52F75">
            <w:pPr>
              <w:jc w:val="both"/>
              <w:rPr>
                <w:sz w:val="20"/>
                <w:lang w:val="fr-CA"/>
              </w:rPr>
            </w:pPr>
            <w:r w:rsidRPr="00667307">
              <w:rPr>
                <w:sz w:val="20"/>
                <w:lang w:val="fr-CA"/>
              </w:rPr>
              <w:t>(Les juges Morissette, Bich et Gascon)</w:t>
            </w:r>
          </w:p>
          <w:p w:rsidR="003626E3" w:rsidRPr="00667307" w:rsidRDefault="003626E3" w:rsidP="005C6D0B">
            <w:pPr>
              <w:jc w:val="both"/>
              <w:rPr>
                <w:sz w:val="20"/>
                <w:lang w:val="fr-FR"/>
              </w:rPr>
            </w:pPr>
            <w:r w:rsidRPr="00667307">
              <w:rPr>
                <w:sz w:val="20"/>
              </w:rPr>
              <w:t>2013 QCCA 660</w:t>
            </w:r>
          </w:p>
        </w:tc>
        <w:tc>
          <w:tcPr>
            <w:tcW w:w="243" w:type="pct"/>
          </w:tcPr>
          <w:p w:rsidR="003626E3" w:rsidRPr="00667307" w:rsidRDefault="003626E3" w:rsidP="00E52F75">
            <w:pPr>
              <w:jc w:val="both"/>
              <w:rPr>
                <w:sz w:val="20"/>
                <w:lang w:val="fr-FR"/>
              </w:rPr>
            </w:pPr>
          </w:p>
        </w:tc>
        <w:tc>
          <w:tcPr>
            <w:tcW w:w="2330" w:type="pct"/>
          </w:tcPr>
          <w:p w:rsidR="003626E3" w:rsidRPr="00667307" w:rsidRDefault="003626E3" w:rsidP="00E52F75">
            <w:pPr>
              <w:jc w:val="both"/>
              <w:rPr>
                <w:sz w:val="20"/>
                <w:lang w:val="fr-CA"/>
              </w:rPr>
            </w:pPr>
            <w:r w:rsidRPr="00667307">
              <w:rPr>
                <w:sz w:val="20"/>
                <w:lang w:val="fr-CA"/>
              </w:rPr>
              <w:t>Requête en rejet d’appel accueillie et appel rejeté</w:t>
            </w:r>
          </w:p>
          <w:p w:rsidR="003626E3" w:rsidRPr="00667307" w:rsidRDefault="003626E3" w:rsidP="00E52F75">
            <w:pPr>
              <w:jc w:val="both"/>
              <w:rPr>
                <w:sz w:val="20"/>
                <w:lang w:val="fr-CA"/>
              </w:rPr>
            </w:pPr>
          </w:p>
        </w:tc>
      </w:tr>
    </w:tbl>
    <w:p w:rsidR="005C6D0B" w:rsidRPr="001533B8" w:rsidRDefault="005C6D0B">
      <w:pPr>
        <w:rPr>
          <w:lang w:val="fr-CA"/>
        </w:rPr>
      </w:pPr>
    </w:p>
    <w:p w:rsidR="005C6D0B" w:rsidRPr="001533B8" w:rsidRDefault="005C6D0B">
      <w:pPr>
        <w:rPr>
          <w:lang w:val="fr-CA"/>
        </w:rPr>
      </w:pPr>
      <w:r w:rsidRPr="001533B8">
        <w:rPr>
          <w:lang w:val="fr-CA"/>
        </w:rPr>
        <w:br w:type="page"/>
      </w:r>
    </w:p>
    <w:tbl>
      <w:tblPr>
        <w:tblW w:w="4952" w:type="pct"/>
        <w:tblLayout w:type="fixed"/>
        <w:tblCellMar>
          <w:left w:w="0" w:type="dxa"/>
          <w:bottom w:w="99" w:type="dxa"/>
          <w:right w:w="0" w:type="dxa"/>
        </w:tblCellMar>
        <w:tblLook w:val="04A0"/>
      </w:tblPr>
      <w:tblGrid>
        <w:gridCol w:w="4624"/>
        <w:gridCol w:w="463"/>
        <w:gridCol w:w="4440"/>
      </w:tblGrid>
      <w:tr w:rsidR="003626E3" w:rsidRPr="00667307" w:rsidTr="005C6D0B">
        <w:trPr>
          <w:cantSplit/>
        </w:trPr>
        <w:tc>
          <w:tcPr>
            <w:tcW w:w="2427" w:type="pct"/>
          </w:tcPr>
          <w:p w:rsidR="003626E3" w:rsidRPr="00667307" w:rsidRDefault="003626E3" w:rsidP="00E52F75">
            <w:pPr>
              <w:jc w:val="both"/>
              <w:rPr>
                <w:sz w:val="20"/>
                <w:lang w:val="fr-CA"/>
              </w:rPr>
            </w:pPr>
            <w:r w:rsidRPr="00667307">
              <w:rPr>
                <w:sz w:val="20"/>
                <w:lang w:val="fr-CA"/>
              </w:rPr>
              <w:lastRenderedPageBreak/>
              <w:t>Le 17 avril 2013</w:t>
            </w:r>
          </w:p>
          <w:p w:rsidR="003626E3" w:rsidRPr="00667307" w:rsidRDefault="003626E3" w:rsidP="00E52F75">
            <w:pPr>
              <w:jc w:val="both"/>
              <w:rPr>
                <w:sz w:val="20"/>
                <w:lang w:val="fr-FR"/>
              </w:rPr>
            </w:pPr>
            <w:r w:rsidRPr="00667307">
              <w:rPr>
                <w:sz w:val="20"/>
                <w:lang w:val="fr-CA"/>
              </w:rPr>
              <w:t>Cour suprême du Canada</w:t>
            </w:r>
          </w:p>
        </w:tc>
        <w:tc>
          <w:tcPr>
            <w:tcW w:w="243" w:type="pct"/>
          </w:tcPr>
          <w:p w:rsidR="003626E3" w:rsidRPr="00667307" w:rsidRDefault="003626E3" w:rsidP="00E52F75">
            <w:pPr>
              <w:jc w:val="both"/>
              <w:rPr>
                <w:sz w:val="20"/>
                <w:lang w:val="fr-FR"/>
              </w:rPr>
            </w:pPr>
          </w:p>
        </w:tc>
        <w:tc>
          <w:tcPr>
            <w:tcW w:w="2330" w:type="pct"/>
          </w:tcPr>
          <w:p w:rsidR="003626E3" w:rsidRPr="00667307" w:rsidRDefault="003626E3" w:rsidP="00E52F75">
            <w:pPr>
              <w:jc w:val="both"/>
              <w:rPr>
                <w:sz w:val="20"/>
              </w:rPr>
            </w:pPr>
            <w:r w:rsidRPr="00667307">
              <w:rPr>
                <w:sz w:val="20"/>
              </w:rPr>
              <w:t>Demande d'autorisation d'appel déposée</w:t>
            </w:r>
          </w:p>
          <w:p w:rsidR="003626E3" w:rsidRPr="00667307" w:rsidRDefault="003626E3" w:rsidP="00E52F75">
            <w:pPr>
              <w:jc w:val="both"/>
              <w:rPr>
                <w:sz w:val="20"/>
              </w:rPr>
            </w:pPr>
          </w:p>
        </w:tc>
      </w:tr>
    </w:tbl>
    <w:p w:rsidR="00AA605C" w:rsidRDefault="00AA605C" w:rsidP="00AA605C">
      <w:pPr>
        <w:rPr>
          <w:sz w:val="20"/>
          <w:szCs w:val="20"/>
        </w:rPr>
      </w:pPr>
    </w:p>
    <w:p w:rsidR="00AA605C" w:rsidRDefault="00B3404D" w:rsidP="00AA605C">
      <w:pPr>
        <w:rPr>
          <w:sz w:val="20"/>
          <w:szCs w:val="20"/>
          <w:lang w:val="fr-CA"/>
        </w:rPr>
      </w:pPr>
      <w:r w:rsidRPr="00B3404D">
        <w:rPr>
          <w:sz w:val="20"/>
          <w:szCs w:val="20"/>
          <w:lang w:val="fr-CA"/>
        </w:rPr>
        <w:pict>
          <v:rect id="_x0000_i1093" style="width:2in;height:1pt" o:hrpct="0" o:hralign="center" o:hrstd="t" o:hrnoshade="t" o:hr="t" fillcolor="black [3213]" stroked="f"/>
        </w:pict>
      </w:r>
    </w:p>
    <w:p w:rsidR="00AA605C" w:rsidRDefault="00AA605C" w:rsidP="00AA605C">
      <w:pPr>
        <w:rPr>
          <w:sz w:val="20"/>
          <w:szCs w:val="20"/>
        </w:rPr>
      </w:pPr>
    </w:p>
    <w:p w:rsidR="00AA605C" w:rsidRDefault="00AA605C"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066C81" w:rsidRPr="00066C81" w:rsidRDefault="00066C81" w:rsidP="00066C81">
      <w:pPr>
        <w:tabs>
          <w:tab w:val="left" w:pos="-1440"/>
          <w:tab w:val="left" w:pos="-720"/>
        </w:tabs>
        <w:jc w:val="both"/>
        <w:rPr>
          <w:rFonts w:eastAsia="Times New Roman" w:cs="Times New Roman"/>
          <w:sz w:val="20"/>
          <w:szCs w:val="20"/>
          <w:lang w:val="fr-CA" w:eastAsia="en-CA"/>
        </w:rPr>
      </w:pPr>
      <w:r w:rsidRPr="00066C81">
        <w:rPr>
          <w:rFonts w:eastAsia="Times New Roman" w:cs="Times New Roman"/>
          <w:sz w:val="20"/>
          <w:szCs w:val="20"/>
          <w:lang w:val="fr-CA" w:eastAsia="en-CA"/>
        </w:rPr>
        <w:t>31.05.2013</w:t>
      </w:r>
    </w:p>
    <w:p w:rsidR="00066C81" w:rsidRPr="00066C81" w:rsidRDefault="00066C81" w:rsidP="00066C81">
      <w:pPr>
        <w:tabs>
          <w:tab w:val="left" w:pos="-1440"/>
          <w:tab w:val="left" w:pos="-720"/>
        </w:tabs>
        <w:jc w:val="both"/>
        <w:rPr>
          <w:rFonts w:eastAsia="Times New Roman" w:cs="Times New Roman"/>
          <w:sz w:val="20"/>
          <w:szCs w:val="20"/>
          <w:lang w:val="fr-CA" w:eastAsia="en-CA"/>
        </w:rPr>
      </w:pPr>
    </w:p>
    <w:p w:rsidR="00066C81" w:rsidRPr="00066C81" w:rsidRDefault="00066C81" w:rsidP="00066C81">
      <w:pPr>
        <w:tabs>
          <w:tab w:val="left" w:pos="-1440"/>
          <w:tab w:val="left" w:pos="-720"/>
        </w:tabs>
        <w:jc w:val="both"/>
        <w:rPr>
          <w:rFonts w:eastAsia="Times New Roman" w:cs="Times New Roman"/>
          <w:sz w:val="20"/>
          <w:szCs w:val="20"/>
          <w:lang w:val="fr-CA" w:eastAsia="en-CA"/>
        </w:rPr>
      </w:pPr>
      <w:r w:rsidRPr="00066C81">
        <w:rPr>
          <w:rFonts w:eastAsia="Times New Roman" w:cs="Times New Roman"/>
          <w:sz w:val="20"/>
          <w:szCs w:val="20"/>
          <w:lang w:val="fr-CA" w:eastAsia="en-CA"/>
        </w:rPr>
        <w:t xml:space="preserve">Before / Devant :   </w:t>
      </w:r>
      <w:r w:rsidRPr="00066C81">
        <w:rPr>
          <w:rFonts w:eastAsia="Times New Roman" w:cs="Times New Roman"/>
          <w:sz w:val="20"/>
          <w:szCs w:val="20"/>
          <w:lang w:eastAsia="en-CA"/>
        </w:rPr>
        <w:t>THE DEPUTY REGISTRAR / LA REGISTRAIRE ADJOINTE</w:t>
      </w:r>
    </w:p>
    <w:p w:rsidR="00066C81" w:rsidRPr="00066C81" w:rsidRDefault="00066C81" w:rsidP="00066C81">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066C81" w:rsidRPr="00D41BFD" w:rsidTr="00C05792">
        <w:tc>
          <w:tcPr>
            <w:tcW w:w="4338" w:type="dxa"/>
          </w:tcPr>
          <w:p w:rsidR="00066C81" w:rsidRPr="00066C81" w:rsidRDefault="00B3404D" w:rsidP="00066C81">
            <w:pPr>
              <w:tabs>
                <w:tab w:val="left" w:pos="-1440"/>
                <w:tab w:val="left" w:pos="-720"/>
              </w:tabs>
              <w:jc w:val="both"/>
              <w:rPr>
                <w:b/>
              </w:rPr>
            </w:pPr>
            <w:r w:rsidRPr="00066C81">
              <w:rPr>
                <w:szCs w:val="24"/>
                <w:lang w:val="en-US"/>
              </w:rPr>
              <w:fldChar w:fldCharType="begin"/>
            </w:r>
            <w:r w:rsidR="00066C81" w:rsidRPr="00066C81">
              <w:rPr>
                <w:szCs w:val="24"/>
                <w:lang w:val="en-US"/>
              </w:rPr>
              <w:instrText xml:space="preserve"> SEQ CHAPTER \h \r 1</w:instrText>
            </w:r>
            <w:r w:rsidRPr="00066C81">
              <w:rPr>
                <w:szCs w:val="24"/>
                <w:lang w:val="en-US"/>
              </w:rPr>
              <w:fldChar w:fldCharType="end"/>
            </w:r>
            <w:r w:rsidRPr="00066C81">
              <w:rPr>
                <w:szCs w:val="24"/>
                <w:lang w:val="en-US"/>
              </w:rPr>
              <w:fldChar w:fldCharType="begin"/>
            </w:r>
            <w:r w:rsidR="00066C81" w:rsidRPr="00066C81">
              <w:rPr>
                <w:szCs w:val="24"/>
                <w:lang w:val="en-US"/>
              </w:rPr>
              <w:instrText xml:space="preserve"> SEQ CHAPTER \h \r 1</w:instrText>
            </w:r>
            <w:r w:rsidRPr="00066C81">
              <w:rPr>
                <w:szCs w:val="24"/>
                <w:lang w:val="en-US"/>
              </w:rPr>
              <w:fldChar w:fldCharType="end"/>
            </w:r>
            <w:r w:rsidR="00066C81" w:rsidRPr="00066C81">
              <w:rPr>
                <w:b/>
                <w:bCs/>
                <w:lang w:val="en-US"/>
              </w:rPr>
              <w:t xml:space="preserve">Motion to extend the time to serve and file the respondent’s book of authorities to May 30, 2013 </w:t>
            </w:r>
          </w:p>
        </w:tc>
        <w:tc>
          <w:tcPr>
            <w:tcW w:w="1170" w:type="dxa"/>
          </w:tcPr>
          <w:p w:rsidR="00066C81" w:rsidRPr="00066C81" w:rsidRDefault="00066C81" w:rsidP="00066C81">
            <w:pPr>
              <w:tabs>
                <w:tab w:val="left" w:pos="-1440"/>
                <w:tab w:val="left" w:pos="-720"/>
              </w:tabs>
              <w:jc w:val="both"/>
            </w:pPr>
          </w:p>
          <w:p w:rsidR="00066C81" w:rsidRPr="00066C81" w:rsidRDefault="00066C81" w:rsidP="00066C81">
            <w:pPr>
              <w:tabs>
                <w:tab w:val="left" w:pos="-1440"/>
                <w:tab w:val="left" w:pos="-720"/>
              </w:tabs>
              <w:jc w:val="both"/>
            </w:pPr>
          </w:p>
          <w:p w:rsidR="00066C81" w:rsidRPr="00066C81" w:rsidRDefault="00066C81" w:rsidP="00066C81">
            <w:pPr>
              <w:tabs>
                <w:tab w:val="left" w:pos="-1440"/>
                <w:tab w:val="left" w:pos="-720"/>
              </w:tabs>
              <w:jc w:val="both"/>
            </w:pPr>
          </w:p>
          <w:p w:rsidR="00066C81" w:rsidRPr="00066C81" w:rsidRDefault="00066C81" w:rsidP="00066C81">
            <w:pPr>
              <w:tabs>
                <w:tab w:val="left" w:pos="-1440"/>
                <w:tab w:val="left" w:pos="-720"/>
              </w:tabs>
              <w:jc w:val="both"/>
            </w:pPr>
          </w:p>
        </w:tc>
        <w:tc>
          <w:tcPr>
            <w:tcW w:w="4327" w:type="dxa"/>
          </w:tcPr>
          <w:p w:rsidR="00066C81" w:rsidRPr="00066C81" w:rsidRDefault="00066C81" w:rsidP="00066C81">
            <w:pPr>
              <w:tabs>
                <w:tab w:val="left" w:pos="-1440"/>
                <w:tab w:val="left" w:pos="-720"/>
              </w:tabs>
              <w:jc w:val="both"/>
              <w:rPr>
                <w:lang w:val="fr-CA"/>
              </w:rPr>
            </w:pPr>
            <w:r w:rsidRPr="00066C81">
              <w:rPr>
                <w:b/>
                <w:bCs/>
                <w:lang w:val="fr-CA"/>
              </w:rPr>
              <w:t>Requête en prorogation du délai de signification et de dépôt du recueil de sources</w:t>
            </w:r>
            <w:r w:rsidRPr="00066C81">
              <w:rPr>
                <w:lang w:val="fr-CA"/>
              </w:rPr>
              <w:t xml:space="preserve"> </w:t>
            </w:r>
            <w:r w:rsidRPr="00066C81">
              <w:rPr>
                <w:b/>
                <w:bCs/>
                <w:lang w:val="fr-CA"/>
              </w:rPr>
              <w:t>de l’intimé jusqu'au 30 mai 2013</w:t>
            </w:r>
            <w:r w:rsidR="00B3404D" w:rsidRPr="00066C81">
              <w:rPr>
                <w:szCs w:val="24"/>
                <w:lang w:val="en-US"/>
              </w:rPr>
              <w:fldChar w:fldCharType="begin"/>
            </w:r>
            <w:r w:rsidRPr="00066C81">
              <w:rPr>
                <w:szCs w:val="24"/>
                <w:lang w:val="fr-CA"/>
              </w:rPr>
              <w:instrText xml:space="preserve"> SEQ CHAPTER \h \r 1</w:instrText>
            </w:r>
            <w:r w:rsidR="00B3404D" w:rsidRPr="00066C81">
              <w:rPr>
                <w:szCs w:val="24"/>
                <w:lang w:val="en-US"/>
              </w:rPr>
              <w:fldChar w:fldCharType="end"/>
            </w:r>
          </w:p>
        </w:tc>
      </w:tr>
      <w:tr w:rsidR="00066C81" w:rsidRPr="00066C81" w:rsidTr="00C05792">
        <w:tc>
          <w:tcPr>
            <w:tcW w:w="4338" w:type="dxa"/>
          </w:tcPr>
          <w:p w:rsidR="00066C81" w:rsidRPr="00066C81" w:rsidRDefault="00066C81" w:rsidP="00066C81">
            <w:pPr>
              <w:tabs>
                <w:tab w:val="left" w:pos="-1440"/>
                <w:tab w:val="left" w:pos="-720"/>
              </w:tabs>
              <w:jc w:val="both"/>
            </w:pPr>
            <w:r w:rsidRPr="00066C81">
              <w:t>Diane Knopf, Warden of Mission Institution et al.</w:t>
            </w:r>
          </w:p>
          <w:p w:rsidR="00066C81" w:rsidRPr="00066C81" w:rsidRDefault="00066C81" w:rsidP="00066C81">
            <w:pPr>
              <w:tabs>
                <w:tab w:val="left" w:pos="-1440"/>
                <w:tab w:val="left" w:pos="-720"/>
              </w:tabs>
              <w:jc w:val="both"/>
            </w:pPr>
          </w:p>
          <w:p w:rsidR="00066C81" w:rsidRPr="00066C81" w:rsidRDefault="00066C81" w:rsidP="00066C81">
            <w:pPr>
              <w:tabs>
                <w:tab w:val="left" w:pos="-1440"/>
                <w:tab w:val="left" w:pos="-720"/>
              </w:tabs>
              <w:jc w:val="both"/>
            </w:pPr>
            <w:r w:rsidRPr="00066C81">
              <w:tab/>
              <w:t>v. (34609)</w:t>
            </w:r>
          </w:p>
          <w:p w:rsidR="00066C81" w:rsidRPr="00066C81" w:rsidRDefault="00066C81" w:rsidP="00066C81">
            <w:pPr>
              <w:tabs>
                <w:tab w:val="left" w:pos="-1440"/>
                <w:tab w:val="left" w:pos="-720"/>
              </w:tabs>
              <w:jc w:val="both"/>
            </w:pPr>
          </w:p>
          <w:p w:rsidR="00066C81" w:rsidRPr="00066C81" w:rsidRDefault="00066C81" w:rsidP="00066C81">
            <w:pPr>
              <w:tabs>
                <w:tab w:val="left" w:pos="-1440"/>
                <w:tab w:val="left" w:pos="-720"/>
              </w:tabs>
              <w:jc w:val="both"/>
            </w:pPr>
            <w:r w:rsidRPr="00066C81">
              <w:t>Gurkirpal Singh Khela (Crim.) (B.C.)</w:t>
            </w:r>
          </w:p>
        </w:tc>
        <w:tc>
          <w:tcPr>
            <w:tcW w:w="1170" w:type="dxa"/>
          </w:tcPr>
          <w:p w:rsidR="00066C81" w:rsidRPr="00066C81" w:rsidRDefault="00066C81" w:rsidP="00066C81">
            <w:pPr>
              <w:tabs>
                <w:tab w:val="left" w:pos="-1440"/>
                <w:tab w:val="left" w:pos="-720"/>
              </w:tabs>
              <w:jc w:val="both"/>
            </w:pPr>
          </w:p>
        </w:tc>
        <w:tc>
          <w:tcPr>
            <w:tcW w:w="4327" w:type="dxa"/>
          </w:tcPr>
          <w:p w:rsidR="00066C81" w:rsidRPr="00066C81" w:rsidRDefault="00066C81" w:rsidP="00066C81">
            <w:pPr>
              <w:tabs>
                <w:tab w:val="left" w:pos="-1440"/>
                <w:tab w:val="left" w:pos="-720"/>
              </w:tabs>
              <w:jc w:val="both"/>
            </w:pPr>
          </w:p>
        </w:tc>
      </w:tr>
    </w:tbl>
    <w:p w:rsidR="00066C81" w:rsidRPr="00066C81" w:rsidRDefault="00066C81" w:rsidP="00066C81">
      <w:pPr>
        <w:tabs>
          <w:tab w:val="left" w:pos="-1440"/>
          <w:tab w:val="left" w:pos="-720"/>
        </w:tabs>
        <w:jc w:val="both"/>
        <w:rPr>
          <w:rFonts w:eastAsia="Times New Roman" w:cs="Times New Roman"/>
          <w:sz w:val="20"/>
          <w:szCs w:val="20"/>
          <w:lang w:eastAsia="en-CA"/>
        </w:rPr>
      </w:pPr>
    </w:p>
    <w:p w:rsidR="00066C81" w:rsidRPr="00066C81" w:rsidRDefault="00066C81" w:rsidP="00066C81">
      <w:pPr>
        <w:tabs>
          <w:tab w:val="left" w:pos="-1440"/>
          <w:tab w:val="left" w:pos="-720"/>
        </w:tabs>
        <w:jc w:val="both"/>
        <w:rPr>
          <w:rFonts w:eastAsia="Times New Roman" w:cs="Times New Roman"/>
          <w:b/>
          <w:sz w:val="20"/>
          <w:szCs w:val="20"/>
          <w:lang w:eastAsia="en-CA"/>
        </w:rPr>
      </w:pPr>
      <w:r w:rsidRPr="00066C81">
        <w:rPr>
          <w:rFonts w:eastAsia="Times New Roman" w:cs="Times New Roman"/>
          <w:b/>
          <w:sz w:val="20"/>
          <w:szCs w:val="20"/>
          <w:lang w:eastAsia="en-CA"/>
        </w:rPr>
        <w:t>GRANTED / ACCORDÉE</w:t>
      </w:r>
    </w:p>
    <w:p w:rsidR="00066C81" w:rsidRPr="00066C81" w:rsidRDefault="00066C81" w:rsidP="00066C81">
      <w:pPr>
        <w:tabs>
          <w:tab w:val="left" w:pos="-1440"/>
          <w:tab w:val="left" w:pos="-720"/>
        </w:tabs>
        <w:jc w:val="both"/>
        <w:rPr>
          <w:rFonts w:eastAsia="Times New Roman" w:cs="Times New Roman"/>
          <w:sz w:val="20"/>
          <w:szCs w:val="20"/>
          <w:lang w:eastAsia="en-CA"/>
        </w:rPr>
      </w:pPr>
    </w:p>
    <w:p w:rsidR="00066C81" w:rsidRPr="00066C81" w:rsidRDefault="00B3404D" w:rsidP="00066C81">
      <w:pPr>
        <w:tabs>
          <w:tab w:val="left" w:pos="-1440"/>
          <w:tab w:val="left" w:pos="-720"/>
        </w:tabs>
        <w:jc w:val="both"/>
        <w:rPr>
          <w:rFonts w:eastAsia="Times New Roman" w:cs="Times New Roman"/>
          <w:sz w:val="20"/>
          <w:szCs w:val="20"/>
          <w:lang w:eastAsia="en-CA"/>
        </w:rPr>
      </w:pPr>
      <w:r w:rsidRPr="00B3404D">
        <w:rPr>
          <w:rFonts w:eastAsia="Times New Roman" w:cs="Times New Roman"/>
          <w:sz w:val="20"/>
          <w:szCs w:val="20"/>
          <w:lang w:val="fr-CA" w:eastAsia="en-CA"/>
        </w:rPr>
        <w:pict>
          <v:rect id="_x0000_i1096" style="width:2in;height:1pt" o:hrpct="0" o:hralign="center" o:hrstd="t" o:hrnoshade="t" o:hr="t" fillcolor="black [3213]" stroked="f"/>
        </w:pict>
      </w:r>
    </w:p>
    <w:p w:rsidR="00066C81" w:rsidRPr="00066C81" w:rsidRDefault="00066C81" w:rsidP="00066C81">
      <w:pPr>
        <w:tabs>
          <w:tab w:val="left" w:pos="-1440"/>
          <w:tab w:val="left" w:pos="-720"/>
        </w:tabs>
        <w:jc w:val="both"/>
        <w:rPr>
          <w:rFonts w:eastAsia="Times New Roman" w:cs="Times New Roman"/>
          <w:sz w:val="20"/>
          <w:szCs w:val="20"/>
          <w:lang w:eastAsia="en-CA"/>
        </w:rPr>
      </w:pPr>
    </w:p>
    <w:p w:rsidR="00066C81" w:rsidRPr="00066C81" w:rsidRDefault="00066C81" w:rsidP="00066C81">
      <w:pPr>
        <w:tabs>
          <w:tab w:val="left" w:pos="-1440"/>
          <w:tab w:val="left" w:pos="-720"/>
        </w:tabs>
        <w:jc w:val="both"/>
        <w:rPr>
          <w:rFonts w:eastAsia="Times New Roman" w:cs="Times New Roman"/>
          <w:sz w:val="20"/>
          <w:szCs w:val="20"/>
          <w:lang w:eastAsia="en-CA"/>
        </w:rPr>
      </w:pPr>
      <w:r w:rsidRPr="00066C81">
        <w:rPr>
          <w:rFonts w:eastAsia="Times New Roman" w:cs="Times New Roman"/>
          <w:sz w:val="20"/>
          <w:szCs w:val="20"/>
          <w:lang w:eastAsia="en-CA"/>
        </w:rPr>
        <w:t>04.06.2013</w:t>
      </w:r>
    </w:p>
    <w:p w:rsidR="00066C81" w:rsidRPr="00066C81" w:rsidRDefault="00066C81" w:rsidP="00066C81">
      <w:pPr>
        <w:tabs>
          <w:tab w:val="left" w:pos="-1440"/>
          <w:tab w:val="left" w:pos="-720"/>
        </w:tabs>
        <w:jc w:val="both"/>
        <w:rPr>
          <w:rFonts w:eastAsia="Times New Roman" w:cs="Times New Roman"/>
          <w:sz w:val="20"/>
          <w:szCs w:val="20"/>
          <w:lang w:eastAsia="en-CA"/>
        </w:rPr>
      </w:pPr>
    </w:p>
    <w:p w:rsidR="00066C81" w:rsidRPr="00066C81" w:rsidRDefault="00066C81" w:rsidP="00066C81">
      <w:pPr>
        <w:tabs>
          <w:tab w:val="left" w:pos="-1440"/>
          <w:tab w:val="left" w:pos="-720"/>
        </w:tabs>
        <w:jc w:val="both"/>
        <w:rPr>
          <w:rFonts w:eastAsia="Times New Roman" w:cs="Times New Roman"/>
          <w:sz w:val="20"/>
          <w:szCs w:val="20"/>
          <w:lang w:eastAsia="en-CA"/>
        </w:rPr>
      </w:pPr>
      <w:r w:rsidRPr="00066C81">
        <w:rPr>
          <w:rFonts w:eastAsia="Times New Roman" w:cs="Times New Roman"/>
          <w:sz w:val="20"/>
          <w:szCs w:val="20"/>
          <w:lang w:eastAsia="en-CA"/>
        </w:rPr>
        <w:t>Before / Devant :   THE COURT / LA COUR</w:t>
      </w:r>
    </w:p>
    <w:p w:rsidR="00066C81" w:rsidRPr="00066C81" w:rsidRDefault="00066C81" w:rsidP="00066C81">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066C81" w:rsidRPr="00D41BFD" w:rsidTr="00C05792">
        <w:tc>
          <w:tcPr>
            <w:tcW w:w="4338" w:type="dxa"/>
          </w:tcPr>
          <w:p w:rsidR="00066C81" w:rsidRPr="00066C81" w:rsidRDefault="00B3404D" w:rsidP="00066C81">
            <w:pPr>
              <w:tabs>
                <w:tab w:val="left" w:pos="-1440"/>
                <w:tab w:val="left" w:pos="-720"/>
              </w:tabs>
              <w:rPr>
                <w:b/>
              </w:rPr>
            </w:pPr>
            <w:r w:rsidRPr="00066C81">
              <w:rPr>
                <w:szCs w:val="24"/>
                <w:lang w:val="en-US"/>
              </w:rPr>
              <w:fldChar w:fldCharType="begin"/>
            </w:r>
            <w:r w:rsidR="00066C81" w:rsidRPr="00066C81">
              <w:rPr>
                <w:szCs w:val="24"/>
                <w:lang w:val="en-US"/>
              </w:rPr>
              <w:instrText xml:space="preserve"> SEQ CHAPTER \h \r 1</w:instrText>
            </w:r>
            <w:r w:rsidRPr="00066C81">
              <w:rPr>
                <w:szCs w:val="24"/>
                <w:lang w:val="en-US"/>
              </w:rPr>
              <w:fldChar w:fldCharType="end"/>
            </w:r>
            <w:r w:rsidR="00066C81" w:rsidRPr="00066C81">
              <w:rPr>
                <w:b/>
                <w:bCs/>
                <w:lang w:val="en-US"/>
              </w:rPr>
              <w:t>Motion to vary pronouncement and for re</w:t>
            </w:r>
            <w:r w:rsidR="00066C81" w:rsidRPr="00066C81">
              <w:rPr>
                <w:b/>
                <w:bCs/>
                <w:lang w:val="en-US"/>
              </w:rPr>
              <w:noBreakHyphen/>
              <w:t xml:space="preserve">hearing </w:t>
            </w:r>
          </w:p>
        </w:tc>
        <w:tc>
          <w:tcPr>
            <w:tcW w:w="1170" w:type="dxa"/>
          </w:tcPr>
          <w:p w:rsidR="00066C81" w:rsidRPr="00066C81" w:rsidRDefault="00066C81" w:rsidP="00066C81">
            <w:pPr>
              <w:tabs>
                <w:tab w:val="left" w:pos="-1440"/>
                <w:tab w:val="left" w:pos="-720"/>
              </w:tabs>
              <w:jc w:val="both"/>
            </w:pPr>
          </w:p>
          <w:p w:rsidR="00066C81" w:rsidRPr="00066C81" w:rsidRDefault="00066C81" w:rsidP="00066C81">
            <w:pPr>
              <w:tabs>
                <w:tab w:val="left" w:pos="-1440"/>
                <w:tab w:val="left" w:pos="-720"/>
              </w:tabs>
              <w:jc w:val="both"/>
            </w:pPr>
          </w:p>
          <w:p w:rsidR="00066C81" w:rsidRPr="00066C81" w:rsidRDefault="00066C81" w:rsidP="00066C81">
            <w:pPr>
              <w:tabs>
                <w:tab w:val="left" w:pos="-1440"/>
                <w:tab w:val="left" w:pos="-720"/>
              </w:tabs>
              <w:jc w:val="both"/>
            </w:pPr>
          </w:p>
        </w:tc>
        <w:tc>
          <w:tcPr>
            <w:tcW w:w="4327" w:type="dxa"/>
          </w:tcPr>
          <w:p w:rsidR="00066C81" w:rsidRPr="00066C81" w:rsidRDefault="00B3404D" w:rsidP="00066C81">
            <w:pPr>
              <w:tabs>
                <w:tab w:val="left" w:pos="-1440"/>
                <w:tab w:val="left" w:pos="-720"/>
              </w:tabs>
              <w:jc w:val="both"/>
              <w:rPr>
                <w:lang w:val="fr-CA"/>
              </w:rPr>
            </w:pPr>
            <w:r w:rsidRPr="00066C81">
              <w:rPr>
                <w:szCs w:val="24"/>
                <w:lang w:val="en-US"/>
              </w:rPr>
              <w:fldChar w:fldCharType="begin"/>
            </w:r>
            <w:r w:rsidR="00066C81" w:rsidRPr="00066C81">
              <w:rPr>
                <w:szCs w:val="24"/>
                <w:lang w:val="fr-CA"/>
              </w:rPr>
              <w:instrText xml:space="preserve"> SEQ CHAPTER \h \r 1</w:instrText>
            </w:r>
            <w:r w:rsidRPr="00066C81">
              <w:rPr>
                <w:szCs w:val="24"/>
                <w:lang w:val="en-US"/>
              </w:rPr>
              <w:fldChar w:fldCharType="end"/>
            </w:r>
            <w:r w:rsidR="00066C81" w:rsidRPr="00066C81">
              <w:rPr>
                <w:b/>
                <w:bCs/>
                <w:lang w:val="fr-CA"/>
              </w:rPr>
              <w:t>Requête en modification du jugement et en nouvelle audition de pourvoi</w:t>
            </w:r>
            <w:r w:rsidRPr="00066C81">
              <w:rPr>
                <w:szCs w:val="24"/>
                <w:lang w:val="en-US"/>
              </w:rPr>
              <w:fldChar w:fldCharType="begin"/>
            </w:r>
            <w:r w:rsidR="00066C81" w:rsidRPr="00066C81">
              <w:rPr>
                <w:szCs w:val="24"/>
                <w:lang w:val="fr-CA"/>
              </w:rPr>
              <w:instrText xml:space="preserve"> SEQ CHAPTER \h \r 1</w:instrText>
            </w:r>
            <w:r w:rsidRPr="00066C81">
              <w:rPr>
                <w:szCs w:val="24"/>
                <w:lang w:val="en-US"/>
              </w:rPr>
              <w:fldChar w:fldCharType="end"/>
            </w:r>
            <w:r w:rsidRPr="00066C81">
              <w:rPr>
                <w:szCs w:val="24"/>
                <w:lang w:val="en-US"/>
              </w:rPr>
              <w:fldChar w:fldCharType="begin"/>
            </w:r>
            <w:r w:rsidR="00066C81" w:rsidRPr="00066C81">
              <w:rPr>
                <w:szCs w:val="24"/>
                <w:lang w:val="fr-CA"/>
              </w:rPr>
              <w:instrText xml:space="preserve"> SEQ CHAPTER \h \r 1</w:instrText>
            </w:r>
            <w:r w:rsidRPr="00066C81">
              <w:rPr>
                <w:szCs w:val="24"/>
                <w:lang w:val="en-US"/>
              </w:rPr>
              <w:fldChar w:fldCharType="end"/>
            </w:r>
          </w:p>
        </w:tc>
      </w:tr>
      <w:tr w:rsidR="00066C81" w:rsidRPr="00066C81" w:rsidTr="00C05792">
        <w:tc>
          <w:tcPr>
            <w:tcW w:w="4338" w:type="dxa"/>
          </w:tcPr>
          <w:p w:rsidR="00066C81" w:rsidRPr="00066C81" w:rsidRDefault="00066C81" w:rsidP="00066C81">
            <w:pPr>
              <w:tabs>
                <w:tab w:val="left" w:pos="-1440"/>
                <w:tab w:val="left" w:pos="-720"/>
              </w:tabs>
              <w:jc w:val="both"/>
            </w:pPr>
            <w:r w:rsidRPr="00066C81">
              <w:t>Teva Canada Limited</w:t>
            </w:r>
          </w:p>
          <w:p w:rsidR="00066C81" w:rsidRPr="00066C81" w:rsidRDefault="00066C81" w:rsidP="00066C81">
            <w:pPr>
              <w:tabs>
                <w:tab w:val="left" w:pos="-1440"/>
                <w:tab w:val="left" w:pos="-720"/>
              </w:tabs>
              <w:jc w:val="both"/>
            </w:pPr>
          </w:p>
          <w:p w:rsidR="00066C81" w:rsidRPr="00066C81" w:rsidRDefault="00066C81" w:rsidP="00066C81">
            <w:pPr>
              <w:tabs>
                <w:tab w:val="left" w:pos="-1440"/>
                <w:tab w:val="left" w:pos="-720"/>
              </w:tabs>
              <w:jc w:val="both"/>
            </w:pPr>
            <w:r w:rsidRPr="00066C81">
              <w:tab/>
              <w:t>v. (33951)</w:t>
            </w:r>
          </w:p>
          <w:p w:rsidR="00066C81" w:rsidRPr="00066C81" w:rsidRDefault="00066C81" w:rsidP="00066C81">
            <w:pPr>
              <w:tabs>
                <w:tab w:val="left" w:pos="-1440"/>
                <w:tab w:val="left" w:pos="-720"/>
              </w:tabs>
              <w:jc w:val="both"/>
            </w:pPr>
          </w:p>
          <w:p w:rsidR="00066C81" w:rsidRPr="00066C81" w:rsidRDefault="00066C81" w:rsidP="00066C81">
            <w:pPr>
              <w:tabs>
                <w:tab w:val="left" w:pos="-1440"/>
                <w:tab w:val="left" w:pos="-720"/>
              </w:tabs>
              <w:jc w:val="both"/>
            </w:pPr>
            <w:r w:rsidRPr="00066C81">
              <w:t>Pfizer Canada Inc. et al. (F.C.)</w:t>
            </w:r>
          </w:p>
        </w:tc>
        <w:tc>
          <w:tcPr>
            <w:tcW w:w="1170" w:type="dxa"/>
          </w:tcPr>
          <w:p w:rsidR="00066C81" w:rsidRPr="00066C81" w:rsidRDefault="00066C81" w:rsidP="00066C81">
            <w:pPr>
              <w:tabs>
                <w:tab w:val="left" w:pos="-1440"/>
                <w:tab w:val="left" w:pos="-720"/>
              </w:tabs>
              <w:jc w:val="both"/>
            </w:pPr>
          </w:p>
        </w:tc>
        <w:tc>
          <w:tcPr>
            <w:tcW w:w="4327" w:type="dxa"/>
          </w:tcPr>
          <w:p w:rsidR="00066C81" w:rsidRPr="00066C81" w:rsidRDefault="00066C81" w:rsidP="00066C81">
            <w:pPr>
              <w:tabs>
                <w:tab w:val="left" w:pos="-1440"/>
                <w:tab w:val="left" w:pos="-720"/>
              </w:tabs>
              <w:jc w:val="both"/>
            </w:pPr>
          </w:p>
        </w:tc>
      </w:tr>
    </w:tbl>
    <w:p w:rsidR="00066C81" w:rsidRPr="00066C81" w:rsidRDefault="00066C81" w:rsidP="00066C81">
      <w:pPr>
        <w:tabs>
          <w:tab w:val="left" w:pos="-1440"/>
          <w:tab w:val="left" w:pos="-720"/>
        </w:tabs>
        <w:jc w:val="both"/>
        <w:rPr>
          <w:rFonts w:eastAsia="Times New Roman" w:cs="Times New Roman"/>
          <w:sz w:val="20"/>
          <w:szCs w:val="20"/>
          <w:lang w:eastAsia="en-CA"/>
        </w:rPr>
      </w:pPr>
    </w:p>
    <w:p w:rsidR="00066C81" w:rsidRPr="00066C81" w:rsidRDefault="00066C81" w:rsidP="00066C81">
      <w:pPr>
        <w:tabs>
          <w:tab w:val="left" w:pos="-1440"/>
          <w:tab w:val="left" w:pos="-720"/>
        </w:tabs>
        <w:jc w:val="both"/>
        <w:rPr>
          <w:rFonts w:eastAsia="Times New Roman" w:cs="Times New Roman"/>
          <w:b/>
          <w:sz w:val="20"/>
          <w:szCs w:val="20"/>
          <w:lang w:val="fr-CA" w:eastAsia="en-CA"/>
        </w:rPr>
      </w:pPr>
      <w:r w:rsidRPr="00066C81">
        <w:rPr>
          <w:rFonts w:eastAsia="Times New Roman" w:cs="Times New Roman"/>
          <w:b/>
          <w:sz w:val="20"/>
          <w:szCs w:val="20"/>
          <w:lang w:val="fr-CA" w:eastAsia="en-CA"/>
        </w:rPr>
        <w:t>GRANTED IN PART / ACCORDÉE EN PARTIE</w:t>
      </w:r>
    </w:p>
    <w:p w:rsidR="00066C81" w:rsidRPr="00066C81" w:rsidRDefault="00066C81" w:rsidP="00066C81">
      <w:pPr>
        <w:tabs>
          <w:tab w:val="left" w:pos="-1440"/>
          <w:tab w:val="left" w:pos="-720"/>
        </w:tabs>
        <w:jc w:val="both"/>
        <w:rPr>
          <w:rFonts w:eastAsia="Times New Roman" w:cs="Times New Roman"/>
          <w:sz w:val="20"/>
          <w:szCs w:val="20"/>
          <w:lang w:val="fr-CA" w:eastAsia="en-CA"/>
        </w:rPr>
      </w:pPr>
    </w:p>
    <w:p w:rsidR="00066C81" w:rsidRPr="00066C81" w:rsidRDefault="00066C81" w:rsidP="00066C81">
      <w:pPr>
        <w:spacing w:line="233" w:lineRule="auto"/>
        <w:jc w:val="both"/>
        <w:rPr>
          <w:rFonts w:eastAsia="Times New Roman" w:cs="Times New Roman"/>
          <w:sz w:val="20"/>
          <w:szCs w:val="20"/>
          <w:lang w:eastAsia="en-CA"/>
        </w:rPr>
      </w:pPr>
      <w:r w:rsidRPr="00066C81">
        <w:rPr>
          <w:rFonts w:eastAsia="Times New Roman" w:cs="Times New Roman"/>
          <w:b/>
          <w:bCs/>
          <w:sz w:val="20"/>
          <w:szCs w:val="20"/>
          <w:lang w:eastAsia="en-CA"/>
        </w:rPr>
        <w:t xml:space="preserve">UPON APPLICATION </w:t>
      </w:r>
      <w:r w:rsidRPr="00066C81">
        <w:rPr>
          <w:rFonts w:eastAsia="Times New Roman" w:cs="Times New Roman"/>
          <w:sz w:val="20"/>
          <w:szCs w:val="20"/>
          <w:lang w:eastAsia="en-CA"/>
        </w:rPr>
        <w:t>by Pfizer Canada Inc., Pfizer Inc., Pfizer Ireland Pharmaceuticals and Pfizer Research and Development Company N.V./S.A. for a modification of the judgment and reasons of the Court in this appeal or alternatively for a re-hearing;</w:t>
      </w:r>
    </w:p>
    <w:p w:rsidR="00066C81" w:rsidRPr="00066C81" w:rsidRDefault="00066C81" w:rsidP="00066C81">
      <w:pPr>
        <w:spacing w:line="233" w:lineRule="auto"/>
        <w:jc w:val="both"/>
        <w:rPr>
          <w:rFonts w:eastAsia="Times New Roman" w:cs="Times New Roman"/>
          <w:sz w:val="20"/>
          <w:szCs w:val="20"/>
          <w:lang w:eastAsia="en-CA"/>
        </w:rPr>
      </w:pPr>
    </w:p>
    <w:p w:rsidR="00066C81" w:rsidRPr="00066C81" w:rsidRDefault="00066C81" w:rsidP="00066C81">
      <w:pPr>
        <w:spacing w:line="233" w:lineRule="auto"/>
        <w:jc w:val="both"/>
        <w:rPr>
          <w:rFonts w:eastAsia="Times New Roman" w:cs="Times New Roman"/>
          <w:sz w:val="20"/>
          <w:szCs w:val="20"/>
          <w:lang w:eastAsia="en-CA"/>
        </w:rPr>
      </w:pPr>
      <w:r w:rsidRPr="00066C81">
        <w:rPr>
          <w:rFonts w:eastAsia="Times New Roman" w:cs="Times New Roman"/>
          <w:b/>
          <w:bCs/>
          <w:sz w:val="20"/>
          <w:szCs w:val="20"/>
          <w:lang w:eastAsia="en-CA"/>
        </w:rPr>
        <w:t xml:space="preserve">AND UPON APPLICATION </w:t>
      </w:r>
      <w:r w:rsidRPr="00066C81">
        <w:rPr>
          <w:rFonts w:eastAsia="Times New Roman" w:cs="Times New Roman"/>
          <w:bCs/>
          <w:sz w:val="20"/>
          <w:szCs w:val="20"/>
          <w:lang w:eastAsia="en-CA"/>
        </w:rPr>
        <w:t xml:space="preserve">by </w:t>
      </w:r>
      <w:r w:rsidRPr="00066C81">
        <w:rPr>
          <w:rFonts w:eastAsia="Times New Roman" w:cs="Times New Roman"/>
          <w:sz w:val="20"/>
          <w:szCs w:val="20"/>
          <w:lang w:eastAsia="en-CA"/>
        </w:rPr>
        <w:t>Teva Canada Limited to modify the judgment of the Court to allow the appeal with costs in this Court and in the courts below;</w:t>
      </w:r>
    </w:p>
    <w:p w:rsidR="00066C81" w:rsidRPr="00066C81" w:rsidRDefault="00066C81" w:rsidP="00066C81">
      <w:pPr>
        <w:spacing w:line="233" w:lineRule="auto"/>
        <w:jc w:val="both"/>
        <w:rPr>
          <w:rFonts w:eastAsia="Times New Roman" w:cs="Times New Roman"/>
          <w:sz w:val="20"/>
          <w:szCs w:val="20"/>
          <w:lang w:eastAsia="en-CA"/>
        </w:rPr>
      </w:pPr>
    </w:p>
    <w:p w:rsidR="00066C81" w:rsidRPr="00066C81" w:rsidRDefault="00066C81" w:rsidP="00066C81">
      <w:pPr>
        <w:spacing w:line="233" w:lineRule="auto"/>
        <w:jc w:val="both"/>
        <w:rPr>
          <w:rFonts w:eastAsia="Times New Roman" w:cs="Times New Roman"/>
          <w:sz w:val="20"/>
          <w:szCs w:val="20"/>
          <w:lang w:eastAsia="en-CA"/>
        </w:rPr>
      </w:pPr>
      <w:r w:rsidRPr="00066C81">
        <w:rPr>
          <w:rFonts w:eastAsia="Times New Roman" w:cs="Times New Roman"/>
          <w:b/>
          <w:bCs/>
          <w:sz w:val="20"/>
          <w:szCs w:val="20"/>
          <w:lang w:eastAsia="en-CA"/>
        </w:rPr>
        <w:t>AND THE MATERIAL FILED</w:t>
      </w:r>
      <w:r w:rsidRPr="00066C81">
        <w:rPr>
          <w:rFonts w:eastAsia="Times New Roman" w:cs="Times New Roman"/>
          <w:sz w:val="20"/>
          <w:szCs w:val="20"/>
          <w:lang w:eastAsia="en-CA"/>
        </w:rPr>
        <w:t xml:space="preserve"> having been read;</w:t>
      </w:r>
    </w:p>
    <w:p w:rsidR="00066C81" w:rsidRPr="00066C81" w:rsidRDefault="00066C81" w:rsidP="00066C81">
      <w:pPr>
        <w:spacing w:line="233" w:lineRule="auto"/>
        <w:jc w:val="both"/>
        <w:rPr>
          <w:rFonts w:eastAsia="Times New Roman" w:cs="Times New Roman"/>
          <w:sz w:val="20"/>
          <w:szCs w:val="20"/>
          <w:lang w:eastAsia="en-CA"/>
        </w:rPr>
      </w:pPr>
    </w:p>
    <w:p w:rsidR="00066C81" w:rsidRPr="00066C81" w:rsidRDefault="00066C81" w:rsidP="00066C81">
      <w:pPr>
        <w:spacing w:line="233" w:lineRule="auto"/>
        <w:jc w:val="both"/>
        <w:rPr>
          <w:rFonts w:eastAsia="Times New Roman" w:cs="Times New Roman"/>
          <w:sz w:val="20"/>
          <w:szCs w:val="20"/>
          <w:lang w:eastAsia="en-CA"/>
        </w:rPr>
      </w:pPr>
      <w:r w:rsidRPr="00066C81">
        <w:rPr>
          <w:rFonts w:eastAsia="Times New Roman" w:cs="Times New Roman"/>
          <w:b/>
          <w:bCs/>
          <w:sz w:val="20"/>
          <w:szCs w:val="20"/>
          <w:lang w:eastAsia="en-CA"/>
        </w:rPr>
        <w:t>IT IS HEREBY ORDERED THAT:</w:t>
      </w:r>
    </w:p>
    <w:p w:rsidR="00066C81" w:rsidRPr="00066C81" w:rsidRDefault="00066C81" w:rsidP="00066C81">
      <w:pPr>
        <w:spacing w:line="233" w:lineRule="auto"/>
        <w:jc w:val="both"/>
        <w:rPr>
          <w:rFonts w:eastAsia="Times New Roman" w:cs="Times New Roman"/>
          <w:sz w:val="20"/>
          <w:szCs w:val="20"/>
          <w:lang w:eastAsia="en-CA"/>
        </w:rPr>
      </w:pPr>
    </w:p>
    <w:p w:rsidR="00066C81" w:rsidRPr="00066C81" w:rsidRDefault="00066C81" w:rsidP="00066C81">
      <w:pPr>
        <w:spacing w:line="233" w:lineRule="auto"/>
        <w:jc w:val="both"/>
        <w:rPr>
          <w:rFonts w:eastAsia="Times New Roman" w:cs="Times New Roman"/>
          <w:sz w:val="20"/>
          <w:szCs w:val="20"/>
          <w:lang w:eastAsia="en-CA"/>
        </w:rPr>
      </w:pPr>
      <w:r w:rsidRPr="00066C81">
        <w:rPr>
          <w:rFonts w:eastAsia="Times New Roman" w:cs="Times New Roman"/>
          <w:sz w:val="20"/>
          <w:szCs w:val="20"/>
          <w:lang w:eastAsia="en-CA"/>
        </w:rPr>
        <w:t>The motion of Pfizer Canada Inc., Pfizer Inc., Pfizer Ireland Pharmaceuticals and Pfizer Research and Development Company N.V./S.A. is granted in part as follows:</w:t>
      </w:r>
    </w:p>
    <w:p w:rsidR="00066C81" w:rsidRPr="00066C81" w:rsidRDefault="00066C81" w:rsidP="00066C81">
      <w:pPr>
        <w:spacing w:line="233" w:lineRule="auto"/>
        <w:jc w:val="both"/>
        <w:rPr>
          <w:rFonts w:eastAsia="Times New Roman" w:cs="Times New Roman"/>
          <w:sz w:val="20"/>
          <w:szCs w:val="20"/>
          <w:lang w:eastAsia="en-CA"/>
        </w:rPr>
      </w:pPr>
    </w:p>
    <w:p w:rsidR="00066C81" w:rsidRPr="00066C81" w:rsidRDefault="00066C81" w:rsidP="00066C81">
      <w:pPr>
        <w:spacing w:line="233" w:lineRule="auto"/>
        <w:jc w:val="both"/>
        <w:rPr>
          <w:rFonts w:eastAsia="Times New Roman" w:cs="Times New Roman"/>
          <w:sz w:val="20"/>
          <w:szCs w:val="20"/>
          <w:lang w:eastAsia="en-CA"/>
        </w:rPr>
      </w:pPr>
      <w:r w:rsidRPr="00066C81">
        <w:rPr>
          <w:rFonts w:eastAsia="Times New Roman" w:cs="Times New Roman"/>
          <w:sz w:val="20"/>
          <w:szCs w:val="20"/>
          <w:lang w:eastAsia="en-CA"/>
        </w:rPr>
        <w:t>1.</w:t>
      </w:r>
      <w:r w:rsidRPr="00066C81">
        <w:rPr>
          <w:rFonts w:eastAsia="Times New Roman" w:cs="Times New Roman"/>
          <w:sz w:val="20"/>
          <w:szCs w:val="20"/>
          <w:lang w:eastAsia="en-CA"/>
        </w:rPr>
        <w:tab/>
        <w:t xml:space="preserve">After the first sentence of the reasons of the judgment of the Court rendered on November 8, 2012, the following sentence is added: “On August 24, 2007, Pfizer brought an application before the Federal Court under s. 55.2(4) of the </w:t>
      </w:r>
      <w:r w:rsidRPr="00066C81">
        <w:rPr>
          <w:rFonts w:eastAsia="Times New Roman" w:cs="Times New Roman"/>
          <w:i/>
          <w:sz w:val="20"/>
          <w:szCs w:val="20"/>
          <w:lang w:eastAsia="en-CA"/>
        </w:rPr>
        <w:t>Patent Act</w:t>
      </w:r>
      <w:r w:rsidRPr="00066C81">
        <w:rPr>
          <w:rFonts w:eastAsia="Times New Roman" w:cs="Times New Roman"/>
          <w:sz w:val="20"/>
          <w:szCs w:val="20"/>
          <w:lang w:eastAsia="en-CA"/>
        </w:rPr>
        <w:t xml:space="preserve">, R.S.C. 1985, c. P-4, and under s. 6(1) of the </w:t>
      </w:r>
      <w:r w:rsidRPr="00066C81">
        <w:rPr>
          <w:rFonts w:eastAsia="Times New Roman" w:cs="Times New Roman"/>
          <w:i/>
          <w:sz w:val="20"/>
          <w:szCs w:val="20"/>
          <w:lang w:eastAsia="en-CA"/>
        </w:rPr>
        <w:t>Patent Medicines (Notice of Compliance) Regulations</w:t>
      </w:r>
      <w:r w:rsidRPr="00066C81">
        <w:rPr>
          <w:rFonts w:eastAsia="Times New Roman" w:cs="Times New Roman"/>
          <w:sz w:val="20"/>
          <w:szCs w:val="20"/>
          <w:lang w:eastAsia="en-CA"/>
        </w:rPr>
        <w:t>, SOR/93-133 (“</w:t>
      </w:r>
      <w:r w:rsidRPr="00066C81">
        <w:rPr>
          <w:rFonts w:eastAsia="Times New Roman" w:cs="Times New Roman"/>
          <w:i/>
          <w:sz w:val="20"/>
          <w:szCs w:val="20"/>
          <w:lang w:eastAsia="en-CA"/>
        </w:rPr>
        <w:t>Regulations</w:t>
      </w:r>
      <w:r w:rsidRPr="00066C81">
        <w:rPr>
          <w:rFonts w:eastAsia="Times New Roman" w:cs="Times New Roman"/>
          <w:sz w:val="20"/>
          <w:szCs w:val="20"/>
          <w:lang w:eastAsia="en-CA"/>
        </w:rPr>
        <w:t>”), for an order prohibiting the Minister of Health from issuing Teva a Notice of Compliance (“NOC”) for its generic version of Viagra.”</w:t>
      </w:r>
    </w:p>
    <w:p w:rsidR="00066C81" w:rsidRPr="00066C81" w:rsidRDefault="00066C81" w:rsidP="00066C81">
      <w:pPr>
        <w:spacing w:line="233" w:lineRule="auto"/>
        <w:jc w:val="both"/>
        <w:rPr>
          <w:rFonts w:eastAsia="Times New Roman" w:cs="Times New Roman"/>
          <w:sz w:val="20"/>
          <w:szCs w:val="20"/>
          <w:lang w:eastAsia="en-CA"/>
        </w:rPr>
      </w:pPr>
    </w:p>
    <w:p w:rsidR="00066C81" w:rsidRPr="00066C81" w:rsidRDefault="00066C81" w:rsidP="00066C81">
      <w:pPr>
        <w:spacing w:line="233" w:lineRule="auto"/>
        <w:jc w:val="both"/>
        <w:rPr>
          <w:rFonts w:eastAsia="Times New Roman" w:cs="Times New Roman"/>
          <w:sz w:val="20"/>
          <w:szCs w:val="20"/>
          <w:lang w:eastAsia="en-CA"/>
        </w:rPr>
      </w:pPr>
      <w:r w:rsidRPr="00066C81">
        <w:rPr>
          <w:rFonts w:eastAsia="Times New Roman" w:cs="Times New Roman"/>
          <w:sz w:val="20"/>
          <w:szCs w:val="20"/>
          <w:lang w:eastAsia="en-CA"/>
        </w:rPr>
        <w:t>2.</w:t>
      </w:r>
      <w:r w:rsidRPr="00066C81">
        <w:rPr>
          <w:rFonts w:eastAsia="Times New Roman" w:cs="Times New Roman"/>
          <w:sz w:val="20"/>
          <w:szCs w:val="20"/>
          <w:lang w:eastAsia="en-CA"/>
        </w:rPr>
        <w:tab/>
        <w:t>At paragraph 83, the last sentence is replaced by the following: “Therefore, I find that the appellant has established its allegation under ss. 5(1)(</w:t>
      </w:r>
      <w:r w:rsidRPr="00066C81">
        <w:rPr>
          <w:rFonts w:eastAsia="Times New Roman" w:cs="Times New Roman"/>
          <w:i/>
          <w:sz w:val="20"/>
          <w:szCs w:val="20"/>
          <w:lang w:eastAsia="en-CA"/>
        </w:rPr>
        <w:t>b</w:t>
      </w:r>
      <w:r w:rsidRPr="00066C81">
        <w:rPr>
          <w:rFonts w:eastAsia="Times New Roman" w:cs="Times New Roman"/>
          <w:sz w:val="20"/>
          <w:szCs w:val="20"/>
          <w:lang w:eastAsia="en-CA"/>
        </w:rPr>
        <w:t xml:space="preserve">)(iii) and 5(3) of the </w:t>
      </w:r>
      <w:r w:rsidRPr="00066C81">
        <w:rPr>
          <w:rFonts w:eastAsia="Times New Roman" w:cs="Times New Roman"/>
          <w:i/>
          <w:sz w:val="20"/>
          <w:szCs w:val="20"/>
          <w:lang w:eastAsia="en-CA"/>
        </w:rPr>
        <w:t>Regulations</w:t>
      </w:r>
      <w:r w:rsidRPr="00066C81">
        <w:rPr>
          <w:rFonts w:eastAsia="Times New Roman" w:cs="Times New Roman"/>
          <w:sz w:val="20"/>
          <w:szCs w:val="20"/>
          <w:lang w:eastAsia="en-CA"/>
        </w:rPr>
        <w:t xml:space="preserve"> that Patent ’446 is not valid.”</w:t>
      </w:r>
    </w:p>
    <w:p w:rsidR="00066C81" w:rsidRPr="00066C81" w:rsidRDefault="00066C81" w:rsidP="00066C81">
      <w:pPr>
        <w:spacing w:line="233" w:lineRule="auto"/>
        <w:jc w:val="both"/>
        <w:rPr>
          <w:rFonts w:eastAsia="Times New Roman" w:cs="Times New Roman"/>
          <w:sz w:val="20"/>
          <w:szCs w:val="20"/>
          <w:lang w:eastAsia="en-CA"/>
        </w:rPr>
      </w:pPr>
    </w:p>
    <w:p w:rsidR="00066C81" w:rsidRPr="00066C81" w:rsidRDefault="00066C81" w:rsidP="00066C81">
      <w:pPr>
        <w:spacing w:line="233" w:lineRule="auto"/>
        <w:jc w:val="both"/>
        <w:rPr>
          <w:rFonts w:eastAsia="Times New Roman" w:cs="Times New Roman"/>
          <w:sz w:val="20"/>
          <w:szCs w:val="20"/>
          <w:lang w:eastAsia="en-CA"/>
        </w:rPr>
      </w:pPr>
      <w:r w:rsidRPr="00066C81">
        <w:rPr>
          <w:rFonts w:eastAsia="Times New Roman" w:cs="Times New Roman"/>
          <w:sz w:val="20"/>
          <w:szCs w:val="20"/>
          <w:lang w:eastAsia="en-CA"/>
        </w:rPr>
        <w:t>3.</w:t>
      </w:r>
      <w:r w:rsidRPr="00066C81">
        <w:rPr>
          <w:rFonts w:eastAsia="Times New Roman" w:cs="Times New Roman"/>
          <w:sz w:val="20"/>
          <w:szCs w:val="20"/>
          <w:lang w:eastAsia="en-CA"/>
        </w:rPr>
        <w:tab/>
        <w:t xml:space="preserve">At paragraph 87, the last sentence is replaced by the following: “Therefore, in the light of the remedy in </w:t>
      </w:r>
      <w:r w:rsidRPr="00066C81">
        <w:rPr>
          <w:rFonts w:eastAsia="Times New Roman" w:cs="Times New Roman"/>
          <w:i/>
          <w:sz w:val="20"/>
          <w:szCs w:val="20"/>
          <w:lang w:eastAsia="en-CA"/>
        </w:rPr>
        <w:t>Pioneer Hi-Bred</w:t>
      </w:r>
      <w:r w:rsidRPr="00066C81">
        <w:rPr>
          <w:rFonts w:eastAsia="Times New Roman" w:cs="Times New Roman"/>
          <w:sz w:val="20"/>
          <w:szCs w:val="20"/>
          <w:lang w:eastAsia="en-CA"/>
        </w:rPr>
        <w:t>, as I mentioned above, I hold that Teva has established its allegation that Patent ’446 is not valid.”</w:t>
      </w:r>
    </w:p>
    <w:p w:rsidR="00066C81" w:rsidRPr="00066C81" w:rsidRDefault="00066C81" w:rsidP="00066C81">
      <w:pPr>
        <w:spacing w:line="233" w:lineRule="auto"/>
        <w:jc w:val="both"/>
        <w:rPr>
          <w:rFonts w:eastAsia="Times New Roman" w:cs="Times New Roman"/>
          <w:sz w:val="20"/>
          <w:szCs w:val="20"/>
          <w:lang w:eastAsia="en-CA"/>
        </w:rPr>
      </w:pPr>
    </w:p>
    <w:p w:rsidR="00066C81" w:rsidRPr="00066C81" w:rsidRDefault="00066C81" w:rsidP="00066C81">
      <w:pPr>
        <w:spacing w:line="233" w:lineRule="auto"/>
        <w:jc w:val="both"/>
        <w:rPr>
          <w:rFonts w:eastAsia="Times New Roman" w:cs="Times New Roman"/>
          <w:sz w:val="20"/>
          <w:szCs w:val="20"/>
          <w:lang w:eastAsia="en-CA"/>
        </w:rPr>
      </w:pPr>
      <w:r w:rsidRPr="00066C81">
        <w:rPr>
          <w:rFonts w:eastAsia="Times New Roman" w:cs="Times New Roman"/>
          <w:sz w:val="20"/>
          <w:szCs w:val="20"/>
          <w:lang w:eastAsia="en-CA"/>
        </w:rPr>
        <w:t>4.</w:t>
      </w:r>
      <w:r w:rsidRPr="00066C81">
        <w:rPr>
          <w:rFonts w:eastAsia="Times New Roman" w:cs="Times New Roman"/>
          <w:sz w:val="20"/>
          <w:szCs w:val="20"/>
          <w:lang w:eastAsia="en-CA"/>
        </w:rPr>
        <w:tab/>
        <w:t xml:space="preserve">At paragraph 91, the first sentence is replaced by the following: “Therefore, I would allow the appeal with costs and hold that Teva established its allegation that Patent 2,163,446 is not valid, and dismiss Pfizer’s application for an order of prohibition under s. 6(1) of the </w:t>
      </w:r>
      <w:r w:rsidRPr="00066C81">
        <w:rPr>
          <w:rFonts w:eastAsia="Times New Roman" w:cs="Times New Roman"/>
          <w:i/>
          <w:sz w:val="20"/>
          <w:szCs w:val="20"/>
          <w:lang w:eastAsia="en-CA"/>
        </w:rPr>
        <w:t>Regulations</w:t>
      </w:r>
      <w:r w:rsidRPr="00066C81">
        <w:rPr>
          <w:rFonts w:eastAsia="Times New Roman" w:cs="Times New Roman"/>
          <w:sz w:val="20"/>
          <w:szCs w:val="20"/>
          <w:lang w:eastAsia="en-CA"/>
        </w:rPr>
        <w:t xml:space="preserve">”. </w:t>
      </w:r>
    </w:p>
    <w:p w:rsidR="00066C81" w:rsidRPr="00066C81" w:rsidRDefault="00066C81" w:rsidP="00066C81">
      <w:pPr>
        <w:spacing w:line="233" w:lineRule="auto"/>
        <w:jc w:val="both"/>
        <w:rPr>
          <w:rFonts w:eastAsia="Times New Roman" w:cs="Times New Roman"/>
          <w:sz w:val="20"/>
          <w:szCs w:val="20"/>
          <w:lang w:eastAsia="en-CA"/>
        </w:rPr>
      </w:pPr>
    </w:p>
    <w:p w:rsidR="00066C81" w:rsidRPr="00066C81" w:rsidRDefault="00066C81" w:rsidP="00066C81">
      <w:pPr>
        <w:spacing w:line="233" w:lineRule="auto"/>
        <w:jc w:val="both"/>
        <w:rPr>
          <w:rFonts w:eastAsia="Times New Roman" w:cs="Times New Roman"/>
          <w:sz w:val="20"/>
          <w:szCs w:val="20"/>
          <w:lang w:eastAsia="en-CA"/>
        </w:rPr>
      </w:pPr>
      <w:r w:rsidRPr="00066C81">
        <w:rPr>
          <w:rFonts w:eastAsia="Times New Roman" w:cs="Times New Roman"/>
          <w:sz w:val="20"/>
          <w:szCs w:val="20"/>
          <w:lang w:eastAsia="en-CA"/>
        </w:rPr>
        <w:t>5.</w:t>
      </w:r>
      <w:r w:rsidRPr="00066C81">
        <w:rPr>
          <w:rFonts w:eastAsia="Times New Roman" w:cs="Times New Roman"/>
          <w:sz w:val="20"/>
          <w:szCs w:val="20"/>
          <w:lang w:eastAsia="en-CA"/>
        </w:rPr>
        <w:tab/>
        <w:t xml:space="preserve">The formal order is amended to read as follows: “The appeal from the judgment of the Federal Court of Appeal, Number A-292-09, 2010 FCA 242, dated September 24, 2010, heard on April 18, 2012, is allowed with costs and Teva having established its allegation that Patent 2,163,446 is not valid, the application of Pfizer for an order of prohibition under s. 55.2(4) of the </w:t>
      </w:r>
      <w:r w:rsidRPr="00066C81">
        <w:rPr>
          <w:rFonts w:eastAsia="Times New Roman" w:cs="Times New Roman"/>
          <w:i/>
          <w:sz w:val="20"/>
          <w:szCs w:val="20"/>
          <w:lang w:eastAsia="en-CA"/>
        </w:rPr>
        <w:t>Patent Act</w:t>
      </w:r>
      <w:r w:rsidRPr="00066C81">
        <w:rPr>
          <w:rFonts w:eastAsia="Times New Roman" w:cs="Times New Roman"/>
          <w:sz w:val="20"/>
          <w:szCs w:val="20"/>
          <w:lang w:eastAsia="en-CA"/>
        </w:rPr>
        <w:t xml:space="preserve">, R.S.C. 1985, c. P-4, and s. 6 of the </w:t>
      </w:r>
      <w:r w:rsidRPr="00066C81">
        <w:rPr>
          <w:rFonts w:eastAsia="Times New Roman" w:cs="Times New Roman"/>
          <w:i/>
          <w:sz w:val="20"/>
          <w:szCs w:val="20"/>
          <w:lang w:eastAsia="en-CA"/>
        </w:rPr>
        <w:t>Patent Medicines (Notice of Compliance) Regulations</w:t>
      </w:r>
      <w:r w:rsidRPr="00066C81">
        <w:rPr>
          <w:rFonts w:eastAsia="Times New Roman" w:cs="Times New Roman"/>
          <w:sz w:val="20"/>
          <w:szCs w:val="20"/>
          <w:lang w:eastAsia="en-CA"/>
        </w:rPr>
        <w:t>, SOR/93-133, is dismissed”, and;</w:t>
      </w:r>
    </w:p>
    <w:p w:rsidR="00066C81" w:rsidRPr="00066C81" w:rsidRDefault="00066C81" w:rsidP="00066C81">
      <w:pPr>
        <w:spacing w:line="233" w:lineRule="auto"/>
        <w:jc w:val="both"/>
        <w:rPr>
          <w:rFonts w:eastAsia="Times New Roman" w:cs="Times New Roman"/>
          <w:sz w:val="20"/>
          <w:szCs w:val="20"/>
          <w:lang w:eastAsia="en-CA"/>
        </w:rPr>
      </w:pPr>
    </w:p>
    <w:p w:rsidR="00066C81" w:rsidRPr="00066C81" w:rsidRDefault="00066C81" w:rsidP="00066C81">
      <w:pPr>
        <w:spacing w:line="233" w:lineRule="auto"/>
        <w:jc w:val="both"/>
        <w:rPr>
          <w:rFonts w:eastAsia="Times New Roman" w:cs="Times New Roman"/>
          <w:b/>
          <w:sz w:val="20"/>
          <w:szCs w:val="20"/>
          <w:lang w:eastAsia="en-CA"/>
        </w:rPr>
      </w:pPr>
      <w:r w:rsidRPr="00066C81">
        <w:rPr>
          <w:rFonts w:eastAsia="Times New Roman" w:cs="Times New Roman"/>
          <w:b/>
          <w:sz w:val="20"/>
          <w:szCs w:val="20"/>
          <w:lang w:eastAsia="en-CA"/>
        </w:rPr>
        <w:t>IT IS FURTHER ORDERED THAT:</w:t>
      </w:r>
    </w:p>
    <w:p w:rsidR="00066C81" w:rsidRPr="00066C81" w:rsidRDefault="00066C81" w:rsidP="00066C81">
      <w:pPr>
        <w:spacing w:line="233" w:lineRule="auto"/>
        <w:jc w:val="both"/>
        <w:rPr>
          <w:rFonts w:eastAsia="Times New Roman" w:cs="Times New Roman"/>
          <w:sz w:val="20"/>
          <w:szCs w:val="20"/>
          <w:lang w:eastAsia="en-CA"/>
        </w:rPr>
      </w:pPr>
    </w:p>
    <w:p w:rsidR="00066C81" w:rsidRPr="00066C81" w:rsidRDefault="00066C81" w:rsidP="00066C81">
      <w:pPr>
        <w:spacing w:line="233" w:lineRule="auto"/>
        <w:jc w:val="both"/>
        <w:rPr>
          <w:rFonts w:eastAsia="Times New Roman" w:cs="Times New Roman"/>
          <w:sz w:val="20"/>
          <w:szCs w:val="20"/>
          <w:lang w:eastAsia="en-CA"/>
        </w:rPr>
      </w:pPr>
      <w:r w:rsidRPr="00066C81">
        <w:rPr>
          <w:rFonts w:eastAsia="Times New Roman" w:cs="Times New Roman"/>
          <w:sz w:val="20"/>
          <w:szCs w:val="20"/>
          <w:lang w:eastAsia="en-CA"/>
        </w:rPr>
        <w:t>6.</w:t>
      </w:r>
      <w:r w:rsidRPr="00066C81">
        <w:rPr>
          <w:rFonts w:eastAsia="Times New Roman" w:cs="Times New Roman"/>
          <w:sz w:val="20"/>
          <w:szCs w:val="20"/>
          <w:lang w:eastAsia="en-CA"/>
        </w:rPr>
        <w:tab/>
        <w:t>The Court grants Teva’s motion to amend the formal order of the Court by adding after the word “allowed”, the words “with costs in this Court and in the courts below”, in both the formal order and paragraph 91 of the reasons.</w:t>
      </w:r>
    </w:p>
    <w:p w:rsidR="00066C81" w:rsidRPr="00066C81" w:rsidRDefault="00066C81" w:rsidP="00066C81">
      <w:pPr>
        <w:spacing w:line="233" w:lineRule="auto"/>
        <w:jc w:val="both"/>
        <w:rPr>
          <w:rFonts w:eastAsia="Times New Roman" w:cs="Times New Roman"/>
          <w:sz w:val="20"/>
          <w:szCs w:val="20"/>
          <w:lang w:eastAsia="en-CA"/>
        </w:rPr>
      </w:pPr>
    </w:p>
    <w:p w:rsidR="00066C81" w:rsidRPr="00066C81" w:rsidRDefault="00066C81" w:rsidP="00066C81">
      <w:pPr>
        <w:spacing w:line="233" w:lineRule="auto"/>
        <w:jc w:val="both"/>
        <w:rPr>
          <w:rFonts w:eastAsia="Times New Roman" w:cs="Times New Roman"/>
          <w:sz w:val="20"/>
          <w:szCs w:val="20"/>
          <w:lang w:eastAsia="en-CA"/>
        </w:rPr>
      </w:pPr>
      <w:r w:rsidRPr="00066C81">
        <w:rPr>
          <w:rFonts w:eastAsia="Times New Roman" w:cs="Times New Roman"/>
          <w:sz w:val="20"/>
          <w:szCs w:val="20"/>
          <w:lang w:eastAsia="en-CA"/>
        </w:rPr>
        <w:t>7.</w:t>
      </w:r>
      <w:r w:rsidRPr="00066C81">
        <w:rPr>
          <w:rFonts w:eastAsia="Times New Roman" w:cs="Times New Roman"/>
          <w:sz w:val="20"/>
          <w:szCs w:val="20"/>
          <w:lang w:eastAsia="en-CA"/>
        </w:rPr>
        <w:tab/>
        <w:t>There will be no costs on these motions.</w:t>
      </w:r>
    </w:p>
    <w:p w:rsidR="00066C81" w:rsidRPr="00066C81" w:rsidRDefault="00066C81" w:rsidP="00066C81">
      <w:pPr>
        <w:spacing w:line="233" w:lineRule="auto"/>
        <w:rPr>
          <w:rFonts w:eastAsia="Times New Roman" w:cs="Times New Roman"/>
          <w:sz w:val="20"/>
          <w:szCs w:val="20"/>
          <w:lang w:eastAsia="en-CA"/>
        </w:rPr>
      </w:pPr>
    </w:p>
    <w:p w:rsidR="00066C81" w:rsidRPr="00066C81" w:rsidRDefault="00066C81" w:rsidP="00066C81">
      <w:pPr>
        <w:spacing w:line="233" w:lineRule="auto"/>
        <w:rPr>
          <w:rFonts w:eastAsia="Times New Roman" w:cs="Times New Roman"/>
          <w:sz w:val="20"/>
          <w:szCs w:val="20"/>
          <w:lang w:eastAsia="en-CA"/>
        </w:rPr>
      </w:pPr>
    </w:p>
    <w:p w:rsidR="00066C81" w:rsidRPr="00066C81" w:rsidRDefault="00066C81" w:rsidP="00066C81">
      <w:pPr>
        <w:spacing w:line="233" w:lineRule="auto"/>
        <w:rPr>
          <w:rFonts w:eastAsia="Times New Roman" w:cs="Times New Roman"/>
          <w:sz w:val="20"/>
          <w:szCs w:val="20"/>
          <w:lang w:eastAsia="en-CA"/>
        </w:rPr>
      </w:pPr>
    </w:p>
    <w:p w:rsidR="00066C81" w:rsidRPr="00066C81" w:rsidRDefault="00066C81" w:rsidP="00066C81">
      <w:pPr>
        <w:spacing w:line="233" w:lineRule="auto"/>
        <w:jc w:val="both"/>
        <w:rPr>
          <w:rFonts w:eastAsia="Times New Roman" w:cs="Times New Roman"/>
          <w:sz w:val="20"/>
          <w:szCs w:val="20"/>
          <w:lang w:val="fr-CA" w:eastAsia="en-CA"/>
        </w:rPr>
      </w:pPr>
      <w:r w:rsidRPr="00066C81">
        <w:rPr>
          <w:rFonts w:eastAsia="Times New Roman" w:cs="Times New Roman"/>
          <w:b/>
          <w:sz w:val="20"/>
          <w:szCs w:val="20"/>
          <w:lang w:val="fr-CA" w:eastAsia="en-CA"/>
        </w:rPr>
        <w:t xml:space="preserve">À LA SUITE DE LA DEMANDE </w:t>
      </w:r>
      <w:r w:rsidRPr="00066C81">
        <w:rPr>
          <w:rFonts w:eastAsia="Times New Roman" w:cs="Times New Roman"/>
          <w:sz w:val="20"/>
          <w:szCs w:val="20"/>
          <w:lang w:val="fr-CA" w:eastAsia="en-CA"/>
        </w:rPr>
        <w:t>en modification du jugement et des motifs de la Cour dans le présent appel ou, subsidiairement, en nouvelle audition de pourvoi présentée par Pfizer Canada Inc., Pfizer Inc., Pfizer Ireland Pharmaceuticals et Pfizer Research and Development Company N.V./S.A.;</w:t>
      </w:r>
    </w:p>
    <w:p w:rsidR="00066C81" w:rsidRPr="00066C81" w:rsidRDefault="00066C81" w:rsidP="00066C81">
      <w:pPr>
        <w:spacing w:line="233" w:lineRule="auto"/>
        <w:rPr>
          <w:rFonts w:eastAsia="Times New Roman" w:cs="Times New Roman"/>
          <w:sz w:val="20"/>
          <w:szCs w:val="20"/>
          <w:lang w:val="fr-CA" w:eastAsia="en-CA"/>
        </w:rPr>
      </w:pPr>
    </w:p>
    <w:p w:rsidR="00066C81" w:rsidRPr="00066C81" w:rsidRDefault="00066C81" w:rsidP="00066C81">
      <w:pPr>
        <w:spacing w:line="233" w:lineRule="auto"/>
        <w:jc w:val="both"/>
        <w:rPr>
          <w:rFonts w:eastAsia="Times New Roman" w:cs="Times New Roman"/>
          <w:sz w:val="20"/>
          <w:szCs w:val="20"/>
          <w:lang w:val="fr-CA" w:eastAsia="en-CA"/>
        </w:rPr>
      </w:pPr>
      <w:r w:rsidRPr="00066C81">
        <w:rPr>
          <w:rFonts w:eastAsia="Times New Roman" w:cs="Times New Roman"/>
          <w:b/>
          <w:sz w:val="20"/>
          <w:szCs w:val="20"/>
          <w:lang w:val="fr-CA" w:eastAsia="en-CA"/>
        </w:rPr>
        <w:t>ET À LA SUITE DE LA DEMANDE</w:t>
      </w:r>
      <w:r w:rsidRPr="00066C81">
        <w:rPr>
          <w:rFonts w:eastAsia="Times New Roman" w:cs="Times New Roman"/>
          <w:sz w:val="20"/>
          <w:szCs w:val="20"/>
          <w:lang w:val="fr-CA" w:eastAsia="en-CA"/>
        </w:rPr>
        <w:t xml:space="preserve"> par Teva Canada Limitée en modification du jugement de la Cour pour qu’elle accueille l’appel avec dépens devant notre Cour et devant les juridictions inférieures;</w:t>
      </w:r>
    </w:p>
    <w:p w:rsidR="00066C81" w:rsidRPr="00066C81" w:rsidRDefault="00066C81" w:rsidP="00066C81">
      <w:pPr>
        <w:spacing w:line="233" w:lineRule="auto"/>
        <w:rPr>
          <w:rFonts w:eastAsia="Times New Roman" w:cs="Times New Roman"/>
          <w:sz w:val="20"/>
          <w:szCs w:val="20"/>
          <w:lang w:val="fr-CA" w:eastAsia="en-CA"/>
        </w:rPr>
      </w:pPr>
    </w:p>
    <w:p w:rsidR="00066C81" w:rsidRPr="00066C81" w:rsidRDefault="00066C81" w:rsidP="00066C81">
      <w:pPr>
        <w:spacing w:line="233" w:lineRule="auto"/>
        <w:rPr>
          <w:rFonts w:eastAsia="Times New Roman" w:cs="Times New Roman"/>
          <w:sz w:val="20"/>
          <w:szCs w:val="20"/>
          <w:lang w:val="fr-CA" w:eastAsia="en-CA"/>
        </w:rPr>
      </w:pPr>
      <w:r w:rsidRPr="00066C81">
        <w:rPr>
          <w:rFonts w:eastAsia="Times New Roman" w:cs="Times New Roman"/>
          <w:b/>
          <w:sz w:val="20"/>
          <w:szCs w:val="20"/>
          <w:lang w:val="fr-CA" w:eastAsia="en-CA"/>
        </w:rPr>
        <w:t>ET APRÈS EXAMEN</w:t>
      </w:r>
      <w:r w:rsidRPr="00066C81">
        <w:rPr>
          <w:rFonts w:eastAsia="Times New Roman" w:cs="Times New Roman"/>
          <w:sz w:val="20"/>
          <w:szCs w:val="20"/>
          <w:lang w:val="fr-CA" w:eastAsia="en-CA"/>
        </w:rPr>
        <w:t xml:space="preserve"> des documents déposés;</w:t>
      </w:r>
    </w:p>
    <w:p w:rsidR="00066C81" w:rsidRPr="00066C81" w:rsidRDefault="00066C81" w:rsidP="00066C81">
      <w:pPr>
        <w:spacing w:line="233" w:lineRule="auto"/>
        <w:rPr>
          <w:rFonts w:eastAsia="Times New Roman" w:cs="Times New Roman"/>
          <w:sz w:val="20"/>
          <w:szCs w:val="20"/>
          <w:lang w:val="fr-CA" w:eastAsia="en-CA"/>
        </w:rPr>
      </w:pPr>
    </w:p>
    <w:p w:rsidR="00066C81" w:rsidRPr="00066C81" w:rsidRDefault="00066C81" w:rsidP="00066C81">
      <w:pPr>
        <w:spacing w:line="233" w:lineRule="auto"/>
        <w:rPr>
          <w:rFonts w:eastAsia="Times New Roman" w:cs="Times New Roman"/>
          <w:sz w:val="20"/>
          <w:szCs w:val="20"/>
          <w:lang w:val="fr-CA" w:eastAsia="en-CA"/>
        </w:rPr>
      </w:pPr>
      <w:r w:rsidRPr="00066C81">
        <w:rPr>
          <w:rFonts w:eastAsia="Times New Roman" w:cs="Times New Roman"/>
          <w:b/>
          <w:sz w:val="20"/>
          <w:szCs w:val="20"/>
          <w:lang w:val="fr-CA" w:eastAsia="en-CA"/>
        </w:rPr>
        <w:t>IL EST ORDONNÉ CE QUI SUIT :</w:t>
      </w:r>
    </w:p>
    <w:p w:rsidR="00066C81" w:rsidRPr="00066C81" w:rsidRDefault="00066C81" w:rsidP="00066C81">
      <w:pPr>
        <w:spacing w:line="233" w:lineRule="auto"/>
        <w:rPr>
          <w:rFonts w:eastAsia="Times New Roman" w:cs="Times New Roman"/>
          <w:sz w:val="20"/>
          <w:szCs w:val="20"/>
          <w:lang w:val="fr-CA" w:eastAsia="en-CA"/>
        </w:rPr>
      </w:pPr>
    </w:p>
    <w:p w:rsidR="00066C81" w:rsidRPr="00066C81" w:rsidRDefault="00066C81" w:rsidP="00066C81">
      <w:pPr>
        <w:spacing w:line="233" w:lineRule="auto"/>
        <w:jc w:val="both"/>
        <w:rPr>
          <w:rFonts w:eastAsia="Times New Roman" w:cs="Times New Roman"/>
          <w:sz w:val="20"/>
          <w:szCs w:val="20"/>
          <w:lang w:val="fr-CA" w:eastAsia="en-CA"/>
        </w:rPr>
      </w:pPr>
      <w:r w:rsidRPr="00066C81">
        <w:rPr>
          <w:rFonts w:eastAsia="Times New Roman" w:cs="Times New Roman"/>
          <w:sz w:val="20"/>
          <w:szCs w:val="20"/>
          <w:lang w:val="fr-CA" w:eastAsia="en-CA"/>
        </w:rPr>
        <w:t xml:space="preserve">La requête de Pfizer Canada Inc., Pfizer Inc., Pfizer Ireland Pharmaceuticals et Pfizer Research and Development Company N.V./S.A. est accueillie en partie comme suit : </w:t>
      </w:r>
    </w:p>
    <w:p w:rsidR="00066C81" w:rsidRPr="00066C81" w:rsidRDefault="00066C81" w:rsidP="00066C81">
      <w:pPr>
        <w:spacing w:line="233" w:lineRule="auto"/>
        <w:jc w:val="both"/>
        <w:rPr>
          <w:rFonts w:eastAsia="Times New Roman" w:cs="Times New Roman"/>
          <w:sz w:val="20"/>
          <w:szCs w:val="20"/>
          <w:lang w:val="fr-CA" w:eastAsia="en-CA"/>
        </w:rPr>
      </w:pPr>
    </w:p>
    <w:p w:rsidR="00066C81" w:rsidRPr="00066C81" w:rsidRDefault="00066C81" w:rsidP="00066C81">
      <w:pPr>
        <w:spacing w:line="233" w:lineRule="auto"/>
        <w:jc w:val="both"/>
        <w:rPr>
          <w:rFonts w:eastAsia="Times New Roman" w:cs="Times New Roman"/>
          <w:sz w:val="20"/>
          <w:szCs w:val="20"/>
          <w:lang w:val="fr-CA" w:eastAsia="en-CA"/>
        </w:rPr>
      </w:pPr>
      <w:r w:rsidRPr="00066C81">
        <w:rPr>
          <w:rFonts w:eastAsia="Times New Roman" w:cs="Times New Roman"/>
          <w:sz w:val="20"/>
          <w:szCs w:val="20"/>
          <w:lang w:val="fr-CA" w:eastAsia="en-CA"/>
        </w:rPr>
        <w:t>Les motifs du jugement de la Cour rendu le 8 novembre 2012 sont modifiés :</w:t>
      </w:r>
    </w:p>
    <w:p w:rsidR="00066C81" w:rsidRPr="00066C81" w:rsidRDefault="00066C81" w:rsidP="00066C81">
      <w:pPr>
        <w:spacing w:line="233" w:lineRule="auto"/>
        <w:jc w:val="both"/>
        <w:rPr>
          <w:rFonts w:eastAsia="Times New Roman" w:cs="Times New Roman"/>
          <w:sz w:val="20"/>
          <w:szCs w:val="20"/>
          <w:lang w:val="fr-CA" w:eastAsia="en-CA"/>
        </w:rPr>
      </w:pPr>
    </w:p>
    <w:p w:rsidR="00066C81" w:rsidRPr="00066C81" w:rsidRDefault="00066C81" w:rsidP="00066C81">
      <w:pPr>
        <w:spacing w:line="233" w:lineRule="auto"/>
        <w:jc w:val="both"/>
        <w:rPr>
          <w:rFonts w:eastAsia="Times New Roman" w:cs="Times New Roman"/>
          <w:sz w:val="20"/>
          <w:szCs w:val="20"/>
          <w:lang w:val="fr-CA" w:eastAsia="en-CA"/>
        </w:rPr>
      </w:pPr>
      <w:r w:rsidRPr="00066C81">
        <w:rPr>
          <w:rFonts w:eastAsia="Times New Roman" w:cs="Times New Roman"/>
          <w:sz w:val="20"/>
          <w:szCs w:val="20"/>
          <w:lang w:val="fr-CA" w:eastAsia="en-CA"/>
        </w:rPr>
        <w:t>1.</w:t>
      </w:r>
      <w:r w:rsidRPr="00066C81">
        <w:rPr>
          <w:rFonts w:eastAsia="Times New Roman" w:cs="Times New Roman"/>
          <w:sz w:val="20"/>
          <w:szCs w:val="20"/>
          <w:lang w:val="fr-CA" w:eastAsia="en-CA"/>
        </w:rPr>
        <w:tab/>
        <w:t xml:space="preserve">Par adjonction après la première phrase de la phrase : « Le 24 août 2007, Pfizer a présenté une demande à la Cour fédérale en application du par. 55.2(4) de la </w:t>
      </w:r>
      <w:r w:rsidRPr="00066C81">
        <w:rPr>
          <w:rFonts w:eastAsia="Times New Roman" w:cs="Times New Roman"/>
          <w:i/>
          <w:sz w:val="20"/>
          <w:szCs w:val="20"/>
          <w:lang w:val="fr-CA" w:eastAsia="en-CA"/>
        </w:rPr>
        <w:t>Loi sur les brevets</w:t>
      </w:r>
      <w:r w:rsidRPr="00066C81">
        <w:rPr>
          <w:rFonts w:eastAsia="Times New Roman" w:cs="Times New Roman"/>
          <w:sz w:val="20"/>
          <w:szCs w:val="20"/>
          <w:lang w:val="fr-CA" w:eastAsia="en-CA"/>
        </w:rPr>
        <w:t xml:space="preserve">, L.R.C. 1985, ch. P-4, et du par. 6(1) du </w:t>
      </w:r>
      <w:r w:rsidRPr="00066C81">
        <w:rPr>
          <w:rFonts w:eastAsia="Times New Roman" w:cs="Times New Roman"/>
          <w:i/>
          <w:sz w:val="20"/>
          <w:szCs w:val="20"/>
          <w:lang w:val="fr-CA" w:eastAsia="en-CA"/>
        </w:rPr>
        <w:t>Règlement sur les médicaments brevetés (avis de conformité)</w:t>
      </w:r>
      <w:r w:rsidRPr="00066C81">
        <w:rPr>
          <w:rFonts w:eastAsia="Times New Roman" w:cs="Times New Roman"/>
          <w:sz w:val="20"/>
          <w:szCs w:val="20"/>
          <w:lang w:val="fr-CA" w:eastAsia="en-CA"/>
        </w:rPr>
        <w:t>, DORS/93-133 (« </w:t>
      </w:r>
      <w:r w:rsidRPr="00066C81">
        <w:rPr>
          <w:rFonts w:eastAsia="Times New Roman" w:cs="Times New Roman"/>
          <w:i/>
          <w:sz w:val="20"/>
          <w:szCs w:val="20"/>
          <w:lang w:val="fr-CA" w:eastAsia="en-CA"/>
        </w:rPr>
        <w:t>Règlement</w:t>
      </w:r>
      <w:r w:rsidRPr="00066C81">
        <w:rPr>
          <w:rFonts w:eastAsia="Times New Roman" w:cs="Times New Roman"/>
          <w:sz w:val="20"/>
          <w:szCs w:val="20"/>
          <w:lang w:val="fr-CA" w:eastAsia="en-CA"/>
        </w:rPr>
        <w:t> »), pour que soit prononcée une ordonnance interdisant au ministre de la Santé de délivrer un avis de conformité à Teva pour sa version générique du Viagra. »</w:t>
      </w:r>
    </w:p>
    <w:p w:rsidR="00066C81" w:rsidRPr="00066C81" w:rsidRDefault="00066C81" w:rsidP="00066C81">
      <w:pPr>
        <w:spacing w:line="233" w:lineRule="auto"/>
        <w:jc w:val="both"/>
        <w:rPr>
          <w:rFonts w:eastAsia="Times New Roman" w:cs="Times New Roman"/>
          <w:sz w:val="20"/>
          <w:szCs w:val="20"/>
          <w:lang w:val="fr-CA" w:eastAsia="en-CA"/>
        </w:rPr>
      </w:pPr>
    </w:p>
    <w:p w:rsidR="00066C81" w:rsidRPr="00066C81" w:rsidRDefault="00066C81" w:rsidP="00066C81">
      <w:pPr>
        <w:spacing w:line="233" w:lineRule="auto"/>
        <w:jc w:val="both"/>
        <w:rPr>
          <w:rFonts w:eastAsia="Times New Roman" w:cs="Times New Roman"/>
          <w:sz w:val="20"/>
          <w:szCs w:val="20"/>
          <w:lang w:val="fr-CA" w:eastAsia="en-CA"/>
        </w:rPr>
      </w:pPr>
      <w:r w:rsidRPr="00066C81">
        <w:rPr>
          <w:rFonts w:eastAsia="Times New Roman" w:cs="Times New Roman"/>
          <w:sz w:val="20"/>
          <w:szCs w:val="20"/>
          <w:lang w:val="fr-CA" w:eastAsia="en-CA"/>
        </w:rPr>
        <w:t>2.</w:t>
      </w:r>
      <w:r w:rsidRPr="00066C81">
        <w:rPr>
          <w:rFonts w:eastAsia="Times New Roman" w:cs="Times New Roman"/>
          <w:sz w:val="20"/>
          <w:szCs w:val="20"/>
          <w:lang w:val="fr-CA" w:eastAsia="en-CA"/>
        </w:rPr>
        <w:tab/>
        <w:t>Par le remplacement au par. 83 de la dernière phrase par la suivante : « Par conséquent, je conclus que l’appelante a fait la preuve de son allégation visée au sous-al. 5(1)</w:t>
      </w:r>
      <w:r w:rsidRPr="00066C81">
        <w:rPr>
          <w:rFonts w:eastAsia="Times New Roman" w:cs="Times New Roman"/>
          <w:i/>
          <w:sz w:val="20"/>
          <w:szCs w:val="20"/>
          <w:lang w:val="fr-CA" w:eastAsia="en-CA"/>
        </w:rPr>
        <w:t>b</w:t>
      </w:r>
      <w:r w:rsidRPr="00066C81">
        <w:rPr>
          <w:rFonts w:eastAsia="Times New Roman" w:cs="Times New Roman"/>
          <w:sz w:val="20"/>
          <w:szCs w:val="20"/>
          <w:lang w:val="fr-CA" w:eastAsia="en-CA"/>
        </w:rPr>
        <w:t xml:space="preserve">)(iii) et au par. 5(3) du </w:t>
      </w:r>
      <w:r w:rsidRPr="00066C81">
        <w:rPr>
          <w:rFonts w:eastAsia="Times New Roman" w:cs="Times New Roman"/>
          <w:i/>
          <w:sz w:val="20"/>
          <w:szCs w:val="20"/>
          <w:lang w:val="fr-CA" w:eastAsia="en-CA"/>
        </w:rPr>
        <w:t>Règlement</w:t>
      </w:r>
      <w:r w:rsidRPr="00066C81">
        <w:rPr>
          <w:rFonts w:eastAsia="Times New Roman" w:cs="Times New Roman"/>
          <w:sz w:val="20"/>
          <w:szCs w:val="20"/>
          <w:lang w:val="fr-CA" w:eastAsia="en-CA"/>
        </w:rPr>
        <w:t xml:space="preserve"> portant que le brevet 446 n’est pas valide. »  </w:t>
      </w:r>
    </w:p>
    <w:p w:rsidR="00066C81" w:rsidRPr="00066C81" w:rsidRDefault="00066C81" w:rsidP="00066C81">
      <w:pPr>
        <w:spacing w:line="233" w:lineRule="auto"/>
        <w:jc w:val="both"/>
        <w:rPr>
          <w:rFonts w:eastAsia="Times New Roman" w:cs="Times New Roman"/>
          <w:sz w:val="20"/>
          <w:szCs w:val="20"/>
          <w:lang w:val="fr-CA" w:eastAsia="en-CA"/>
        </w:rPr>
      </w:pPr>
    </w:p>
    <w:p w:rsidR="00066C81" w:rsidRPr="00066C81" w:rsidRDefault="00066C81" w:rsidP="00066C81">
      <w:pPr>
        <w:spacing w:line="233" w:lineRule="auto"/>
        <w:jc w:val="both"/>
        <w:rPr>
          <w:rFonts w:eastAsia="Times New Roman" w:cs="Times New Roman"/>
          <w:sz w:val="20"/>
          <w:szCs w:val="20"/>
          <w:lang w:val="fr-CA" w:eastAsia="en-CA"/>
        </w:rPr>
      </w:pPr>
      <w:r w:rsidRPr="00066C81">
        <w:rPr>
          <w:rFonts w:eastAsia="Times New Roman" w:cs="Times New Roman"/>
          <w:sz w:val="20"/>
          <w:szCs w:val="20"/>
          <w:lang w:val="fr-CA" w:eastAsia="en-CA"/>
        </w:rPr>
        <w:t>3.</w:t>
      </w:r>
      <w:r w:rsidRPr="00066C81">
        <w:rPr>
          <w:rFonts w:eastAsia="Times New Roman" w:cs="Times New Roman"/>
          <w:sz w:val="20"/>
          <w:szCs w:val="20"/>
          <w:lang w:val="fr-CA" w:eastAsia="en-CA"/>
        </w:rPr>
        <w:tab/>
        <w:t xml:space="preserve">Par le remplacement au par. 87 de la dernière phrase par la suivante : « En conséquence, conformément à la réparation retenue dans l’arrêt </w:t>
      </w:r>
      <w:r w:rsidRPr="00066C81">
        <w:rPr>
          <w:rFonts w:eastAsia="Times New Roman" w:cs="Times New Roman"/>
          <w:i/>
          <w:sz w:val="20"/>
          <w:szCs w:val="20"/>
          <w:lang w:val="fr-CA" w:eastAsia="en-CA"/>
        </w:rPr>
        <w:t>Pioneer Hi-Bred</w:t>
      </w:r>
      <w:r w:rsidRPr="00066C81">
        <w:rPr>
          <w:rFonts w:eastAsia="Times New Roman" w:cs="Times New Roman"/>
          <w:sz w:val="20"/>
          <w:szCs w:val="20"/>
          <w:lang w:val="fr-CA" w:eastAsia="en-CA"/>
        </w:rPr>
        <w:t>, je le répète, je conclus que Teva a fait la preuve de son allégation portant que le brevet 446 n’est pas valide. »   </w:t>
      </w:r>
    </w:p>
    <w:p w:rsidR="00066C81" w:rsidRPr="00066C81" w:rsidRDefault="00066C81" w:rsidP="00066C81">
      <w:pPr>
        <w:spacing w:line="233" w:lineRule="auto"/>
        <w:jc w:val="both"/>
        <w:rPr>
          <w:rFonts w:eastAsia="Times New Roman" w:cs="Times New Roman"/>
          <w:sz w:val="20"/>
          <w:szCs w:val="20"/>
          <w:lang w:val="fr-CA" w:eastAsia="en-CA"/>
        </w:rPr>
      </w:pPr>
    </w:p>
    <w:p w:rsidR="00066C81" w:rsidRPr="00066C81" w:rsidRDefault="00066C81" w:rsidP="00066C81">
      <w:pPr>
        <w:spacing w:line="233" w:lineRule="auto"/>
        <w:jc w:val="both"/>
        <w:rPr>
          <w:rFonts w:eastAsia="Times New Roman" w:cs="Times New Roman"/>
          <w:sz w:val="20"/>
          <w:szCs w:val="20"/>
          <w:lang w:val="fr-CA" w:eastAsia="en-CA"/>
        </w:rPr>
      </w:pPr>
      <w:r w:rsidRPr="00066C81">
        <w:rPr>
          <w:rFonts w:eastAsia="Times New Roman" w:cs="Times New Roman"/>
          <w:sz w:val="20"/>
          <w:szCs w:val="20"/>
          <w:lang w:val="fr-CA" w:eastAsia="en-CA"/>
        </w:rPr>
        <w:t>4.</w:t>
      </w:r>
      <w:r w:rsidRPr="00066C81">
        <w:rPr>
          <w:rFonts w:eastAsia="Times New Roman" w:cs="Times New Roman"/>
          <w:sz w:val="20"/>
          <w:szCs w:val="20"/>
          <w:lang w:val="fr-CA" w:eastAsia="en-CA"/>
        </w:rPr>
        <w:tab/>
        <w:t xml:space="preserve">Par le remplacement au par. 91 de la première phrase par la suivante : « Par conséquent, je suis d’avis d’accueillir l’appel avec dépens, de conclure que Teva a fait la preuve de son allégation portant que le brevet 2 163 446 n’est pas valide et de rejeter la demande de Pfizer pour que soit prononcée une ordonnance d’interdiction en application du par. 6(1) du </w:t>
      </w:r>
      <w:r w:rsidRPr="00066C81">
        <w:rPr>
          <w:rFonts w:eastAsia="Times New Roman" w:cs="Times New Roman"/>
          <w:i/>
          <w:sz w:val="20"/>
          <w:szCs w:val="20"/>
          <w:lang w:val="fr-CA" w:eastAsia="en-CA"/>
        </w:rPr>
        <w:t>Règlement</w:t>
      </w:r>
      <w:r w:rsidRPr="00066C81">
        <w:rPr>
          <w:rFonts w:eastAsia="Times New Roman" w:cs="Times New Roman"/>
          <w:sz w:val="20"/>
          <w:szCs w:val="20"/>
          <w:lang w:val="fr-CA" w:eastAsia="en-CA"/>
        </w:rPr>
        <w:t xml:space="preserve">. »  </w:t>
      </w:r>
    </w:p>
    <w:p w:rsidR="00066C81" w:rsidRPr="00066C81" w:rsidRDefault="00066C81" w:rsidP="00066C81">
      <w:pPr>
        <w:spacing w:line="233" w:lineRule="auto"/>
        <w:jc w:val="both"/>
        <w:rPr>
          <w:rFonts w:eastAsia="Times New Roman" w:cs="Times New Roman"/>
          <w:sz w:val="20"/>
          <w:szCs w:val="20"/>
          <w:lang w:val="fr-CA" w:eastAsia="en-CA"/>
        </w:rPr>
      </w:pPr>
      <w:r w:rsidRPr="00066C81">
        <w:rPr>
          <w:rFonts w:eastAsia="Times New Roman" w:cs="Times New Roman"/>
          <w:sz w:val="20"/>
          <w:szCs w:val="20"/>
          <w:lang w:val="fr-CA" w:eastAsia="en-CA"/>
        </w:rPr>
        <w:lastRenderedPageBreak/>
        <w:t xml:space="preserve">Le jugement formel est modifié pour être désormais libellé comme suit : </w:t>
      </w:r>
    </w:p>
    <w:p w:rsidR="00066C81" w:rsidRPr="00066C81" w:rsidRDefault="00066C81" w:rsidP="00066C81">
      <w:pPr>
        <w:spacing w:line="233" w:lineRule="auto"/>
        <w:jc w:val="both"/>
        <w:rPr>
          <w:rFonts w:eastAsia="Times New Roman" w:cs="Times New Roman"/>
          <w:sz w:val="20"/>
          <w:szCs w:val="20"/>
          <w:lang w:val="fr-CA" w:eastAsia="en-CA"/>
        </w:rPr>
      </w:pPr>
    </w:p>
    <w:p w:rsidR="00066C81" w:rsidRPr="00066C81" w:rsidRDefault="00066C81" w:rsidP="00066C81">
      <w:pPr>
        <w:spacing w:line="233" w:lineRule="auto"/>
        <w:jc w:val="both"/>
        <w:rPr>
          <w:rFonts w:eastAsia="Times New Roman" w:cs="Times New Roman"/>
          <w:sz w:val="20"/>
          <w:szCs w:val="20"/>
          <w:lang w:val="fr-CA" w:eastAsia="en-CA"/>
        </w:rPr>
      </w:pPr>
      <w:r w:rsidRPr="00066C81">
        <w:rPr>
          <w:rFonts w:eastAsia="Times New Roman" w:cs="Times New Roman"/>
          <w:sz w:val="20"/>
          <w:szCs w:val="20"/>
          <w:lang w:val="fr-CA" w:eastAsia="en-CA"/>
        </w:rPr>
        <w:t>5.</w:t>
      </w:r>
      <w:r w:rsidRPr="00066C81">
        <w:rPr>
          <w:rFonts w:eastAsia="Times New Roman" w:cs="Times New Roman"/>
          <w:sz w:val="20"/>
          <w:szCs w:val="20"/>
          <w:lang w:val="fr-CA" w:eastAsia="en-CA"/>
        </w:rPr>
        <w:tab/>
        <w:t xml:space="preserve">« L’appel du jugement de la Cour d’appel fédérale, numéro A-292-09, 2010 CAF 242, en date du 24 septembre 2010, entendu le 18 avril 2012, est accueilli avec dépens et, Teva ayant fait la preuve de son allégation portant que le brevet 2 163 446 n’est pas valide, la demande de Pfizer pour que soit prononcée une ordonnance d’interdiction en application du par. 55.2(4) de la </w:t>
      </w:r>
      <w:r w:rsidRPr="00066C81">
        <w:rPr>
          <w:rFonts w:eastAsia="Times New Roman" w:cs="Times New Roman"/>
          <w:i/>
          <w:sz w:val="20"/>
          <w:szCs w:val="20"/>
          <w:lang w:val="fr-CA" w:eastAsia="en-CA"/>
        </w:rPr>
        <w:t>Loi sur les brevets,</w:t>
      </w:r>
      <w:r w:rsidRPr="00066C81">
        <w:rPr>
          <w:rFonts w:eastAsia="Times New Roman" w:cs="Times New Roman"/>
          <w:sz w:val="20"/>
          <w:szCs w:val="20"/>
          <w:lang w:val="fr-CA" w:eastAsia="en-CA"/>
        </w:rPr>
        <w:t xml:space="preserve"> L.R.C. 1985, ch. P-4, et de l’art. 6 du </w:t>
      </w:r>
      <w:r w:rsidRPr="00066C81">
        <w:rPr>
          <w:rFonts w:eastAsia="Times New Roman" w:cs="Times New Roman"/>
          <w:i/>
          <w:sz w:val="20"/>
          <w:szCs w:val="20"/>
          <w:lang w:val="fr-CA" w:eastAsia="en-CA"/>
        </w:rPr>
        <w:t>Règlement sur les médicaments brevetés (avis de conformité)</w:t>
      </w:r>
      <w:r w:rsidRPr="00066C81">
        <w:rPr>
          <w:rFonts w:eastAsia="Times New Roman" w:cs="Times New Roman"/>
          <w:sz w:val="20"/>
          <w:szCs w:val="20"/>
          <w:lang w:val="fr-CA" w:eastAsia="en-CA"/>
        </w:rPr>
        <w:t>, DORS/93-133, est rejetée. »</w:t>
      </w:r>
    </w:p>
    <w:p w:rsidR="00066C81" w:rsidRPr="00066C81" w:rsidRDefault="00066C81" w:rsidP="00066C81">
      <w:pPr>
        <w:spacing w:line="233" w:lineRule="auto"/>
        <w:jc w:val="both"/>
        <w:rPr>
          <w:rFonts w:eastAsia="Times New Roman" w:cs="Times New Roman"/>
          <w:sz w:val="20"/>
          <w:szCs w:val="20"/>
          <w:lang w:val="fr-CA" w:eastAsia="en-CA"/>
        </w:rPr>
      </w:pPr>
    </w:p>
    <w:p w:rsidR="00066C81" w:rsidRPr="00066C81" w:rsidRDefault="00066C81" w:rsidP="00066C81">
      <w:pPr>
        <w:spacing w:line="233" w:lineRule="auto"/>
        <w:rPr>
          <w:rFonts w:eastAsia="Times New Roman" w:cs="Times New Roman"/>
          <w:b/>
          <w:sz w:val="20"/>
          <w:szCs w:val="20"/>
          <w:lang w:val="fr-CA" w:eastAsia="en-CA"/>
        </w:rPr>
      </w:pPr>
      <w:r w:rsidRPr="00066C81">
        <w:rPr>
          <w:rFonts w:eastAsia="Times New Roman" w:cs="Times New Roman"/>
          <w:b/>
          <w:sz w:val="20"/>
          <w:szCs w:val="20"/>
          <w:lang w:val="fr-CA" w:eastAsia="en-CA"/>
        </w:rPr>
        <w:t>IL EST EN OUTRE ORDONNÉ CE QUI SUIT :</w:t>
      </w:r>
    </w:p>
    <w:p w:rsidR="00066C81" w:rsidRPr="00066C81" w:rsidRDefault="00066C81" w:rsidP="00066C81">
      <w:pPr>
        <w:spacing w:line="233" w:lineRule="auto"/>
        <w:rPr>
          <w:rFonts w:eastAsia="Times New Roman" w:cs="Times New Roman"/>
          <w:sz w:val="20"/>
          <w:szCs w:val="20"/>
          <w:lang w:val="fr-CA" w:eastAsia="en-CA"/>
        </w:rPr>
      </w:pPr>
    </w:p>
    <w:p w:rsidR="00066C81" w:rsidRPr="00066C81" w:rsidRDefault="00066C81" w:rsidP="00066C81">
      <w:pPr>
        <w:spacing w:line="233" w:lineRule="auto"/>
        <w:jc w:val="both"/>
        <w:rPr>
          <w:rFonts w:eastAsia="Times New Roman" w:cs="Times New Roman"/>
          <w:sz w:val="20"/>
          <w:szCs w:val="20"/>
          <w:lang w:val="fr-CA" w:eastAsia="en-CA"/>
        </w:rPr>
      </w:pPr>
      <w:r w:rsidRPr="00066C81">
        <w:rPr>
          <w:rFonts w:eastAsia="Times New Roman" w:cs="Times New Roman"/>
          <w:sz w:val="20"/>
          <w:szCs w:val="20"/>
          <w:lang w:val="fr-CA" w:eastAsia="en-CA"/>
        </w:rPr>
        <w:t>6.</w:t>
      </w:r>
      <w:r w:rsidRPr="00066C81">
        <w:rPr>
          <w:rFonts w:eastAsia="Times New Roman" w:cs="Times New Roman"/>
          <w:sz w:val="20"/>
          <w:szCs w:val="20"/>
          <w:lang w:val="fr-CA" w:eastAsia="en-CA"/>
        </w:rPr>
        <w:tab/>
        <w:t>La Cour accueille la requête de Teva en modification du jugement formel de la Cour par adjonction après le mot « accueilli » des mots « avec dépens devant notre Cour et devant les juridictions inférieures » tant dans le jugement formel qu’au paragraphe 91 des motifs.</w:t>
      </w:r>
    </w:p>
    <w:p w:rsidR="00066C81" w:rsidRPr="00066C81" w:rsidRDefault="00066C81" w:rsidP="00066C81">
      <w:pPr>
        <w:spacing w:line="233" w:lineRule="auto"/>
        <w:jc w:val="both"/>
        <w:rPr>
          <w:rFonts w:eastAsia="Times New Roman" w:cs="Times New Roman"/>
          <w:sz w:val="20"/>
          <w:szCs w:val="20"/>
          <w:lang w:val="fr-CA" w:eastAsia="en-CA"/>
        </w:rPr>
      </w:pPr>
    </w:p>
    <w:p w:rsidR="00066C81" w:rsidRPr="00066C81" w:rsidRDefault="00066C81" w:rsidP="00066C81">
      <w:pPr>
        <w:spacing w:line="233" w:lineRule="auto"/>
        <w:jc w:val="both"/>
        <w:rPr>
          <w:rFonts w:eastAsia="Times New Roman" w:cs="Times New Roman"/>
          <w:sz w:val="20"/>
          <w:szCs w:val="20"/>
          <w:lang w:val="fr-CA" w:eastAsia="en-CA"/>
        </w:rPr>
      </w:pPr>
      <w:r w:rsidRPr="00066C81">
        <w:rPr>
          <w:rFonts w:eastAsia="Times New Roman" w:cs="Times New Roman"/>
          <w:sz w:val="20"/>
          <w:szCs w:val="20"/>
          <w:lang w:val="fr-CA" w:eastAsia="en-CA"/>
        </w:rPr>
        <w:t>7.</w:t>
      </w:r>
      <w:r w:rsidRPr="00066C81">
        <w:rPr>
          <w:rFonts w:eastAsia="Times New Roman" w:cs="Times New Roman"/>
          <w:sz w:val="20"/>
          <w:szCs w:val="20"/>
          <w:lang w:val="fr-CA" w:eastAsia="en-CA"/>
        </w:rPr>
        <w:tab/>
        <w:t>Il n’y a pas d’adjudication des dépens relativement à ces requêtes.</w:t>
      </w:r>
    </w:p>
    <w:p w:rsidR="00066C81" w:rsidRPr="00066C81" w:rsidRDefault="00066C81" w:rsidP="00066C81">
      <w:pPr>
        <w:tabs>
          <w:tab w:val="left" w:pos="-1440"/>
          <w:tab w:val="left" w:pos="-720"/>
        </w:tabs>
        <w:jc w:val="both"/>
        <w:rPr>
          <w:rFonts w:eastAsia="Times New Roman" w:cs="Times New Roman"/>
          <w:sz w:val="20"/>
          <w:szCs w:val="20"/>
          <w:lang w:val="fr-CA" w:eastAsia="en-CA"/>
        </w:rPr>
      </w:pPr>
    </w:p>
    <w:p w:rsidR="00066C81" w:rsidRPr="00066C81" w:rsidRDefault="00B3404D" w:rsidP="00066C81">
      <w:pPr>
        <w:tabs>
          <w:tab w:val="left" w:pos="-1440"/>
          <w:tab w:val="left" w:pos="-720"/>
        </w:tabs>
        <w:jc w:val="both"/>
        <w:rPr>
          <w:rFonts w:eastAsia="Times New Roman" w:cs="Times New Roman"/>
          <w:sz w:val="20"/>
          <w:szCs w:val="20"/>
          <w:lang w:val="fr-CA" w:eastAsia="en-CA"/>
        </w:rPr>
      </w:pPr>
      <w:r w:rsidRPr="00B3404D">
        <w:rPr>
          <w:rFonts w:eastAsia="Times New Roman" w:cs="Times New Roman"/>
          <w:sz w:val="20"/>
          <w:szCs w:val="20"/>
          <w:lang w:val="fr-CA" w:eastAsia="en-CA"/>
        </w:rPr>
        <w:pict>
          <v:rect id="_x0000_i1097" style="width:2in;height:1pt" o:hrpct="0" o:hralign="center" o:hrstd="t" o:hrnoshade="t" o:hr="t" fillcolor="black [3213]" stroked="f"/>
        </w:pict>
      </w:r>
    </w:p>
    <w:p w:rsidR="00066C81" w:rsidRPr="00066C81" w:rsidRDefault="00066C81" w:rsidP="00066C81">
      <w:pPr>
        <w:tabs>
          <w:tab w:val="left" w:pos="-1440"/>
          <w:tab w:val="left" w:pos="-720"/>
        </w:tabs>
        <w:jc w:val="both"/>
        <w:rPr>
          <w:rFonts w:eastAsia="Times New Roman" w:cs="Times New Roman"/>
          <w:sz w:val="20"/>
          <w:szCs w:val="20"/>
          <w:lang w:eastAsia="en-CA"/>
        </w:rPr>
      </w:pPr>
    </w:p>
    <w:p w:rsidR="00066C81" w:rsidRPr="00066C81" w:rsidRDefault="00066C81" w:rsidP="00066C81">
      <w:pPr>
        <w:tabs>
          <w:tab w:val="left" w:pos="-1440"/>
          <w:tab w:val="left" w:pos="-720"/>
        </w:tabs>
        <w:jc w:val="both"/>
        <w:rPr>
          <w:rFonts w:eastAsia="Times New Roman" w:cs="Times New Roman"/>
          <w:sz w:val="20"/>
          <w:szCs w:val="20"/>
          <w:lang w:val="fr-CA" w:eastAsia="en-CA"/>
        </w:rPr>
      </w:pPr>
      <w:r w:rsidRPr="00066C81">
        <w:rPr>
          <w:rFonts w:eastAsia="Times New Roman" w:cs="Times New Roman"/>
          <w:sz w:val="20"/>
          <w:szCs w:val="20"/>
          <w:lang w:val="fr-CA" w:eastAsia="en-CA"/>
        </w:rPr>
        <w:t>04.06.2013</w:t>
      </w:r>
    </w:p>
    <w:p w:rsidR="00066C81" w:rsidRPr="00066C81" w:rsidRDefault="00066C81" w:rsidP="00066C81">
      <w:pPr>
        <w:tabs>
          <w:tab w:val="left" w:pos="-1440"/>
          <w:tab w:val="left" w:pos="-720"/>
        </w:tabs>
        <w:jc w:val="both"/>
        <w:rPr>
          <w:rFonts w:eastAsia="Times New Roman" w:cs="Times New Roman"/>
          <w:sz w:val="20"/>
          <w:szCs w:val="20"/>
          <w:lang w:val="fr-CA" w:eastAsia="en-CA"/>
        </w:rPr>
      </w:pPr>
    </w:p>
    <w:p w:rsidR="00066C81" w:rsidRPr="00066C81" w:rsidRDefault="00066C81" w:rsidP="00066C81">
      <w:pPr>
        <w:tabs>
          <w:tab w:val="left" w:pos="-1440"/>
          <w:tab w:val="left" w:pos="-720"/>
        </w:tabs>
        <w:jc w:val="both"/>
        <w:rPr>
          <w:rFonts w:eastAsia="Times New Roman" w:cs="Times New Roman"/>
          <w:sz w:val="20"/>
          <w:szCs w:val="20"/>
          <w:lang w:val="fr-CA" w:eastAsia="en-CA"/>
        </w:rPr>
      </w:pPr>
      <w:r w:rsidRPr="00066C81">
        <w:rPr>
          <w:rFonts w:eastAsia="Times New Roman" w:cs="Times New Roman"/>
          <w:sz w:val="20"/>
          <w:szCs w:val="20"/>
          <w:lang w:val="fr-CA" w:eastAsia="en-CA"/>
        </w:rPr>
        <w:t>Before / Devant:   ROTHSTEIN J. / LE JUGE ROTHSTEIN</w:t>
      </w:r>
    </w:p>
    <w:p w:rsidR="00066C81" w:rsidRPr="00066C81" w:rsidRDefault="00066C81" w:rsidP="00066C81">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80"/>
        <w:gridCol w:w="1170"/>
        <w:gridCol w:w="4327"/>
      </w:tblGrid>
      <w:tr w:rsidR="00066C81" w:rsidRPr="00D41BFD" w:rsidTr="00C05792">
        <w:tc>
          <w:tcPr>
            <w:tcW w:w="4338" w:type="dxa"/>
            <w:gridSpan w:val="2"/>
          </w:tcPr>
          <w:p w:rsidR="00066C81" w:rsidRPr="00066C81" w:rsidRDefault="00066C81" w:rsidP="00066C81">
            <w:pPr>
              <w:jc w:val="both"/>
              <w:rPr>
                <w:b/>
              </w:rPr>
            </w:pPr>
            <w:r w:rsidRPr="00066C81">
              <w:rPr>
                <w:b/>
                <w:lang w:val="en-US"/>
              </w:rPr>
              <w:t xml:space="preserve">Order on interventions with respect to oral argument </w:t>
            </w:r>
            <w:r w:rsidR="00B3404D" w:rsidRPr="00066C81">
              <w:rPr>
                <w:szCs w:val="24"/>
                <w:lang w:val="en-US"/>
              </w:rPr>
              <w:fldChar w:fldCharType="begin"/>
            </w:r>
            <w:r w:rsidRPr="00066C81">
              <w:rPr>
                <w:szCs w:val="24"/>
              </w:rPr>
              <w:instrText xml:space="preserve"> SEQ CHAPTER \h \r 1</w:instrText>
            </w:r>
            <w:r w:rsidR="00B3404D" w:rsidRPr="00066C81">
              <w:rPr>
                <w:szCs w:val="24"/>
                <w:lang w:val="en-US"/>
              </w:rPr>
              <w:fldChar w:fldCharType="end"/>
            </w:r>
          </w:p>
        </w:tc>
        <w:tc>
          <w:tcPr>
            <w:tcW w:w="1170" w:type="dxa"/>
          </w:tcPr>
          <w:p w:rsidR="00066C81" w:rsidRPr="00066C81" w:rsidRDefault="00066C81" w:rsidP="00066C81"/>
          <w:p w:rsidR="00066C81" w:rsidRPr="00066C81" w:rsidRDefault="00066C81" w:rsidP="00066C81"/>
          <w:p w:rsidR="00066C81" w:rsidRPr="00066C81" w:rsidRDefault="00066C81" w:rsidP="00066C81"/>
        </w:tc>
        <w:tc>
          <w:tcPr>
            <w:tcW w:w="4327" w:type="dxa"/>
          </w:tcPr>
          <w:p w:rsidR="00066C81" w:rsidRPr="00066C81" w:rsidRDefault="00066C81" w:rsidP="00066C81">
            <w:pPr>
              <w:jc w:val="both"/>
              <w:rPr>
                <w:b/>
                <w:lang w:val="fr-CA"/>
              </w:rPr>
            </w:pPr>
            <w:r w:rsidRPr="00066C81">
              <w:rPr>
                <w:b/>
                <w:lang w:val="fr-CA"/>
              </w:rPr>
              <w:t>Ordonnance relative à la présentation d’une plaidoirie orale par les intervenants</w:t>
            </w:r>
            <w:r w:rsidRPr="00066C81">
              <w:rPr>
                <w:szCs w:val="24"/>
                <w:lang w:val="fr-CA"/>
              </w:rPr>
              <w:t xml:space="preserve"> </w:t>
            </w:r>
            <w:r w:rsidR="00B3404D" w:rsidRPr="00066C81">
              <w:rPr>
                <w:szCs w:val="24"/>
                <w:lang w:val="en-US"/>
              </w:rPr>
              <w:fldChar w:fldCharType="begin"/>
            </w:r>
            <w:r w:rsidRPr="00066C81">
              <w:rPr>
                <w:szCs w:val="24"/>
                <w:lang w:val="fr-CA"/>
              </w:rPr>
              <w:instrText xml:space="preserve"> SEQ CHAPTER \h \r 1</w:instrText>
            </w:r>
            <w:r w:rsidR="00B3404D" w:rsidRPr="00066C81">
              <w:rPr>
                <w:szCs w:val="24"/>
                <w:lang w:val="en-US"/>
              </w:rPr>
              <w:fldChar w:fldCharType="end"/>
            </w:r>
          </w:p>
        </w:tc>
      </w:tr>
      <w:tr w:rsidR="00066C81" w:rsidRPr="00066C81" w:rsidTr="00C05792">
        <w:tc>
          <w:tcPr>
            <w:tcW w:w="1458" w:type="dxa"/>
          </w:tcPr>
          <w:p w:rsidR="00066C81" w:rsidRPr="00066C81" w:rsidRDefault="00066C81" w:rsidP="00066C81">
            <w:r w:rsidRPr="00066C81">
              <w:t>RE:</w:t>
            </w:r>
          </w:p>
        </w:tc>
        <w:tc>
          <w:tcPr>
            <w:tcW w:w="2880" w:type="dxa"/>
          </w:tcPr>
          <w:p w:rsidR="00066C81" w:rsidRPr="00066C81" w:rsidRDefault="00066C81" w:rsidP="00066C81">
            <w:r w:rsidRPr="00066C81">
              <w:rPr>
                <w:lang w:val="en-US"/>
              </w:rPr>
              <w:t>Public Service Alliance of Canada</w:t>
            </w:r>
            <w:r w:rsidRPr="00066C81">
              <w:t>;</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458" w:type="dxa"/>
          </w:tcPr>
          <w:p w:rsidR="00066C81" w:rsidRPr="00066C81" w:rsidRDefault="00066C81" w:rsidP="00066C81"/>
        </w:tc>
        <w:tc>
          <w:tcPr>
            <w:tcW w:w="2880" w:type="dxa"/>
          </w:tcPr>
          <w:p w:rsidR="00066C81" w:rsidRPr="00066C81" w:rsidRDefault="00066C81" w:rsidP="00066C81">
            <w:r w:rsidRPr="00066C81">
              <w:rPr>
                <w:lang w:val="en-US"/>
              </w:rPr>
              <w:t>Privacy Commissioner of Canada</w:t>
            </w:r>
            <w:r w:rsidRPr="00066C81">
              <w:t>;</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458" w:type="dxa"/>
          </w:tcPr>
          <w:p w:rsidR="00066C81" w:rsidRPr="00066C81" w:rsidRDefault="00066C81" w:rsidP="00066C81"/>
        </w:tc>
        <w:tc>
          <w:tcPr>
            <w:tcW w:w="2880" w:type="dxa"/>
          </w:tcPr>
          <w:p w:rsidR="00066C81" w:rsidRPr="00066C81" w:rsidRDefault="00066C81" w:rsidP="00066C81">
            <w:r w:rsidRPr="00066C81">
              <w:rPr>
                <w:lang w:val="en-US"/>
              </w:rPr>
              <w:t>Canadian Association of Counsel to Employers</w:t>
            </w:r>
            <w:r w:rsidRPr="00066C81">
              <w:t>;</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458" w:type="dxa"/>
          </w:tcPr>
          <w:p w:rsidR="00066C81" w:rsidRPr="00066C81" w:rsidRDefault="00066C81" w:rsidP="00066C81"/>
        </w:tc>
        <w:tc>
          <w:tcPr>
            <w:tcW w:w="2880" w:type="dxa"/>
          </w:tcPr>
          <w:p w:rsidR="00066C81" w:rsidRPr="00066C81" w:rsidRDefault="00066C81" w:rsidP="00066C81">
            <w:r w:rsidRPr="00066C81">
              <w:rPr>
                <w:lang w:val="en-US"/>
              </w:rPr>
              <w:t>Canadian Civil Liberties Association</w:t>
            </w:r>
            <w:r w:rsidRPr="00066C81">
              <w:t>;</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458" w:type="dxa"/>
          </w:tcPr>
          <w:p w:rsidR="00066C81" w:rsidRPr="00066C81" w:rsidRDefault="00066C81" w:rsidP="00066C81"/>
        </w:tc>
        <w:tc>
          <w:tcPr>
            <w:tcW w:w="2880" w:type="dxa"/>
          </w:tcPr>
          <w:p w:rsidR="00066C81" w:rsidRPr="00066C81" w:rsidRDefault="00066C81" w:rsidP="00066C81">
            <w:r w:rsidRPr="00066C81">
              <w:rPr>
                <w:lang w:val="en-US"/>
              </w:rPr>
              <w:t>Canadian Constitution Foundation</w:t>
            </w:r>
            <w:r w:rsidRPr="00066C81">
              <w:t>;</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458" w:type="dxa"/>
          </w:tcPr>
          <w:p w:rsidR="00066C81" w:rsidRPr="00066C81" w:rsidRDefault="00066C81" w:rsidP="00066C81"/>
        </w:tc>
        <w:tc>
          <w:tcPr>
            <w:tcW w:w="2880" w:type="dxa"/>
          </w:tcPr>
          <w:p w:rsidR="00066C81" w:rsidRPr="00066C81" w:rsidRDefault="00066C81" w:rsidP="00066C81">
            <w:r w:rsidRPr="00066C81">
              <w:rPr>
                <w:lang w:val="en-US"/>
              </w:rPr>
              <w:t>Alberta Federation of Labour</w:t>
            </w:r>
            <w:r w:rsidRPr="00066C81">
              <w:t>;</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458" w:type="dxa"/>
          </w:tcPr>
          <w:p w:rsidR="00066C81" w:rsidRPr="00066C81" w:rsidRDefault="00066C81" w:rsidP="00066C81"/>
        </w:tc>
        <w:tc>
          <w:tcPr>
            <w:tcW w:w="2880" w:type="dxa"/>
          </w:tcPr>
          <w:p w:rsidR="00066C81" w:rsidRPr="00066C81" w:rsidRDefault="00066C81" w:rsidP="00066C81">
            <w:r w:rsidRPr="00066C81">
              <w:rPr>
                <w:lang w:val="en-US"/>
              </w:rPr>
              <w:t>Coalition of British Columbia Businesses and Merit Canada</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458" w:type="dxa"/>
          </w:tcPr>
          <w:p w:rsidR="00066C81" w:rsidRPr="00066C81" w:rsidRDefault="00066C81" w:rsidP="00066C81"/>
        </w:tc>
        <w:tc>
          <w:tcPr>
            <w:tcW w:w="2880" w:type="dxa"/>
          </w:tcPr>
          <w:p w:rsidR="00066C81" w:rsidRPr="00066C81" w:rsidRDefault="00066C81" w:rsidP="00066C81"/>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458" w:type="dxa"/>
          </w:tcPr>
          <w:p w:rsidR="00066C81" w:rsidRPr="00066C81" w:rsidRDefault="00066C81" w:rsidP="00066C81">
            <w:r w:rsidRPr="00066C81">
              <w:t>IN / DANS :</w:t>
            </w:r>
          </w:p>
        </w:tc>
        <w:tc>
          <w:tcPr>
            <w:tcW w:w="2880" w:type="dxa"/>
          </w:tcPr>
          <w:p w:rsidR="00066C81" w:rsidRPr="00066C81" w:rsidRDefault="00066C81" w:rsidP="00066C81">
            <w:r w:rsidRPr="00066C81">
              <w:t>Elizabeth Bernard</w:t>
            </w:r>
          </w:p>
          <w:p w:rsidR="00066C81" w:rsidRPr="00066C81" w:rsidRDefault="00066C81" w:rsidP="00066C81"/>
          <w:p w:rsidR="00066C81" w:rsidRPr="00066C81" w:rsidRDefault="00066C81" w:rsidP="00066C81">
            <w:r w:rsidRPr="00066C81">
              <w:tab/>
              <w:t>v. (34819)</w:t>
            </w:r>
          </w:p>
          <w:p w:rsidR="00066C81" w:rsidRPr="00066C81" w:rsidRDefault="00066C81" w:rsidP="00066C81"/>
          <w:p w:rsidR="00066C81" w:rsidRPr="00066C81" w:rsidRDefault="00066C81" w:rsidP="00066C81">
            <w:r w:rsidRPr="00066C81">
              <w:t xml:space="preserve">Attorney General of Canada </w:t>
            </w:r>
            <w:r w:rsidRPr="00066C81">
              <w:rPr>
                <w:lang w:val="en-US"/>
              </w:rPr>
              <w:t>et al</w:t>
            </w:r>
            <w:r w:rsidRPr="00066C81">
              <w:t>. (F.C.)</w:t>
            </w:r>
          </w:p>
        </w:tc>
        <w:tc>
          <w:tcPr>
            <w:tcW w:w="1170" w:type="dxa"/>
          </w:tcPr>
          <w:p w:rsidR="00066C81" w:rsidRPr="00066C81" w:rsidRDefault="00066C81" w:rsidP="00066C81"/>
        </w:tc>
        <w:tc>
          <w:tcPr>
            <w:tcW w:w="4327" w:type="dxa"/>
          </w:tcPr>
          <w:p w:rsidR="00066C81" w:rsidRPr="00066C81" w:rsidRDefault="00066C81" w:rsidP="00066C81"/>
        </w:tc>
      </w:tr>
    </w:tbl>
    <w:p w:rsidR="00066C81" w:rsidRPr="00066C81" w:rsidRDefault="00066C81" w:rsidP="00066C81">
      <w:pPr>
        <w:jc w:val="both"/>
        <w:rPr>
          <w:rFonts w:eastAsia="Times New Roman" w:cs="Times New Roman"/>
          <w:sz w:val="20"/>
          <w:szCs w:val="20"/>
          <w:lang w:eastAsia="en-CA"/>
        </w:rPr>
      </w:pPr>
    </w:p>
    <w:p w:rsidR="00066C81" w:rsidRPr="00066C81" w:rsidRDefault="00066C81" w:rsidP="00066C81">
      <w:pPr>
        <w:spacing w:line="233" w:lineRule="auto"/>
        <w:jc w:val="both"/>
        <w:rPr>
          <w:rFonts w:eastAsia="Times New Roman" w:cs="Times New Roman"/>
          <w:sz w:val="20"/>
          <w:szCs w:val="20"/>
          <w:lang w:val="en-US" w:eastAsia="en-CA"/>
        </w:rPr>
      </w:pPr>
      <w:r w:rsidRPr="00066C81">
        <w:rPr>
          <w:rFonts w:eastAsia="Times New Roman" w:cs="Times New Roman"/>
          <w:b/>
          <w:bCs/>
          <w:color w:val="000000"/>
          <w:sz w:val="20"/>
          <w:szCs w:val="20"/>
          <w:lang w:val="en-US" w:eastAsia="en-CA"/>
        </w:rPr>
        <w:t>FURTHER TO THE ORDER</w:t>
      </w:r>
      <w:r w:rsidRPr="00066C81">
        <w:rPr>
          <w:rFonts w:eastAsia="Times New Roman" w:cs="Times New Roman"/>
          <w:color w:val="000000"/>
          <w:sz w:val="20"/>
          <w:szCs w:val="20"/>
          <w:lang w:val="en-US" w:eastAsia="en-CA"/>
        </w:rPr>
        <w:t xml:space="preserve"> dated April 29, 2013, granting leave to intervene to</w:t>
      </w:r>
      <w:r w:rsidRPr="00066C81">
        <w:rPr>
          <w:rFonts w:eastAsia="Times New Roman" w:cs="Times New Roman"/>
          <w:bCs/>
          <w:color w:val="000000"/>
          <w:sz w:val="20"/>
          <w:szCs w:val="20"/>
          <w:lang w:val="en-US" w:eastAsia="en-CA"/>
        </w:rPr>
        <w:t xml:space="preserve"> the </w:t>
      </w:r>
      <w:r w:rsidRPr="00066C81">
        <w:rPr>
          <w:rFonts w:eastAsia="Times New Roman" w:cs="Times New Roman"/>
          <w:sz w:val="20"/>
          <w:szCs w:val="20"/>
          <w:lang w:val="en-US" w:eastAsia="en-CA"/>
        </w:rPr>
        <w:t>Public Service Alliance of Canada, the Privacy Commissioner of Canada, the Canadian Association of Counsel to Employers, the Canadian Civil Liberties Association, the Canadian Constitution Foundation, the Alberta Federation of Labour and the Coalition of British Columbia Businesses and Merit Canada</w:t>
      </w:r>
      <w:r w:rsidRPr="00066C81">
        <w:rPr>
          <w:rFonts w:eastAsia="Times New Roman" w:cs="Times New Roman"/>
          <w:color w:val="000000"/>
          <w:sz w:val="20"/>
          <w:szCs w:val="20"/>
          <w:lang w:val="en-US" w:eastAsia="en-CA"/>
        </w:rPr>
        <w:t>;</w:t>
      </w:r>
    </w:p>
    <w:p w:rsidR="00066C81" w:rsidRPr="00066C81" w:rsidRDefault="00066C81" w:rsidP="00066C81">
      <w:pPr>
        <w:spacing w:line="233" w:lineRule="auto"/>
        <w:jc w:val="both"/>
        <w:rPr>
          <w:rFonts w:eastAsia="Times New Roman" w:cs="Times New Roman"/>
          <w:b/>
          <w:sz w:val="20"/>
          <w:szCs w:val="20"/>
          <w:lang w:val="en-US" w:eastAsia="en-CA"/>
        </w:rPr>
      </w:pPr>
    </w:p>
    <w:p w:rsidR="00066C81" w:rsidRPr="00066C81" w:rsidRDefault="00066C81" w:rsidP="00066C81">
      <w:pPr>
        <w:spacing w:line="233" w:lineRule="auto"/>
        <w:jc w:val="both"/>
        <w:rPr>
          <w:rFonts w:eastAsia="Times New Roman" w:cs="Times New Roman"/>
          <w:sz w:val="20"/>
          <w:szCs w:val="20"/>
          <w:lang w:val="en-US" w:eastAsia="en-CA"/>
        </w:rPr>
      </w:pPr>
      <w:r w:rsidRPr="00066C81">
        <w:rPr>
          <w:rFonts w:eastAsia="Times New Roman" w:cs="Times New Roman"/>
          <w:b/>
          <w:bCs/>
          <w:color w:val="000000"/>
          <w:sz w:val="20"/>
          <w:szCs w:val="20"/>
          <w:lang w:val="en-US" w:eastAsia="en-CA"/>
        </w:rPr>
        <w:t xml:space="preserve">IT IS HEREBY FURTHER ORDERED THAT </w:t>
      </w:r>
      <w:r w:rsidRPr="00066C81">
        <w:rPr>
          <w:rFonts w:eastAsia="Times New Roman" w:cs="Times New Roman"/>
          <w:color w:val="000000"/>
          <w:sz w:val="20"/>
          <w:szCs w:val="20"/>
          <w:lang w:val="en-US" w:eastAsia="en-CA"/>
        </w:rPr>
        <w:t>the Privacy Commissioner of Canada, the Canadian Civil Liberties Association, the Canadian Constitution Foundation and the Alberta Federation of Labour are each granted permission to present oral argument not exceeding ten (10) minutes at the hearing of the appeal;</w:t>
      </w:r>
    </w:p>
    <w:p w:rsidR="00066C81" w:rsidRPr="00066C81" w:rsidRDefault="00066C81" w:rsidP="00066C81">
      <w:pPr>
        <w:rPr>
          <w:rFonts w:eastAsia="Times New Roman" w:cs="Times New Roman"/>
          <w:sz w:val="20"/>
          <w:szCs w:val="20"/>
          <w:lang w:val="en-US" w:eastAsia="en-CA"/>
        </w:rPr>
      </w:pPr>
      <w:r w:rsidRPr="00066C81">
        <w:rPr>
          <w:rFonts w:eastAsia="Times New Roman" w:cs="Times New Roman"/>
          <w:sz w:val="20"/>
          <w:szCs w:val="20"/>
          <w:lang w:val="en-US" w:eastAsia="en-CA"/>
        </w:rPr>
        <w:br w:type="page"/>
      </w:r>
    </w:p>
    <w:p w:rsidR="00066C81" w:rsidRPr="00066C81" w:rsidRDefault="00066C81" w:rsidP="00066C81">
      <w:pPr>
        <w:spacing w:line="233" w:lineRule="auto"/>
        <w:ind w:left="-23"/>
        <w:jc w:val="both"/>
        <w:rPr>
          <w:rFonts w:eastAsia="Times New Roman" w:cs="Times New Roman"/>
          <w:bCs/>
          <w:color w:val="000000"/>
          <w:sz w:val="20"/>
          <w:szCs w:val="20"/>
          <w:lang w:val="en-US" w:eastAsia="en-CA"/>
        </w:rPr>
      </w:pPr>
      <w:r w:rsidRPr="00066C81">
        <w:rPr>
          <w:rFonts w:eastAsia="Times New Roman" w:cs="Times New Roman"/>
          <w:b/>
          <w:bCs/>
          <w:color w:val="000000"/>
          <w:sz w:val="20"/>
          <w:szCs w:val="20"/>
          <w:lang w:val="en-US" w:eastAsia="en-CA"/>
        </w:rPr>
        <w:lastRenderedPageBreak/>
        <w:t>IT IS HEREBY FURTHER ORDERED THAT</w:t>
      </w:r>
      <w:r w:rsidRPr="00066C81">
        <w:rPr>
          <w:rFonts w:eastAsia="Times New Roman" w:cs="Times New Roman"/>
          <w:bCs/>
          <w:color w:val="000000"/>
          <w:sz w:val="20"/>
          <w:szCs w:val="20"/>
          <w:lang w:val="en-US" w:eastAsia="en-CA"/>
        </w:rPr>
        <w:t xml:space="preserve"> the Public Service Alliance of Canada, the Canadian Association of Counsel to Employers and the Coalition of British Columbia Businesses and Merit Canada are not permitted to present oral argument at the hearing of the appeal;</w:t>
      </w:r>
    </w:p>
    <w:p w:rsidR="00066C81" w:rsidRPr="00066C81" w:rsidRDefault="00066C81" w:rsidP="00066C81">
      <w:pPr>
        <w:spacing w:line="233" w:lineRule="auto"/>
        <w:ind w:left="-23"/>
        <w:jc w:val="both"/>
        <w:rPr>
          <w:rFonts w:eastAsia="Times New Roman" w:cs="Times New Roman"/>
          <w:bCs/>
          <w:color w:val="000000"/>
          <w:sz w:val="20"/>
          <w:szCs w:val="20"/>
          <w:lang w:val="en-US" w:eastAsia="en-CA"/>
        </w:rPr>
      </w:pPr>
    </w:p>
    <w:p w:rsidR="00066C81" w:rsidRPr="00066C81" w:rsidRDefault="00066C81" w:rsidP="00066C81">
      <w:pPr>
        <w:spacing w:line="233" w:lineRule="auto"/>
        <w:ind w:left="-23"/>
        <w:jc w:val="both"/>
        <w:rPr>
          <w:rFonts w:eastAsia="Times New Roman" w:cs="Times New Roman"/>
          <w:bCs/>
          <w:sz w:val="20"/>
          <w:szCs w:val="20"/>
          <w:lang w:val="en-US" w:eastAsia="en-CA"/>
        </w:rPr>
      </w:pPr>
      <w:r w:rsidRPr="00066C81">
        <w:rPr>
          <w:rFonts w:eastAsia="Times New Roman" w:cs="Times New Roman"/>
          <w:b/>
          <w:bCs/>
          <w:color w:val="000000"/>
          <w:sz w:val="20"/>
          <w:szCs w:val="20"/>
          <w:lang w:val="en-US" w:eastAsia="en-CA"/>
        </w:rPr>
        <w:t>AND IT IS HEREBY FURTHER ORDERED THAT</w:t>
      </w:r>
      <w:r w:rsidRPr="00066C81">
        <w:rPr>
          <w:rFonts w:eastAsia="Times New Roman" w:cs="Times New Roman"/>
          <w:bCs/>
          <w:color w:val="000000"/>
          <w:sz w:val="20"/>
          <w:szCs w:val="20"/>
          <w:lang w:val="en-US" w:eastAsia="en-CA"/>
        </w:rPr>
        <w:t xml:space="preserve"> the respondents will each have forty (40) minutes to present oral argument at the hearing of the appeal.</w:t>
      </w:r>
    </w:p>
    <w:p w:rsidR="00066C81" w:rsidRPr="00066C81" w:rsidRDefault="00066C81" w:rsidP="00066C81">
      <w:pPr>
        <w:rPr>
          <w:rFonts w:eastAsia="Times New Roman" w:cs="Times New Roman"/>
          <w:sz w:val="20"/>
          <w:szCs w:val="20"/>
          <w:lang w:val="en-US" w:eastAsia="en-CA"/>
        </w:rPr>
      </w:pPr>
    </w:p>
    <w:p w:rsidR="00066C81" w:rsidRPr="00066C81" w:rsidRDefault="00066C81" w:rsidP="00066C81">
      <w:pPr>
        <w:rPr>
          <w:rFonts w:eastAsia="Times New Roman" w:cs="Times New Roman"/>
          <w:sz w:val="20"/>
          <w:szCs w:val="20"/>
          <w:lang w:val="en-US" w:eastAsia="en-CA"/>
        </w:rPr>
      </w:pPr>
    </w:p>
    <w:p w:rsidR="00066C81" w:rsidRPr="00066C81" w:rsidRDefault="00066C81" w:rsidP="00066C81">
      <w:pPr>
        <w:rPr>
          <w:rFonts w:eastAsia="Times New Roman" w:cs="Times New Roman"/>
          <w:sz w:val="20"/>
          <w:szCs w:val="20"/>
          <w:lang w:val="en-US" w:eastAsia="en-CA"/>
        </w:rPr>
      </w:pPr>
    </w:p>
    <w:p w:rsidR="00066C81" w:rsidRPr="00066C81" w:rsidRDefault="00066C81" w:rsidP="00066C81">
      <w:pPr>
        <w:spacing w:line="233" w:lineRule="auto"/>
        <w:jc w:val="both"/>
        <w:rPr>
          <w:rFonts w:eastAsia="Times New Roman" w:cs="Times New Roman"/>
          <w:sz w:val="20"/>
          <w:szCs w:val="20"/>
          <w:lang w:val="fr-CA" w:eastAsia="en-CA"/>
        </w:rPr>
      </w:pPr>
      <w:r w:rsidRPr="00066C81">
        <w:rPr>
          <w:rFonts w:eastAsia="Times New Roman" w:cs="Times New Roman"/>
          <w:b/>
          <w:bCs/>
          <w:color w:val="000000"/>
          <w:sz w:val="20"/>
          <w:szCs w:val="20"/>
          <w:lang w:val="fr-CA" w:eastAsia="en-CA"/>
        </w:rPr>
        <w:t>À LA SUITE DE L’ORDONNANCE</w:t>
      </w:r>
      <w:r w:rsidRPr="00066C81">
        <w:rPr>
          <w:rFonts w:eastAsia="Times New Roman" w:cs="Times New Roman"/>
          <w:color w:val="000000"/>
          <w:sz w:val="20"/>
          <w:szCs w:val="20"/>
          <w:lang w:val="fr-CA" w:eastAsia="en-CA"/>
        </w:rPr>
        <w:t xml:space="preserve"> datée du 29 avril 2013 autorisant l’Alliance de la fonction publique du Canada, le commissaire à la protection de la vie privée du Canada, l’Association canadienne des avocats d’employeurs, l’Association canadienne des libertés civiles, la Canadian Constitution Foundation, l’Alberta Labour Federation et la Coalition of British Columbia Businesses et Merit Canada à intervenir;</w:t>
      </w:r>
    </w:p>
    <w:p w:rsidR="00066C81" w:rsidRPr="00066C81" w:rsidRDefault="00066C81" w:rsidP="00066C81">
      <w:pPr>
        <w:spacing w:line="233" w:lineRule="auto"/>
        <w:jc w:val="both"/>
        <w:rPr>
          <w:rFonts w:eastAsia="Times New Roman" w:cs="Times New Roman"/>
          <w:b/>
          <w:sz w:val="20"/>
          <w:szCs w:val="20"/>
          <w:lang w:val="fr-CA" w:eastAsia="en-CA"/>
        </w:rPr>
      </w:pPr>
    </w:p>
    <w:p w:rsidR="00066C81" w:rsidRPr="00066C81" w:rsidRDefault="00066C81" w:rsidP="00066C81">
      <w:pPr>
        <w:spacing w:line="233" w:lineRule="auto"/>
        <w:jc w:val="both"/>
        <w:rPr>
          <w:rFonts w:eastAsia="Times New Roman" w:cs="Times New Roman"/>
          <w:sz w:val="20"/>
          <w:szCs w:val="20"/>
          <w:lang w:val="fr-CA" w:eastAsia="en-CA"/>
        </w:rPr>
      </w:pPr>
      <w:r w:rsidRPr="00066C81">
        <w:rPr>
          <w:rFonts w:eastAsia="Times New Roman" w:cs="Times New Roman"/>
          <w:b/>
          <w:bCs/>
          <w:color w:val="000000"/>
          <w:sz w:val="20"/>
          <w:szCs w:val="20"/>
          <w:lang w:val="fr-CA" w:eastAsia="en-CA"/>
        </w:rPr>
        <w:t xml:space="preserve">IL EST EN OUTRE ORDONNÉ QUE : </w:t>
      </w:r>
      <w:r w:rsidRPr="00066C81">
        <w:rPr>
          <w:rFonts w:eastAsia="Times New Roman" w:cs="Times New Roman"/>
          <w:bCs/>
          <w:color w:val="000000"/>
          <w:sz w:val="20"/>
          <w:szCs w:val="20"/>
          <w:lang w:val="fr-CA" w:eastAsia="en-CA"/>
        </w:rPr>
        <w:t>le commi</w:t>
      </w:r>
      <w:r w:rsidRPr="00066C81">
        <w:rPr>
          <w:rFonts w:eastAsia="Times New Roman" w:cs="Times New Roman"/>
          <w:color w:val="000000"/>
          <w:sz w:val="20"/>
          <w:szCs w:val="20"/>
          <w:lang w:val="fr-CA" w:eastAsia="en-CA"/>
        </w:rPr>
        <w:t>ssaire à la protection de la vie privée du Canada, l’Association canadienne des libertés civiles, la Canadian Constitution Foundation et l’Alberta Federation of Labour sont autorisés à présenter chacun une plaidoirie orale d’au plus dix (10) minutes lors de l’audition de l’appel;</w:t>
      </w:r>
    </w:p>
    <w:p w:rsidR="00066C81" w:rsidRPr="00066C81" w:rsidRDefault="00066C81" w:rsidP="00066C81">
      <w:pPr>
        <w:spacing w:line="233" w:lineRule="auto"/>
        <w:jc w:val="both"/>
        <w:rPr>
          <w:rFonts w:eastAsia="Times New Roman" w:cs="Times New Roman"/>
          <w:sz w:val="20"/>
          <w:szCs w:val="20"/>
          <w:lang w:val="fr-CA" w:eastAsia="en-CA"/>
        </w:rPr>
      </w:pPr>
    </w:p>
    <w:p w:rsidR="00066C81" w:rsidRPr="00066C81" w:rsidRDefault="00066C81" w:rsidP="00066C81">
      <w:pPr>
        <w:spacing w:line="233" w:lineRule="auto"/>
        <w:ind w:left="-23"/>
        <w:jc w:val="both"/>
        <w:rPr>
          <w:rFonts w:eastAsia="Times New Roman" w:cs="Times New Roman"/>
          <w:bCs/>
          <w:color w:val="000000"/>
          <w:sz w:val="20"/>
          <w:szCs w:val="20"/>
          <w:lang w:val="fr-CA" w:eastAsia="en-CA"/>
        </w:rPr>
      </w:pPr>
      <w:r w:rsidRPr="00066C81">
        <w:rPr>
          <w:rFonts w:eastAsia="Times New Roman" w:cs="Times New Roman"/>
          <w:b/>
          <w:bCs/>
          <w:color w:val="000000"/>
          <w:sz w:val="20"/>
          <w:szCs w:val="20"/>
          <w:lang w:val="fr-CA" w:eastAsia="en-CA"/>
        </w:rPr>
        <w:t xml:space="preserve">IL EST EN OUTRE ORDONNÉ QUE : </w:t>
      </w:r>
      <w:r w:rsidRPr="00066C81">
        <w:rPr>
          <w:rFonts w:eastAsia="Times New Roman" w:cs="Times New Roman"/>
          <w:bCs/>
          <w:color w:val="000000"/>
          <w:sz w:val="20"/>
          <w:szCs w:val="20"/>
          <w:lang w:val="fr-CA" w:eastAsia="en-CA"/>
        </w:rPr>
        <w:t>l’Alliance de la fonction publique du Canada, l’Association canadienne des avocats d’employeurs et la Coalition of British Columbia Businesses et Merit Canada ne sont pas autorisées à présenter de plaidoirie orale lors de l’audition de l’appel;</w:t>
      </w:r>
    </w:p>
    <w:p w:rsidR="00066C81" w:rsidRPr="00066C81" w:rsidRDefault="00066C81" w:rsidP="00066C81">
      <w:pPr>
        <w:spacing w:line="233" w:lineRule="auto"/>
        <w:ind w:left="-23"/>
        <w:jc w:val="both"/>
        <w:rPr>
          <w:rFonts w:eastAsia="Times New Roman" w:cs="Times New Roman"/>
          <w:bCs/>
          <w:color w:val="000000"/>
          <w:sz w:val="20"/>
          <w:szCs w:val="20"/>
          <w:lang w:val="fr-CA" w:eastAsia="en-CA"/>
        </w:rPr>
      </w:pPr>
    </w:p>
    <w:p w:rsidR="00066C81" w:rsidRPr="00066C81" w:rsidRDefault="00066C81" w:rsidP="00066C81">
      <w:pPr>
        <w:spacing w:line="233" w:lineRule="auto"/>
        <w:ind w:left="-23"/>
        <w:jc w:val="both"/>
        <w:rPr>
          <w:rFonts w:eastAsia="Times New Roman" w:cs="Times New Roman"/>
          <w:bCs/>
          <w:sz w:val="20"/>
          <w:szCs w:val="20"/>
          <w:lang w:val="fr-CA" w:eastAsia="en-CA"/>
        </w:rPr>
      </w:pPr>
      <w:r w:rsidRPr="00066C81">
        <w:rPr>
          <w:rFonts w:eastAsia="Times New Roman" w:cs="Times New Roman"/>
          <w:b/>
          <w:bCs/>
          <w:color w:val="000000"/>
          <w:sz w:val="20"/>
          <w:szCs w:val="20"/>
          <w:lang w:val="fr-CA" w:eastAsia="en-CA"/>
        </w:rPr>
        <w:t xml:space="preserve">ET IL EST EN OUTRE ORDONNÉ QUE : </w:t>
      </w:r>
      <w:r w:rsidRPr="00066C81">
        <w:rPr>
          <w:rFonts w:eastAsia="Times New Roman" w:cs="Times New Roman"/>
          <w:bCs/>
          <w:color w:val="000000"/>
          <w:sz w:val="20"/>
          <w:szCs w:val="20"/>
          <w:lang w:val="fr-CA" w:eastAsia="en-CA"/>
        </w:rPr>
        <w:t>les intimés disposeront chacun de quarante (40) minutes pour présenter leur plaidoirie orale lors de l’audition de l’appel.</w:t>
      </w:r>
    </w:p>
    <w:p w:rsidR="00066C81" w:rsidRPr="00066C81" w:rsidRDefault="00066C81" w:rsidP="00066C81">
      <w:pPr>
        <w:rPr>
          <w:rFonts w:eastAsia="Times New Roman" w:cs="Times New Roman"/>
          <w:sz w:val="20"/>
          <w:szCs w:val="20"/>
          <w:lang w:val="fr-CA" w:eastAsia="en-CA"/>
        </w:rPr>
      </w:pPr>
    </w:p>
    <w:p w:rsidR="00066C81" w:rsidRPr="00066C81" w:rsidRDefault="00B3404D" w:rsidP="00066C81">
      <w:pPr>
        <w:rPr>
          <w:rFonts w:eastAsia="Times New Roman" w:cs="Times New Roman"/>
          <w:sz w:val="20"/>
          <w:szCs w:val="20"/>
          <w:lang w:eastAsia="en-CA"/>
        </w:rPr>
      </w:pPr>
      <w:r w:rsidRPr="00B3404D">
        <w:rPr>
          <w:rFonts w:eastAsia="Times New Roman" w:cs="Times New Roman"/>
          <w:sz w:val="20"/>
          <w:szCs w:val="20"/>
          <w:lang w:val="fr-CA" w:eastAsia="en-CA"/>
        </w:rPr>
        <w:pict>
          <v:rect id="_x0000_i1098" style="width:2in;height:1pt" o:hrpct="0" o:hralign="center" o:hrstd="t" o:hrnoshade="t" o:hr="t" fillcolor="black [3213]" stroked="f"/>
        </w:pict>
      </w:r>
    </w:p>
    <w:p w:rsidR="00066C81" w:rsidRPr="00066C81" w:rsidRDefault="00066C81" w:rsidP="00066C81">
      <w:pPr>
        <w:tabs>
          <w:tab w:val="left" w:pos="-1440"/>
          <w:tab w:val="left" w:pos="-720"/>
        </w:tabs>
        <w:jc w:val="both"/>
        <w:rPr>
          <w:rFonts w:eastAsia="Times New Roman" w:cs="Times New Roman"/>
          <w:sz w:val="20"/>
          <w:szCs w:val="20"/>
          <w:lang w:val="fr-CA" w:eastAsia="en-CA"/>
        </w:rPr>
      </w:pPr>
    </w:p>
    <w:p w:rsidR="00066C81" w:rsidRPr="00066C81" w:rsidRDefault="00066C81" w:rsidP="00066C81">
      <w:pPr>
        <w:tabs>
          <w:tab w:val="left" w:pos="-1440"/>
          <w:tab w:val="left" w:pos="-720"/>
        </w:tabs>
        <w:jc w:val="both"/>
        <w:rPr>
          <w:rFonts w:eastAsia="Times New Roman" w:cs="Times New Roman"/>
          <w:sz w:val="20"/>
          <w:szCs w:val="20"/>
          <w:lang w:val="fr-CA" w:eastAsia="en-CA"/>
        </w:rPr>
      </w:pPr>
      <w:r w:rsidRPr="00066C81">
        <w:rPr>
          <w:rFonts w:eastAsia="Times New Roman" w:cs="Times New Roman"/>
          <w:sz w:val="20"/>
          <w:szCs w:val="20"/>
          <w:lang w:val="fr-CA" w:eastAsia="en-CA"/>
        </w:rPr>
        <w:t>04.06.2013</w:t>
      </w:r>
    </w:p>
    <w:p w:rsidR="00066C81" w:rsidRPr="00066C81" w:rsidRDefault="00066C81" w:rsidP="00066C81">
      <w:pPr>
        <w:tabs>
          <w:tab w:val="left" w:pos="-1440"/>
          <w:tab w:val="left" w:pos="-720"/>
        </w:tabs>
        <w:jc w:val="both"/>
        <w:rPr>
          <w:rFonts w:eastAsia="Times New Roman" w:cs="Times New Roman"/>
          <w:sz w:val="20"/>
          <w:szCs w:val="20"/>
          <w:lang w:val="fr-CA" w:eastAsia="en-CA"/>
        </w:rPr>
      </w:pPr>
    </w:p>
    <w:p w:rsidR="00066C81" w:rsidRPr="00066C81" w:rsidRDefault="00066C81" w:rsidP="00066C81">
      <w:pPr>
        <w:tabs>
          <w:tab w:val="left" w:pos="-1440"/>
          <w:tab w:val="left" w:pos="-720"/>
        </w:tabs>
        <w:jc w:val="both"/>
        <w:rPr>
          <w:rFonts w:eastAsia="Times New Roman" w:cs="Times New Roman"/>
          <w:sz w:val="20"/>
          <w:szCs w:val="20"/>
          <w:lang w:val="fr-CA" w:eastAsia="en-CA"/>
        </w:rPr>
      </w:pPr>
      <w:r w:rsidRPr="00066C81">
        <w:rPr>
          <w:rFonts w:eastAsia="Times New Roman" w:cs="Times New Roman"/>
          <w:sz w:val="20"/>
          <w:szCs w:val="20"/>
          <w:lang w:val="fr-CA" w:eastAsia="en-CA"/>
        </w:rPr>
        <w:t>Before / Devant:   ROTHSTEIN J. / LE JUGE ROTHSTEIN</w:t>
      </w:r>
    </w:p>
    <w:p w:rsidR="00066C81" w:rsidRPr="00066C81" w:rsidRDefault="00066C81" w:rsidP="00066C81">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80"/>
        <w:gridCol w:w="1170"/>
        <w:gridCol w:w="4327"/>
      </w:tblGrid>
      <w:tr w:rsidR="00066C81" w:rsidRPr="00D41BFD" w:rsidTr="00C05792">
        <w:tc>
          <w:tcPr>
            <w:tcW w:w="4338" w:type="dxa"/>
            <w:gridSpan w:val="2"/>
          </w:tcPr>
          <w:p w:rsidR="00066C81" w:rsidRPr="00066C81" w:rsidRDefault="00066C81" w:rsidP="00066C81">
            <w:pPr>
              <w:jc w:val="both"/>
              <w:rPr>
                <w:b/>
              </w:rPr>
            </w:pPr>
            <w:r w:rsidRPr="00066C81">
              <w:rPr>
                <w:b/>
                <w:lang w:val="en-US"/>
              </w:rPr>
              <w:t xml:space="preserve">Order on interventions with respect to oral argument </w:t>
            </w:r>
            <w:r w:rsidR="00B3404D" w:rsidRPr="00066C81">
              <w:rPr>
                <w:szCs w:val="24"/>
                <w:lang w:val="en-US"/>
              </w:rPr>
              <w:fldChar w:fldCharType="begin"/>
            </w:r>
            <w:r w:rsidRPr="00066C81">
              <w:rPr>
                <w:szCs w:val="24"/>
              </w:rPr>
              <w:instrText xml:space="preserve"> SEQ CHAPTER \h \r 1</w:instrText>
            </w:r>
            <w:r w:rsidR="00B3404D" w:rsidRPr="00066C81">
              <w:rPr>
                <w:szCs w:val="24"/>
                <w:lang w:val="en-US"/>
              </w:rPr>
              <w:fldChar w:fldCharType="end"/>
            </w:r>
          </w:p>
        </w:tc>
        <w:tc>
          <w:tcPr>
            <w:tcW w:w="1170" w:type="dxa"/>
          </w:tcPr>
          <w:p w:rsidR="00066C81" w:rsidRPr="00066C81" w:rsidRDefault="00066C81" w:rsidP="00066C81"/>
          <w:p w:rsidR="00066C81" w:rsidRPr="00066C81" w:rsidRDefault="00066C81" w:rsidP="00066C81"/>
          <w:p w:rsidR="00066C81" w:rsidRPr="00066C81" w:rsidRDefault="00066C81" w:rsidP="00066C81"/>
        </w:tc>
        <w:tc>
          <w:tcPr>
            <w:tcW w:w="4327" w:type="dxa"/>
          </w:tcPr>
          <w:p w:rsidR="00066C81" w:rsidRPr="00066C81" w:rsidRDefault="00066C81" w:rsidP="00066C81">
            <w:pPr>
              <w:jc w:val="both"/>
              <w:rPr>
                <w:b/>
                <w:lang w:val="fr-CA"/>
              </w:rPr>
            </w:pPr>
            <w:r w:rsidRPr="00066C81">
              <w:rPr>
                <w:b/>
                <w:lang w:val="fr-CA"/>
              </w:rPr>
              <w:t>Ordonnance relative à la présentation d’une plaidoirie orale par les intervenants</w:t>
            </w:r>
            <w:r w:rsidRPr="00066C81">
              <w:rPr>
                <w:szCs w:val="24"/>
                <w:lang w:val="fr-CA"/>
              </w:rPr>
              <w:t xml:space="preserve"> </w:t>
            </w:r>
            <w:r w:rsidR="00B3404D" w:rsidRPr="00066C81">
              <w:rPr>
                <w:szCs w:val="24"/>
                <w:lang w:val="en-US"/>
              </w:rPr>
              <w:fldChar w:fldCharType="begin"/>
            </w:r>
            <w:r w:rsidRPr="00066C81">
              <w:rPr>
                <w:szCs w:val="24"/>
                <w:lang w:val="fr-CA"/>
              </w:rPr>
              <w:instrText xml:space="preserve"> SEQ CHAPTER \h \r 1</w:instrText>
            </w:r>
            <w:r w:rsidR="00B3404D" w:rsidRPr="00066C81">
              <w:rPr>
                <w:szCs w:val="24"/>
                <w:lang w:val="en-US"/>
              </w:rPr>
              <w:fldChar w:fldCharType="end"/>
            </w:r>
          </w:p>
        </w:tc>
      </w:tr>
      <w:tr w:rsidR="00066C81" w:rsidRPr="00066C81" w:rsidTr="00C05792">
        <w:tc>
          <w:tcPr>
            <w:tcW w:w="1458" w:type="dxa"/>
          </w:tcPr>
          <w:p w:rsidR="00066C81" w:rsidRPr="00066C81" w:rsidRDefault="00066C81" w:rsidP="00066C81">
            <w:r w:rsidRPr="00066C81">
              <w:t>RE:</w:t>
            </w:r>
          </w:p>
        </w:tc>
        <w:tc>
          <w:tcPr>
            <w:tcW w:w="2880" w:type="dxa"/>
          </w:tcPr>
          <w:p w:rsidR="00066C81" w:rsidRPr="00066C81" w:rsidRDefault="00066C81" w:rsidP="00066C81">
            <w:r w:rsidRPr="00066C81">
              <w:rPr>
                <w:lang w:val="en-US"/>
              </w:rPr>
              <w:t>Privacy Commissioner of Canada</w:t>
            </w:r>
            <w:r w:rsidRPr="00066C81">
              <w:t>;</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458" w:type="dxa"/>
          </w:tcPr>
          <w:p w:rsidR="00066C81" w:rsidRPr="00066C81" w:rsidRDefault="00066C81" w:rsidP="00066C81"/>
        </w:tc>
        <w:tc>
          <w:tcPr>
            <w:tcW w:w="2880" w:type="dxa"/>
          </w:tcPr>
          <w:p w:rsidR="00066C81" w:rsidRPr="00066C81" w:rsidRDefault="00066C81" w:rsidP="00066C81">
            <w:r w:rsidRPr="00066C81">
              <w:rPr>
                <w:lang w:val="en-US"/>
              </w:rPr>
              <w:t>Canadian Civil Liberties Association</w:t>
            </w:r>
            <w:r w:rsidRPr="00066C81">
              <w:t>;</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458" w:type="dxa"/>
          </w:tcPr>
          <w:p w:rsidR="00066C81" w:rsidRPr="00066C81" w:rsidRDefault="00066C81" w:rsidP="00066C81"/>
        </w:tc>
        <w:tc>
          <w:tcPr>
            <w:tcW w:w="2880" w:type="dxa"/>
          </w:tcPr>
          <w:p w:rsidR="00066C81" w:rsidRPr="00066C81" w:rsidRDefault="00066C81" w:rsidP="00066C81">
            <w:r w:rsidRPr="00066C81">
              <w:rPr>
                <w:lang w:val="en-US"/>
              </w:rPr>
              <w:t>British Columbia Civil Liberties Association</w:t>
            </w:r>
            <w:r w:rsidRPr="00066C81">
              <w:t>;</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458" w:type="dxa"/>
          </w:tcPr>
          <w:p w:rsidR="00066C81" w:rsidRPr="00066C81" w:rsidRDefault="00066C81" w:rsidP="00066C81"/>
        </w:tc>
        <w:tc>
          <w:tcPr>
            <w:tcW w:w="2880" w:type="dxa"/>
          </w:tcPr>
          <w:p w:rsidR="00066C81" w:rsidRPr="00066C81" w:rsidRDefault="00066C81" w:rsidP="00066C81">
            <w:r w:rsidRPr="00066C81">
              <w:rPr>
                <w:lang w:val="en-US"/>
              </w:rPr>
              <w:t>Information and Privacy Commissioner of Ontario</w:t>
            </w:r>
            <w:r w:rsidRPr="00066C81">
              <w:t>;</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458" w:type="dxa"/>
          </w:tcPr>
          <w:p w:rsidR="00066C81" w:rsidRPr="00066C81" w:rsidRDefault="00066C81" w:rsidP="00066C81"/>
        </w:tc>
        <w:tc>
          <w:tcPr>
            <w:tcW w:w="2880" w:type="dxa"/>
          </w:tcPr>
          <w:p w:rsidR="00066C81" w:rsidRPr="00066C81" w:rsidRDefault="00066C81" w:rsidP="00066C81">
            <w:r w:rsidRPr="00066C81">
              <w:rPr>
                <w:lang w:val="en-US"/>
              </w:rPr>
              <w:t>Coalition of British Columbia Businesses and Merit Canada</w:t>
            </w:r>
            <w:r w:rsidRPr="00066C81">
              <w:t>;</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458" w:type="dxa"/>
          </w:tcPr>
          <w:p w:rsidR="00066C81" w:rsidRPr="00066C81" w:rsidRDefault="00066C81" w:rsidP="00066C81"/>
        </w:tc>
        <w:tc>
          <w:tcPr>
            <w:tcW w:w="2880" w:type="dxa"/>
          </w:tcPr>
          <w:p w:rsidR="00066C81" w:rsidRPr="00066C81" w:rsidRDefault="00066C81" w:rsidP="00066C81">
            <w:r w:rsidRPr="00066C81">
              <w:rPr>
                <w:lang w:val="en-US"/>
              </w:rPr>
              <w:t>Information and Privacy Commissioner of British Columbia;</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458" w:type="dxa"/>
          </w:tcPr>
          <w:p w:rsidR="00066C81" w:rsidRPr="00066C81" w:rsidRDefault="00066C81" w:rsidP="00066C81"/>
        </w:tc>
        <w:tc>
          <w:tcPr>
            <w:tcW w:w="2880" w:type="dxa"/>
          </w:tcPr>
          <w:p w:rsidR="00066C81" w:rsidRPr="00066C81" w:rsidRDefault="00066C81" w:rsidP="00066C81">
            <w:pPr>
              <w:rPr>
                <w:lang w:val="en-US"/>
              </w:rPr>
            </w:pPr>
            <w:r w:rsidRPr="00066C81">
              <w:rPr>
                <w:lang w:val="en-US"/>
              </w:rPr>
              <w:t>Alberta Federation of Labour</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458" w:type="dxa"/>
          </w:tcPr>
          <w:p w:rsidR="00066C81" w:rsidRPr="00066C81" w:rsidRDefault="00066C81" w:rsidP="00066C81"/>
        </w:tc>
        <w:tc>
          <w:tcPr>
            <w:tcW w:w="2880" w:type="dxa"/>
          </w:tcPr>
          <w:p w:rsidR="00066C81" w:rsidRPr="00066C81" w:rsidRDefault="00066C81" w:rsidP="00066C81"/>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458" w:type="dxa"/>
          </w:tcPr>
          <w:p w:rsidR="00066C81" w:rsidRPr="00066C81" w:rsidRDefault="00066C81" w:rsidP="00066C81">
            <w:r w:rsidRPr="00066C81">
              <w:t>IN / DANS :</w:t>
            </w:r>
          </w:p>
        </w:tc>
        <w:tc>
          <w:tcPr>
            <w:tcW w:w="2880" w:type="dxa"/>
          </w:tcPr>
          <w:p w:rsidR="00066C81" w:rsidRPr="00066C81" w:rsidRDefault="00066C81" w:rsidP="00066C81">
            <w:r w:rsidRPr="00066C81">
              <w:rPr>
                <w:lang w:val="en-US"/>
              </w:rPr>
              <w:t>Information and Privacy Commissioner et al.</w:t>
            </w:r>
          </w:p>
          <w:p w:rsidR="00066C81" w:rsidRPr="00066C81" w:rsidRDefault="00066C81" w:rsidP="00066C81"/>
          <w:p w:rsidR="00066C81" w:rsidRPr="00066C81" w:rsidRDefault="00066C81" w:rsidP="00066C81">
            <w:r w:rsidRPr="00066C81">
              <w:tab/>
              <w:t>v. (34890)</w:t>
            </w:r>
          </w:p>
          <w:p w:rsidR="00066C81" w:rsidRPr="00066C81" w:rsidRDefault="00066C81" w:rsidP="00066C81"/>
          <w:p w:rsidR="00066C81" w:rsidRPr="00066C81" w:rsidRDefault="00066C81" w:rsidP="00066C81">
            <w:r w:rsidRPr="00066C81">
              <w:t xml:space="preserve">United Food and Commercial Workers, Local 401 </w:t>
            </w:r>
            <w:r w:rsidRPr="00066C81">
              <w:rPr>
                <w:lang w:val="en-US"/>
              </w:rPr>
              <w:t>et al</w:t>
            </w:r>
            <w:r w:rsidRPr="00066C81">
              <w:t>. (Alta.)</w:t>
            </w:r>
          </w:p>
        </w:tc>
        <w:tc>
          <w:tcPr>
            <w:tcW w:w="1170" w:type="dxa"/>
          </w:tcPr>
          <w:p w:rsidR="00066C81" w:rsidRPr="00066C81" w:rsidRDefault="00066C81" w:rsidP="00066C81"/>
        </w:tc>
        <w:tc>
          <w:tcPr>
            <w:tcW w:w="4327" w:type="dxa"/>
          </w:tcPr>
          <w:p w:rsidR="00066C81" w:rsidRPr="00066C81" w:rsidRDefault="00066C81" w:rsidP="00066C81"/>
        </w:tc>
      </w:tr>
    </w:tbl>
    <w:p w:rsidR="00066C81" w:rsidRPr="00066C81" w:rsidRDefault="00066C81" w:rsidP="00066C81">
      <w:pPr>
        <w:jc w:val="both"/>
        <w:rPr>
          <w:rFonts w:eastAsia="Times New Roman" w:cs="Times New Roman"/>
          <w:sz w:val="20"/>
          <w:szCs w:val="20"/>
          <w:lang w:eastAsia="en-CA"/>
        </w:rPr>
      </w:pPr>
    </w:p>
    <w:p w:rsidR="00066C81" w:rsidRPr="00066C81" w:rsidRDefault="00066C81" w:rsidP="00066C81">
      <w:pPr>
        <w:spacing w:line="233" w:lineRule="auto"/>
        <w:jc w:val="both"/>
        <w:rPr>
          <w:rFonts w:eastAsia="Times New Roman" w:cs="Times New Roman"/>
          <w:sz w:val="20"/>
          <w:szCs w:val="20"/>
          <w:lang w:val="en-US" w:eastAsia="en-CA"/>
        </w:rPr>
      </w:pPr>
      <w:r w:rsidRPr="00066C81">
        <w:rPr>
          <w:rFonts w:eastAsia="Times New Roman" w:cs="Times New Roman"/>
          <w:b/>
          <w:bCs/>
          <w:color w:val="000000"/>
          <w:sz w:val="20"/>
          <w:szCs w:val="20"/>
          <w:lang w:val="en-US" w:eastAsia="en-CA"/>
        </w:rPr>
        <w:t>FURTHER TO THE ORDER</w:t>
      </w:r>
      <w:r w:rsidRPr="00066C81">
        <w:rPr>
          <w:rFonts w:eastAsia="Times New Roman" w:cs="Times New Roman"/>
          <w:color w:val="000000"/>
          <w:sz w:val="20"/>
          <w:szCs w:val="20"/>
          <w:lang w:val="en-US" w:eastAsia="en-CA"/>
        </w:rPr>
        <w:t xml:space="preserve"> dated April 30, 2013, granting leave to intervene to</w:t>
      </w:r>
      <w:r w:rsidRPr="00066C81">
        <w:rPr>
          <w:rFonts w:eastAsia="Times New Roman" w:cs="Times New Roman"/>
          <w:bCs/>
          <w:color w:val="000000"/>
          <w:sz w:val="20"/>
          <w:szCs w:val="20"/>
          <w:lang w:val="en-US" w:eastAsia="en-CA"/>
        </w:rPr>
        <w:t xml:space="preserve"> the </w:t>
      </w:r>
      <w:r w:rsidRPr="00066C81">
        <w:rPr>
          <w:rFonts w:eastAsia="Times New Roman" w:cs="Times New Roman"/>
          <w:sz w:val="20"/>
          <w:szCs w:val="20"/>
          <w:lang w:val="en-US" w:eastAsia="en-CA"/>
        </w:rPr>
        <w:t>Privacy Commissioner of Canada, the Canadian Civil Liberties Association, the British Columbia Civil Liberties Association, the Information and Privacy Commissioner of Ontario, the Coalition of British Columbia Businesses and Merit Canada, the Information and Privacy Commissioner of British Columbia and the Alberta Federation of Labour</w:t>
      </w:r>
      <w:r w:rsidRPr="00066C81">
        <w:rPr>
          <w:rFonts w:eastAsia="Times New Roman" w:cs="Times New Roman"/>
          <w:color w:val="000000"/>
          <w:sz w:val="20"/>
          <w:szCs w:val="20"/>
          <w:lang w:val="en-US" w:eastAsia="en-CA"/>
        </w:rPr>
        <w:t>;</w:t>
      </w:r>
    </w:p>
    <w:p w:rsidR="00066C81" w:rsidRPr="00066C81" w:rsidRDefault="00066C81" w:rsidP="00066C81">
      <w:pPr>
        <w:spacing w:line="233" w:lineRule="auto"/>
        <w:jc w:val="both"/>
        <w:rPr>
          <w:rFonts w:eastAsia="Times New Roman" w:cs="Times New Roman"/>
          <w:sz w:val="20"/>
          <w:szCs w:val="20"/>
          <w:lang w:val="en-US" w:eastAsia="en-CA"/>
        </w:rPr>
      </w:pPr>
    </w:p>
    <w:p w:rsidR="00066C81" w:rsidRPr="00066C81" w:rsidRDefault="00066C81" w:rsidP="00066C81">
      <w:pPr>
        <w:spacing w:line="233" w:lineRule="auto"/>
        <w:jc w:val="both"/>
        <w:rPr>
          <w:rFonts w:eastAsia="Times New Roman" w:cs="Times New Roman"/>
          <w:sz w:val="20"/>
          <w:szCs w:val="20"/>
          <w:lang w:val="en-US" w:eastAsia="en-CA"/>
        </w:rPr>
      </w:pPr>
      <w:r w:rsidRPr="00066C81">
        <w:rPr>
          <w:rFonts w:eastAsia="Times New Roman" w:cs="Times New Roman"/>
          <w:b/>
          <w:bCs/>
          <w:color w:val="000000"/>
          <w:sz w:val="20"/>
          <w:szCs w:val="20"/>
          <w:lang w:val="en-US" w:eastAsia="en-CA"/>
        </w:rPr>
        <w:t xml:space="preserve">IT IS HEREBY FURTHER ORDERED THAT </w:t>
      </w:r>
      <w:r w:rsidRPr="00066C81">
        <w:rPr>
          <w:rFonts w:eastAsia="Times New Roman" w:cs="Times New Roman"/>
          <w:color w:val="000000"/>
          <w:sz w:val="20"/>
          <w:szCs w:val="20"/>
          <w:lang w:val="en-US" w:eastAsia="en-CA"/>
        </w:rPr>
        <w:t>the Privacy Commissioner of Canada, the Canadian Civil Liberties Association, the British Columbia Civil Liberties Association, the Information and Privacy Commissioner of Ontario and the Alberta Federation of Labour are each granted permission to present oral argument not exceeding ten (10) minutes at the hearing of the appeal;</w:t>
      </w:r>
    </w:p>
    <w:p w:rsidR="00066C81" w:rsidRPr="00066C81" w:rsidRDefault="00066C81" w:rsidP="00066C81">
      <w:pPr>
        <w:rPr>
          <w:rFonts w:eastAsia="Times New Roman" w:cs="Times New Roman"/>
          <w:sz w:val="20"/>
          <w:szCs w:val="20"/>
          <w:lang w:val="en-US" w:eastAsia="en-CA"/>
        </w:rPr>
      </w:pPr>
    </w:p>
    <w:p w:rsidR="00066C81" w:rsidRPr="00066C81" w:rsidRDefault="00066C81" w:rsidP="00066C81">
      <w:pPr>
        <w:spacing w:line="233" w:lineRule="auto"/>
        <w:ind w:left="-23"/>
        <w:jc w:val="both"/>
        <w:rPr>
          <w:rFonts w:eastAsia="Times New Roman" w:cs="Times New Roman"/>
          <w:bCs/>
          <w:color w:val="000000"/>
          <w:sz w:val="20"/>
          <w:szCs w:val="20"/>
          <w:lang w:val="en-US" w:eastAsia="en-CA"/>
        </w:rPr>
      </w:pPr>
      <w:r w:rsidRPr="00066C81">
        <w:rPr>
          <w:rFonts w:eastAsia="Times New Roman" w:cs="Times New Roman"/>
          <w:b/>
          <w:bCs/>
          <w:color w:val="000000"/>
          <w:sz w:val="20"/>
          <w:szCs w:val="20"/>
          <w:lang w:val="en-US" w:eastAsia="en-CA"/>
        </w:rPr>
        <w:t>IT IS HEREBY FURTHER ORDERED THAT</w:t>
      </w:r>
      <w:r w:rsidRPr="00066C81">
        <w:rPr>
          <w:rFonts w:eastAsia="Times New Roman" w:cs="Times New Roman"/>
          <w:bCs/>
          <w:color w:val="000000"/>
          <w:sz w:val="20"/>
          <w:szCs w:val="20"/>
          <w:lang w:val="en-US" w:eastAsia="en-CA"/>
        </w:rPr>
        <w:t xml:space="preserve"> the Coalition of British Columbia Businesses and Merit Canada and the Information and Privacy Commissioner of British Columbia are not permitted to present oral argument at the hearing of the appeal;</w:t>
      </w:r>
    </w:p>
    <w:p w:rsidR="00066C81" w:rsidRPr="00066C81" w:rsidRDefault="00066C81" w:rsidP="00066C81">
      <w:pPr>
        <w:rPr>
          <w:rFonts w:eastAsia="Times New Roman" w:cs="Times New Roman"/>
          <w:bCs/>
          <w:color w:val="000000"/>
          <w:sz w:val="20"/>
          <w:szCs w:val="20"/>
          <w:lang w:val="en-US" w:eastAsia="en-CA"/>
        </w:rPr>
      </w:pPr>
    </w:p>
    <w:p w:rsidR="00066C81" w:rsidRPr="00066C81" w:rsidRDefault="00066C81" w:rsidP="00066C81">
      <w:pPr>
        <w:rPr>
          <w:rFonts w:eastAsia="Times New Roman" w:cs="Times New Roman"/>
          <w:sz w:val="20"/>
          <w:szCs w:val="20"/>
          <w:lang w:val="en-US" w:eastAsia="en-CA"/>
        </w:rPr>
      </w:pPr>
      <w:r w:rsidRPr="00066C81">
        <w:rPr>
          <w:rFonts w:eastAsia="Times New Roman" w:cs="Times New Roman"/>
          <w:b/>
          <w:bCs/>
          <w:color w:val="000000"/>
          <w:sz w:val="20"/>
          <w:szCs w:val="20"/>
          <w:lang w:val="en-US" w:eastAsia="en-CA"/>
        </w:rPr>
        <w:t>AND IT IS HEREBY FURTHER ORDERED THAT</w:t>
      </w:r>
      <w:r w:rsidRPr="00066C81">
        <w:rPr>
          <w:rFonts w:eastAsia="Times New Roman" w:cs="Times New Roman"/>
          <w:bCs/>
          <w:color w:val="000000"/>
          <w:sz w:val="20"/>
          <w:szCs w:val="20"/>
          <w:lang w:val="en-US" w:eastAsia="en-CA"/>
        </w:rPr>
        <w:t xml:space="preserve"> the appellants will each have thirty (30) minutes to present oral argument at the hearing of the appeal.</w:t>
      </w:r>
    </w:p>
    <w:p w:rsidR="00066C81" w:rsidRPr="00066C81" w:rsidRDefault="00066C81" w:rsidP="00066C81">
      <w:pPr>
        <w:tabs>
          <w:tab w:val="left" w:pos="-1440"/>
          <w:tab w:val="left" w:pos="-720"/>
        </w:tabs>
        <w:jc w:val="both"/>
        <w:rPr>
          <w:rFonts w:eastAsia="Times New Roman" w:cs="Times New Roman"/>
          <w:sz w:val="20"/>
          <w:szCs w:val="20"/>
          <w:lang w:val="en-US" w:eastAsia="en-CA"/>
        </w:rPr>
      </w:pPr>
    </w:p>
    <w:p w:rsidR="00066C81" w:rsidRPr="00066C81" w:rsidRDefault="00066C81" w:rsidP="00066C81">
      <w:pPr>
        <w:tabs>
          <w:tab w:val="left" w:pos="-1440"/>
          <w:tab w:val="left" w:pos="-720"/>
        </w:tabs>
        <w:jc w:val="both"/>
        <w:rPr>
          <w:rFonts w:eastAsia="Times New Roman" w:cs="Times New Roman"/>
          <w:sz w:val="20"/>
          <w:szCs w:val="20"/>
          <w:lang w:eastAsia="en-CA"/>
        </w:rPr>
      </w:pPr>
    </w:p>
    <w:p w:rsidR="00066C81" w:rsidRPr="00066C81" w:rsidRDefault="00066C81" w:rsidP="00066C81">
      <w:pPr>
        <w:tabs>
          <w:tab w:val="left" w:pos="-1440"/>
          <w:tab w:val="left" w:pos="-720"/>
        </w:tabs>
        <w:jc w:val="both"/>
        <w:rPr>
          <w:rFonts w:eastAsia="Times New Roman" w:cs="Times New Roman"/>
          <w:sz w:val="20"/>
          <w:szCs w:val="20"/>
          <w:lang w:eastAsia="en-CA"/>
        </w:rPr>
      </w:pPr>
    </w:p>
    <w:p w:rsidR="00066C81" w:rsidRPr="00066C81" w:rsidRDefault="00066C81" w:rsidP="00066C81">
      <w:pPr>
        <w:spacing w:line="233" w:lineRule="auto"/>
        <w:jc w:val="both"/>
        <w:rPr>
          <w:rFonts w:eastAsia="Times New Roman" w:cs="Times New Roman"/>
          <w:sz w:val="20"/>
          <w:szCs w:val="20"/>
          <w:lang w:val="fr-CA" w:eastAsia="en-CA"/>
        </w:rPr>
      </w:pPr>
      <w:r w:rsidRPr="00066C81">
        <w:rPr>
          <w:rFonts w:eastAsia="Times New Roman" w:cs="Times New Roman"/>
          <w:b/>
          <w:bCs/>
          <w:color w:val="000000"/>
          <w:sz w:val="20"/>
          <w:szCs w:val="20"/>
          <w:lang w:val="fr-CA" w:eastAsia="en-CA"/>
        </w:rPr>
        <w:t>À LA SUITE DE L’ORDONNANCE</w:t>
      </w:r>
      <w:r w:rsidRPr="00066C81">
        <w:rPr>
          <w:rFonts w:eastAsia="Times New Roman" w:cs="Times New Roman"/>
          <w:color w:val="000000"/>
          <w:sz w:val="20"/>
          <w:szCs w:val="20"/>
          <w:lang w:val="fr-CA" w:eastAsia="en-CA"/>
        </w:rPr>
        <w:t xml:space="preserve"> datée du 30 avril 2013 autorisant le commissaire à la protection de la vie privée du Canada, l’Association canadienne des libertés civiles, l’Association des libertés civiles de la Colombie-Britannique, le Commissaire à l’information et à la protection de la vie privée de l’Ontario, la Coalition of British Columbia Businesses et Merit Canada, le Commissaire à l’information et à la protection de la vie privée, Colombie-Britannique et l’Alberta Federation of Labour à intervenir;   </w:t>
      </w:r>
    </w:p>
    <w:p w:rsidR="00066C81" w:rsidRPr="00066C81" w:rsidRDefault="00066C81" w:rsidP="00066C81">
      <w:pPr>
        <w:spacing w:line="233" w:lineRule="auto"/>
        <w:jc w:val="both"/>
        <w:rPr>
          <w:rFonts w:eastAsia="Times New Roman" w:cs="Times New Roman"/>
          <w:sz w:val="20"/>
          <w:szCs w:val="20"/>
          <w:lang w:val="fr-CA" w:eastAsia="en-CA"/>
        </w:rPr>
      </w:pPr>
    </w:p>
    <w:p w:rsidR="00066C81" w:rsidRPr="00066C81" w:rsidRDefault="00066C81" w:rsidP="00066C81">
      <w:pPr>
        <w:spacing w:line="233" w:lineRule="auto"/>
        <w:jc w:val="both"/>
        <w:rPr>
          <w:rFonts w:eastAsia="Times New Roman" w:cs="Times New Roman"/>
          <w:sz w:val="20"/>
          <w:szCs w:val="20"/>
          <w:lang w:val="fr-CA" w:eastAsia="en-CA"/>
        </w:rPr>
      </w:pPr>
      <w:r w:rsidRPr="00066C81">
        <w:rPr>
          <w:rFonts w:eastAsia="Times New Roman" w:cs="Times New Roman"/>
          <w:b/>
          <w:bCs/>
          <w:color w:val="000000"/>
          <w:sz w:val="20"/>
          <w:szCs w:val="20"/>
          <w:lang w:val="fr-CA" w:eastAsia="en-CA"/>
        </w:rPr>
        <w:t xml:space="preserve">IL EST EN OUTRE ORDONNÉ QUE : </w:t>
      </w:r>
      <w:r w:rsidRPr="00066C81">
        <w:rPr>
          <w:rFonts w:eastAsia="Times New Roman" w:cs="Times New Roman"/>
          <w:bCs/>
          <w:color w:val="000000"/>
          <w:sz w:val="20"/>
          <w:szCs w:val="20"/>
          <w:lang w:val="fr-CA" w:eastAsia="en-CA"/>
        </w:rPr>
        <w:t xml:space="preserve">le commissaire à la protection de la vie privée du Canada, l’Association canadienne des libertés civiles, l’Association des libertés civiles de la Colombie-Britannique, le Commissaire à l’information et à la protection de la vie privée de l’Ontario et l’Alberta Federation of Labour sont autorisés à présenter chacun une plaidoirie orale d’au plus dix (10) minutes lors de l’audition de l’appel.  </w:t>
      </w:r>
    </w:p>
    <w:p w:rsidR="00066C81" w:rsidRPr="00066C81" w:rsidRDefault="00066C81" w:rsidP="00066C81">
      <w:pPr>
        <w:rPr>
          <w:rFonts w:eastAsia="Times New Roman" w:cs="Times New Roman"/>
          <w:sz w:val="20"/>
          <w:szCs w:val="20"/>
          <w:lang w:val="fr-CA" w:eastAsia="en-CA"/>
        </w:rPr>
      </w:pPr>
    </w:p>
    <w:p w:rsidR="00066C81" w:rsidRPr="00066C81" w:rsidRDefault="00066C81" w:rsidP="00066C81">
      <w:pPr>
        <w:spacing w:line="233" w:lineRule="auto"/>
        <w:ind w:left="-23"/>
        <w:jc w:val="both"/>
        <w:rPr>
          <w:rFonts w:eastAsia="Times New Roman" w:cs="Times New Roman"/>
          <w:bCs/>
          <w:color w:val="000000"/>
          <w:sz w:val="20"/>
          <w:szCs w:val="20"/>
          <w:lang w:val="fr-CA" w:eastAsia="en-CA"/>
        </w:rPr>
      </w:pPr>
      <w:r w:rsidRPr="00066C81">
        <w:rPr>
          <w:rFonts w:eastAsia="Times New Roman" w:cs="Times New Roman"/>
          <w:b/>
          <w:bCs/>
          <w:color w:val="000000"/>
          <w:sz w:val="20"/>
          <w:szCs w:val="20"/>
          <w:lang w:val="fr-CA" w:eastAsia="en-CA"/>
        </w:rPr>
        <w:t xml:space="preserve">IL EST EN OUTRE ORDONNÉ QUE : </w:t>
      </w:r>
      <w:r w:rsidRPr="00066C81">
        <w:rPr>
          <w:rFonts w:eastAsia="Times New Roman" w:cs="Times New Roman"/>
          <w:bCs/>
          <w:color w:val="000000"/>
          <w:sz w:val="20"/>
          <w:szCs w:val="20"/>
          <w:lang w:val="fr-CA" w:eastAsia="en-CA"/>
        </w:rPr>
        <w:t xml:space="preserve">la Coalition of British Columbia Businesses et Merit Canada ainsi que le Commissaire à l’information et à la protection de la vie privée, Colombie-Britannique ne sont pas autorisés à présenter de plaidoirie orale lors de l’audition de l’appel.  </w:t>
      </w:r>
    </w:p>
    <w:p w:rsidR="00066C81" w:rsidRPr="00066C81" w:rsidRDefault="00066C81" w:rsidP="00066C81">
      <w:pPr>
        <w:rPr>
          <w:rFonts w:eastAsia="Times New Roman" w:cs="Times New Roman"/>
          <w:bCs/>
          <w:color w:val="000000"/>
          <w:sz w:val="20"/>
          <w:szCs w:val="20"/>
          <w:lang w:val="fr-CA" w:eastAsia="en-CA"/>
        </w:rPr>
      </w:pPr>
    </w:p>
    <w:p w:rsidR="00066C81" w:rsidRPr="00066C81" w:rsidRDefault="00066C81" w:rsidP="00066C81">
      <w:pPr>
        <w:rPr>
          <w:rFonts w:eastAsia="Times New Roman" w:cs="Times New Roman"/>
          <w:sz w:val="20"/>
          <w:szCs w:val="20"/>
          <w:lang w:val="fr-CA" w:eastAsia="en-CA"/>
        </w:rPr>
      </w:pPr>
      <w:r w:rsidRPr="00066C81">
        <w:rPr>
          <w:rFonts w:eastAsia="Times New Roman" w:cs="Times New Roman"/>
          <w:b/>
          <w:bCs/>
          <w:color w:val="000000"/>
          <w:sz w:val="20"/>
          <w:szCs w:val="20"/>
          <w:lang w:val="fr-CA" w:eastAsia="en-CA"/>
        </w:rPr>
        <w:t xml:space="preserve">ET IL EST EN OUTRE ORDONNÉ QUE : </w:t>
      </w:r>
      <w:r w:rsidRPr="00066C81">
        <w:rPr>
          <w:rFonts w:eastAsia="Times New Roman" w:cs="Times New Roman"/>
          <w:bCs/>
          <w:color w:val="000000"/>
          <w:sz w:val="20"/>
          <w:szCs w:val="20"/>
          <w:lang w:val="fr-CA" w:eastAsia="en-CA"/>
        </w:rPr>
        <w:t>les appelants disposeront chacun de trente (30) minutes pour présenter leur plaidoirie orale lors de l’audition de l’appel.</w:t>
      </w:r>
    </w:p>
    <w:p w:rsidR="00066C81" w:rsidRPr="00066C81" w:rsidRDefault="00066C81" w:rsidP="00066C81">
      <w:pPr>
        <w:tabs>
          <w:tab w:val="left" w:pos="-1440"/>
          <w:tab w:val="left" w:pos="-720"/>
        </w:tabs>
        <w:jc w:val="both"/>
        <w:rPr>
          <w:rFonts w:eastAsia="Times New Roman" w:cs="Times New Roman"/>
          <w:sz w:val="20"/>
          <w:szCs w:val="20"/>
          <w:lang w:val="fr-CA" w:eastAsia="en-CA"/>
        </w:rPr>
      </w:pPr>
    </w:p>
    <w:p w:rsidR="00066C81" w:rsidRPr="00066C81" w:rsidRDefault="00B3404D" w:rsidP="00066C81">
      <w:pPr>
        <w:tabs>
          <w:tab w:val="left" w:pos="-1440"/>
          <w:tab w:val="left" w:pos="-720"/>
        </w:tabs>
        <w:jc w:val="both"/>
        <w:rPr>
          <w:rFonts w:eastAsia="Times New Roman" w:cs="Times New Roman"/>
          <w:sz w:val="20"/>
          <w:szCs w:val="20"/>
          <w:lang w:eastAsia="en-CA"/>
        </w:rPr>
      </w:pPr>
      <w:r w:rsidRPr="00B3404D">
        <w:rPr>
          <w:rFonts w:eastAsia="Times New Roman" w:cs="Times New Roman"/>
          <w:sz w:val="20"/>
          <w:szCs w:val="20"/>
          <w:lang w:val="fr-CA" w:eastAsia="en-CA"/>
        </w:rPr>
        <w:pict>
          <v:rect id="_x0000_i1099" style="width:2in;height:1pt" o:hrpct="0" o:hralign="center" o:hrstd="t" o:hrnoshade="t" o:hr="t" fillcolor="black [3213]" stroked="f"/>
        </w:pict>
      </w:r>
    </w:p>
    <w:p w:rsidR="00066C81" w:rsidRPr="00066C81" w:rsidRDefault="00066C81" w:rsidP="00066C81">
      <w:pPr>
        <w:tabs>
          <w:tab w:val="left" w:pos="-1440"/>
          <w:tab w:val="left" w:pos="-720"/>
        </w:tabs>
        <w:jc w:val="both"/>
        <w:rPr>
          <w:rFonts w:eastAsia="Times New Roman" w:cs="Times New Roman"/>
          <w:sz w:val="20"/>
          <w:szCs w:val="20"/>
          <w:lang w:eastAsia="en-CA"/>
        </w:rPr>
      </w:pPr>
    </w:p>
    <w:p w:rsidR="00066C81" w:rsidRPr="00066C81" w:rsidRDefault="00066C81" w:rsidP="00066C81">
      <w:pPr>
        <w:tabs>
          <w:tab w:val="left" w:pos="-1440"/>
          <w:tab w:val="left" w:pos="-720"/>
        </w:tabs>
        <w:jc w:val="both"/>
        <w:rPr>
          <w:rFonts w:eastAsia="Times New Roman" w:cs="Times New Roman"/>
          <w:sz w:val="20"/>
          <w:szCs w:val="20"/>
          <w:lang w:val="fr-CA" w:eastAsia="en-CA"/>
        </w:rPr>
      </w:pPr>
      <w:r w:rsidRPr="00066C81">
        <w:rPr>
          <w:rFonts w:eastAsia="Times New Roman" w:cs="Times New Roman"/>
          <w:sz w:val="20"/>
          <w:szCs w:val="20"/>
          <w:lang w:val="fr-CA" w:eastAsia="en-CA"/>
        </w:rPr>
        <w:t>04.06.2013</w:t>
      </w:r>
    </w:p>
    <w:p w:rsidR="00066C81" w:rsidRPr="00066C81" w:rsidRDefault="00066C81" w:rsidP="00066C81">
      <w:pPr>
        <w:tabs>
          <w:tab w:val="left" w:pos="-1440"/>
          <w:tab w:val="left" w:pos="-720"/>
        </w:tabs>
        <w:jc w:val="both"/>
        <w:rPr>
          <w:rFonts w:eastAsia="Times New Roman" w:cs="Times New Roman"/>
          <w:sz w:val="20"/>
          <w:szCs w:val="20"/>
          <w:lang w:val="fr-CA" w:eastAsia="en-CA"/>
        </w:rPr>
      </w:pPr>
    </w:p>
    <w:p w:rsidR="00066C81" w:rsidRPr="00066C81" w:rsidRDefault="00066C81" w:rsidP="00066C81">
      <w:pPr>
        <w:tabs>
          <w:tab w:val="left" w:pos="-1440"/>
          <w:tab w:val="left" w:pos="-720"/>
        </w:tabs>
        <w:jc w:val="both"/>
        <w:rPr>
          <w:rFonts w:eastAsia="Times New Roman" w:cs="Times New Roman"/>
          <w:sz w:val="20"/>
          <w:szCs w:val="20"/>
          <w:lang w:val="fr-CA" w:eastAsia="en-CA"/>
        </w:rPr>
      </w:pPr>
      <w:r w:rsidRPr="00066C81">
        <w:rPr>
          <w:rFonts w:eastAsia="Times New Roman" w:cs="Times New Roman"/>
          <w:sz w:val="20"/>
          <w:szCs w:val="20"/>
          <w:lang w:val="fr-CA" w:eastAsia="en-CA"/>
        </w:rPr>
        <w:t>Before / Devant :   ABELLA J. / LA JUGE ABELLA</w:t>
      </w:r>
    </w:p>
    <w:p w:rsidR="00066C81" w:rsidRPr="00066C81" w:rsidRDefault="00066C81" w:rsidP="00066C81">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066C81" w:rsidRPr="00D41BFD" w:rsidTr="00C05792">
        <w:tc>
          <w:tcPr>
            <w:tcW w:w="4338" w:type="dxa"/>
          </w:tcPr>
          <w:p w:rsidR="00066C81" w:rsidRPr="00066C81" w:rsidRDefault="00B3404D" w:rsidP="00066C81">
            <w:pPr>
              <w:tabs>
                <w:tab w:val="left" w:pos="-1440"/>
                <w:tab w:val="left" w:pos="-720"/>
              </w:tabs>
              <w:jc w:val="both"/>
              <w:rPr>
                <w:b/>
              </w:rPr>
            </w:pPr>
            <w:r w:rsidRPr="00066C81">
              <w:rPr>
                <w:lang w:val="en-US"/>
              </w:rPr>
              <w:fldChar w:fldCharType="begin"/>
            </w:r>
            <w:r w:rsidR="00066C81" w:rsidRPr="00066C81">
              <w:rPr>
                <w:lang w:val="en-US"/>
              </w:rPr>
              <w:instrText xml:space="preserve"> SEQ CHAPTER \h \r 1</w:instrText>
            </w:r>
            <w:r w:rsidRPr="00066C81">
              <w:rPr>
                <w:lang w:val="en-US"/>
              </w:rPr>
              <w:fldChar w:fldCharType="end"/>
            </w:r>
            <w:r w:rsidR="00066C81" w:rsidRPr="00066C81">
              <w:rPr>
                <w:b/>
                <w:bCs/>
                <w:lang w:val="en-US"/>
              </w:rPr>
              <w:t>Motion to state constitutional questions</w:t>
            </w:r>
          </w:p>
        </w:tc>
        <w:tc>
          <w:tcPr>
            <w:tcW w:w="1170" w:type="dxa"/>
          </w:tcPr>
          <w:p w:rsidR="00066C81" w:rsidRPr="00066C81" w:rsidRDefault="00066C81" w:rsidP="00066C81">
            <w:pPr>
              <w:tabs>
                <w:tab w:val="left" w:pos="-1440"/>
                <w:tab w:val="left" w:pos="-720"/>
              </w:tabs>
              <w:jc w:val="both"/>
            </w:pPr>
          </w:p>
          <w:p w:rsidR="00066C81" w:rsidRPr="00066C81" w:rsidRDefault="00066C81" w:rsidP="00066C81">
            <w:pPr>
              <w:tabs>
                <w:tab w:val="left" w:pos="-1440"/>
                <w:tab w:val="left" w:pos="-720"/>
              </w:tabs>
              <w:jc w:val="both"/>
            </w:pPr>
          </w:p>
          <w:p w:rsidR="00066C81" w:rsidRPr="00066C81" w:rsidRDefault="00066C81" w:rsidP="00066C81">
            <w:pPr>
              <w:tabs>
                <w:tab w:val="left" w:pos="-1440"/>
                <w:tab w:val="left" w:pos="-720"/>
              </w:tabs>
              <w:jc w:val="both"/>
            </w:pPr>
          </w:p>
        </w:tc>
        <w:tc>
          <w:tcPr>
            <w:tcW w:w="4327" w:type="dxa"/>
          </w:tcPr>
          <w:p w:rsidR="00066C81" w:rsidRPr="00066C81" w:rsidRDefault="00B3404D" w:rsidP="00066C81">
            <w:pPr>
              <w:tabs>
                <w:tab w:val="left" w:pos="-1440"/>
                <w:tab w:val="left" w:pos="-720"/>
              </w:tabs>
              <w:jc w:val="both"/>
              <w:rPr>
                <w:lang w:val="fr-CA"/>
              </w:rPr>
            </w:pPr>
            <w:r w:rsidRPr="00066C81">
              <w:rPr>
                <w:lang w:val="en-US"/>
              </w:rPr>
              <w:fldChar w:fldCharType="begin"/>
            </w:r>
            <w:r w:rsidR="00066C81" w:rsidRPr="00066C81">
              <w:rPr>
                <w:lang w:val="fr-CA"/>
              </w:rPr>
              <w:instrText xml:space="preserve"> SEQ CHAPTER \h \r 1</w:instrText>
            </w:r>
            <w:r w:rsidRPr="00066C81">
              <w:rPr>
                <w:lang w:val="en-US"/>
              </w:rPr>
              <w:fldChar w:fldCharType="end"/>
            </w:r>
            <w:r w:rsidR="00066C81" w:rsidRPr="00066C81">
              <w:rPr>
                <w:b/>
                <w:bCs/>
                <w:lang w:val="fr-CA"/>
              </w:rPr>
              <w:t>Requête en formulation de questions constitutionnelles</w:t>
            </w:r>
            <w:r w:rsidRPr="00066C81">
              <w:rPr>
                <w:lang w:val="en-US"/>
              </w:rPr>
              <w:fldChar w:fldCharType="begin"/>
            </w:r>
            <w:r w:rsidR="00066C81" w:rsidRPr="00066C81">
              <w:rPr>
                <w:lang w:val="fr-CA"/>
              </w:rPr>
              <w:instrText xml:space="preserve"> SEQ CHAPTER \h \r 1</w:instrText>
            </w:r>
            <w:r w:rsidRPr="00066C81">
              <w:rPr>
                <w:lang w:val="en-US"/>
              </w:rPr>
              <w:fldChar w:fldCharType="end"/>
            </w:r>
            <w:r w:rsidRPr="00066C81">
              <w:rPr>
                <w:lang w:val="en-US"/>
              </w:rPr>
              <w:fldChar w:fldCharType="begin"/>
            </w:r>
            <w:r w:rsidR="00066C81" w:rsidRPr="00066C81">
              <w:rPr>
                <w:lang w:val="fr-CA"/>
              </w:rPr>
              <w:instrText xml:space="preserve"> SEQ CHAPTER \h \r 1</w:instrText>
            </w:r>
            <w:r w:rsidRPr="00066C81">
              <w:rPr>
                <w:lang w:val="en-US"/>
              </w:rPr>
              <w:fldChar w:fldCharType="end"/>
            </w:r>
            <w:r w:rsidRPr="00066C81">
              <w:rPr>
                <w:lang w:val="en-US"/>
              </w:rPr>
              <w:fldChar w:fldCharType="begin"/>
            </w:r>
            <w:r w:rsidR="00066C81" w:rsidRPr="00066C81">
              <w:rPr>
                <w:lang w:val="fr-CA"/>
              </w:rPr>
              <w:instrText xml:space="preserve"> SEQ CHAPTER \h \r 1</w:instrText>
            </w:r>
            <w:r w:rsidRPr="00066C81">
              <w:rPr>
                <w:lang w:val="en-US"/>
              </w:rPr>
              <w:fldChar w:fldCharType="end"/>
            </w:r>
          </w:p>
        </w:tc>
      </w:tr>
      <w:tr w:rsidR="00066C81" w:rsidRPr="00066C81" w:rsidTr="00C05792">
        <w:tc>
          <w:tcPr>
            <w:tcW w:w="4338" w:type="dxa"/>
          </w:tcPr>
          <w:p w:rsidR="00066C81" w:rsidRPr="00066C81" w:rsidRDefault="00066C81" w:rsidP="00066C81">
            <w:pPr>
              <w:tabs>
                <w:tab w:val="left" w:pos="-1440"/>
                <w:tab w:val="left" w:pos="-720"/>
              </w:tabs>
              <w:jc w:val="both"/>
            </w:pPr>
            <w:r w:rsidRPr="00066C81">
              <w:t>Attorney General of Canada et al.</w:t>
            </w:r>
          </w:p>
          <w:p w:rsidR="00066C81" w:rsidRPr="00066C81" w:rsidRDefault="00066C81" w:rsidP="00066C81">
            <w:pPr>
              <w:tabs>
                <w:tab w:val="left" w:pos="-1440"/>
                <w:tab w:val="left" w:pos="-720"/>
              </w:tabs>
              <w:jc w:val="both"/>
            </w:pPr>
          </w:p>
          <w:p w:rsidR="00066C81" w:rsidRPr="00066C81" w:rsidRDefault="00066C81" w:rsidP="00066C81">
            <w:pPr>
              <w:tabs>
                <w:tab w:val="left" w:pos="-1440"/>
                <w:tab w:val="left" w:pos="-720"/>
              </w:tabs>
              <w:jc w:val="both"/>
            </w:pPr>
            <w:r w:rsidRPr="00066C81">
              <w:tab/>
              <w:t>v. (35024)</w:t>
            </w:r>
          </w:p>
          <w:p w:rsidR="00066C81" w:rsidRPr="00066C81" w:rsidRDefault="00066C81" w:rsidP="00066C81">
            <w:pPr>
              <w:tabs>
                <w:tab w:val="left" w:pos="-1440"/>
                <w:tab w:val="left" w:pos="-720"/>
              </w:tabs>
              <w:jc w:val="both"/>
            </w:pPr>
          </w:p>
          <w:p w:rsidR="00066C81" w:rsidRPr="00066C81" w:rsidRDefault="00066C81" w:rsidP="00066C81">
            <w:pPr>
              <w:tabs>
                <w:tab w:val="left" w:pos="-1440"/>
                <w:tab w:val="left" w:pos="-720"/>
              </w:tabs>
              <w:jc w:val="both"/>
            </w:pPr>
            <w:r w:rsidRPr="00066C81">
              <w:t>Christopher John Whaling et al. (Crim.) (B.C.)</w:t>
            </w:r>
          </w:p>
        </w:tc>
        <w:tc>
          <w:tcPr>
            <w:tcW w:w="1170" w:type="dxa"/>
          </w:tcPr>
          <w:p w:rsidR="00066C81" w:rsidRPr="00066C81" w:rsidRDefault="00066C81" w:rsidP="00066C81">
            <w:pPr>
              <w:tabs>
                <w:tab w:val="left" w:pos="-1440"/>
                <w:tab w:val="left" w:pos="-720"/>
              </w:tabs>
              <w:jc w:val="both"/>
            </w:pPr>
          </w:p>
        </w:tc>
        <w:tc>
          <w:tcPr>
            <w:tcW w:w="4327" w:type="dxa"/>
          </w:tcPr>
          <w:p w:rsidR="00066C81" w:rsidRPr="00066C81" w:rsidRDefault="00066C81" w:rsidP="00066C81">
            <w:pPr>
              <w:tabs>
                <w:tab w:val="left" w:pos="-1440"/>
                <w:tab w:val="left" w:pos="-720"/>
              </w:tabs>
              <w:jc w:val="both"/>
            </w:pPr>
          </w:p>
        </w:tc>
      </w:tr>
    </w:tbl>
    <w:p w:rsidR="00066C81" w:rsidRPr="00066C81" w:rsidRDefault="00066C81" w:rsidP="00066C81">
      <w:pPr>
        <w:tabs>
          <w:tab w:val="left" w:pos="-1440"/>
          <w:tab w:val="left" w:pos="-720"/>
        </w:tabs>
        <w:jc w:val="both"/>
        <w:rPr>
          <w:rFonts w:eastAsia="Times New Roman" w:cs="Times New Roman"/>
          <w:sz w:val="20"/>
          <w:szCs w:val="20"/>
          <w:lang w:eastAsia="en-CA"/>
        </w:rPr>
      </w:pPr>
    </w:p>
    <w:p w:rsidR="00066C81" w:rsidRPr="00066C81" w:rsidRDefault="00066C81" w:rsidP="00066C81">
      <w:pPr>
        <w:tabs>
          <w:tab w:val="left" w:pos="-1440"/>
          <w:tab w:val="left" w:pos="-720"/>
        </w:tabs>
        <w:jc w:val="both"/>
        <w:rPr>
          <w:rFonts w:eastAsia="Times New Roman" w:cs="Times New Roman"/>
          <w:sz w:val="20"/>
          <w:szCs w:val="20"/>
          <w:lang w:eastAsia="en-CA"/>
        </w:rPr>
      </w:pPr>
      <w:r w:rsidRPr="00066C81">
        <w:rPr>
          <w:rFonts w:eastAsia="Times New Roman" w:cs="Times New Roman"/>
          <w:b/>
          <w:sz w:val="20"/>
          <w:szCs w:val="20"/>
          <w:lang w:eastAsia="en-CA"/>
        </w:rPr>
        <w:t>GRANTED / ACCORDÉE</w:t>
      </w:r>
    </w:p>
    <w:p w:rsidR="00066C81" w:rsidRPr="00066C81" w:rsidRDefault="00066C81" w:rsidP="00066C81">
      <w:pPr>
        <w:tabs>
          <w:tab w:val="left" w:pos="-1440"/>
          <w:tab w:val="left" w:pos="-720"/>
        </w:tabs>
        <w:jc w:val="both"/>
        <w:rPr>
          <w:rFonts w:eastAsia="Times New Roman" w:cs="Times New Roman"/>
          <w:sz w:val="20"/>
          <w:szCs w:val="20"/>
          <w:lang w:eastAsia="en-CA"/>
        </w:rPr>
      </w:pPr>
    </w:p>
    <w:p w:rsidR="00066C81" w:rsidRDefault="00066C81">
      <w:pPr>
        <w:rPr>
          <w:rFonts w:eastAsia="Times New Roman" w:cs="Times New Roman"/>
          <w:b/>
          <w:bCs/>
          <w:sz w:val="20"/>
          <w:szCs w:val="20"/>
          <w:lang w:val="en-US" w:eastAsia="en-CA"/>
        </w:rPr>
      </w:pPr>
      <w:r>
        <w:rPr>
          <w:rFonts w:eastAsia="Times New Roman" w:cs="Times New Roman"/>
          <w:b/>
          <w:bCs/>
          <w:sz w:val="20"/>
          <w:szCs w:val="20"/>
          <w:lang w:val="en-US" w:eastAsia="en-CA"/>
        </w:rPr>
        <w:br w:type="page"/>
      </w:r>
    </w:p>
    <w:p w:rsidR="00066C81" w:rsidRPr="00066C81" w:rsidRDefault="00066C81" w:rsidP="00066C81">
      <w:pPr>
        <w:jc w:val="both"/>
        <w:rPr>
          <w:rFonts w:eastAsia="Times New Roman" w:cs="Times New Roman"/>
          <w:sz w:val="20"/>
          <w:szCs w:val="20"/>
          <w:lang w:val="en-US" w:eastAsia="en-CA"/>
        </w:rPr>
      </w:pPr>
      <w:r w:rsidRPr="00066C81">
        <w:rPr>
          <w:rFonts w:eastAsia="Times New Roman" w:cs="Times New Roman"/>
          <w:b/>
          <w:bCs/>
          <w:sz w:val="20"/>
          <w:szCs w:val="20"/>
          <w:lang w:val="en-US" w:eastAsia="en-CA"/>
        </w:rPr>
        <w:lastRenderedPageBreak/>
        <w:t>UPON APPLICATION</w:t>
      </w:r>
      <w:r w:rsidRPr="00066C81">
        <w:rPr>
          <w:rFonts w:eastAsia="Times New Roman" w:cs="Times New Roman"/>
          <w:sz w:val="20"/>
          <w:szCs w:val="20"/>
          <w:lang w:val="en-US" w:eastAsia="en-CA"/>
        </w:rPr>
        <w:t xml:space="preserve"> by the appellant </w:t>
      </w:r>
      <w:r w:rsidR="00B3404D" w:rsidRPr="00066C81">
        <w:rPr>
          <w:rFonts w:eastAsia="Times New Roman" w:cs="Times New Roman"/>
          <w:sz w:val="20"/>
          <w:szCs w:val="20"/>
          <w:lang w:eastAsia="en-CA"/>
        </w:rPr>
        <w:fldChar w:fldCharType="begin"/>
      </w:r>
      <w:r w:rsidRPr="00066C81">
        <w:rPr>
          <w:rFonts w:eastAsia="Times New Roman" w:cs="Times New Roman"/>
          <w:sz w:val="20"/>
          <w:szCs w:val="20"/>
          <w:lang w:eastAsia="en-CA"/>
        </w:rPr>
        <w:instrText xml:space="preserve"> SEQ CHAPTER \h \r 1</w:instrText>
      </w:r>
      <w:r w:rsidR="00B3404D" w:rsidRPr="00066C81">
        <w:rPr>
          <w:rFonts w:eastAsia="Times New Roman" w:cs="Times New Roman"/>
          <w:sz w:val="20"/>
          <w:szCs w:val="20"/>
          <w:lang w:eastAsia="en-CA"/>
        </w:rPr>
        <w:fldChar w:fldCharType="end"/>
      </w:r>
      <w:r w:rsidRPr="00066C81">
        <w:rPr>
          <w:rFonts w:eastAsia="Times New Roman" w:cs="Times New Roman"/>
          <w:sz w:val="20"/>
          <w:szCs w:val="20"/>
          <w:lang w:eastAsia="en-CA"/>
        </w:rPr>
        <w:t xml:space="preserve">for an order stating constitutional questions </w:t>
      </w:r>
      <w:r w:rsidRPr="00066C81">
        <w:rPr>
          <w:rFonts w:eastAsia="Times New Roman" w:cs="Times New Roman"/>
          <w:sz w:val="20"/>
          <w:szCs w:val="20"/>
          <w:lang w:val="en-US" w:eastAsia="en-CA"/>
        </w:rPr>
        <w:t>in the above appeal;</w:t>
      </w:r>
    </w:p>
    <w:p w:rsidR="00066C81" w:rsidRPr="00066C81" w:rsidRDefault="00066C81" w:rsidP="00066C81">
      <w:pPr>
        <w:jc w:val="both"/>
        <w:rPr>
          <w:rFonts w:eastAsia="Times New Roman" w:cs="Times New Roman"/>
          <w:b/>
          <w:bCs/>
          <w:sz w:val="20"/>
          <w:szCs w:val="20"/>
          <w:lang w:val="en-US" w:eastAsia="en-CA"/>
        </w:rPr>
      </w:pPr>
    </w:p>
    <w:p w:rsidR="00066C81" w:rsidRPr="00066C81" w:rsidRDefault="00066C81" w:rsidP="00066C81">
      <w:pPr>
        <w:jc w:val="both"/>
        <w:rPr>
          <w:rFonts w:eastAsia="Times New Roman" w:cs="Times New Roman"/>
          <w:sz w:val="20"/>
          <w:szCs w:val="20"/>
          <w:lang w:val="en-US" w:eastAsia="en-CA"/>
        </w:rPr>
      </w:pPr>
      <w:r w:rsidRPr="00066C81">
        <w:rPr>
          <w:rFonts w:eastAsia="Times New Roman" w:cs="Times New Roman"/>
          <w:b/>
          <w:bCs/>
          <w:sz w:val="20"/>
          <w:szCs w:val="20"/>
          <w:lang w:val="en-US" w:eastAsia="en-CA"/>
        </w:rPr>
        <w:t>AND THE MATERIAL FILED</w:t>
      </w:r>
      <w:r w:rsidRPr="00066C81">
        <w:rPr>
          <w:rFonts w:eastAsia="Times New Roman" w:cs="Times New Roman"/>
          <w:sz w:val="20"/>
          <w:szCs w:val="20"/>
          <w:lang w:val="en-US" w:eastAsia="en-CA"/>
        </w:rPr>
        <w:t xml:space="preserve"> having been read;</w:t>
      </w:r>
    </w:p>
    <w:p w:rsidR="00066C81" w:rsidRPr="00066C81" w:rsidRDefault="00066C81" w:rsidP="00066C81">
      <w:pPr>
        <w:jc w:val="both"/>
        <w:rPr>
          <w:rFonts w:eastAsia="Times New Roman" w:cs="Times New Roman"/>
          <w:sz w:val="20"/>
          <w:szCs w:val="20"/>
          <w:lang w:val="en-US" w:eastAsia="en-CA"/>
        </w:rPr>
      </w:pPr>
    </w:p>
    <w:p w:rsidR="00066C81" w:rsidRPr="00066C81" w:rsidRDefault="00066C81" w:rsidP="00066C81">
      <w:pPr>
        <w:jc w:val="both"/>
        <w:rPr>
          <w:rFonts w:eastAsia="Times New Roman" w:cs="Times New Roman"/>
          <w:b/>
          <w:bCs/>
          <w:sz w:val="20"/>
          <w:szCs w:val="20"/>
          <w:lang w:val="en-US" w:eastAsia="en-CA"/>
        </w:rPr>
      </w:pPr>
      <w:r w:rsidRPr="00066C81">
        <w:rPr>
          <w:rFonts w:eastAsia="Times New Roman" w:cs="Times New Roman"/>
          <w:b/>
          <w:bCs/>
          <w:sz w:val="20"/>
          <w:szCs w:val="20"/>
          <w:lang w:val="en-US" w:eastAsia="en-CA"/>
        </w:rPr>
        <w:t>IT IS HEREBY ORDERED THAT THE CONSTITUTIONAL QUESTIONS BE STATED AS FOLLOW:</w:t>
      </w:r>
    </w:p>
    <w:p w:rsidR="00066C81" w:rsidRPr="00066C81" w:rsidRDefault="00066C81" w:rsidP="00066C81">
      <w:pPr>
        <w:jc w:val="both"/>
        <w:rPr>
          <w:rFonts w:eastAsia="Times New Roman" w:cs="Times New Roman"/>
          <w:sz w:val="20"/>
          <w:szCs w:val="20"/>
          <w:lang w:val="en-US" w:eastAsia="en-CA"/>
        </w:rPr>
      </w:pPr>
    </w:p>
    <w:p w:rsidR="00066C81" w:rsidRPr="00066C81" w:rsidRDefault="00066C81" w:rsidP="00066C81">
      <w:pPr>
        <w:numPr>
          <w:ilvl w:val="0"/>
          <w:numId w:val="7"/>
        </w:numPr>
        <w:autoSpaceDE w:val="0"/>
        <w:autoSpaceDN w:val="0"/>
        <w:ind w:left="1080" w:right="720"/>
        <w:contextualSpacing/>
        <w:jc w:val="both"/>
        <w:rPr>
          <w:rFonts w:cs="Times New Roman"/>
          <w:sz w:val="20"/>
          <w:szCs w:val="20"/>
        </w:rPr>
      </w:pPr>
      <w:r w:rsidRPr="00066C81">
        <w:rPr>
          <w:rFonts w:cs="Times New Roman"/>
          <w:sz w:val="20"/>
          <w:szCs w:val="20"/>
        </w:rPr>
        <w:t xml:space="preserve">Does s. 10(1) of the </w:t>
      </w:r>
      <w:r w:rsidRPr="00066C81">
        <w:rPr>
          <w:rFonts w:cs="Times New Roman"/>
          <w:i/>
          <w:iCs/>
          <w:sz w:val="20"/>
          <w:szCs w:val="20"/>
        </w:rPr>
        <w:t>Abolition of Early Parole Act</w:t>
      </w:r>
      <w:r w:rsidRPr="00066C81">
        <w:rPr>
          <w:rFonts w:cs="Times New Roman"/>
          <w:sz w:val="20"/>
          <w:szCs w:val="20"/>
        </w:rPr>
        <w:t xml:space="preserve">, S.C. 2011, c. 11, to the extent that it applies to offenders sentenced before the </w:t>
      </w:r>
      <w:r w:rsidRPr="00066C81">
        <w:rPr>
          <w:rFonts w:cs="Times New Roman"/>
          <w:i/>
          <w:iCs/>
          <w:sz w:val="20"/>
          <w:szCs w:val="20"/>
        </w:rPr>
        <w:t>Abolition of Early Parole Act</w:t>
      </w:r>
      <w:r w:rsidRPr="00066C81">
        <w:rPr>
          <w:rFonts w:cs="Times New Roman"/>
          <w:sz w:val="20"/>
          <w:szCs w:val="20"/>
        </w:rPr>
        <w:t xml:space="preserve"> came into force on March 28, 2011, infringe s. 11(h) of the </w:t>
      </w:r>
      <w:r w:rsidRPr="00066C81">
        <w:rPr>
          <w:rFonts w:cs="Times New Roman"/>
          <w:i/>
          <w:iCs/>
          <w:sz w:val="20"/>
          <w:szCs w:val="20"/>
        </w:rPr>
        <w:t>Canadian Charter of Rights and Freedoms</w:t>
      </w:r>
      <w:r w:rsidRPr="00066C81">
        <w:rPr>
          <w:rFonts w:cs="Times New Roman"/>
          <w:sz w:val="20"/>
          <w:szCs w:val="20"/>
        </w:rPr>
        <w:t xml:space="preserve">? </w:t>
      </w:r>
    </w:p>
    <w:p w:rsidR="00066C81" w:rsidRPr="00066C81" w:rsidRDefault="00066C81" w:rsidP="00066C81">
      <w:pPr>
        <w:ind w:left="1080" w:right="720" w:hanging="360"/>
        <w:contextualSpacing/>
        <w:jc w:val="both"/>
        <w:rPr>
          <w:rFonts w:cs="Times New Roman"/>
          <w:sz w:val="20"/>
          <w:szCs w:val="20"/>
        </w:rPr>
      </w:pPr>
    </w:p>
    <w:p w:rsidR="00066C81" w:rsidRPr="00066C81" w:rsidRDefault="00066C81" w:rsidP="00066C81">
      <w:pPr>
        <w:numPr>
          <w:ilvl w:val="0"/>
          <w:numId w:val="7"/>
        </w:numPr>
        <w:autoSpaceDE w:val="0"/>
        <w:autoSpaceDN w:val="0"/>
        <w:ind w:left="1080" w:right="720"/>
        <w:contextualSpacing/>
        <w:jc w:val="both"/>
        <w:rPr>
          <w:rFonts w:cs="Times New Roman"/>
          <w:sz w:val="20"/>
          <w:szCs w:val="20"/>
        </w:rPr>
      </w:pPr>
      <w:r w:rsidRPr="00066C81">
        <w:rPr>
          <w:rFonts w:cs="Times New Roman"/>
          <w:sz w:val="20"/>
          <w:szCs w:val="20"/>
        </w:rPr>
        <w:t xml:space="preserve">If so, is the infringement a reasonable limit prescribed by law as can be demonstrably justified in a free and democratic society under s. 1 of the </w:t>
      </w:r>
      <w:r w:rsidRPr="00066C81">
        <w:rPr>
          <w:rFonts w:cs="Times New Roman"/>
          <w:i/>
          <w:iCs/>
          <w:sz w:val="20"/>
          <w:szCs w:val="20"/>
        </w:rPr>
        <w:t>Canadian Charter of Rights and Freedoms</w:t>
      </w:r>
      <w:r w:rsidRPr="00066C81">
        <w:rPr>
          <w:rFonts w:cs="Times New Roman"/>
          <w:sz w:val="20"/>
          <w:szCs w:val="20"/>
        </w:rPr>
        <w:t>?</w:t>
      </w:r>
    </w:p>
    <w:p w:rsidR="00066C81" w:rsidRPr="00066C81" w:rsidRDefault="00066C81" w:rsidP="00066C81">
      <w:pPr>
        <w:ind w:left="1080" w:right="720" w:hanging="360"/>
        <w:jc w:val="both"/>
        <w:rPr>
          <w:rFonts w:eastAsia="Times New Roman" w:cs="Times New Roman"/>
          <w:sz w:val="20"/>
          <w:szCs w:val="20"/>
          <w:lang w:eastAsia="en-CA"/>
        </w:rPr>
      </w:pPr>
    </w:p>
    <w:p w:rsidR="00066C81" w:rsidRPr="00066C81" w:rsidRDefault="00066C81" w:rsidP="00066C81">
      <w:pPr>
        <w:numPr>
          <w:ilvl w:val="0"/>
          <w:numId w:val="7"/>
        </w:numPr>
        <w:autoSpaceDE w:val="0"/>
        <w:autoSpaceDN w:val="0"/>
        <w:ind w:left="1080" w:right="720"/>
        <w:contextualSpacing/>
        <w:jc w:val="both"/>
        <w:rPr>
          <w:rFonts w:cs="Times New Roman"/>
          <w:sz w:val="20"/>
          <w:szCs w:val="20"/>
        </w:rPr>
      </w:pPr>
      <w:r w:rsidRPr="00066C81">
        <w:rPr>
          <w:rFonts w:cs="Times New Roman"/>
          <w:sz w:val="20"/>
          <w:szCs w:val="20"/>
        </w:rPr>
        <w:t xml:space="preserve">Does s. 10(1) of the </w:t>
      </w:r>
      <w:r w:rsidRPr="00066C81">
        <w:rPr>
          <w:rFonts w:cs="Times New Roman"/>
          <w:i/>
          <w:iCs/>
          <w:sz w:val="20"/>
          <w:szCs w:val="20"/>
        </w:rPr>
        <w:t>Abolition of Early Parole Act</w:t>
      </w:r>
      <w:r w:rsidRPr="00066C81">
        <w:rPr>
          <w:rFonts w:cs="Times New Roman"/>
          <w:sz w:val="20"/>
          <w:szCs w:val="20"/>
        </w:rPr>
        <w:t xml:space="preserve">, S.C. 2011, c. 11, to the extent that it applies to offenders sentenced before the </w:t>
      </w:r>
      <w:r w:rsidRPr="00066C81">
        <w:rPr>
          <w:rFonts w:cs="Times New Roman"/>
          <w:i/>
          <w:iCs/>
          <w:sz w:val="20"/>
          <w:szCs w:val="20"/>
        </w:rPr>
        <w:t>Abolition of Early Parole Act</w:t>
      </w:r>
      <w:r w:rsidRPr="00066C81">
        <w:rPr>
          <w:rFonts w:cs="Times New Roman"/>
          <w:sz w:val="20"/>
          <w:szCs w:val="20"/>
        </w:rPr>
        <w:t xml:space="preserve"> came into force on March 28, 2011, infringe s. 7 of the </w:t>
      </w:r>
      <w:r w:rsidRPr="00066C81">
        <w:rPr>
          <w:rFonts w:cs="Times New Roman"/>
          <w:i/>
          <w:iCs/>
          <w:sz w:val="20"/>
          <w:szCs w:val="20"/>
        </w:rPr>
        <w:t>Canadian Charter of Rights and Freedoms</w:t>
      </w:r>
      <w:r w:rsidRPr="00066C81">
        <w:rPr>
          <w:rFonts w:cs="Times New Roman"/>
          <w:sz w:val="20"/>
          <w:szCs w:val="20"/>
        </w:rPr>
        <w:t xml:space="preserve">? </w:t>
      </w:r>
    </w:p>
    <w:p w:rsidR="00066C81" w:rsidRPr="00066C81" w:rsidRDefault="00066C81" w:rsidP="00066C81">
      <w:pPr>
        <w:ind w:left="1080" w:right="720" w:hanging="360"/>
        <w:jc w:val="both"/>
        <w:rPr>
          <w:rFonts w:eastAsia="Times New Roman" w:cs="Times New Roman"/>
          <w:sz w:val="20"/>
          <w:szCs w:val="20"/>
          <w:lang w:eastAsia="en-CA"/>
        </w:rPr>
      </w:pPr>
    </w:p>
    <w:p w:rsidR="00066C81" w:rsidRPr="00066C81" w:rsidRDefault="00066C81" w:rsidP="00066C81">
      <w:pPr>
        <w:numPr>
          <w:ilvl w:val="0"/>
          <w:numId w:val="7"/>
        </w:numPr>
        <w:autoSpaceDE w:val="0"/>
        <w:autoSpaceDN w:val="0"/>
        <w:ind w:left="1080" w:right="720"/>
        <w:contextualSpacing/>
        <w:jc w:val="both"/>
        <w:rPr>
          <w:rFonts w:cs="Times New Roman"/>
          <w:sz w:val="20"/>
          <w:szCs w:val="20"/>
        </w:rPr>
      </w:pPr>
      <w:r w:rsidRPr="00066C81">
        <w:rPr>
          <w:rFonts w:cs="Times New Roman"/>
          <w:sz w:val="20"/>
          <w:szCs w:val="20"/>
        </w:rPr>
        <w:t xml:space="preserve">If so, is the infringement a reasonable limit prescribed by law as can be demonstrably justified in a free and democratic society under s. 1 of the </w:t>
      </w:r>
      <w:r w:rsidRPr="00066C81">
        <w:rPr>
          <w:rFonts w:cs="Times New Roman"/>
          <w:i/>
          <w:iCs/>
          <w:sz w:val="20"/>
          <w:szCs w:val="20"/>
        </w:rPr>
        <w:t>Canadian Charter of Rights and Freedoms</w:t>
      </w:r>
      <w:r w:rsidRPr="00066C81">
        <w:rPr>
          <w:rFonts w:cs="Times New Roman"/>
          <w:sz w:val="20"/>
          <w:szCs w:val="20"/>
        </w:rPr>
        <w:t>?</w:t>
      </w:r>
    </w:p>
    <w:p w:rsidR="00066C81" w:rsidRPr="00066C81" w:rsidRDefault="00066C81" w:rsidP="00066C81">
      <w:pPr>
        <w:ind w:right="720"/>
        <w:jc w:val="both"/>
        <w:rPr>
          <w:rFonts w:eastAsia="Times New Roman" w:cs="Times New Roman"/>
          <w:sz w:val="20"/>
          <w:szCs w:val="20"/>
          <w:lang w:eastAsia="en-CA"/>
        </w:rPr>
      </w:pPr>
    </w:p>
    <w:p w:rsidR="00066C81" w:rsidRPr="00066C81" w:rsidRDefault="00066C81" w:rsidP="00066C81">
      <w:pPr>
        <w:ind w:right="720"/>
        <w:jc w:val="both"/>
        <w:rPr>
          <w:rFonts w:eastAsia="Times New Roman" w:cs="Times New Roman"/>
          <w:b/>
          <w:sz w:val="20"/>
          <w:szCs w:val="20"/>
          <w:lang w:eastAsia="en-CA"/>
        </w:rPr>
      </w:pPr>
      <w:r w:rsidRPr="00066C81">
        <w:rPr>
          <w:rFonts w:eastAsia="Times New Roman" w:cs="Times New Roman"/>
          <w:b/>
          <w:sz w:val="20"/>
          <w:szCs w:val="20"/>
          <w:lang w:eastAsia="en-CA"/>
        </w:rPr>
        <w:t>IT IS HEREBY FURTHER ORDERED THAT:</w:t>
      </w:r>
    </w:p>
    <w:p w:rsidR="00066C81" w:rsidRPr="00066C81" w:rsidRDefault="00066C81" w:rsidP="00066C81">
      <w:pPr>
        <w:ind w:right="720"/>
        <w:jc w:val="both"/>
        <w:rPr>
          <w:rFonts w:eastAsia="Times New Roman" w:cs="Times New Roman"/>
          <w:sz w:val="20"/>
          <w:szCs w:val="20"/>
          <w:lang w:eastAsia="en-CA"/>
        </w:rPr>
      </w:pPr>
    </w:p>
    <w:p w:rsidR="00066C81" w:rsidRPr="00066C81" w:rsidRDefault="00066C81" w:rsidP="00066C81">
      <w:pPr>
        <w:numPr>
          <w:ilvl w:val="0"/>
          <w:numId w:val="8"/>
        </w:numPr>
        <w:spacing w:after="200"/>
        <w:ind w:left="1080" w:right="720"/>
        <w:jc w:val="both"/>
        <w:rPr>
          <w:rFonts w:cs="Times New Roman"/>
          <w:sz w:val="20"/>
          <w:szCs w:val="20"/>
        </w:rPr>
      </w:pPr>
      <w:r w:rsidRPr="00066C81">
        <w:rPr>
          <w:rFonts w:cs="Times New Roman"/>
          <w:sz w:val="20"/>
          <w:szCs w:val="20"/>
        </w:rPr>
        <w:t>The notice of constitutional question shall be served and filed on or before June 10, 2013;</w:t>
      </w:r>
    </w:p>
    <w:p w:rsidR="00066C81" w:rsidRPr="00066C81" w:rsidRDefault="00066C81" w:rsidP="00066C81">
      <w:pPr>
        <w:numPr>
          <w:ilvl w:val="0"/>
          <w:numId w:val="8"/>
        </w:numPr>
        <w:spacing w:after="200"/>
        <w:ind w:left="1080" w:right="720"/>
        <w:jc w:val="both"/>
        <w:rPr>
          <w:rFonts w:cs="Times New Roman"/>
          <w:sz w:val="20"/>
          <w:szCs w:val="20"/>
        </w:rPr>
      </w:pPr>
      <w:r w:rsidRPr="00066C81">
        <w:rPr>
          <w:rFonts w:cs="Times New Roman"/>
          <w:sz w:val="20"/>
          <w:szCs w:val="20"/>
        </w:rPr>
        <w:t>Any notices of intervention shall be served and filed on or before July 2, 2013;</w:t>
      </w:r>
    </w:p>
    <w:p w:rsidR="00066C81" w:rsidRPr="00066C81" w:rsidRDefault="00066C81" w:rsidP="00066C81">
      <w:pPr>
        <w:numPr>
          <w:ilvl w:val="0"/>
          <w:numId w:val="8"/>
        </w:numPr>
        <w:spacing w:after="200"/>
        <w:ind w:left="1080" w:right="720"/>
        <w:jc w:val="both"/>
        <w:rPr>
          <w:rFonts w:cs="Times New Roman"/>
          <w:sz w:val="20"/>
          <w:szCs w:val="20"/>
        </w:rPr>
      </w:pPr>
      <w:r w:rsidRPr="00066C81">
        <w:rPr>
          <w:rFonts w:cs="Times New Roman"/>
          <w:sz w:val="20"/>
          <w:szCs w:val="20"/>
        </w:rPr>
        <w:t>The appellant’s record, factum and book of authorities shall be served and filed on or before August 2, 2013;</w:t>
      </w:r>
    </w:p>
    <w:p w:rsidR="00066C81" w:rsidRPr="00066C81" w:rsidRDefault="00066C81" w:rsidP="00066C81">
      <w:pPr>
        <w:numPr>
          <w:ilvl w:val="0"/>
          <w:numId w:val="8"/>
        </w:numPr>
        <w:spacing w:after="200"/>
        <w:ind w:left="1080" w:right="720"/>
        <w:jc w:val="both"/>
        <w:rPr>
          <w:rFonts w:cs="Times New Roman"/>
          <w:sz w:val="20"/>
          <w:szCs w:val="20"/>
        </w:rPr>
      </w:pPr>
      <w:r w:rsidRPr="00066C81">
        <w:rPr>
          <w:rFonts w:cs="Times New Roman"/>
          <w:sz w:val="20"/>
          <w:szCs w:val="20"/>
        </w:rPr>
        <w:t>Any person interested in applying for leave to intervene shall serve and file their motion on or before August 21, 2013;</w:t>
      </w:r>
    </w:p>
    <w:p w:rsidR="00066C81" w:rsidRPr="00066C81" w:rsidRDefault="00066C81" w:rsidP="00066C81">
      <w:pPr>
        <w:numPr>
          <w:ilvl w:val="0"/>
          <w:numId w:val="8"/>
        </w:numPr>
        <w:spacing w:after="200"/>
        <w:ind w:left="1080" w:right="720"/>
        <w:jc w:val="both"/>
        <w:rPr>
          <w:rFonts w:cs="Times New Roman"/>
          <w:sz w:val="20"/>
          <w:szCs w:val="20"/>
        </w:rPr>
      </w:pPr>
      <w:r w:rsidRPr="00066C81">
        <w:rPr>
          <w:rFonts w:cs="Times New Roman"/>
          <w:sz w:val="20"/>
          <w:szCs w:val="20"/>
        </w:rPr>
        <w:t>The responses to any motion for leave to intervene shall be served and filed on or before August 27, 2013;</w:t>
      </w:r>
    </w:p>
    <w:p w:rsidR="00066C81" w:rsidRPr="00066C81" w:rsidRDefault="00066C81" w:rsidP="00066C81">
      <w:pPr>
        <w:numPr>
          <w:ilvl w:val="0"/>
          <w:numId w:val="8"/>
        </w:numPr>
        <w:spacing w:after="200"/>
        <w:ind w:left="1080" w:right="720"/>
        <w:jc w:val="both"/>
        <w:rPr>
          <w:rFonts w:cs="Times New Roman"/>
          <w:sz w:val="20"/>
          <w:szCs w:val="20"/>
        </w:rPr>
      </w:pPr>
      <w:r w:rsidRPr="00066C81">
        <w:rPr>
          <w:rFonts w:cs="Times New Roman"/>
          <w:sz w:val="20"/>
          <w:szCs w:val="20"/>
        </w:rPr>
        <w:t>The replies on any motion for leave to intervene shall be served and filed on or before August 30, 2013;</w:t>
      </w:r>
    </w:p>
    <w:p w:rsidR="00066C81" w:rsidRPr="00066C81" w:rsidRDefault="00066C81" w:rsidP="00066C81">
      <w:pPr>
        <w:numPr>
          <w:ilvl w:val="0"/>
          <w:numId w:val="8"/>
        </w:numPr>
        <w:spacing w:after="200"/>
        <w:ind w:left="1080" w:right="720"/>
        <w:jc w:val="both"/>
        <w:rPr>
          <w:rFonts w:cs="Times New Roman"/>
          <w:sz w:val="20"/>
          <w:szCs w:val="20"/>
        </w:rPr>
      </w:pPr>
      <w:r w:rsidRPr="00066C81">
        <w:rPr>
          <w:rFonts w:cs="Times New Roman"/>
          <w:sz w:val="20"/>
          <w:szCs w:val="20"/>
        </w:rPr>
        <w:t xml:space="preserve">The respondents’ records, factums and books of authorities shall be served and filed on or before September 27, 2013; </w:t>
      </w:r>
    </w:p>
    <w:p w:rsidR="00066C81" w:rsidRPr="00066C81" w:rsidRDefault="00066C81" w:rsidP="00066C81">
      <w:pPr>
        <w:numPr>
          <w:ilvl w:val="0"/>
          <w:numId w:val="8"/>
        </w:numPr>
        <w:spacing w:after="200"/>
        <w:ind w:left="1080" w:right="720"/>
        <w:jc w:val="both"/>
        <w:rPr>
          <w:rFonts w:cs="Times New Roman"/>
          <w:sz w:val="20"/>
          <w:szCs w:val="20"/>
        </w:rPr>
      </w:pPr>
      <w:r w:rsidRPr="00066C81">
        <w:rPr>
          <w:rFonts w:cs="Times New Roman"/>
          <w:sz w:val="20"/>
          <w:szCs w:val="20"/>
        </w:rPr>
        <w:t>Any interveners under Rule 55 and any attorneys general intervening on constitutional questions shall each serve and file their factum and book of authorities on or before October 1, 2013;</w:t>
      </w:r>
    </w:p>
    <w:p w:rsidR="00066C81" w:rsidRPr="00066C81" w:rsidRDefault="00066C81" w:rsidP="00066C81">
      <w:pPr>
        <w:numPr>
          <w:ilvl w:val="0"/>
          <w:numId w:val="8"/>
        </w:numPr>
        <w:ind w:left="1080" w:right="720"/>
        <w:jc w:val="both"/>
        <w:rPr>
          <w:rFonts w:cs="Times New Roman"/>
          <w:sz w:val="20"/>
          <w:szCs w:val="20"/>
        </w:rPr>
      </w:pPr>
      <w:r w:rsidRPr="00066C81">
        <w:rPr>
          <w:rFonts w:cs="Times New Roman"/>
          <w:sz w:val="20"/>
          <w:szCs w:val="20"/>
        </w:rPr>
        <w:t xml:space="preserve">This appeal shall be heard on October 15, 2013.  </w:t>
      </w:r>
    </w:p>
    <w:p w:rsidR="00066C81" w:rsidRPr="00066C81" w:rsidRDefault="00066C81" w:rsidP="00066C81">
      <w:pPr>
        <w:ind w:right="720"/>
        <w:jc w:val="both"/>
        <w:rPr>
          <w:rFonts w:eastAsia="Times New Roman" w:cs="Times New Roman"/>
          <w:sz w:val="20"/>
          <w:szCs w:val="20"/>
          <w:lang w:eastAsia="en-CA"/>
        </w:rPr>
      </w:pPr>
    </w:p>
    <w:p w:rsidR="00066C81" w:rsidRPr="00066C81" w:rsidRDefault="00066C81" w:rsidP="00066C81">
      <w:pPr>
        <w:jc w:val="both"/>
        <w:rPr>
          <w:rFonts w:eastAsia="Times New Roman" w:cs="Times New Roman"/>
          <w:bCs/>
          <w:sz w:val="20"/>
          <w:szCs w:val="20"/>
          <w:lang w:eastAsia="en-CA"/>
        </w:rPr>
      </w:pPr>
    </w:p>
    <w:p w:rsidR="00066C81" w:rsidRPr="00066C81" w:rsidRDefault="00066C81" w:rsidP="00066C81">
      <w:pPr>
        <w:jc w:val="both"/>
        <w:rPr>
          <w:rFonts w:eastAsia="Times New Roman" w:cs="Times New Roman"/>
          <w:bCs/>
          <w:sz w:val="20"/>
          <w:szCs w:val="20"/>
          <w:lang w:eastAsia="en-CA"/>
        </w:rPr>
      </w:pPr>
    </w:p>
    <w:p w:rsidR="00066C81" w:rsidRPr="00066C81" w:rsidRDefault="00066C81" w:rsidP="00066C81">
      <w:pPr>
        <w:jc w:val="both"/>
        <w:rPr>
          <w:rFonts w:eastAsia="Times New Roman" w:cs="Times New Roman"/>
          <w:sz w:val="20"/>
          <w:szCs w:val="20"/>
          <w:lang w:val="fr-CA" w:eastAsia="en-CA"/>
        </w:rPr>
      </w:pPr>
      <w:r w:rsidRPr="00066C81">
        <w:rPr>
          <w:rFonts w:eastAsia="Times New Roman" w:cs="Times New Roman"/>
          <w:b/>
          <w:bCs/>
          <w:sz w:val="20"/>
          <w:szCs w:val="20"/>
          <w:lang w:val="fr-CA" w:eastAsia="en-CA"/>
        </w:rPr>
        <w:t>À LA SUITE DE LA DEMANDE</w:t>
      </w:r>
      <w:r w:rsidRPr="00066C81">
        <w:rPr>
          <w:rFonts w:eastAsia="Times New Roman" w:cs="Times New Roman"/>
          <w:sz w:val="20"/>
          <w:szCs w:val="20"/>
          <w:lang w:val="fr-CA" w:eastAsia="en-CA"/>
        </w:rPr>
        <w:t xml:space="preserve"> de l’appelant visant à obtenir la formulation de questions constitutionnelles dans l'appel susmentionné;</w:t>
      </w:r>
    </w:p>
    <w:p w:rsidR="00066C81" w:rsidRPr="00066C81" w:rsidRDefault="00066C81" w:rsidP="00066C81">
      <w:pPr>
        <w:jc w:val="both"/>
        <w:rPr>
          <w:rFonts w:eastAsia="Times New Roman" w:cs="Times New Roman"/>
          <w:sz w:val="20"/>
          <w:szCs w:val="20"/>
          <w:lang w:val="fr-CA" w:eastAsia="en-CA"/>
        </w:rPr>
      </w:pPr>
    </w:p>
    <w:p w:rsidR="00066C81" w:rsidRPr="00066C81" w:rsidRDefault="00066C81" w:rsidP="00066C81">
      <w:pPr>
        <w:jc w:val="both"/>
        <w:rPr>
          <w:rFonts w:eastAsia="Times New Roman" w:cs="Times New Roman"/>
          <w:sz w:val="20"/>
          <w:szCs w:val="20"/>
          <w:lang w:val="fr-CA" w:eastAsia="en-CA"/>
        </w:rPr>
      </w:pPr>
      <w:r w:rsidRPr="00066C81">
        <w:rPr>
          <w:rFonts w:eastAsia="Times New Roman" w:cs="Times New Roman"/>
          <w:b/>
          <w:bCs/>
          <w:sz w:val="20"/>
          <w:szCs w:val="20"/>
          <w:lang w:val="fr-CA" w:eastAsia="en-CA"/>
        </w:rPr>
        <w:t>ET APRÈS AVOIR LU</w:t>
      </w:r>
      <w:r w:rsidRPr="00066C81">
        <w:rPr>
          <w:rFonts w:eastAsia="Times New Roman" w:cs="Times New Roman"/>
          <w:sz w:val="20"/>
          <w:szCs w:val="20"/>
          <w:lang w:val="fr-CA" w:eastAsia="en-CA"/>
        </w:rPr>
        <w:t xml:space="preserve"> la documentation déposée;</w:t>
      </w:r>
    </w:p>
    <w:p w:rsidR="00066C81" w:rsidRPr="00066C81" w:rsidRDefault="00066C81" w:rsidP="00066C81">
      <w:pPr>
        <w:jc w:val="both"/>
        <w:rPr>
          <w:rFonts w:eastAsia="Times New Roman" w:cs="Times New Roman"/>
          <w:sz w:val="20"/>
          <w:szCs w:val="20"/>
          <w:lang w:val="fr-CA" w:eastAsia="en-CA"/>
        </w:rPr>
      </w:pPr>
    </w:p>
    <w:p w:rsidR="00066C81" w:rsidRPr="00066C81" w:rsidRDefault="00066C81" w:rsidP="00066C81">
      <w:pPr>
        <w:jc w:val="both"/>
        <w:rPr>
          <w:rFonts w:eastAsia="Times New Roman" w:cs="Times New Roman"/>
          <w:sz w:val="20"/>
          <w:szCs w:val="20"/>
          <w:lang w:val="fr-CA" w:eastAsia="en-CA"/>
        </w:rPr>
      </w:pPr>
      <w:r w:rsidRPr="00066C81">
        <w:rPr>
          <w:rFonts w:eastAsia="Times New Roman" w:cs="Times New Roman"/>
          <w:b/>
          <w:bCs/>
          <w:sz w:val="20"/>
          <w:szCs w:val="20"/>
          <w:lang w:val="fr-CA" w:eastAsia="en-CA"/>
        </w:rPr>
        <w:t>LES QUESTIONS CONSTITUTIONNELLES SUIVANTES ONT ÉTÉ FORMULÉES :</w:t>
      </w:r>
    </w:p>
    <w:p w:rsidR="00066C81" w:rsidRPr="00066C81" w:rsidRDefault="00066C81" w:rsidP="00066C81">
      <w:pPr>
        <w:ind w:right="720"/>
        <w:jc w:val="both"/>
        <w:rPr>
          <w:rFonts w:eastAsia="Times New Roman" w:cs="Times New Roman"/>
          <w:sz w:val="20"/>
          <w:szCs w:val="20"/>
          <w:lang w:val="fr-FR" w:eastAsia="en-CA"/>
        </w:rPr>
      </w:pPr>
    </w:p>
    <w:p w:rsidR="00066C81" w:rsidRPr="00066C81" w:rsidRDefault="00066C81" w:rsidP="00066C81">
      <w:pPr>
        <w:numPr>
          <w:ilvl w:val="0"/>
          <w:numId w:val="10"/>
        </w:numPr>
        <w:autoSpaceDE w:val="0"/>
        <w:autoSpaceDN w:val="0"/>
        <w:ind w:right="720"/>
        <w:contextualSpacing/>
        <w:jc w:val="both"/>
        <w:rPr>
          <w:rFonts w:cs="Times New Roman"/>
          <w:sz w:val="20"/>
          <w:szCs w:val="20"/>
          <w:lang w:val="fr-FR"/>
        </w:rPr>
      </w:pPr>
      <w:r w:rsidRPr="00066C81">
        <w:rPr>
          <w:rFonts w:cs="Times New Roman"/>
          <w:sz w:val="20"/>
          <w:szCs w:val="20"/>
          <w:lang w:val="fr-FR"/>
        </w:rPr>
        <w:lastRenderedPageBreak/>
        <w:t xml:space="preserve">Dans la mesure où le par. 10(1) de la </w:t>
      </w:r>
      <w:r w:rsidRPr="00066C81">
        <w:rPr>
          <w:rFonts w:cs="Times New Roman"/>
          <w:i/>
          <w:sz w:val="20"/>
          <w:szCs w:val="20"/>
          <w:lang w:val="fr-FR"/>
        </w:rPr>
        <w:t>Loi sur l’abolition de la libération anticipée des criminels</w:t>
      </w:r>
      <w:r w:rsidRPr="00066C81">
        <w:rPr>
          <w:rFonts w:cs="Times New Roman"/>
          <w:sz w:val="20"/>
          <w:szCs w:val="20"/>
          <w:lang w:val="fr-FR"/>
        </w:rPr>
        <w:t>, L.C. 2011, ch. 11, s’applique aux délinquants condamnés avant l’entrée en vigueur de cette loi le 28 mars 2011, est-ce qu’il viole l’al. 11</w:t>
      </w:r>
      <w:r w:rsidRPr="00066C81">
        <w:rPr>
          <w:rFonts w:cs="Times New Roman"/>
          <w:i/>
          <w:sz w:val="20"/>
          <w:szCs w:val="20"/>
          <w:lang w:val="fr-FR"/>
        </w:rPr>
        <w:t>h</w:t>
      </w:r>
      <w:r w:rsidRPr="00066C81">
        <w:rPr>
          <w:rFonts w:cs="Times New Roman"/>
          <w:sz w:val="20"/>
          <w:szCs w:val="20"/>
          <w:lang w:val="fr-FR"/>
        </w:rPr>
        <w:t xml:space="preserve">) de la </w:t>
      </w:r>
      <w:r w:rsidRPr="00066C81">
        <w:rPr>
          <w:rFonts w:cs="Times New Roman"/>
          <w:i/>
          <w:sz w:val="20"/>
          <w:szCs w:val="20"/>
          <w:lang w:val="fr-FR"/>
        </w:rPr>
        <w:t>Charte canadienne des droits et libertés</w:t>
      </w:r>
      <w:r w:rsidRPr="00066C81">
        <w:rPr>
          <w:rFonts w:cs="Times New Roman"/>
          <w:sz w:val="20"/>
          <w:szCs w:val="20"/>
          <w:lang w:val="fr-FR"/>
        </w:rPr>
        <w:t xml:space="preserve">? </w:t>
      </w:r>
    </w:p>
    <w:p w:rsidR="00066C81" w:rsidRPr="00066C81" w:rsidRDefault="00066C81" w:rsidP="00066C81">
      <w:pPr>
        <w:ind w:left="720" w:right="720"/>
        <w:contextualSpacing/>
        <w:jc w:val="both"/>
        <w:rPr>
          <w:rFonts w:cs="Times New Roman"/>
          <w:sz w:val="20"/>
          <w:szCs w:val="20"/>
          <w:lang w:val="fr-FR"/>
        </w:rPr>
      </w:pPr>
    </w:p>
    <w:p w:rsidR="00066C81" w:rsidRPr="00066C81" w:rsidRDefault="00066C81" w:rsidP="00066C81">
      <w:pPr>
        <w:numPr>
          <w:ilvl w:val="0"/>
          <w:numId w:val="10"/>
        </w:numPr>
        <w:autoSpaceDE w:val="0"/>
        <w:autoSpaceDN w:val="0"/>
        <w:ind w:right="720"/>
        <w:contextualSpacing/>
        <w:jc w:val="both"/>
        <w:rPr>
          <w:rFonts w:cs="Times New Roman"/>
          <w:sz w:val="20"/>
          <w:szCs w:val="20"/>
          <w:lang w:val="fr-FR"/>
        </w:rPr>
      </w:pPr>
      <w:r w:rsidRPr="00066C81">
        <w:rPr>
          <w:rFonts w:cs="Times New Roman"/>
          <w:sz w:val="20"/>
          <w:szCs w:val="20"/>
          <w:lang w:val="fr-FR"/>
        </w:rPr>
        <w:t xml:space="preserve">Dans l’affirmative, cette violation constitue-t-elle une limite raisonnable établie par une règle de droit et dont la justification peut se démontrer dans le cadre d’une société libre et démocratique conformément à l’article premier de la </w:t>
      </w:r>
      <w:r w:rsidRPr="00066C81">
        <w:rPr>
          <w:rFonts w:cs="Times New Roman"/>
          <w:i/>
          <w:sz w:val="20"/>
          <w:szCs w:val="20"/>
          <w:lang w:val="fr-FR"/>
        </w:rPr>
        <w:t>Charte canadienne des droits et libertés</w:t>
      </w:r>
      <w:r w:rsidRPr="00066C81">
        <w:rPr>
          <w:rFonts w:cs="Times New Roman"/>
          <w:sz w:val="20"/>
          <w:szCs w:val="20"/>
          <w:lang w:val="fr-FR"/>
        </w:rPr>
        <w:t>?</w:t>
      </w:r>
    </w:p>
    <w:p w:rsidR="00066C81" w:rsidRPr="00066C81" w:rsidRDefault="00066C81" w:rsidP="00066C81">
      <w:pPr>
        <w:ind w:right="720"/>
        <w:jc w:val="both"/>
        <w:rPr>
          <w:rFonts w:eastAsia="Times New Roman" w:cs="Times New Roman"/>
          <w:sz w:val="20"/>
          <w:szCs w:val="20"/>
          <w:lang w:val="fr-FR" w:eastAsia="en-CA"/>
        </w:rPr>
      </w:pPr>
    </w:p>
    <w:p w:rsidR="00066C81" w:rsidRPr="00066C81" w:rsidRDefault="00066C81" w:rsidP="00066C81">
      <w:pPr>
        <w:numPr>
          <w:ilvl w:val="0"/>
          <w:numId w:val="10"/>
        </w:numPr>
        <w:autoSpaceDE w:val="0"/>
        <w:autoSpaceDN w:val="0"/>
        <w:ind w:right="720"/>
        <w:contextualSpacing/>
        <w:jc w:val="both"/>
        <w:rPr>
          <w:rFonts w:cs="Times New Roman"/>
          <w:sz w:val="20"/>
          <w:szCs w:val="20"/>
          <w:lang w:val="fr-CA"/>
        </w:rPr>
      </w:pPr>
      <w:r w:rsidRPr="00066C81">
        <w:rPr>
          <w:rFonts w:cs="Times New Roman"/>
          <w:sz w:val="20"/>
          <w:szCs w:val="20"/>
          <w:lang w:val="fr-FR"/>
        </w:rPr>
        <w:t xml:space="preserve">Dans la mesure où le par. 10(1) de la </w:t>
      </w:r>
      <w:r w:rsidRPr="00066C81">
        <w:rPr>
          <w:rFonts w:cs="Times New Roman"/>
          <w:i/>
          <w:sz w:val="20"/>
          <w:szCs w:val="20"/>
          <w:lang w:val="fr-FR"/>
        </w:rPr>
        <w:t>Loi sur l’abolition de la libération anticipée des criminels</w:t>
      </w:r>
      <w:r w:rsidRPr="00066C81">
        <w:rPr>
          <w:rFonts w:cs="Times New Roman"/>
          <w:sz w:val="20"/>
          <w:szCs w:val="20"/>
          <w:lang w:val="fr-FR"/>
        </w:rPr>
        <w:t xml:space="preserve">, L.C. 2011, ch. 11, s’applique aux délinquants condamnés avant l’entrée en vigueur de cette loi le 28 mars 2011, est-ce qu’il viole l’art. 7 de la </w:t>
      </w:r>
      <w:r w:rsidRPr="00066C81">
        <w:rPr>
          <w:rFonts w:cs="Times New Roman"/>
          <w:i/>
          <w:sz w:val="20"/>
          <w:szCs w:val="20"/>
          <w:lang w:val="fr-FR"/>
        </w:rPr>
        <w:t>Charte canadienne des droits et libertés</w:t>
      </w:r>
      <w:r w:rsidRPr="00066C81">
        <w:rPr>
          <w:rFonts w:cs="Times New Roman"/>
          <w:sz w:val="20"/>
          <w:szCs w:val="20"/>
          <w:lang w:val="fr-FR"/>
        </w:rPr>
        <w:t>?</w:t>
      </w:r>
      <w:r w:rsidRPr="00066C81">
        <w:rPr>
          <w:rFonts w:cs="Times New Roman"/>
          <w:sz w:val="20"/>
          <w:szCs w:val="20"/>
          <w:lang w:val="fr-CA"/>
        </w:rPr>
        <w:t xml:space="preserve"> </w:t>
      </w:r>
    </w:p>
    <w:p w:rsidR="00066C81" w:rsidRPr="00066C81" w:rsidRDefault="00066C81" w:rsidP="00066C81">
      <w:pPr>
        <w:ind w:right="720"/>
        <w:jc w:val="both"/>
        <w:rPr>
          <w:rFonts w:eastAsia="Times New Roman" w:cs="Times New Roman"/>
          <w:sz w:val="20"/>
          <w:szCs w:val="20"/>
          <w:lang w:val="fr-CA" w:eastAsia="en-CA"/>
        </w:rPr>
      </w:pPr>
    </w:p>
    <w:p w:rsidR="00066C81" w:rsidRPr="00066C81" w:rsidRDefault="00066C81" w:rsidP="00066C81">
      <w:pPr>
        <w:numPr>
          <w:ilvl w:val="0"/>
          <w:numId w:val="10"/>
        </w:numPr>
        <w:autoSpaceDE w:val="0"/>
        <w:autoSpaceDN w:val="0"/>
        <w:ind w:right="720"/>
        <w:contextualSpacing/>
        <w:jc w:val="both"/>
        <w:rPr>
          <w:rFonts w:cs="Times New Roman"/>
          <w:sz w:val="20"/>
          <w:szCs w:val="20"/>
          <w:lang w:val="fr-CA"/>
        </w:rPr>
      </w:pPr>
      <w:r w:rsidRPr="00066C81">
        <w:rPr>
          <w:rFonts w:cs="Times New Roman"/>
          <w:sz w:val="20"/>
          <w:szCs w:val="20"/>
          <w:lang w:val="fr-FR"/>
        </w:rPr>
        <w:t xml:space="preserve">Dans l’affirmative, cette violation constitue-t-elle une limite raisonnable établie par une règle de droit et dont la justification peut se démontrer dans le cadre d’une société libre et démocratique conformément à l’article premier de la </w:t>
      </w:r>
      <w:r w:rsidRPr="00066C81">
        <w:rPr>
          <w:rFonts w:cs="Times New Roman"/>
          <w:i/>
          <w:sz w:val="20"/>
          <w:szCs w:val="20"/>
          <w:lang w:val="fr-FR"/>
        </w:rPr>
        <w:t>Charte canadienne des droits et libertés</w:t>
      </w:r>
      <w:r w:rsidRPr="00066C81">
        <w:rPr>
          <w:rFonts w:cs="Times New Roman"/>
          <w:sz w:val="20"/>
          <w:szCs w:val="20"/>
          <w:lang w:val="fr-FR"/>
        </w:rPr>
        <w:t>?</w:t>
      </w:r>
    </w:p>
    <w:p w:rsidR="00066C81" w:rsidRPr="00066C81" w:rsidRDefault="00066C81" w:rsidP="00066C81">
      <w:pPr>
        <w:ind w:right="720"/>
        <w:jc w:val="both"/>
        <w:rPr>
          <w:rFonts w:eastAsia="Times New Roman" w:cs="Times New Roman"/>
          <w:sz w:val="20"/>
          <w:szCs w:val="20"/>
          <w:lang w:val="fr-CA" w:eastAsia="en-CA"/>
        </w:rPr>
      </w:pPr>
    </w:p>
    <w:p w:rsidR="00066C81" w:rsidRPr="00066C81" w:rsidRDefault="00066C81" w:rsidP="00066C81">
      <w:pPr>
        <w:ind w:right="720"/>
        <w:jc w:val="both"/>
        <w:rPr>
          <w:rFonts w:eastAsia="Times New Roman" w:cs="Times New Roman"/>
          <w:b/>
          <w:sz w:val="20"/>
          <w:szCs w:val="20"/>
          <w:lang w:val="fr-CA" w:eastAsia="en-CA"/>
        </w:rPr>
      </w:pPr>
      <w:r w:rsidRPr="00066C81">
        <w:rPr>
          <w:rFonts w:eastAsia="Times New Roman" w:cs="Times New Roman"/>
          <w:b/>
          <w:sz w:val="20"/>
          <w:szCs w:val="20"/>
          <w:lang w:val="fr-CA" w:eastAsia="en-CA"/>
        </w:rPr>
        <w:t>IL EST EN OUTRE ORDONNÉ CE QUI SUIT :</w:t>
      </w:r>
    </w:p>
    <w:p w:rsidR="00066C81" w:rsidRPr="00066C81" w:rsidRDefault="00066C81" w:rsidP="00066C81">
      <w:pPr>
        <w:ind w:right="720"/>
        <w:jc w:val="both"/>
        <w:rPr>
          <w:rFonts w:eastAsia="Times New Roman" w:cs="Times New Roman"/>
          <w:sz w:val="20"/>
          <w:szCs w:val="20"/>
          <w:lang w:val="fr-CA" w:eastAsia="en-CA"/>
        </w:rPr>
      </w:pPr>
    </w:p>
    <w:p w:rsidR="00066C81" w:rsidRPr="00066C81" w:rsidRDefault="00066C81" w:rsidP="00066C81">
      <w:pPr>
        <w:numPr>
          <w:ilvl w:val="0"/>
          <w:numId w:val="9"/>
        </w:numPr>
        <w:spacing w:after="200"/>
        <w:ind w:left="1080" w:right="720"/>
        <w:jc w:val="both"/>
        <w:rPr>
          <w:rFonts w:cs="Times New Roman"/>
          <w:sz w:val="20"/>
          <w:szCs w:val="20"/>
          <w:lang w:val="fr-CA"/>
        </w:rPr>
      </w:pPr>
      <w:r w:rsidRPr="00066C81">
        <w:rPr>
          <w:rFonts w:cs="Times New Roman"/>
          <w:sz w:val="20"/>
          <w:szCs w:val="20"/>
          <w:lang w:val="fr-CA"/>
        </w:rPr>
        <w:t>L’avis de questions constitutionnelles doit être signifié et déposé au plus tard le 10 juin 2013;</w:t>
      </w:r>
    </w:p>
    <w:p w:rsidR="00066C81" w:rsidRPr="00066C81" w:rsidRDefault="00066C81" w:rsidP="00066C81">
      <w:pPr>
        <w:numPr>
          <w:ilvl w:val="0"/>
          <w:numId w:val="9"/>
        </w:numPr>
        <w:spacing w:after="200"/>
        <w:ind w:left="1080" w:right="720"/>
        <w:jc w:val="both"/>
        <w:rPr>
          <w:rFonts w:cs="Times New Roman"/>
          <w:sz w:val="20"/>
          <w:szCs w:val="20"/>
          <w:lang w:val="fr-CA"/>
        </w:rPr>
      </w:pPr>
      <w:r w:rsidRPr="00066C81">
        <w:rPr>
          <w:rFonts w:cs="Times New Roman"/>
          <w:sz w:val="20"/>
          <w:szCs w:val="20"/>
          <w:lang w:val="fr-CA"/>
        </w:rPr>
        <w:t>tout avis d’intervention doit être signifié et déposé au plus tard le 2 juillet 2013;</w:t>
      </w:r>
    </w:p>
    <w:p w:rsidR="00066C81" w:rsidRPr="00066C81" w:rsidRDefault="00066C81" w:rsidP="00066C81">
      <w:pPr>
        <w:numPr>
          <w:ilvl w:val="0"/>
          <w:numId w:val="9"/>
        </w:numPr>
        <w:spacing w:after="200"/>
        <w:ind w:left="1080" w:right="720"/>
        <w:jc w:val="both"/>
        <w:rPr>
          <w:rFonts w:cs="Times New Roman"/>
          <w:sz w:val="20"/>
          <w:szCs w:val="20"/>
          <w:lang w:val="fr-CA"/>
        </w:rPr>
      </w:pPr>
      <w:r w:rsidRPr="00066C81">
        <w:rPr>
          <w:rFonts w:cs="Times New Roman"/>
          <w:sz w:val="20"/>
          <w:szCs w:val="20"/>
          <w:lang w:val="fr-CA"/>
        </w:rPr>
        <w:t>les dossier, mémoire et recueil de sources de l’appelant doivent être signifiés et déposés au plus tard le 2 août 2013;</w:t>
      </w:r>
    </w:p>
    <w:p w:rsidR="00066C81" w:rsidRPr="00066C81" w:rsidRDefault="00066C81" w:rsidP="00066C81">
      <w:pPr>
        <w:numPr>
          <w:ilvl w:val="0"/>
          <w:numId w:val="9"/>
        </w:numPr>
        <w:spacing w:after="200"/>
        <w:ind w:left="1080" w:right="720"/>
        <w:jc w:val="both"/>
        <w:rPr>
          <w:rFonts w:cs="Times New Roman"/>
          <w:sz w:val="20"/>
          <w:szCs w:val="20"/>
          <w:lang w:val="fr-CA"/>
        </w:rPr>
      </w:pPr>
      <w:r w:rsidRPr="00066C81">
        <w:rPr>
          <w:rFonts w:cs="Times New Roman"/>
          <w:sz w:val="20"/>
          <w:szCs w:val="20"/>
          <w:lang w:val="fr-CA"/>
        </w:rPr>
        <w:t>toute personne ayant un intérêt à demander l’autorisation d’intervenir doit signifier et déposer sa requête en intervention au plus tard le 21 août 2013;</w:t>
      </w:r>
    </w:p>
    <w:p w:rsidR="00066C81" w:rsidRPr="00066C81" w:rsidRDefault="00066C81" w:rsidP="00066C81">
      <w:pPr>
        <w:numPr>
          <w:ilvl w:val="0"/>
          <w:numId w:val="9"/>
        </w:numPr>
        <w:spacing w:after="200"/>
        <w:ind w:left="1080" w:right="720"/>
        <w:jc w:val="both"/>
        <w:rPr>
          <w:rFonts w:cs="Times New Roman"/>
          <w:sz w:val="20"/>
          <w:szCs w:val="20"/>
          <w:lang w:val="fr-CA"/>
        </w:rPr>
      </w:pPr>
      <w:r w:rsidRPr="00066C81">
        <w:rPr>
          <w:rFonts w:cs="Times New Roman"/>
          <w:sz w:val="20"/>
          <w:szCs w:val="20"/>
          <w:lang w:val="fr-CA"/>
        </w:rPr>
        <w:t>les réponses à toute requête en intervention doivent être signifiées et déposées au plus tard le 27 août 2013;</w:t>
      </w:r>
    </w:p>
    <w:p w:rsidR="00066C81" w:rsidRPr="00066C81" w:rsidRDefault="00066C81" w:rsidP="00066C81">
      <w:pPr>
        <w:numPr>
          <w:ilvl w:val="0"/>
          <w:numId w:val="9"/>
        </w:numPr>
        <w:spacing w:after="200"/>
        <w:ind w:left="1080" w:right="720"/>
        <w:jc w:val="both"/>
        <w:rPr>
          <w:rFonts w:cs="Times New Roman"/>
          <w:sz w:val="20"/>
          <w:szCs w:val="20"/>
          <w:lang w:val="fr-CA"/>
        </w:rPr>
      </w:pPr>
      <w:r w:rsidRPr="00066C81">
        <w:rPr>
          <w:rFonts w:cs="Times New Roman"/>
          <w:sz w:val="20"/>
          <w:szCs w:val="20"/>
          <w:lang w:val="fr-CA"/>
        </w:rPr>
        <w:t>les répliques aux réponses à une requête en intervention doivent être signifiées et déposées au plus tard le 30 août 2013;</w:t>
      </w:r>
    </w:p>
    <w:p w:rsidR="00066C81" w:rsidRPr="00066C81" w:rsidRDefault="00066C81" w:rsidP="00066C81">
      <w:pPr>
        <w:numPr>
          <w:ilvl w:val="0"/>
          <w:numId w:val="9"/>
        </w:numPr>
        <w:spacing w:after="200"/>
        <w:ind w:left="1080" w:right="720"/>
        <w:jc w:val="both"/>
        <w:rPr>
          <w:rFonts w:cs="Times New Roman"/>
          <w:sz w:val="20"/>
          <w:szCs w:val="20"/>
          <w:lang w:val="fr-CA"/>
        </w:rPr>
      </w:pPr>
      <w:r w:rsidRPr="00066C81">
        <w:rPr>
          <w:rFonts w:cs="Times New Roman"/>
          <w:sz w:val="20"/>
          <w:szCs w:val="20"/>
          <w:lang w:val="fr-CA"/>
        </w:rPr>
        <w:t xml:space="preserve">les dossiers, mémoires et recueils de sources respectifs des intimés doivent être signifiés et déposés au plus tard le 27 septembre 2013; </w:t>
      </w:r>
    </w:p>
    <w:p w:rsidR="00066C81" w:rsidRPr="00066C81" w:rsidRDefault="00066C81" w:rsidP="00066C81">
      <w:pPr>
        <w:numPr>
          <w:ilvl w:val="0"/>
          <w:numId w:val="9"/>
        </w:numPr>
        <w:spacing w:after="200"/>
        <w:ind w:left="1080" w:right="720"/>
        <w:jc w:val="both"/>
        <w:rPr>
          <w:rFonts w:cs="Times New Roman"/>
          <w:sz w:val="20"/>
          <w:szCs w:val="20"/>
          <w:lang w:val="fr-CA"/>
        </w:rPr>
      </w:pPr>
      <w:r w:rsidRPr="00066C81">
        <w:rPr>
          <w:rFonts w:cs="Times New Roman"/>
          <w:sz w:val="20"/>
          <w:szCs w:val="20"/>
          <w:lang w:val="fr-CA"/>
        </w:rPr>
        <w:t xml:space="preserve">les personnes qui interviennent en vertu de l’art. 55 des </w:t>
      </w:r>
      <w:r w:rsidRPr="00066C81">
        <w:rPr>
          <w:rFonts w:cs="Times New Roman"/>
          <w:i/>
          <w:sz w:val="20"/>
          <w:szCs w:val="20"/>
          <w:lang w:val="fr-CA"/>
        </w:rPr>
        <w:t>Règles</w:t>
      </w:r>
      <w:r w:rsidRPr="00066C81">
        <w:rPr>
          <w:rFonts w:cs="Times New Roman"/>
          <w:sz w:val="20"/>
          <w:szCs w:val="20"/>
          <w:lang w:val="fr-CA"/>
        </w:rPr>
        <w:t xml:space="preserve"> ainsi que les procureurs généraux qui interviennent à l’égard des questions constitutionnelles doivent signifier et déposer leurs mémoires et recueils de sources respectifs au plus tard le 1</w:t>
      </w:r>
      <w:r w:rsidRPr="00066C81">
        <w:rPr>
          <w:rFonts w:cs="Times New Roman"/>
          <w:sz w:val="20"/>
          <w:szCs w:val="20"/>
          <w:vertAlign w:val="superscript"/>
          <w:lang w:val="fr-CA"/>
        </w:rPr>
        <w:t>er</w:t>
      </w:r>
      <w:r w:rsidRPr="00066C81">
        <w:rPr>
          <w:rFonts w:cs="Times New Roman"/>
          <w:sz w:val="20"/>
          <w:szCs w:val="20"/>
          <w:lang w:val="fr-CA"/>
        </w:rPr>
        <w:t xml:space="preserve"> octobre 2013;</w:t>
      </w:r>
    </w:p>
    <w:p w:rsidR="00066C81" w:rsidRPr="00066C81" w:rsidRDefault="00066C81" w:rsidP="00066C81">
      <w:pPr>
        <w:numPr>
          <w:ilvl w:val="0"/>
          <w:numId w:val="9"/>
        </w:numPr>
        <w:ind w:left="1080" w:right="720"/>
        <w:jc w:val="both"/>
        <w:rPr>
          <w:rFonts w:cs="Times New Roman"/>
          <w:sz w:val="20"/>
          <w:szCs w:val="20"/>
          <w:lang w:val="fr-CA"/>
        </w:rPr>
      </w:pPr>
      <w:r w:rsidRPr="00066C81">
        <w:rPr>
          <w:rFonts w:cs="Times New Roman"/>
          <w:sz w:val="20"/>
          <w:szCs w:val="20"/>
          <w:lang w:val="fr-CA"/>
        </w:rPr>
        <w:t xml:space="preserve">l’appel sera entendu le 15 octobre 2013.  </w:t>
      </w:r>
    </w:p>
    <w:p w:rsidR="00066C81" w:rsidRPr="00066C81" w:rsidRDefault="00066C81" w:rsidP="00066C81">
      <w:pPr>
        <w:tabs>
          <w:tab w:val="left" w:pos="-1440"/>
          <w:tab w:val="left" w:pos="-720"/>
        </w:tabs>
        <w:jc w:val="both"/>
        <w:rPr>
          <w:rFonts w:eastAsia="Times New Roman" w:cs="Times New Roman"/>
          <w:sz w:val="20"/>
          <w:szCs w:val="20"/>
          <w:lang w:val="fr-CA" w:eastAsia="en-CA"/>
        </w:rPr>
      </w:pPr>
    </w:p>
    <w:p w:rsidR="00066C81" w:rsidRPr="00066C81" w:rsidRDefault="00066C81" w:rsidP="00066C81">
      <w:pPr>
        <w:tabs>
          <w:tab w:val="left" w:pos="-1440"/>
          <w:tab w:val="left" w:pos="-720"/>
        </w:tabs>
        <w:spacing w:line="-19" w:lineRule="auto"/>
        <w:jc w:val="both"/>
        <w:rPr>
          <w:rFonts w:eastAsia="Times New Roman" w:cs="Times New Roman"/>
          <w:sz w:val="20"/>
          <w:szCs w:val="20"/>
          <w:lang w:val="fr-CA" w:eastAsia="en-CA"/>
        </w:rPr>
      </w:pPr>
    </w:p>
    <w:p w:rsidR="00066C81" w:rsidRPr="00066C81" w:rsidRDefault="00B3404D" w:rsidP="00066C81">
      <w:pPr>
        <w:tabs>
          <w:tab w:val="left" w:pos="-1440"/>
          <w:tab w:val="left" w:pos="-720"/>
        </w:tabs>
        <w:jc w:val="both"/>
        <w:rPr>
          <w:rFonts w:eastAsia="Times New Roman" w:cs="Times New Roman"/>
          <w:sz w:val="20"/>
          <w:szCs w:val="20"/>
          <w:lang w:eastAsia="en-CA"/>
        </w:rPr>
      </w:pPr>
      <w:r w:rsidRPr="00B3404D">
        <w:rPr>
          <w:rFonts w:eastAsia="Times New Roman" w:cs="Times New Roman"/>
          <w:sz w:val="20"/>
          <w:szCs w:val="20"/>
          <w:lang w:val="fr-CA" w:eastAsia="en-CA"/>
        </w:rPr>
        <w:pict>
          <v:rect id="_x0000_i1100" style="width:2in;height:1pt" o:hrpct="0" o:hralign="center" o:hrstd="t" o:hrnoshade="t" o:hr="t" fillcolor="black [3213]" stroked="f"/>
        </w:pict>
      </w:r>
    </w:p>
    <w:p w:rsidR="00066C81" w:rsidRPr="00066C81" w:rsidRDefault="00066C81" w:rsidP="00066C81">
      <w:pPr>
        <w:tabs>
          <w:tab w:val="left" w:pos="-1440"/>
          <w:tab w:val="left" w:pos="-720"/>
        </w:tabs>
        <w:jc w:val="both"/>
        <w:rPr>
          <w:rFonts w:eastAsia="Times New Roman" w:cs="Times New Roman"/>
          <w:sz w:val="20"/>
          <w:szCs w:val="20"/>
          <w:lang w:eastAsia="en-CA"/>
        </w:rPr>
      </w:pPr>
    </w:p>
    <w:p w:rsidR="00066C81" w:rsidRPr="00066C81" w:rsidRDefault="00066C81" w:rsidP="00066C81">
      <w:pPr>
        <w:tabs>
          <w:tab w:val="left" w:pos="-1440"/>
          <w:tab w:val="left" w:pos="-720"/>
        </w:tabs>
        <w:jc w:val="both"/>
        <w:rPr>
          <w:rFonts w:eastAsia="Times New Roman" w:cs="Times New Roman"/>
          <w:sz w:val="20"/>
          <w:szCs w:val="20"/>
          <w:lang w:val="en-US" w:eastAsia="en-CA"/>
        </w:rPr>
      </w:pPr>
      <w:r w:rsidRPr="00066C81">
        <w:rPr>
          <w:rFonts w:eastAsia="Times New Roman" w:cs="Times New Roman"/>
          <w:sz w:val="20"/>
          <w:szCs w:val="20"/>
          <w:lang w:val="en-US" w:eastAsia="en-CA"/>
        </w:rPr>
        <w:t>05.06.2013</w:t>
      </w:r>
    </w:p>
    <w:p w:rsidR="00066C81" w:rsidRPr="00066C81" w:rsidRDefault="00066C81" w:rsidP="00066C81">
      <w:pPr>
        <w:tabs>
          <w:tab w:val="left" w:pos="-1440"/>
          <w:tab w:val="left" w:pos="-720"/>
        </w:tabs>
        <w:jc w:val="both"/>
        <w:rPr>
          <w:rFonts w:eastAsia="Times New Roman" w:cs="Times New Roman"/>
          <w:sz w:val="20"/>
          <w:szCs w:val="20"/>
          <w:lang w:val="en-US" w:eastAsia="en-CA"/>
        </w:rPr>
      </w:pPr>
    </w:p>
    <w:p w:rsidR="00066C81" w:rsidRPr="00066C81" w:rsidRDefault="00066C81" w:rsidP="00066C81">
      <w:pPr>
        <w:tabs>
          <w:tab w:val="left" w:pos="-1440"/>
          <w:tab w:val="left" w:pos="-720"/>
        </w:tabs>
        <w:jc w:val="both"/>
        <w:rPr>
          <w:rFonts w:eastAsia="Times New Roman" w:cs="Times New Roman"/>
          <w:sz w:val="20"/>
          <w:szCs w:val="20"/>
          <w:lang w:val="en-US" w:eastAsia="en-CA"/>
        </w:rPr>
      </w:pPr>
      <w:r w:rsidRPr="00066C81">
        <w:rPr>
          <w:rFonts w:eastAsia="Times New Roman" w:cs="Times New Roman"/>
          <w:sz w:val="20"/>
          <w:szCs w:val="20"/>
          <w:lang w:val="en-US" w:eastAsia="en-CA"/>
        </w:rPr>
        <w:t>Before / Devant :   THE REGISTRAR / LE REGISTRAIRE</w:t>
      </w:r>
    </w:p>
    <w:p w:rsidR="00066C81" w:rsidRPr="00066C81" w:rsidRDefault="00066C81" w:rsidP="00066C81">
      <w:pPr>
        <w:tabs>
          <w:tab w:val="left" w:pos="-1440"/>
          <w:tab w:val="left" w:pos="-720"/>
        </w:tabs>
        <w:jc w:val="both"/>
        <w:rPr>
          <w:rFonts w:eastAsia="Times New Roman" w:cs="Times New Roman"/>
          <w:sz w:val="20"/>
          <w:szCs w:val="20"/>
          <w:lang w:val="en-US"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066C81" w:rsidRPr="00D41BFD" w:rsidTr="00C05792">
        <w:tc>
          <w:tcPr>
            <w:tcW w:w="4338" w:type="dxa"/>
          </w:tcPr>
          <w:p w:rsidR="00066C81" w:rsidRPr="00066C81" w:rsidRDefault="00066C81" w:rsidP="00066C81">
            <w:pPr>
              <w:tabs>
                <w:tab w:val="left" w:pos="-1440"/>
                <w:tab w:val="left" w:pos="-720"/>
              </w:tabs>
              <w:jc w:val="both"/>
              <w:rPr>
                <w:b/>
                <w:lang w:val="en-US"/>
              </w:rPr>
            </w:pPr>
            <w:r w:rsidRPr="00066C81">
              <w:rPr>
                <w:b/>
                <w:bCs/>
                <w:lang w:val="en-GB"/>
              </w:rPr>
              <w:t>Motion to extend time</w:t>
            </w:r>
          </w:p>
        </w:tc>
        <w:tc>
          <w:tcPr>
            <w:tcW w:w="1170" w:type="dxa"/>
          </w:tcPr>
          <w:p w:rsidR="00066C81" w:rsidRPr="00066C81" w:rsidRDefault="00066C81" w:rsidP="00066C81">
            <w:pPr>
              <w:tabs>
                <w:tab w:val="left" w:pos="-1440"/>
                <w:tab w:val="left" w:pos="-720"/>
              </w:tabs>
              <w:jc w:val="both"/>
              <w:rPr>
                <w:lang w:val="en-US"/>
              </w:rPr>
            </w:pPr>
          </w:p>
          <w:p w:rsidR="00066C81" w:rsidRPr="00066C81" w:rsidRDefault="00066C81" w:rsidP="00066C81">
            <w:pPr>
              <w:tabs>
                <w:tab w:val="left" w:pos="-1440"/>
                <w:tab w:val="left" w:pos="-720"/>
              </w:tabs>
              <w:jc w:val="both"/>
              <w:rPr>
                <w:lang w:val="en-US"/>
              </w:rPr>
            </w:pPr>
          </w:p>
        </w:tc>
        <w:tc>
          <w:tcPr>
            <w:tcW w:w="4327" w:type="dxa"/>
          </w:tcPr>
          <w:p w:rsidR="00066C81" w:rsidRPr="00066C81" w:rsidRDefault="00B3404D" w:rsidP="00066C81">
            <w:pPr>
              <w:tabs>
                <w:tab w:val="left" w:pos="-1440"/>
                <w:tab w:val="left" w:pos="-720"/>
              </w:tabs>
              <w:jc w:val="both"/>
              <w:rPr>
                <w:lang w:val="fr-CA"/>
              </w:rPr>
            </w:pPr>
            <w:r w:rsidRPr="00066C81">
              <w:rPr>
                <w:lang w:val="en-US"/>
              </w:rPr>
              <w:fldChar w:fldCharType="begin"/>
            </w:r>
            <w:r w:rsidR="00066C81" w:rsidRPr="00066C81">
              <w:rPr>
                <w:lang w:val="fr-CA"/>
              </w:rPr>
              <w:instrText xml:space="preserve"> SEQ CHAPTER \h \r 1</w:instrText>
            </w:r>
            <w:r w:rsidRPr="00066C81">
              <w:rPr>
                <w:lang w:val="en-US"/>
              </w:rPr>
              <w:fldChar w:fldCharType="end"/>
            </w:r>
            <w:r w:rsidR="00066C81" w:rsidRPr="00066C81">
              <w:rPr>
                <w:b/>
                <w:bCs/>
                <w:lang w:val="fr-CA"/>
              </w:rPr>
              <w:t>Requête en prorogation de délai</w:t>
            </w:r>
            <w:r w:rsidR="00066C81" w:rsidRPr="00066C81">
              <w:rPr>
                <w:lang w:val="fr-CA"/>
              </w:rPr>
              <w:t xml:space="preserve"> </w:t>
            </w:r>
            <w:r w:rsidRPr="00066C81">
              <w:rPr>
                <w:lang w:val="en-US"/>
              </w:rPr>
              <w:fldChar w:fldCharType="begin"/>
            </w:r>
            <w:r w:rsidR="00066C81" w:rsidRPr="00066C81">
              <w:rPr>
                <w:lang w:val="fr-CA"/>
              </w:rPr>
              <w:instrText xml:space="preserve"> SEQ CHAPTER \h \r 1</w:instrText>
            </w:r>
            <w:r w:rsidRPr="00066C81">
              <w:rPr>
                <w:lang w:val="en-US"/>
              </w:rPr>
              <w:fldChar w:fldCharType="end"/>
            </w:r>
            <w:r w:rsidRPr="00066C81">
              <w:rPr>
                <w:lang w:val="en-US"/>
              </w:rPr>
              <w:fldChar w:fldCharType="begin"/>
            </w:r>
            <w:r w:rsidR="00066C81" w:rsidRPr="00066C81">
              <w:rPr>
                <w:lang w:val="fr-CA"/>
              </w:rPr>
              <w:instrText xml:space="preserve"> SEQ CHAPTER \h \r 1</w:instrText>
            </w:r>
            <w:r w:rsidRPr="00066C81">
              <w:rPr>
                <w:lang w:val="en-US"/>
              </w:rPr>
              <w:fldChar w:fldCharType="end"/>
            </w:r>
          </w:p>
        </w:tc>
      </w:tr>
      <w:tr w:rsidR="00066C81" w:rsidRPr="00066C81" w:rsidTr="00C05792">
        <w:tc>
          <w:tcPr>
            <w:tcW w:w="4338" w:type="dxa"/>
          </w:tcPr>
          <w:p w:rsidR="00066C81" w:rsidRPr="00066C81" w:rsidRDefault="00066C81" w:rsidP="00066C81">
            <w:pPr>
              <w:tabs>
                <w:tab w:val="left" w:pos="-1440"/>
                <w:tab w:val="left" w:pos="-720"/>
              </w:tabs>
              <w:jc w:val="both"/>
              <w:rPr>
                <w:lang w:val="fr-CA"/>
              </w:rPr>
            </w:pPr>
            <w:r w:rsidRPr="00066C81">
              <w:rPr>
                <w:lang w:val="fr-CA"/>
              </w:rPr>
              <w:t>Antal Babos et autre</w:t>
            </w:r>
          </w:p>
          <w:p w:rsidR="00066C81" w:rsidRPr="00066C81" w:rsidRDefault="00066C81" w:rsidP="00066C81">
            <w:pPr>
              <w:tabs>
                <w:tab w:val="left" w:pos="-1440"/>
                <w:tab w:val="left" w:pos="-720"/>
              </w:tabs>
              <w:jc w:val="both"/>
              <w:rPr>
                <w:lang w:val="fr-CA"/>
              </w:rPr>
            </w:pPr>
          </w:p>
          <w:p w:rsidR="00066C81" w:rsidRPr="00066C81" w:rsidRDefault="00066C81" w:rsidP="00066C81">
            <w:pPr>
              <w:tabs>
                <w:tab w:val="left" w:pos="-1440"/>
                <w:tab w:val="left" w:pos="-720"/>
              </w:tabs>
              <w:jc w:val="both"/>
              <w:rPr>
                <w:lang w:val="fr-CA"/>
              </w:rPr>
            </w:pPr>
            <w:r w:rsidRPr="00066C81">
              <w:rPr>
                <w:lang w:val="fr-CA"/>
              </w:rPr>
              <w:tab/>
              <w:t>c. (34824)</w:t>
            </w:r>
          </w:p>
          <w:p w:rsidR="00066C81" w:rsidRPr="00066C81" w:rsidRDefault="00066C81" w:rsidP="00066C81">
            <w:pPr>
              <w:tabs>
                <w:tab w:val="left" w:pos="-1440"/>
                <w:tab w:val="left" w:pos="-720"/>
              </w:tabs>
              <w:jc w:val="both"/>
              <w:rPr>
                <w:lang w:val="fr-CA"/>
              </w:rPr>
            </w:pPr>
          </w:p>
          <w:p w:rsidR="00066C81" w:rsidRPr="00066C81" w:rsidRDefault="00066C81" w:rsidP="00066C81">
            <w:pPr>
              <w:tabs>
                <w:tab w:val="left" w:pos="-1440"/>
                <w:tab w:val="left" w:pos="-720"/>
              </w:tabs>
              <w:jc w:val="both"/>
              <w:rPr>
                <w:lang w:val="fr-CA"/>
              </w:rPr>
            </w:pPr>
            <w:r w:rsidRPr="00066C81">
              <w:rPr>
                <w:lang w:val="fr-CA"/>
              </w:rPr>
              <w:t>Sa Majesté la Reine et autre (Crim.) (Qc)</w:t>
            </w:r>
          </w:p>
        </w:tc>
        <w:tc>
          <w:tcPr>
            <w:tcW w:w="1170" w:type="dxa"/>
          </w:tcPr>
          <w:p w:rsidR="00066C81" w:rsidRPr="00066C81" w:rsidRDefault="00066C81" w:rsidP="00066C81">
            <w:pPr>
              <w:tabs>
                <w:tab w:val="left" w:pos="-1440"/>
                <w:tab w:val="left" w:pos="-720"/>
              </w:tabs>
              <w:jc w:val="both"/>
              <w:rPr>
                <w:lang w:val="fr-CA"/>
              </w:rPr>
            </w:pPr>
          </w:p>
        </w:tc>
        <w:tc>
          <w:tcPr>
            <w:tcW w:w="4327" w:type="dxa"/>
          </w:tcPr>
          <w:p w:rsidR="00066C81" w:rsidRPr="00066C81" w:rsidRDefault="00066C81" w:rsidP="00066C81">
            <w:pPr>
              <w:tabs>
                <w:tab w:val="left" w:pos="-1440"/>
                <w:tab w:val="left" w:pos="-720"/>
              </w:tabs>
              <w:jc w:val="both"/>
              <w:rPr>
                <w:lang w:val="fr-CA"/>
              </w:rPr>
            </w:pPr>
          </w:p>
        </w:tc>
      </w:tr>
    </w:tbl>
    <w:p w:rsidR="00066C81" w:rsidRPr="00066C81" w:rsidRDefault="00066C81" w:rsidP="00066C81">
      <w:pPr>
        <w:tabs>
          <w:tab w:val="left" w:pos="-1440"/>
          <w:tab w:val="left" w:pos="-720"/>
        </w:tabs>
        <w:jc w:val="both"/>
        <w:rPr>
          <w:rFonts w:eastAsia="Times New Roman" w:cs="Times New Roman"/>
          <w:sz w:val="20"/>
          <w:szCs w:val="20"/>
          <w:lang w:val="fr-CA" w:eastAsia="en-CA"/>
        </w:rPr>
      </w:pPr>
    </w:p>
    <w:p w:rsidR="00066C81" w:rsidRPr="00066C81" w:rsidRDefault="00066C81" w:rsidP="00066C81">
      <w:pPr>
        <w:tabs>
          <w:tab w:val="left" w:pos="-1440"/>
          <w:tab w:val="left" w:pos="-720"/>
        </w:tabs>
        <w:jc w:val="both"/>
        <w:rPr>
          <w:rFonts w:eastAsia="Times New Roman" w:cs="Times New Roman"/>
          <w:b/>
          <w:sz w:val="20"/>
          <w:szCs w:val="20"/>
          <w:lang w:val="fr-CA" w:eastAsia="en-CA"/>
        </w:rPr>
      </w:pPr>
      <w:r w:rsidRPr="00066C81">
        <w:rPr>
          <w:rFonts w:eastAsia="Times New Roman" w:cs="Times New Roman"/>
          <w:b/>
          <w:sz w:val="20"/>
          <w:szCs w:val="20"/>
          <w:lang w:val="fr-CA" w:eastAsia="en-CA"/>
        </w:rPr>
        <w:t>GRANTED / ACCORDÉE</w:t>
      </w:r>
    </w:p>
    <w:p w:rsidR="00066C81" w:rsidRPr="00066C81" w:rsidRDefault="00066C81" w:rsidP="00066C81">
      <w:pPr>
        <w:tabs>
          <w:tab w:val="left" w:pos="-1440"/>
          <w:tab w:val="left" w:pos="-720"/>
        </w:tabs>
        <w:jc w:val="both"/>
        <w:rPr>
          <w:rFonts w:eastAsia="Times New Roman" w:cs="Times New Roman"/>
          <w:sz w:val="20"/>
          <w:szCs w:val="20"/>
          <w:lang w:val="fr-CA" w:eastAsia="en-CA"/>
        </w:rPr>
      </w:pPr>
    </w:p>
    <w:p w:rsidR="00066C81" w:rsidRPr="00066C81" w:rsidRDefault="00066C81" w:rsidP="00066C81">
      <w:pPr>
        <w:spacing w:line="233" w:lineRule="auto"/>
        <w:jc w:val="both"/>
        <w:rPr>
          <w:rFonts w:eastAsia="Times New Roman" w:cs="Times New Roman"/>
          <w:sz w:val="20"/>
          <w:szCs w:val="20"/>
          <w:lang w:val="fr-CA" w:eastAsia="en-CA"/>
        </w:rPr>
      </w:pPr>
      <w:r w:rsidRPr="00066C81">
        <w:rPr>
          <w:rFonts w:eastAsia="Times New Roman" w:cs="Times New Roman"/>
          <w:b/>
          <w:bCs/>
          <w:sz w:val="20"/>
          <w:szCs w:val="20"/>
          <w:lang w:val="fr-CA" w:eastAsia="en-CA"/>
        </w:rPr>
        <w:t xml:space="preserve">À LA SUITE DE LA DEMANDE </w:t>
      </w:r>
      <w:r w:rsidRPr="00066C81">
        <w:rPr>
          <w:rFonts w:eastAsia="Times New Roman" w:cs="Times New Roman"/>
          <w:sz w:val="20"/>
          <w:szCs w:val="20"/>
          <w:lang w:val="fr-CA" w:eastAsia="en-CA"/>
        </w:rPr>
        <w:t>présentée par l’intimée pour obtenir la prorogation du délai pour la signification et le dépôt de leur réplique à la réponse à la requête pour déposer de nouveaux éléments de preuve au 10 juin 2013;</w:t>
      </w:r>
    </w:p>
    <w:p w:rsidR="00066C81" w:rsidRPr="00066C81" w:rsidRDefault="00066C81" w:rsidP="00066C81">
      <w:pPr>
        <w:spacing w:line="233" w:lineRule="auto"/>
        <w:jc w:val="both"/>
        <w:rPr>
          <w:rFonts w:eastAsia="Times New Roman" w:cs="Times New Roman"/>
          <w:sz w:val="20"/>
          <w:szCs w:val="20"/>
          <w:lang w:val="fr-CA" w:eastAsia="en-CA"/>
        </w:rPr>
      </w:pPr>
    </w:p>
    <w:p w:rsidR="00066C81" w:rsidRPr="00066C81" w:rsidRDefault="00066C81" w:rsidP="00066C81">
      <w:pPr>
        <w:spacing w:line="233" w:lineRule="auto"/>
        <w:jc w:val="both"/>
        <w:rPr>
          <w:rFonts w:eastAsia="Times New Roman" w:cs="Times New Roman"/>
          <w:sz w:val="20"/>
          <w:szCs w:val="20"/>
          <w:lang w:val="fr-CA" w:eastAsia="en-CA"/>
        </w:rPr>
      </w:pPr>
      <w:r w:rsidRPr="00066C81">
        <w:rPr>
          <w:rFonts w:eastAsia="Times New Roman" w:cs="Times New Roman"/>
          <w:b/>
          <w:bCs/>
          <w:sz w:val="20"/>
          <w:szCs w:val="20"/>
          <w:lang w:val="fr-CA" w:eastAsia="en-CA"/>
        </w:rPr>
        <w:t xml:space="preserve">ET APRÈS EXAMEN </w:t>
      </w:r>
      <w:r w:rsidRPr="00066C81">
        <w:rPr>
          <w:rFonts w:eastAsia="Times New Roman" w:cs="Times New Roman"/>
          <w:sz w:val="20"/>
          <w:szCs w:val="20"/>
          <w:lang w:val="fr-CA" w:eastAsia="en-CA"/>
        </w:rPr>
        <w:t xml:space="preserve">des documents déposés; </w:t>
      </w:r>
    </w:p>
    <w:p w:rsidR="00066C81" w:rsidRPr="00066C81" w:rsidRDefault="00066C81" w:rsidP="00066C81">
      <w:pPr>
        <w:spacing w:line="233" w:lineRule="auto"/>
        <w:jc w:val="both"/>
        <w:rPr>
          <w:rFonts w:eastAsia="Times New Roman" w:cs="Times New Roman"/>
          <w:b/>
          <w:bCs/>
          <w:sz w:val="20"/>
          <w:szCs w:val="20"/>
          <w:lang w:val="fr-CA" w:eastAsia="en-CA"/>
        </w:rPr>
      </w:pPr>
    </w:p>
    <w:p w:rsidR="00066C81" w:rsidRPr="00066C81" w:rsidRDefault="00066C81" w:rsidP="00066C81">
      <w:pPr>
        <w:spacing w:line="233" w:lineRule="auto"/>
        <w:jc w:val="both"/>
        <w:rPr>
          <w:rFonts w:eastAsia="Times New Roman" w:cs="Times New Roman"/>
          <w:sz w:val="20"/>
          <w:szCs w:val="20"/>
          <w:lang w:val="fr-CA" w:eastAsia="en-CA"/>
        </w:rPr>
      </w:pPr>
      <w:r w:rsidRPr="00066C81">
        <w:rPr>
          <w:rFonts w:eastAsia="Times New Roman" w:cs="Times New Roman"/>
          <w:b/>
          <w:bCs/>
          <w:sz w:val="20"/>
          <w:szCs w:val="20"/>
          <w:lang w:val="fr-CA" w:eastAsia="en-CA"/>
        </w:rPr>
        <w:t xml:space="preserve">IL EST ORDONNÉ CE QUI SUIT : </w:t>
      </w:r>
    </w:p>
    <w:p w:rsidR="00066C81" w:rsidRPr="00066C81" w:rsidRDefault="00066C81" w:rsidP="00066C81">
      <w:pPr>
        <w:spacing w:line="233" w:lineRule="auto"/>
        <w:jc w:val="both"/>
        <w:rPr>
          <w:rFonts w:eastAsia="Times New Roman" w:cs="Times New Roman"/>
          <w:sz w:val="20"/>
          <w:szCs w:val="20"/>
          <w:lang w:val="fr-CA" w:eastAsia="en-CA"/>
        </w:rPr>
      </w:pPr>
    </w:p>
    <w:p w:rsidR="00066C81" w:rsidRPr="00066C81" w:rsidRDefault="00066C81" w:rsidP="00066C81">
      <w:pPr>
        <w:spacing w:line="233" w:lineRule="auto"/>
        <w:jc w:val="both"/>
        <w:rPr>
          <w:rFonts w:eastAsia="Times New Roman" w:cs="Times New Roman"/>
          <w:sz w:val="20"/>
          <w:szCs w:val="20"/>
          <w:lang w:eastAsia="en-CA"/>
        </w:rPr>
      </w:pPr>
      <w:r w:rsidRPr="00066C81">
        <w:rPr>
          <w:rFonts w:eastAsia="Times New Roman" w:cs="Times New Roman"/>
          <w:sz w:val="20"/>
          <w:szCs w:val="20"/>
          <w:lang w:val="fr-CA" w:eastAsia="en-CA"/>
        </w:rPr>
        <w:tab/>
      </w:r>
      <w:r w:rsidRPr="00066C81">
        <w:rPr>
          <w:rFonts w:eastAsia="Times New Roman" w:cs="Times New Roman"/>
          <w:sz w:val="20"/>
          <w:szCs w:val="20"/>
          <w:lang w:eastAsia="en-CA"/>
        </w:rPr>
        <w:t>La requête est accueillie.</w:t>
      </w:r>
    </w:p>
    <w:p w:rsidR="00066C81" w:rsidRPr="00066C81" w:rsidRDefault="00066C81" w:rsidP="00066C81">
      <w:pPr>
        <w:tabs>
          <w:tab w:val="left" w:pos="-1440"/>
          <w:tab w:val="left" w:pos="-720"/>
        </w:tabs>
        <w:jc w:val="both"/>
        <w:rPr>
          <w:rFonts w:eastAsia="Times New Roman" w:cs="Times New Roman"/>
          <w:sz w:val="20"/>
          <w:szCs w:val="20"/>
          <w:lang w:eastAsia="en-CA"/>
        </w:rPr>
      </w:pPr>
    </w:p>
    <w:p w:rsidR="00066C81" w:rsidRPr="00066C81" w:rsidRDefault="00066C81" w:rsidP="00066C81">
      <w:pPr>
        <w:tabs>
          <w:tab w:val="left" w:pos="-1440"/>
          <w:tab w:val="left" w:pos="-720"/>
        </w:tabs>
        <w:jc w:val="both"/>
        <w:rPr>
          <w:rFonts w:eastAsia="Times New Roman" w:cs="Times New Roman"/>
          <w:sz w:val="20"/>
          <w:szCs w:val="20"/>
          <w:lang w:eastAsia="en-CA"/>
        </w:rPr>
      </w:pPr>
    </w:p>
    <w:p w:rsidR="00066C81" w:rsidRPr="00066C81" w:rsidRDefault="00066C81" w:rsidP="00066C81">
      <w:pPr>
        <w:tabs>
          <w:tab w:val="left" w:pos="-1440"/>
          <w:tab w:val="left" w:pos="-720"/>
        </w:tabs>
        <w:jc w:val="both"/>
        <w:rPr>
          <w:rFonts w:eastAsia="Times New Roman" w:cs="Times New Roman"/>
          <w:sz w:val="20"/>
          <w:szCs w:val="20"/>
          <w:lang w:eastAsia="en-CA"/>
        </w:rPr>
      </w:pPr>
    </w:p>
    <w:p w:rsidR="00066C81" w:rsidRPr="00066C81" w:rsidRDefault="00066C81" w:rsidP="00066C81">
      <w:pPr>
        <w:spacing w:line="233" w:lineRule="auto"/>
        <w:jc w:val="both"/>
        <w:rPr>
          <w:rFonts w:eastAsia="Times New Roman" w:cs="Times New Roman"/>
          <w:sz w:val="20"/>
          <w:szCs w:val="20"/>
          <w:lang w:eastAsia="en-CA"/>
        </w:rPr>
      </w:pPr>
      <w:r w:rsidRPr="00066C81">
        <w:rPr>
          <w:rFonts w:eastAsia="Times New Roman" w:cs="Times New Roman"/>
          <w:b/>
          <w:bCs/>
          <w:sz w:val="20"/>
          <w:szCs w:val="20"/>
          <w:lang w:eastAsia="en-CA"/>
        </w:rPr>
        <w:t xml:space="preserve">UPON APPLICATION </w:t>
      </w:r>
      <w:r w:rsidRPr="00066C81">
        <w:rPr>
          <w:rFonts w:eastAsia="Times New Roman" w:cs="Times New Roman"/>
          <w:bCs/>
          <w:sz w:val="20"/>
          <w:szCs w:val="20"/>
          <w:lang w:eastAsia="en-CA"/>
        </w:rPr>
        <w:t>by the respondent for an order extending the time to serve and file their reply to the response to a motion to adduce new evidence to June 10, 2013</w:t>
      </w:r>
      <w:r w:rsidRPr="00066C81">
        <w:rPr>
          <w:rFonts w:eastAsia="Times New Roman" w:cs="Times New Roman"/>
          <w:sz w:val="20"/>
          <w:szCs w:val="20"/>
          <w:lang w:eastAsia="en-CA"/>
        </w:rPr>
        <w:t>;</w:t>
      </w:r>
    </w:p>
    <w:p w:rsidR="00066C81" w:rsidRPr="00066C81" w:rsidRDefault="00066C81" w:rsidP="00066C81">
      <w:pPr>
        <w:spacing w:line="233" w:lineRule="auto"/>
        <w:jc w:val="both"/>
        <w:rPr>
          <w:rFonts w:eastAsia="Times New Roman" w:cs="Times New Roman"/>
          <w:sz w:val="20"/>
          <w:szCs w:val="20"/>
          <w:lang w:eastAsia="en-CA"/>
        </w:rPr>
      </w:pPr>
    </w:p>
    <w:p w:rsidR="00066C81" w:rsidRPr="00066C81" w:rsidRDefault="00066C81" w:rsidP="00066C81">
      <w:pPr>
        <w:spacing w:line="233" w:lineRule="auto"/>
        <w:jc w:val="both"/>
        <w:rPr>
          <w:rFonts w:eastAsia="Times New Roman" w:cs="Times New Roman"/>
          <w:sz w:val="20"/>
          <w:szCs w:val="20"/>
          <w:lang w:eastAsia="en-CA"/>
        </w:rPr>
      </w:pPr>
      <w:r w:rsidRPr="00066C81">
        <w:rPr>
          <w:rFonts w:eastAsia="Times New Roman" w:cs="Times New Roman"/>
          <w:b/>
          <w:bCs/>
          <w:sz w:val="20"/>
          <w:szCs w:val="20"/>
          <w:lang w:eastAsia="en-CA"/>
        </w:rPr>
        <w:t xml:space="preserve">AND THE MATERIAL FILED </w:t>
      </w:r>
      <w:r w:rsidRPr="00066C81">
        <w:rPr>
          <w:rFonts w:eastAsia="Times New Roman" w:cs="Times New Roman"/>
          <w:bCs/>
          <w:sz w:val="20"/>
          <w:szCs w:val="20"/>
          <w:lang w:eastAsia="en-CA"/>
        </w:rPr>
        <w:t>having been read</w:t>
      </w:r>
      <w:r w:rsidRPr="00066C81">
        <w:rPr>
          <w:rFonts w:eastAsia="Times New Roman" w:cs="Times New Roman"/>
          <w:sz w:val="20"/>
          <w:szCs w:val="20"/>
          <w:lang w:eastAsia="en-CA"/>
        </w:rPr>
        <w:t xml:space="preserve">; </w:t>
      </w:r>
    </w:p>
    <w:p w:rsidR="00066C81" w:rsidRPr="00066C81" w:rsidRDefault="00066C81" w:rsidP="00066C81">
      <w:pPr>
        <w:spacing w:line="233" w:lineRule="auto"/>
        <w:jc w:val="both"/>
        <w:rPr>
          <w:rFonts w:eastAsia="Times New Roman" w:cs="Times New Roman"/>
          <w:sz w:val="20"/>
          <w:szCs w:val="20"/>
          <w:lang w:eastAsia="en-CA"/>
        </w:rPr>
      </w:pPr>
    </w:p>
    <w:p w:rsidR="00066C81" w:rsidRPr="00066C81" w:rsidRDefault="00066C81" w:rsidP="00066C81">
      <w:pPr>
        <w:spacing w:line="233" w:lineRule="auto"/>
        <w:jc w:val="both"/>
        <w:rPr>
          <w:rFonts w:eastAsia="Times New Roman" w:cs="Times New Roman"/>
          <w:sz w:val="20"/>
          <w:szCs w:val="20"/>
          <w:lang w:eastAsia="en-CA"/>
        </w:rPr>
      </w:pPr>
      <w:r w:rsidRPr="00066C81">
        <w:rPr>
          <w:rFonts w:eastAsia="Times New Roman" w:cs="Times New Roman"/>
          <w:b/>
          <w:bCs/>
          <w:sz w:val="20"/>
          <w:szCs w:val="20"/>
          <w:lang w:eastAsia="en-CA"/>
        </w:rPr>
        <w:t xml:space="preserve">IT IS HEREBY ORDERED THAT: </w:t>
      </w:r>
    </w:p>
    <w:p w:rsidR="00066C81" w:rsidRPr="00066C81" w:rsidRDefault="00066C81" w:rsidP="00066C81">
      <w:pPr>
        <w:spacing w:line="233" w:lineRule="auto"/>
        <w:jc w:val="both"/>
        <w:rPr>
          <w:rFonts w:eastAsia="Times New Roman" w:cs="Times New Roman"/>
          <w:sz w:val="20"/>
          <w:szCs w:val="20"/>
          <w:lang w:eastAsia="en-CA"/>
        </w:rPr>
      </w:pPr>
    </w:p>
    <w:p w:rsidR="00066C81" w:rsidRPr="00066C81" w:rsidRDefault="00066C81" w:rsidP="00066C81">
      <w:pPr>
        <w:spacing w:line="233" w:lineRule="auto"/>
        <w:rPr>
          <w:rFonts w:eastAsia="Times New Roman" w:cs="Times New Roman"/>
          <w:sz w:val="20"/>
          <w:szCs w:val="20"/>
          <w:lang w:eastAsia="en-CA"/>
        </w:rPr>
      </w:pPr>
      <w:r w:rsidRPr="00066C81">
        <w:rPr>
          <w:rFonts w:eastAsia="Times New Roman" w:cs="Times New Roman"/>
          <w:sz w:val="20"/>
          <w:szCs w:val="20"/>
          <w:lang w:eastAsia="en-CA"/>
        </w:rPr>
        <w:tab/>
        <w:t>The motion is granted.</w:t>
      </w:r>
    </w:p>
    <w:p w:rsidR="00066C81" w:rsidRPr="00066C81" w:rsidRDefault="00066C81" w:rsidP="00066C81">
      <w:pPr>
        <w:tabs>
          <w:tab w:val="left" w:pos="-1440"/>
          <w:tab w:val="left" w:pos="-720"/>
        </w:tabs>
        <w:jc w:val="both"/>
        <w:rPr>
          <w:rFonts w:eastAsia="Times New Roman" w:cs="Times New Roman"/>
          <w:sz w:val="20"/>
          <w:szCs w:val="20"/>
          <w:lang w:val="fr-CA" w:eastAsia="en-CA"/>
        </w:rPr>
      </w:pPr>
    </w:p>
    <w:p w:rsidR="00066C81" w:rsidRPr="00066C81" w:rsidRDefault="00B3404D" w:rsidP="00066C81">
      <w:pPr>
        <w:tabs>
          <w:tab w:val="left" w:pos="-1440"/>
          <w:tab w:val="left" w:pos="-720"/>
        </w:tabs>
        <w:jc w:val="both"/>
        <w:rPr>
          <w:rFonts w:eastAsia="Times New Roman" w:cs="Times New Roman"/>
          <w:sz w:val="20"/>
          <w:szCs w:val="20"/>
          <w:lang w:val="fr-CA" w:eastAsia="en-CA"/>
        </w:rPr>
      </w:pPr>
      <w:r w:rsidRPr="00B3404D">
        <w:rPr>
          <w:rFonts w:eastAsia="Times New Roman" w:cs="Times New Roman"/>
          <w:sz w:val="20"/>
          <w:szCs w:val="20"/>
          <w:lang w:val="fr-CA" w:eastAsia="en-CA"/>
        </w:rPr>
        <w:pict>
          <v:rect id="_x0000_i1101" style="width:2in;height:1pt" o:hrpct="0" o:hralign="center" o:hrstd="t" o:hrnoshade="t" o:hr="t" fillcolor="black [3213]" stroked="f"/>
        </w:pict>
      </w:r>
    </w:p>
    <w:p w:rsidR="00066C81" w:rsidRPr="00066C81" w:rsidRDefault="00066C81" w:rsidP="00066C81">
      <w:pPr>
        <w:tabs>
          <w:tab w:val="left" w:pos="-1440"/>
          <w:tab w:val="left" w:pos="-720"/>
        </w:tabs>
        <w:jc w:val="both"/>
        <w:rPr>
          <w:rFonts w:eastAsia="Times New Roman" w:cs="Times New Roman"/>
          <w:sz w:val="20"/>
          <w:szCs w:val="20"/>
          <w:lang w:val="fr-CA" w:eastAsia="en-CA"/>
        </w:rPr>
      </w:pPr>
    </w:p>
    <w:p w:rsidR="00066C81" w:rsidRPr="00066C81" w:rsidRDefault="00066C81" w:rsidP="00066C81">
      <w:pPr>
        <w:tabs>
          <w:tab w:val="left" w:pos="-1440"/>
          <w:tab w:val="left" w:pos="-720"/>
        </w:tabs>
        <w:jc w:val="both"/>
        <w:rPr>
          <w:rFonts w:eastAsia="Times New Roman" w:cs="Times New Roman"/>
          <w:sz w:val="20"/>
          <w:szCs w:val="20"/>
          <w:lang w:val="fr-CA" w:eastAsia="en-CA"/>
        </w:rPr>
      </w:pPr>
      <w:r w:rsidRPr="00066C81">
        <w:rPr>
          <w:rFonts w:eastAsia="Times New Roman" w:cs="Times New Roman"/>
          <w:sz w:val="20"/>
          <w:szCs w:val="20"/>
          <w:lang w:val="fr-CA" w:eastAsia="en-CA"/>
        </w:rPr>
        <w:t>05.06.2013</w:t>
      </w:r>
    </w:p>
    <w:p w:rsidR="00066C81" w:rsidRPr="00066C81" w:rsidRDefault="00066C81" w:rsidP="00066C81">
      <w:pPr>
        <w:tabs>
          <w:tab w:val="left" w:pos="-1440"/>
          <w:tab w:val="left" w:pos="-720"/>
        </w:tabs>
        <w:jc w:val="both"/>
        <w:rPr>
          <w:rFonts w:eastAsia="Times New Roman" w:cs="Times New Roman"/>
          <w:sz w:val="20"/>
          <w:szCs w:val="20"/>
          <w:lang w:val="fr-CA" w:eastAsia="en-CA"/>
        </w:rPr>
      </w:pPr>
    </w:p>
    <w:p w:rsidR="00066C81" w:rsidRPr="00066C81" w:rsidRDefault="00066C81" w:rsidP="00066C81">
      <w:pPr>
        <w:tabs>
          <w:tab w:val="left" w:pos="-1440"/>
          <w:tab w:val="left" w:pos="-720"/>
        </w:tabs>
        <w:jc w:val="both"/>
        <w:rPr>
          <w:rFonts w:eastAsia="Times New Roman" w:cs="Times New Roman"/>
          <w:sz w:val="20"/>
          <w:szCs w:val="20"/>
          <w:lang w:val="fr-CA" w:eastAsia="en-CA"/>
        </w:rPr>
      </w:pPr>
      <w:r w:rsidRPr="00066C81">
        <w:rPr>
          <w:rFonts w:eastAsia="Times New Roman" w:cs="Times New Roman"/>
          <w:sz w:val="20"/>
          <w:szCs w:val="20"/>
          <w:lang w:val="fr-CA" w:eastAsia="en-CA"/>
        </w:rPr>
        <w:t>Before / Devant :   LEBEL J. / LE JUGE LEBEL</w:t>
      </w:r>
    </w:p>
    <w:p w:rsidR="00066C81" w:rsidRPr="00066C81" w:rsidRDefault="00066C81" w:rsidP="00066C81">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066C81" w:rsidRPr="00D41BFD" w:rsidTr="00C05792">
        <w:tc>
          <w:tcPr>
            <w:tcW w:w="4338" w:type="dxa"/>
          </w:tcPr>
          <w:p w:rsidR="00066C81" w:rsidRPr="00066C81" w:rsidRDefault="00B3404D" w:rsidP="00066C81">
            <w:pPr>
              <w:tabs>
                <w:tab w:val="left" w:pos="-1440"/>
                <w:tab w:val="left" w:pos="-720"/>
              </w:tabs>
              <w:jc w:val="both"/>
              <w:rPr>
                <w:b/>
                <w:lang w:val="en-US"/>
              </w:rPr>
            </w:pPr>
            <w:r w:rsidRPr="00066C81">
              <w:rPr>
                <w:szCs w:val="24"/>
                <w:lang w:val="en-US"/>
              </w:rPr>
              <w:fldChar w:fldCharType="begin"/>
            </w:r>
            <w:r w:rsidR="00066C81" w:rsidRPr="00066C81">
              <w:rPr>
                <w:szCs w:val="24"/>
                <w:lang w:val="en-US"/>
              </w:rPr>
              <w:instrText xml:space="preserve"> SEQ CHAPTER \h \r 1</w:instrText>
            </w:r>
            <w:r w:rsidRPr="00066C81">
              <w:rPr>
                <w:szCs w:val="24"/>
                <w:lang w:val="en-US"/>
              </w:rPr>
              <w:fldChar w:fldCharType="end"/>
            </w:r>
            <w:r w:rsidR="00066C81" w:rsidRPr="00066C81">
              <w:rPr>
                <w:b/>
                <w:bCs/>
                <w:lang w:val="en-US"/>
              </w:rPr>
              <w:t xml:space="preserve">Motion to file a lengthy factum </w:t>
            </w:r>
          </w:p>
        </w:tc>
        <w:tc>
          <w:tcPr>
            <w:tcW w:w="1170" w:type="dxa"/>
          </w:tcPr>
          <w:p w:rsidR="00066C81" w:rsidRPr="00066C81" w:rsidRDefault="00066C81" w:rsidP="00066C81">
            <w:pPr>
              <w:tabs>
                <w:tab w:val="left" w:pos="-1440"/>
                <w:tab w:val="left" w:pos="-720"/>
              </w:tabs>
              <w:jc w:val="both"/>
              <w:rPr>
                <w:lang w:val="en-US"/>
              </w:rPr>
            </w:pPr>
          </w:p>
          <w:p w:rsidR="00066C81" w:rsidRPr="00066C81" w:rsidRDefault="00066C81" w:rsidP="00066C81">
            <w:pPr>
              <w:tabs>
                <w:tab w:val="left" w:pos="-1440"/>
                <w:tab w:val="left" w:pos="-720"/>
              </w:tabs>
              <w:jc w:val="both"/>
              <w:rPr>
                <w:lang w:val="en-US"/>
              </w:rPr>
            </w:pPr>
          </w:p>
          <w:p w:rsidR="00066C81" w:rsidRPr="00066C81" w:rsidRDefault="00066C81" w:rsidP="00066C81">
            <w:pPr>
              <w:tabs>
                <w:tab w:val="left" w:pos="-1440"/>
                <w:tab w:val="left" w:pos="-720"/>
              </w:tabs>
              <w:jc w:val="both"/>
              <w:rPr>
                <w:lang w:val="en-US"/>
              </w:rPr>
            </w:pPr>
          </w:p>
        </w:tc>
        <w:tc>
          <w:tcPr>
            <w:tcW w:w="4327" w:type="dxa"/>
          </w:tcPr>
          <w:p w:rsidR="00066C81" w:rsidRPr="00066C81" w:rsidRDefault="00066C81" w:rsidP="00066C81">
            <w:pPr>
              <w:keepNext/>
              <w:keepLines/>
              <w:jc w:val="both"/>
              <w:rPr>
                <w:lang w:val="fr-CA"/>
              </w:rPr>
            </w:pPr>
            <w:r w:rsidRPr="00066C81">
              <w:rPr>
                <w:b/>
                <w:bCs/>
                <w:lang w:val="fr-CA"/>
              </w:rPr>
              <w:t>Requête en vue de déposer un mémoire volumineux</w:t>
            </w:r>
          </w:p>
        </w:tc>
      </w:tr>
      <w:tr w:rsidR="00066C81" w:rsidRPr="00D41BFD" w:rsidTr="00C05792">
        <w:tc>
          <w:tcPr>
            <w:tcW w:w="4338" w:type="dxa"/>
          </w:tcPr>
          <w:p w:rsidR="00066C81" w:rsidRPr="00066C81" w:rsidRDefault="00066C81" w:rsidP="00066C81">
            <w:pPr>
              <w:jc w:val="both"/>
              <w:rPr>
                <w:b/>
                <w:bCs/>
                <w:iCs/>
                <w:lang w:val="en-GB"/>
              </w:rPr>
            </w:pPr>
            <w:r w:rsidRPr="00066C81">
              <w:rPr>
                <w:b/>
                <w:bCs/>
                <w:iCs/>
                <w:lang w:val="en-GB"/>
              </w:rPr>
              <w:t xml:space="preserve">IN THE MATTER OF A REFERENCE BY THE GOVERNOR IN COUNCIL CONCERNING REFORM OF THE SENATE, AS SET OUT IN ORDER P.C. 2013-70, DATED FEBRUARY 1, 2013 </w:t>
            </w:r>
          </w:p>
          <w:p w:rsidR="00066C81" w:rsidRPr="00066C81" w:rsidRDefault="00066C81" w:rsidP="00066C81">
            <w:pPr>
              <w:jc w:val="both"/>
              <w:rPr>
                <w:b/>
                <w:bCs/>
                <w:iCs/>
                <w:lang w:val="en-GB"/>
              </w:rPr>
            </w:pPr>
          </w:p>
          <w:p w:rsidR="00066C81" w:rsidRPr="00066C81" w:rsidRDefault="00066C81" w:rsidP="00066C81">
            <w:pPr>
              <w:jc w:val="both"/>
              <w:rPr>
                <w:lang w:val="fr-CA"/>
              </w:rPr>
            </w:pPr>
            <w:r w:rsidRPr="00066C81">
              <w:rPr>
                <w:b/>
                <w:lang w:val="fr-CA"/>
              </w:rPr>
              <w:t>DANS L’AFFAIRE D’UN RENVOI PAR LE GOUVERNEUR EN CONSEIL CONCERNANT LA RÉFORME DU SÉNAT TEL QUE FORMULÉ DANS LE DÉCRET C.P. 2013-70 EN DATE DU 1</w:t>
            </w:r>
            <w:r w:rsidRPr="00066C81">
              <w:rPr>
                <w:b/>
                <w:vertAlign w:val="superscript"/>
                <w:lang w:val="fr-CA"/>
              </w:rPr>
              <w:t>ER</w:t>
            </w:r>
            <w:r w:rsidRPr="00066C81">
              <w:rPr>
                <w:b/>
                <w:lang w:val="fr-CA"/>
              </w:rPr>
              <w:t xml:space="preserve"> FÉVRIER 2013 </w:t>
            </w:r>
            <w:r w:rsidRPr="00066C81">
              <w:rPr>
                <w:lang w:val="fr-CA"/>
              </w:rPr>
              <w:t>(35203)</w:t>
            </w:r>
          </w:p>
        </w:tc>
        <w:tc>
          <w:tcPr>
            <w:tcW w:w="1170" w:type="dxa"/>
          </w:tcPr>
          <w:p w:rsidR="00066C81" w:rsidRPr="00066C81" w:rsidRDefault="00066C81" w:rsidP="00066C81">
            <w:pPr>
              <w:tabs>
                <w:tab w:val="left" w:pos="-1440"/>
                <w:tab w:val="left" w:pos="-720"/>
              </w:tabs>
              <w:jc w:val="both"/>
              <w:rPr>
                <w:lang w:val="fr-CA"/>
              </w:rPr>
            </w:pPr>
          </w:p>
        </w:tc>
        <w:tc>
          <w:tcPr>
            <w:tcW w:w="4327" w:type="dxa"/>
          </w:tcPr>
          <w:p w:rsidR="00066C81" w:rsidRPr="00066C81" w:rsidRDefault="00066C81" w:rsidP="00066C81">
            <w:pPr>
              <w:tabs>
                <w:tab w:val="left" w:pos="-1440"/>
                <w:tab w:val="left" w:pos="-720"/>
              </w:tabs>
              <w:jc w:val="both"/>
              <w:rPr>
                <w:lang w:val="fr-CA"/>
              </w:rPr>
            </w:pPr>
          </w:p>
        </w:tc>
      </w:tr>
    </w:tbl>
    <w:p w:rsidR="00066C81" w:rsidRPr="00066C81" w:rsidRDefault="00066C81" w:rsidP="00066C81">
      <w:pPr>
        <w:tabs>
          <w:tab w:val="left" w:pos="-1440"/>
          <w:tab w:val="left" w:pos="-720"/>
        </w:tabs>
        <w:jc w:val="both"/>
        <w:rPr>
          <w:rFonts w:eastAsia="Times New Roman" w:cs="Times New Roman"/>
          <w:sz w:val="20"/>
          <w:szCs w:val="20"/>
          <w:lang w:val="fr-CA" w:eastAsia="en-CA"/>
        </w:rPr>
      </w:pPr>
    </w:p>
    <w:p w:rsidR="00066C81" w:rsidRPr="00066C81" w:rsidRDefault="00066C81" w:rsidP="00066C81">
      <w:pPr>
        <w:tabs>
          <w:tab w:val="left" w:pos="-1440"/>
          <w:tab w:val="left" w:pos="-720"/>
        </w:tabs>
        <w:jc w:val="both"/>
        <w:rPr>
          <w:rFonts w:eastAsia="Times New Roman" w:cs="Times New Roman"/>
          <w:sz w:val="20"/>
          <w:szCs w:val="20"/>
          <w:lang w:val="fr-CA" w:eastAsia="en-CA"/>
        </w:rPr>
      </w:pPr>
      <w:r w:rsidRPr="00066C81">
        <w:rPr>
          <w:rFonts w:eastAsia="Times New Roman" w:cs="Times New Roman"/>
          <w:b/>
          <w:sz w:val="20"/>
          <w:szCs w:val="20"/>
          <w:lang w:val="fr-CA" w:eastAsia="en-CA"/>
        </w:rPr>
        <w:t>GRANTED / ACCORDÉE</w:t>
      </w:r>
    </w:p>
    <w:p w:rsidR="00066C81" w:rsidRPr="00066C81" w:rsidRDefault="00066C81" w:rsidP="00066C81">
      <w:pPr>
        <w:tabs>
          <w:tab w:val="left" w:pos="-1440"/>
          <w:tab w:val="left" w:pos="-720"/>
        </w:tabs>
        <w:jc w:val="both"/>
        <w:rPr>
          <w:rFonts w:eastAsia="Times New Roman" w:cs="Times New Roman"/>
          <w:sz w:val="20"/>
          <w:szCs w:val="20"/>
          <w:lang w:val="fr-CA" w:eastAsia="en-CA"/>
        </w:rPr>
      </w:pPr>
    </w:p>
    <w:p w:rsidR="00066C81" w:rsidRPr="00066C81" w:rsidRDefault="00066C81" w:rsidP="00066C81">
      <w:pPr>
        <w:jc w:val="both"/>
        <w:rPr>
          <w:rFonts w:eastAsia="Times New Roman" w:cs="Times New Roman"/>
          <w:sz w:val="20"/>
          <w:szCs w:val="20"/>
          <w:lang w:val="fr-CA" w:eastAsia="en-CA"/>
        </w:rPr>
      </w:pPr>
      <w:r w:rsidRPr="00066C81">
        <w:rPr>
          <w:rFonts w:eastAsia="Times New Roman" w:cs="Times New Roman"/>
          <w:b/>
          <w:bCs/>
          <w:sz w:val="20"/>
          <w:szCs w:val="20"/>
          <w:lang w:val="fr-CA" w:eastAsia="en-CA"/>
        </w:rPr>
        <w:t xml:space="preserve">À LA SUITE D’UNE DEMANDE </w:t>
      </w:r>
      <w:r w:rsidRPr="00066C81">
        <w:rPr>
          <w:rFonts w:eastAsia="Times New Roman" w:cs="Times New Roman"/>
          <w:sz w:val="20"/>
          <w:szCs w:val="20"/>
          <w:lang w:val="fr-CA" w:eastAsia="en-CA"/>
        </w:rPr>
        <w:t>par le procureur général du Québec</w:t>
      </w:r>
      <w:r w:rsidRPr="00066C81">
        <w:rPr>
          <w:rFonts w:eastAsia="Times New Roman" w:cs="Times New Roman"/>
          <w:bCs/>
          <w:sz w:val="20"/>
          <w:szCs w:val="20"/>
          <w:lang w:val="fr-CA" w:eastAsia="en-CA"/>
        </w:rPr>
        <w:t xml:space="preserve"> pour obtenir l’autorisation </w:t>
      </w:r>
      <w:r w:rsidR="00B3404D" w:rsidRPr="00066C81">
        <w:rPr>
          <w:rFonts w:eastAsia="Times New Roman" w:cs="Times New Roman"/>
          <w:sz w:val="20"/>
          <w:szCs w:val="20"/>
          <w:lang w:eastAsia="en-CA"/>
        </w:rPr>
        <w:fldChar w:fldCharType="begin"/>
      </w:r>
      <w:r w:rsidRPr="00066C81">
        <w:rPr>
          <w:rFonts w:eastAsia="Times New Roman" w:cs="Times New Roman"/>
          <w:sz w:val="20"/>
          <w:szCs w:val="20"/>
          <w:lang w:val="fr-CA" w:eastAsia="en-CA"/>
        </w:rPr>
        <w:instrText xml:space="preserve"> SEQ CHAPTER \h \r 1</w:instrText>
      </w:r>
      <w:r w:rsidR="00B3404D" w:rsidRPr="00066C81">
        <w:rPr>
          <w:rFonts w:eastAsia="Times New Roman" w:cs="Times New Roman"/>
          <w:sz w:val="20"/>
          <w:szCs w:val="20"/>
          <w:lang w:eastAsia="en-CA"/>
        </w:rPr>
        <w:fldChar w:fldCharType="end"/>
      </w:r>
      <w:r w:rsidRPr="00066C81">
        <w:rPr>
          <w:rFonts w:eastAsia="Times New Roman" w:cs="Times New Roman"/>
          <w:sz w:val="20"/>
          <w:szCs w:val="20"/>
          <w:lang w:val="fr-CA" w:eastAsia="en-CA"/>
        </w:rPr>
        <w:t>de déposer un mémoire de 60 pages;</w:t>
      </w:r>
    </w:p>
    <w:p w:rsidR="00066C81" w:rsidRPr="00066C81" w:rsidRDefault="00066C81" w:rsidP="00066C81">
      <w:pPr>
        <w:jc w:val="both"/>
        <w:rPr>
          <w:rFonts w:eastAsia="Times New Roman" w:cs="Times New Roman"/>
          <w:sz w:val="20"/>
          <w:szCs w:val="20"/>
          <w:lang w:val="fr-CA" w:eastAsia="en-CA"/>
        </w:rPr>
      </w:pPr>
    </w:p>
    <w:p w:rsidR="00066C81" w:rsidRPr="00066C81" w:rsidRDefault="00066C81" w:rsidP="00066C81">
      <w:pPr>
        <w:spacing w:line="233" w:lineRule="auto"/>
        <w:jc w:val="both"/>
        <w:rPr>
          <w:rFonts w:eastAsia="Times New Roman" w:cs="Times New Roman"/>
          <w:sz w:val="20"/>
          <w:szCs w:val="20"/>
          <w:lang w:val="fr-CA" w:eastAsia="en-CA"/>
        </w:rPr>
      </w:pPr>
      <w:r w:rsidRPr="00066C81">
        <w:rPr>
          <w:rFonts w:eastAsia="Times New Roman" w:cs="Times New Roman"/>
          <w:b/>
          <w:bCs/>
          <w:sz w:val="20"/>
          <w:szCs w:val="20"/>
          <w:lang w:val="fr-CA" w:eastAsia="en-CA"/>
        </w:rPr>
        <w:t xml:space="preserve">ET APRÈS EXAMEN </w:t>
      </w:r>
      <w:r w:rsidRPr="00066C81">
        <w:rPr>
          <w:rFonts w:eastAsia="Times New Roman" w:cs="Times New Roman"/>
          <w:sz w:val="20"/>
          <w:szCs w:val="20"/>
          <w:lang w:val="fr-CA" w:eastAsia="en-CA"/>
        </w:rPr>
        <w:t xml:space="preserve">des documents déposés; </w:t>
      </w:r>
    </w:p>
    <w:p w:rsidR="00066C81" w:rsidRPr="00066C81" w:rsidRDefault="00066C81" w:rsidP="00066C81">
      <w:pPr>
        <w:spacing w:line="233" w:lineRule="auto"/>
        <w:jc w:val="both"/>
        <w:rPr>
          <w:rFonts w:eastAsia="Times New Roman" w:cs="Times New Roman"/>
          <w:sz w:val="20"/>
          <w:szCs w:val="20"/>
          <w:lang w:val="fr-CA" w:eastAsia="en-CA"/>
        </w:rPr>
      </w:pPr>
    </w:p>
    <w:p w:rsidR="00066C81" w:rsidRPr="00066C81" w:rsidRDefault="00066C81" w:rsidP="00066C81">
      <w:pPr>
        <w:spacing w:line="233" w:lineRule="auto"/>
        <w:jc w:val="both"/>
        <w:rPr>
          <w:rFonts w:eastAsia="Times New Roman" w:cs="Times New Roman"/>
          <w:sz w:val="20"/>
          <w:szCs w:val="20"/>
          <w:lang w:val="fr-CA" w:eastAsia="en-CA"/>
        </w:rPr>
      </w:pPr>
      <w:r w:rsidRPr="00066C81">
        <w:rPr>
          <w:rFonts w:eastAsia="Times New Roman" w:cs="Times New Roman"/>
          <w:b/>
          <w:bCs/>
          <w:sz w:val="20"/>
          <w:szCs w:val="20"/>
          <w:lang w:val="fr-CA" w:eastAsia="en-CA"/>
        </w:rPr>
        <w:t xml:space="preserve">IL EST ORDONNÉ CE QUI SUIT : </w:t>
      </w:r>
    </w:p>
    <w:p w:rsidR="00066C81" w:rsidRPr="00066C81" w:rsidRDefault="00066C81" w:rsidP="00066C81">
      <w:pPr>
        <w:jc w:val="both"/>
        <w:rPr>
          <w:rFonts w:eastAsia="Times New Roman" w:cs="Times New Roman"/>
          <w:sz w:val="20"/>
          <w:szCs w:val="20"/>
          <w:lang w:val="fr-CA" w:eastAsia="en-CA"/>
        </w:rPr>
      </w:pPr>
    </w:p>
    <w:p w:rsidR="00066C81" w:rsidRPr="00066C81" w:rsidRDefault="00066C81" w:rsidP="00066C81">
      <w:pPr>
        <w:jc w:val="both"/>
        <w:rPr>
          <w:rFonts w:eastAsia="Times New Roman" w:cs="Times New Roman"/>
          <w:sz w:val="20"/>
          <w:szCs w:val="20"/>
          <w:lang w:val="en-US" w:eastAsia="en-CA"/>
        </w:rPr>
      </w:pPr>
      <w:r w:rsidRPr="00066C81">
        <w:rPr>
          <w:rFonts w:eastAsia="Times New Roman" w:cs="Times New Roman"/>
          <w:sz w:val="20"/>
          <w:szCs w:val="20"/>
          <w:lang w:val="en-US" w:eastAsia="en-CA"/>
        </w:rPr>
        <w:t>La requête est accueillie.</w:t>
      </w:r>
    </w:p>
    <w:p w:rsidR="00066C81" w:rsidRPr="00066C81" w:rsidRDefault="00066C81" w:rsidP="00066C81">
      <w:pPr>
        <w:jc w:val="both"/>
        <w:rPr>
          <w:rFonts w:eastAsia="Times New Roman" w:cs="Times New Roman"/>
          <w:sz w:val="20"/>
          <w:szCs w:val="20"/>
          <w:lang w:val="en-US" w:eastAsia="en-CA"/>
        </w:rPr>
      </w:pPr>
    </w:p>
    <w:p w:rsidR="00066C81" w:rsidRPr="00066C81" w:rsidRDefault="00066C81" w:rsidP="00066C81">
      <w:pPr>
        <w:jc w:val="both"/>
        <w:rPr>
          <w:rFonts w:eastAsia="Times New Roman" w:cs="Times New Roman"/>
          <w:sz w:val="20"/>
          <w:szCs w:val="20"/>
          <w:lang w:val="en-US" w:eastAsia="en-CA"/>
        </w:rPr>
      </w:pPr>
    </w:p>
    <w:p w:rsidR="00066C81" w:rsidRPr="00066C81" w:rsidRDefault="00066C81" w:rsidP="00066C81">
      <w:pPr>
        <w:jc w:val="both"/>
        <w:rPr>
          <w:rFonts w:eastAsia="Times New Roman" w:cs="Times New Roman"/>
          <w:b/>
          <w:bCs/>
          <w:sz w:val="20"/>
          <w:szCs w:val="20"/>
          <w:lang w:val="en-US" w:eastAsia="en-CA"/>
        </w:rPr>
      </w:pPr>
    </w:p>
    <w:p w:rsidR="00066C81" w:rsidRPr="00066C81" w:rsidRDefault="00066C81" w:rsidP="00066C81">
      <w:pPr>
        <w:jc w:val="both"/>
        <w:rPr>
          <w:rFonts w:eastAsia="Times New Roman" w:cs="Times New Roman"/>
          <w:sz w:val="20"/>
          <w:szCs w:val="20"/>
          <w:lang w:eastAsia="en-CA"/>
        </w:rPr>
      </w:pPr>
      <w:r w:rsidRPr="00066C81">
        <w:rPr>
          <w:rFonts w:eastAsia="Times New Roman" w:cs="Times New Roman"/>
          <w:b/>
          <w:bCs/>
          <w:sz w:val="20"/>
          <w:szCs w:val="20"/>
          <w:lang w:eastAsia="en-CA"/>
        </w:rPr>
        <w:t>UPON APPLICATION</w:t>
      </w:r>
      <w:r w:rsidRPr="00066C81">
        <w:rPr>
          <w:rFonts w:eastAsia="Times New Roman" w:cs="Times New Roman"/>
          <w:sz w:val="20"/>
          <w:szCs w:val="20"/>
          <w:lang w:eastAsia="en-CA"/>
        </w:rPr>
        <w:t xml:space="preserve"> by the Attorney General of Quebec for an order permitting the filing of a lengthy factum of 60 pages;</w:t>
      </w:r>
    </w:p>
    <w:p w:rsidR="00066C81" w:rsidRPr="00066C81" w:rsidRDefault="00066C81" w:rsidP="00066C81">
      <w:pPr>
        <w:rPr>
          <w:rFonts w:eastAsia="Times New Roman" w:cs="Times New Roman"/>
          <w:sz w:val="20"/>
          <w:szCs w:val="20"/>
          <w:lang w:eastAsia="en-CA"/>
        </w:rPr>
      </w:pPr>
    </w:p>
    <w:p w:rsidR="00066C81" w:rsidRPr="00066C81" w:rsidRDefault="00066C81" w:rsidP="00066C81">
      <w:pPr>
        <w:rPr>
          <w:rFonts w:eastAsia="Times New Roman" w:cs="Times New Roman"/>
          <w:sz w:val="20"/>
          <w:szCs w:val="20"/>
          <w:lang w:eastAsia="en-CA"/>
        </w:rPr>
      </w:pPr>
      <w:r w:rsidRPr="00066C81">
        <w:rPr>
          <w:rFonts w:eastAsia="Times New Roman" w:cs="Times New Roman"/>
          <w:b/>
          <w:bCs/>
          <w:sz w:val="20"/>
          <w:szCs w:val="20"/>
          <w:lang w:eastAsia="en-CA"/>
        </w:rPr>
        <w:t>AND HAVING READ</w:t>
      </w:r>
      <w:r w:rsidRPr="00066C81">
        <w:rPr>
          <w:rFonts w:eastAsia="Times New Roman" w:cs="Times New Roman"/>
          <w:sz w:val="20"/>
          <w:szCs w:val="20"/>
          <w:lang w:eastAsia="en-CA"/>
        </w:rPr>
        <w:t xml:space="preserve"> the material filed;</w:t>
      </w:r>
    </w:p>
    <w:p w:rsidR="00066C81" w:rsidRPr="00066C81" w:rsidRDefault="00066C81" w:rsidP="00066C81">
      <w:pPr>
        <w:rPr>
          <w:rFonts w:eastAsia="Times New Roman" w:cs="Times New Roman"/>
          <w:b/>
          <w:bCs/>
          <w:sz w:val="20"/>
          <w:szCs w:val="20"/>
          <w:lang w:eastAsia="en-CA"/>
        </w:rPr>
      </w:pPr>
    </w:p>
    <w:p w:rsidR="00066C81" w:rsidRPr="00066C81" w:rsidRDefault="00066C81" w:rsidP="00066C81">
      <w:pPr>
        <w:rPr>
          <w:rFonts w:eastAsia="Times New Roman" w:cs="Times New Roman"/>
          <w:sz w:val="20"/>
          <w:szCs w:val="20"/>
          <w:lang w:eastAsia="en-CA"/>
        </w:rPr>
      </w:pPr>
      <w:r w:rsidRPr="00066C81">
        <w:rPr>
          <w:rFonts w:eastAsia="Times New Roman" w:cs="Times New Roman"/>
          <w:b/>
          <w:bCs/>
          <w:sz w:val="20"/>
          <w:szCs w:val="20"/>
          <w:lang w:eastAsia="en-CA"/>
        </w:rPr>
        <w:t>IT IS HEREBY ORDERED THAT:</w:t>
      </w:r>
    </w:p>
    <w:p w:rsidR="00066C81" w:rsidRPr="00066C81" w:rsidRDefault="00066C81" w:rsidP="00066C81">
      <w:pPr>
        <w:rPr>
          <w:rFonts w:eastAsia="Times New Roman" w:cs="Times New Roman"/>
          <w:sz w:val="20"/>
          <w:szCs w:val="20"/>
          <w:lang w:eastAsia="en-CA"/>
        </w:rPr>
      </w:pPr>
    </w:p>
    <w:p w:rsidR="00066C81" w:rsidRPr="00066C81" w:rsidRDefault="00066C81" w:rsidP="00066C81">
      <w:pPr>
        <w:jc w:val="both"/>
        <w:rPr>
          <w:rFonts w:eastAsia="Times New Roman" w:cs="Times New Roman"/>
          <w:sz w:val="20"/>
          <w:szCs w:val="20"/>
          <w:lang w:eastAsia="en-CA"/>
        </w:rPr>
      </w:pPr>
      <w:r w:rsidRPr="00066C81">
        <w:rPr>
          <w:rFonts w:eastAsia="Times New Roman" w:cs="Times New Roman"/>
          <w:sz w:val="20"/>
          <w:szCs w:val="20"/>
          <w:lang w:eastAsia="en-CA"/>
        </w:rPr>
        <w:t xml:space="preserve">The motion is granted. </w:t>
      </w:r>
    </w:p>
    <w:p w:rsidR="00066C81" w:rsidRPr="00066C81" w:rsidRDefault="00066C81" w:rsidP="00066C81">
      <w:pPr>
        <w:tabs>
          <w:tab w:val="left" w:pos="-1440"/>
          <w:tab w:val="left" w:pos="-720"/>
        </w:tabs>
        <w:jc w:val="both"/>
        <w:rPr>
          <w:rFonts w:eastAsia="Times New Roman" w:cs="Times New Roman"/>
          <w:sz w:val="20"/>
          <w:szCs w:val="20"/>
          <w:lang w:eastAsia="en-CA"/>
        </w:rPr>
      </w:pPr>
    </w:p>
    <w:p w:rsidR="00066C81" w:rsidRPr="00066C81" w:rsidRDefault="00B3404D" w:rsidP="00066C81">
      <w:pPr>
        <w:tabs>
          <w:tab w:val="left" w:pos="-1440"/>
          <w:tab w:val="left" w:pos="-720"/>
        </w:tabs>
        <w:jc w:val="both"/>
        <w:rPr>
          <w:rFonts w:eastAsia="Times New Roman" w:cs="Times New Roman"/>
          <w:sz w:val="20"/>
          <w:szCs w:val="20"/>
          <w:lang w:val="fr-CA" w:eastAsia="en-CA"/>
        </w:rPr>
      </w:pPr>
      <w:r w:rsidRPr="00B3404D">
        <w:rPr>
          <w:rFonts w:eastAsia="Times New Roman" w:cs="Times New Roman"/>
          <w:sz w:val="20"/>
          <w:szCs w:val="20"/>
          <w:lang w:val="fr-CA" w:eastAsia="en-CA"/>
        </w:rPr>
        <w:pict>
          <v:rect id="_x0000_i1102" style="width:2in;height:1pt" o:hrpct="0" o:hralign="center" o:hrstd="t" o:hrnoshade="t" o:hr="t" fillcolor="black [3213]" stroked="f"/>
        </w:pict>
      </w:r>
    </w:p>
    <w:p w:rsidR="00066C81" w:rsidRPr="00066C81" w:rsidRDefault="00066C81" w:rsidP="00066C81">
      <w:pPr>
        <w:tabs>
          <w:tab w:val="left" w:pos="-1440"/>
          <w:tab w:val="left" w:pos="-720"/>
        </w:tabs>
        <w:jc w:val="both"/>
        <w:rPr>
          <w:rFonts w:eastAsia="Times New Roman" w:cs="Times New Roman"/>
          <w:sz w:val="20"/>
          <w:szCs w:val="20"/>
          <w:lang w:val="fr-CA" w:eastAsia="en-CA"/>
        </w:rPr>
      </w:pPr>
    </w:p>
    <w:p w:rsidR="00066C81" w:rsidRPr="00066C81" w:rsidRDefault="00066C81" w:rsidP="00066C81">
      <w:pPr>
        <w:tabs>
          <w:tab w:val="left" w:pos="-1440"/>
          <w:tab w:val="left" w:pos="-720"/>
        </w:tabs>
        <w:jc w:val="both"/>
        <w:rPr>
          <w:rFonts w:eastAsia="Times New Roman" w:cs="Times New Roman"/>
          <w:sz w:val="20"/>
          <w:szCs w:val="20"/>
          <w:lang w:val="fr-CA" w:eastAsia="en-CA"/>
        </w:rPr>
      </w:pPr>
      <w:r w:rsidRPr="00066C81">
        <w:rPr>
          <w:rFonts w:eastAsia="Times New Roman" w:cs="Times New Roman"/>
          <w:sz w:val="20"/>
          <w:szCs w:val="20"/>
          <w:lang w:val="fr-CA" w:eastAsia="en-CA"/>
        </w:rPr>
        <w:t>05.06.2013</w:t>
      </w:r>
    </w:p>
    <w:p w:rsidR="00066C81" w:rsidRPr="00066C81" w:rsidRDefault="00066C81" w:rsidP="00066C81">
      <w:pPr>
        <w:tabs>
          <w:tab w:val="left" w:pos="-1440"/>
          <w:tab w:val="left" w:pos="-720"/>
        </w:tabs>
        <w:jc w:val="both"/>
        <w:rPr>
          <w:rFonts w:eastAsia="Times New Roman" w:cs="Times New Roman"/>
          <w:sz w:val="20"/>
          <w:szCs w:val="20"/>
          <w:lang w:val="fr-CA" w:eastAsia="en-CA"/>
        </w:rPr>
      </w:pPr>
    </w:p>
    <w:p w:rsidR="00066C81" w:rsidRPr="00066C81" w:rsidRDefault="00066C81" w:rsidP="00066C81">
      <w:pPr>
        <w:tabs>
          <w:tab w:val="left" w:pos="-1440"/>
          <w:tab w:val="left" w:pos="-720"/>
        </w:tabs>
        <w:jc w:val="both"/>
        <w:rPr>
          <w:rFonts w:eastAsia="Times New Roman" w:cs="Times New Roman"/>
          <w:sz w:val="20"/>
          <w:szCs w:val="20"/>
          <w:lang w:val="fr-CA" w:eastAsia="en-CA"/>
        </w:rPr>
      </w:pPr>
      <w:r w:rsidRPr="00066C81">
        <w:rPr>
          <w:rFonts w:eastAsia="Times New Roman" w:cs="Times New Roman"/>
          <w:sz w:val="20"/>
          <w:szCs w:val="20"/>
          <w:lang w:val="fr-CA" w:eastAsia="en-CA"/>
        </w:rPr>
        <w:t>Before / Devant :   WAGNER J. / LE JUGE WAGNER</w:t>
      </w:r>
    </w:p>
    <w:p w:rsidR="00066C81" w:rsidRPr="00066C81" w:rsidRDefault="00066C81" w:rsidP="00066C81">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066C81" w:rsidRPr="00D41BFD" w:rsidTr="00C05792">
        <w:tc>
          <w:tcPr>
            <w:tcW w:w="4338" w:type="dxa"/>
            <w:gridSpan w:val="2"/>
          </w:tcPr>
          <w:p w:rsidR="00066C81" w:rsidRPr="00066C81" w:rsidRDefault="00066C81" w:rsidP="00066C81">
            <w:pPr>
              <w:jc w:val="both"/>
              <w:rPr>
                <w:b/>
              </w:rPr>
            </w:pPr>
            <w:r w:rsidRPr="00066C81">
              <w:rPr>
                <w:b/>
                <w:lang w:val="en-US"/>
              </w:rPr>
              <w:t xml:space="preserve">Order on interventions with respect to oral argument </w:t>
            </w:r>
            <w:r w:rsidR="00B3404D" w:rsidRPr="00066C81">
              <w:rPr>
                <w:b/>
                <w:lang w:val="en-US"/>
              </w:rPr>
              <w:fldChar w:fldCharType="begin"/>
            </w:r>
            <w:r w:rsidRPr="00066C81">
              <w:rPr>
                <w:b/>
              </w:rPr>
              <w:instrText xml:space="preserve"> SEQ CHAPTER \h \r 1</w:instrText>
            </w:r>
            <w:r w:rsidR="00B3404D" w:rsidRPr="00066C81">
              <w:rPr>
                <w:b/>
                <w:lang w:val="en-US"/>
              </w:rPr>
              <w:fldChar w:fldCharType="end"/>
            </w:r>
          </w:p>
        </w:tc>
        <w:tc>
          <w:tcPr>
            <w:tcW w:w="1170" w:type="dxa"/>
          </w:tcPr>
          <w:p w:rsidR="00066C81" w:rsidRPr="00066C81" w:rsidRDefault="00066C81" w:rsidP="00066C81"/>
          <w:p w:rsidR="00066C81" w:rsidRPr="00066C81" w:rsidRDefault="00066C81" w:rsidP="00066C81"/>
          <w:p w:rsidR="00066C81" w:rsidRPr="00066C81" w:rsidRDefault="00066C81" w:rsidP="00066C81"/>
        </w:tc>
        <w:tc>
          <w:tcPr>
            <w:tcW w:w="4327" w:type="dxa"/>
          </w:tcPr>
          <w:p w:rsidR="00066C81" w:rsidRPr="00066C81" w:rsidRDefault="00066C81" w:rsidP="00066C81">
            <w:pPr>
              <w:jc w:val="both"/>
              <w:rPr>
                <w:b/>
                <w:lang w:val="fr-CA"/>
              </w:rPr>
            </w:pPr>
            <w:r w:rsidRPr="00066C81">
              <w:rPr>
                <w:b/>
                <w:lang w:val="fr-CA"/>
              </w:rPr>
              <w:t>Ordonnance relative à la présentation d’une plaidoirie orale par les intervenants</w:t>
            </w:r>
            <w:r w:rsidR="00B3404D" w:rsidRPr="00066C81">
              <w:rPr>
                <w:b/>
                <w:lang w:val="en-US"/>
              </w:rPr>
              <w:fldChar w:fldCharType="begin"/>
            </w:r>
            <w:r w:rsidRPr="00066C81">
              <w:rPr>
                <w:b/>
                <w:lang w:val="fr-CA"/>
              </w:rPr>
              <w:instrText xml:space="preserve"> SEQ CHAPTER \h \r 1</w:instrText>
            </w:r>
            <w:r w:rsidR="00B3404D" w:rsidRPr="00066C81">
              <w:rPr>
                <w:b/>
                <w:lang w:val="en-US"/>
              </w:rPr>
              <w:fldChar w:fldCharType="end"/>
            </w:r>
          </w:p>
        </w:tc>
      </w:tr>
      <w:tr w:rsidR="00066C81" w:rsidRPr="00066C81" w:rsidTr="00C05792">
        <w:tc>
          <w:tcPr>
            <w:tcW w:w="1368" w:type="dxa"/>
          </w:tcPr>
          <w:p w:rsidR="00066C81" w:rsidRPr="00066C81" w:rsidRDefault="00066C81" w:rsidP="00066C81">
            <w:r w:rsidRPr="00066C81">
              <w:t>RE:</w:t>
            </w:r>
          </w:p>
        </w:tc>
        <w:tc>
          <w:tcPr>
            <w:tcW w:w="2970" w:type="dxa"/>
          </w:tcPr>
          <w:p w:rsidR="00066C81" w:rsidRPr="00066C81" w:rsidRDefault="00066C81" w:rsidP="00066C81">
            <w:r w:rsidRPr="00066C81">
              <w:rPr>
                <w:lang w:val="en-US"/>
              </w:rPr>
              <w:t>Pivot Legal Society, Downtown Eastside Sex Workers United Against Violence and PACE Society;</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368" w:type="dxa"/>
          </w:tcPr>
          <w:p w:rsidR="00066C81" w:rsidRPr="00066C81" w:rsidRDefault="00066C81" w:rsidP="00066C81"/>
        </w:tc>
        <w:tc>
          <w:tcPr>
            <w:tcW w:w="2970" w:type="dxa"/>
          </w:tcPr>
          <w:p w:rsidR="00066C81" w:rsidRPr="00066C81" w:rsidRDefault="00066C81" w:rsidP="00066C81">
            <w:r w:rsidRPr="00066C81">
              <w:rPr>
                <w:lang w:val="en-US"/>
              </w:rPr>
              <w:t>Secretariat of the Joint United Nations Programme on HIV/AIDS;</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368" w:type="dxa"/>
          </w:tcPr>
          <w:p w:rsidR="00066C81" w:rsidRPr="00066C81" w:rsidRDefault="00066C81" w:rsidP="00066C81"/>
        </w:tc>
        <w:tc>
          <w:tcPr>
            <w:tcW w:w="2970" w:type="dxa"/>
          </w:tcPr>
          <w:p w:rsidR="00066C81" w:rsidRPr="00066C81" w:rsidRDefault="00066C81" w:rsidP="00066C81">
            <w:r w:rsidRPr="00066C81">
              <w:rPr>
                <w:lang w:val="en-US"/>
              </w:rPr>
              <w:t>British Columbia Civil Liberties Association;</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368" w:type="dxa"/>
          </w:tcPr>
          <w:p w:rsidR="00066C81" w:rsidRPr="00066C81" w:rsidRDefault="00066C81" w:rsidP="00066C81"/>
        </w:tc>
        <w:tc>
          <w:tcPr>
            <w:tcW w:w="2970" w:type="dxa"/>
          </w:tcPr>
          <w:p w:rsidR="00066C81" w:rsidRPr="00066C81" w:rsidRDefault="00066C81" w:rsidP="00066C81">
            <w:r w:rsidRPr="00066C81">
              <w:rPr>
                <w:lang w:val="en-US"/>
              </w:rPr>
              <w:t>Evangelical Fellowship of Canada</w:t>
            </w:r>
            <w:r w:rsidRPr="00066C81">
              <w:t>;</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368" w:type="dxa"/>
          </w:tcPr>
          <w:p w:rsidR="00066C81" w:rsidRPr="00066C81" w:rsidRDefault="00066C81" w:rsidP="00066C81"/>
        </w:tc>
        <w:tc>
          <w:tcPr>
            <w:tcW w:w="2970" w:type="dxa"/>
          </w:tcPr>
          <w:p w:rsidR="00066C81" w:rsidRPr="00066C81" w:rsidRDefault="00066C81" w:rsidP="00066C81">
            <w:r w:rsidRPr="00066C81">
              <w:rPr>
                <w:lang w:val="en-US"/>
              </w:rPr>
              <w:t>Canadian HIV/AIDS Legal Network, British Columbia Centre for Excellence in HIV/AIDS and HIV &amp; AIDS Legal Clinic Ontario</w:t>
            </w:r>
            <w:r w:rsidRPr="00066C81">
              <w:t>;</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368" w:type="dxa"/>
          </w:tcPr>
          <w:p w:rsidR="00066C81" w:rsidRPr="00066C81" w:rsidRDefault="00066C81" w:rsidP="00066C81"/>
        </w:tc>
        <w:tc>
          <w:tcPr>
            <w:tcW w:w="2970" w:type="dxa"/>
          </w:tcPr>
          <w:p w:rsidR="00066C81" w:rsidRPr="00066C81" w:rsidRDefault="00066C81" w:rsidP="00066C81">
            <w:r w:rsidRPr="00066C81">
              <w:rPr>
                <w:lang w:val="en-US"/>
              </w:rPr>
              <w:t>Canadian Association of Sexual Assault Centres</w:t>
            </w:r>
            <w:r w:rsidRPr="00066C81">
              <w:t>;</w:t>
            </w:r>
          </w:p>
        </w:tc>
        <w:tc>
          <w:tcPr>
            <w:tcW w:w="1170" w:type="dxa"/>
          </w:tcPr>
          <w:p w:rsidR="00066C81" w:rsidRPr="00066C81" w:rsidRDefault="00066C81" w:rsidP="00066C81"/>
        </w:tc>
        <w:tc>
          <w:tcPr>
            <w:tcW w:w="4327" w:type="dxa"/>
          </w:tcPr>
          <w:p w:rsidR="00066C81" w:rsidRPr="00066C81" w:rsidRDefault="00066C81" w:rsidP="00066C81"/>
        </w:tc>
      </w:tr>
      <w:tr w:rsidR="00066C81" w:rsidRPr="00D41BFD" w:rsidTr="00C05792">
        <w:tc>
          <w:tcPr>
            <w:tcW w:w="1368" w:type="dxa"/>
          </w:tcPr>
          <w:p w:rsidR="00066C81" w:rsidRPr="00066C81" w:rsidRDefault="00066C81" w:rsidP="00066C81"/>
        </w:tc>
        <w:tc>
          <w:tcPr>
            <w:tcW w:w="2970" w:type="dxa"/>
          </w:tcPr>
          <w:p w:rsidR="00066C81" w:rsidRPr="00066C81" w:rsidRDefault="00066C81" w:rsidP="00066C81">
            <w:pPr>
              <w:rPr>
                <w:lang w:val="fr-CA"/>
              </w:rPr>
            </w:pPr>
            <w:r w:rsidRPr="00066C81">
              <w:rPr>
                <w:lang w:val="fr-CA"/>
              </w:rPr>
              <w:t>Native Women's Association of Canada, Canadian Association of Elizabeth Fry Societies, Action ontarienne contre la violence faite aux femmes, Concertation des luttes contre l'exploitation sexuelle;</w:t>
            </w:r>
          </w:p>
        </w:tc>
        <w:tc>
          <w:tcPr>
            <w:tcW w:w="1170" w:type="dxa"/>
          </w:tcPr>
          <w:p w:rsidR="00066C81" w:rsidRPr="00066C81" w:rsidRDefault="00066C81" w:rsidP="00066C81">
            <w:pPr>
              <w:rPr>
                <w:lang w:val="fr-CA"/>
              </w:rPr>
            </w:pPr>
          </w:p>
        </w:tc>
        <w:tc>
          <w:tcPr>
            <w:tcW w:w="4327" w:type="dxa"/>
          </w:tcPr>
          <w:p w:rsidR="00066C81" w:rsidRPr="00066C81" w:rsidRDefault="00066C81" w:rsidP="00066C81">
            <w:pPr>
              <w:rPr>
                <w:lang w:val="fr-CA"/>
              </w:rPr>
            </w:pPr>
          </w:p>
        </w:tc>
      </w:tr>
      <w:tr w:rsidR="00066C81" w:rsidRPr="00D41BFD" w:rsidTr="00C05792">
        <w:tc>
          <w:tcPr>
            <w:tcW w:w="1368" w:type="dxa"/>
          </w:tcPr>
          <w:p w:rsidR="00066C81" w:rsidRPr="00066C81" w:rsidRDefault="00066C81" w:rsidP="00066C81">
            <w:pPr>
              <w:rPr>
                <w:lang w:val="fr-CA"/>
              </w:rPr>
            </w:pPr>
          </w:p>
        </w:tc>
        <w:tc>
          <w:tcPr>
            <w:tcW w:w="2970" w:type="dxa"/>
          </w:tcPr>
          <w:p w:rsidR="00066C81" w:rsidRPr="00066C81" w:rsidRDefault="00066C81" w:rsidP="00066C81">
            <w:pPr>
              <w:rPr>
                <w:lang w:val="fr-CA"/>
              </w:rPr>
            </w:pPr>
            <w:r w:rsidRPr="00066C81">
              <w:rPr>
                <w:lang w:val="fr-CA"/>
              </w:rPr>
              <w:t>Regroupement québécois des centres d'aide et de lutte contre les agressions à caractère sexuel and Vancouver Rape Relief Society;</w:t>
            </w:r>
          </w:p>
        </w:tc>
        <w:tc>
          <w:tcPr>
            <w:tcW w:w="1170" w:type="dxa"/>
          </w:tcPr>
          <w:p w:rsidR="00066C81" w:rsidRPr="00066C81" w:rsidRDefault="00066C81" w:rsidP="00066C81">
            <w:pPr>
              <w:rPr>
                <w:lang w:val="fr-CA"/>
              </w:rPr>
            </w:pPr>
          </w:p>
        </w:tc>
        <w:tc>
          <w:tcPr>
            <w:tcW w:w="4327" w:type="dxa"/>
          </w:tcPr>
          <w:p w:rsidR="00066C81" w:rsidRPr="00066C81" w:rsidRDefault="00066C81" w:rsidP="00066C81">
            <w:pPr>
              <w:rPr>
                <w:lang w:val="fr-CA"/>
              </w:rPr>
            </w:pPr>
          </w:p>
        </w:tc>
      </w:tr>
      <w:tr w:rsidR="00066C81" w:rsidRPr="00066C81" w:rsidTr="00C05792">
        <w:tc>
          <w:tcPr>
            <w:tcW w:w="1368" w:type="dxa"/>
          </w:tcPr>
          <w:p w:rsidR="00066C81" w:rsidRPr="00066C81" w:rsidRDefault="00066C81" w:rsidP="00066C81">
            <w:pPr>
              <w:rPr>
                <w:lang w:val="fr-CA"/>
              </w:rPr>
            </w:pPr>
          </w:p>
        </w:tc>
        <w:tc>
          <w:tcPr>
            <w:tcW w:w="2970" w:type="dxa"/>
          </w:tcPr>
          <w:p w:rsidR="00066C81" w:rsidRPr="00066C81" w:rsidRDefault="00066C81" w:rsidP="00066C81">
            <w:r w:rsidRPr="00066C81">
              <w:rPr>
                <w:lang w:val="en-US"/>
              </w:rPr>
              <w:t>Christian Legal Fellowship, Catholic Civil Rights Leagues and REAL Women of Canada</w:t>
            </w:r>
            <w:r w:rsidRPr="00066C81">
              <w:t>;</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368" w:type="dxa"/>
          </w:tcPr>
          <w:p w:rsidR="00066C81" w:rsidRPr="00066C81" w:rsidRDefault="00066C81" w:rsidP="00066C81"/>
        </w:tc>
        <w:tc>
          <w:tcPr>
            <w:tcW w:w="2970" w:type="dxa"/>
          </w:tcPr>
          <w:p w:rsidR="00066C81" w:rsidRPr="00066C81" w:rsidRDefault="00066C81" w:rsidP="00066C81">
            <w:r w:rsidRPr="00066C81">
              <w:rPr>
                <w:lang w:val="en-US"/>
              </w:rPr>
              <w:t>David Asper Centre for Constitutional Rights</w:t>
            </w:r>
            <w:r w:rsidRPr="00066C81">
              <w:t>;</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368" w:type="dxa"/>
          </w:tcPr>
          <w:p w:rsidR="00066C81" w:rsidRPr="00066C81" w:rsidRDefault="00066C81" w:rsidP="00066C81"/>
        </w:tc>
        <w:tc>
          <w:tcPr>
            <w:tcW w:w="2970" w:type="dxa"/>
          </w:tcPr>
          <w:p w:rsidR="00066C81" w:rsidRPr="00066C81" w:rsidRDefault="00066C81" w:rsidP="00066C81">
            <w:r w:rsidRPr="00066C81">
              <w:rPr>
                <w:lang w:val="en-US"/>
              </w:rPr>
              <w:t>Institut Simone de Beauvoir</w:t>
            </w:r>
            <w:r w:rsidRPr="00066C81">
              <w:t>;</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368" w:type="dxa"/>
          </w:tcPr>
          <w:p w:rsidR="00066C81" w:rsidRPr="00066C81" w:rsidRDefault="00066C81" w:rsidP="00066C81"/>
        </w:tc>
        <w:tc>
          <w:tcPr>
            <w:tcW w:w="2970" w:type="dxa"/>
          </w:tcPr>
          <w:p w:rsidR="00066C81" w:rsidRPr="00066C81" w:rsidRDefault="00066C81" w:rsidP="00066C81">
            <w:r w:rsidRPr="00066C81">
              <w:rPr>
                <w:lang w:val="en-US"/>
              </w:rPr>
              <w:t>AWCEP Asian Women for Equality Society, operating as Asian Women Coalition Ending Prostitution</w:t>
            </w:r>
            <w:r w:rsidRPr="00066C81">
              <w:t>;</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368" w:type="dxa"/>
          </w:tcPr>
          <w:p w:rsidR="00066C81" w:rsidRPr="00066C81" w:rsidRDefault="00066C81" w:rsidP="00066C81"/>
        </w:tc>
        <w:tc>
          <w:tcPr>
            <w:tcW w:w="2970" w:type="dxa"/>
          </w:tcPr>
          <w:p w:rsidR="00066C81" w:rsidRPr="00066C81" w:rsidRDefault="00066C81" w:rsidP="00066C81">
            <w:r w:rsidRPr="00066C81">
              <w:rPr>
                <w:lang w:val="en-US"/>
              </w:rPr>
              <w:t>Aboriginal Legal Services of Toronto Inc.</w:t>
            </w:r>
          </w:p>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c>
          <w:tcPr>
            <w:tcW w:w="1368" w:type="dxa"/>
          </w:tcPr>
          <w:p w:rsidR="00066C81" w:rsidRPr="00066C81" w:rsidRDefault="00066C81" w:rsidP="00066C81"/>
        </w:tc>
        <w:tc>
          <w:tcPr>
            <w:tcW w:w="2970" w:type="dxa"/>
          </w:tcPr>
          <w:p w:rsidR="00066C81" w:rsidRPr="00066C81" w:rsidRDefault="00066C81" w:rsidP="00066C81"/>
        </w:tc>
        <w:tc>
          <w:tcPr>
            <w:tcW w:w="1170" w:type="dxa"/>
          </w:tcPr>
          <w:p w:rsidR="00066C81" w:rsidRPr="00066C81" w:rsidRDefault="00066C81" w:rsidP="00066C81"/>
        </w:tc>
        <w:tc>
          <w:tcPr>
            <w:tcW w:w="4327" w:type="dxa"/>
          </w:tcPr>
          <w:p w:rsidR="00066C81" w:rsidRPr="00066C81" w:rsidRDefault="00066C81" w:rsidP="00066C81"/>
        </w:tc>
      </w:tr>
      <w:tr w:rsidR="00066C81" w:rsidRPr="00066C81" w:rsidTr="00C05792">
        <w:trPr>
          <w:cantSplit/>
        </w:trPr>
        <w:tc>
          <w:tcPr>
            <w:tcW w:w="1368" w:type="dxa"/>
          </w:tcPr>
          <w:p w:rsidR="00066C81" w:rsidRPr="00066C81" w:rsidRDefault="00066C81" w:rsidP="00066C81">
            <w:r w:rsidRPr="00066C81">
              <w:t>IN / DANS :</w:t>
            </w:r>
          </w:p>
        </w:tc>
        <w:tc>
          <w:tcPr>
            <w:tcW w:w="2970" w:type="dxa"/>
          </w:tcPr>
          <w:p w:rsidR="00066C81" w:rsidRPr="00066C81" w:rsidRDefault="00066C81" w:rsidP="00066C81">
            <w:r w:rsidRPr="00066C81">
              <w:t>Attorney General of Canada et al.</w:t>
            </w:r>
          </w:p>
          <w:p w:rsidR="00066C81" w:rsidRPr="00066C81" w:rsidRDefault="00066C81" w:rsidP="00066C81"/>
          <w:p w:rsidR="00066C81" w:rsidRPr="00066C81" w:rsidRDefault="00066C81" w:rsidP="00066C81">
            <w:pPr>
              <w:rPr>
                <w:lang w:val="fr-CA"/>
              </w:rPr>
            </w:pPr>
            <w:r w:rsidRPr="00066C81">
              <w:tab/>
            </w:r>
            <w:r w:rsidRPr="00066C81">
              <w:rPr>
                <w:lang w:val="fr-CA"/>
              </w:rPr>
              <w:t>c. (34788)</w:t>
            </w:r>
          </w:p>
          <w:p w:rsidR="00066C81" w:rsidRPr="00066C81" w:rsidRDefault="00066C81" w:rsidP="00066C81">
            <w:pPr>
              <w:rPr>
                <w:lang w:val="fr-CA"/>
              </w:rPr>
            </w:pPr>
          </w:p>
          <w:p w:rsidR="00066C81" w:rsidRPr="00066C81" w:rsidRDefault="00066C81" w:rsidP="00066C81">
            <w:r w:rsidRPr="00066C81">
              <w:rPr>
                <w:lang w:val="fr-CA"/>
              </w:rPr>
              <w:t>Terri Jean Bedford et al. (Crim.) (Ont.)</w:t>
            </w:r>
          </w:p>
        </w:tc>
        <w:tc>
          <w:tcPr>
            <w:tcW w:w="1170" w:type="dxa"/>
          </w:tcPr>
          <w:p w:rsidR="00066C81" w:rsidRPr="00066C81" w:rsidRDefault="00066C81" w:rsidP="00066C81"/>
        </w:tc>
        <w:tc>
          <w:tcPr>
            <w:tcW w:w="4327" w:type="dxa"/>
          </w:tcPr>
          <w:p w:rsidR="00066C81" w:rsidRPr="00066C81" w:rsidRDefault="00066C81" w:rsidP="00066C81"/>
        </w:tc>
      </w:tr>
    </w:tbl>
    <w:p w:rsidR="00066C81" w:rsidRPr="00066C81" w:rsidRDefault="00066C81" w:rsidP="00066C81">
      <w:pPr>
        <w:tabs>
          <w:tab w:val="left" w:pos="-1440"/>
          <w:tab w:val="left" w:pos="-720"/>
        </w:tabs>
        <w:jc w:val="both"/>
        <w:rPr>
          <w:rFonts w:eastAsia="Times New Roman" w:cs="Times New Roman"/>
          <w:sz w:val="20"/>
          <w:szCs w:val="20"/>
          <w:lang w:val="fr-CA" w:eastAsia="en-CA"/>
        </w:rPr>
      </w:pPr>
    </w:p>
    <w:p w:rsidR="00066C81" w:rsidRPr="00066C81" w:rsidRDefault="00066C81" w:rsidP="00066C81">
      <w:pPr>
        <w:spacing w:line="233" w:lineRule="auto"/>
        <w:jc w:val="both"/>
        <w:rPr>
          <w:rFonts w:eastAsia="Times New Roman" w:cs="Times New Roman"/>
          <w:sz w:val="20"/>
          <w:szCs w:val="20"/>
          <w:lang w:val="en-US" w:eastAsia="en-CA"/>
        </w:rPr>
      </w:pPr>
      <w:r w:rsidRPr="00066C81">
        <w:rPr>
          <w:rFonts w:eastAsia="Times New Roman" w:cs="Times New Roman"/>
          <w:b/>
          <w:bCs/>
          <w:sz w:val="20"/>
          <w:szCs w:val="20"/>
          <w:lang w:val="en-US" w:eastAsia="en-CA"/>
        </w:rPr>
        <w:t>FURTHER TO THE ORDER</w:t>
      </w:r>
      <w:r w:rsidRPr="00066C81">
        <w:rPr>
          <w:rFonts w:eastAsia="Times New Roman" w:cs="Times New Roman"/>
          <w:sz w:val="20"/>
          <w:szCs w:val="20"/>
          <w:lang w:val="en-US" w:eastAsia="en-CA"/>
        </w:rPr>
        <w:t xml:space="preserve"> dated April 30, 2013, granting leave to intervene to </w:t>
      </w:r>
      <w:r w:rsidRPr="00066C81">
        <w:rPr>
          <w:rFonts w:eastAsia="Times New Roman" w:cs="Times New Roman"/>
          <w:sz w:val="20"/>
          <w:szCs w:val="20"/>
          <w:lang w:eastAsia="en-CA"/>
        </w:rPr>
        <w:t xml:space="preserve">the </w:t>
      </w:r>
      <w:r w:rsidRPr="00066C81">
        <w:rPr>
          <w:rFonts w:eastAsia="Times New Roman" w:cs="Times New Roman"/>
          <w:sz w:val="20"/>
          <w:szCs w:val="20"/>
          <w:lang w:val="en-US" w:eastAsia="en-CA"/>
        </w:rPr>
        <w:t>Pivot Legal Society, Downtown Eastside Sex Workers United Against Violence and PACE Society, the Secretariat of the Joint United Nations Programme on HIV/AIDS, the British Columbia Civil Liberties Association, the Evangelical Fellowship of Canada, the Canadian HIV/AIDS Legal Network, British Columbia Centre for Excellence in HIV/AIDS and HIV &amp; AIDS Legal Clinic Ontario, the Canadian Association of Sexual Assault Centres, Native Women's Association of Canada, Canadian Association of Elizabeth Fry Societies, Action ontarienne contre la violence faite aux femmes, Concertation des luttes contre l'exploitation sexuelle, Regroupement québécois des centres d'aide et de lutte contre les agressions à caractère sexuel and Vancouver Rape Relief Society, the Christian Legal Fellowship, Catholic Civil Rights Leagues and REAL Women of Canada, the David Asper Centre for Constitutional Rights, the Institut Simone de Beauvoir, the AWCEP Asian Women for Equality Society, operating as Asian Women Coalition Ending Prostitution and the Aboriginal Legal Services of Toronto Inc.;</w:t>
      </w:r>
    </w:p>
    <w:p w:rsidR="00066C81" w:rsidRPr="00066C81" w:rsidRDefault="00066C81" w:rsidP="00066C81">
      <w:pPr>
        <w:spacing w:line="233" w:lineRule="auto"/>
        <w:jc w:val="both"/>
        <w:rPr>
          <w:rFonts w:eastAsia="Times New Roman" w:cs="Times New Roman"/>
          <w:sz w:val="20"/>
          <w:szCs w:val="20"/>
          <w:lang w:val="en-US" w:eastAsia="en-CA"/>
        </w:rPr>
      </w:pPr>
    </w:p>
    <w:p w:rsidR="00066C81" w:rsidRPr="00066C81" w:rsidRDefault="00066C81" w:rsidP="00066C81">
      <w:pPr>
        <w:spacing w:line="230" w:lineRule="auto"/>
        <w:jc w:val="both"/>
        <w:rPr>
          <w:rFonts w:eastAsia="Times New Roman" w:cs="Times New Roman"/>
          <w:sz w:val="20"/>
          <w:szCs w:val="20"/>
          <w:lang w:val="en-US" w:eastAsia="en-CA"/>
        </w:rPr>
      </w:pPr>
      <w:r w:rsidRPr="00066C81">
        <w:rPr>
          <w:rFonts w:eastAsia="Times New Roman" w:cs="Times New Roman"/>
          <w:b/>
          <w:bCs/>
          <w:sz w:val="20"/>
          <w:szCs w:val="20"/>
          <w:lang w:val="en-US" w:eastAsia="en-CA"/>
        </w:rPr>
        <w:t xml:space="preserve">IT IS HEREBY FURTHER ORDERED THAT </w:t>
      </w:r>
      <w:r w:rsidRPr="00066C81">
        <w:rPr>
          <w:rFonts w:eastAsia="Times New Roman" w:cs="Times New Roman"/>
          <w:sz w:val="20"/>
          <w:szCs w:val="20"/>
          <w:lang w:val="en-US" w:eastAsia="en-CA"/>
        </w:rPr>
        <w:t>the said interveners are each granted permission to present oral argument not exceeding ten (10) minutes at the hearing of the appeal except for the Secretariat of the Joint United Nations Programme on HIV/AIDS, which has withdrawn its request to present oral argument.</w:t>
      </w:r>
    </w:p>
    <w:p w:rsidR="00066C81" w:rsidRPr="00066C81" w:rsidRDefault="00066C81" w:rsidP="00066C81">
      <w:pPr>
        <w:spacing w:line="230" w:lineRule="auto"/>
        <w:rPr>
          <w:rFonts w:eastAsia="Times New Roman" w:cs="Times New Roman"/>
          <w:sz w:val="20"/>
          <w:szCs w:val="20"/>
          <w:lang w:val="en-US" w:eastAsia="en-CA"/>
        </w:rPr>
      </w:pPr>
    </w:p>
    <w:p w:rsidR="00066C81" w:rsidRPr="00066C81" w:rsidRDefault="00066C81" w:rsidP="00066C81">
      <w:pPr>
        <w:spacing w:line="228" w:lineRule="auto"/>
        <w:jc w:val="both"/>
        <w:rPr>
          <w:rFonts w:eastAsia="Times New Roman" w:cs="Times New Roman"/>
          <w:sz w:val="20"/>
          <w:szCs w:val="20"/>
          <w:lang w:val="en-US" w:eastAsia="en-CA"/>
        </w:rPr>
      </w:pPr>
    </w:p>
    <w:p w:rsidR="00066C81" w:rsidRPr="00066C81" w:rsidRDefault="00066C81" w:rsidP="00066C81">
      <w:pPr>
        <w:spacing w:line="233" w:lineRule="auto"/>
        <w:jc w:val="both"/>
        <w:rPr>
          <w:rFonts w:eastAsia="Times New Roman" w:cs="Times New Roman"/>
          <w:sz w:val="20"/>
          <w:szCs w:val="20"/>
          <w:lang w:val="en-US" w:eastAsia="en-CA"/>
        </w:rPr>
      </w:pPr>
    </w:p>
    <w:p w:rsidR="00066C81" w:rsidRPr="00066C81" w:rsidRDefault="00066C81" w:rsidP="00066C81">
      <w:pPr>
        <w:spacing w:line="233" w:lineRule="auto"/>
        <w:jc w:val="both"/>
        <w:rPr>
          <w:rFonts w:eastAsia="Times New Roman" w:cs="Times New Roman"/>
          <w:sz w:val="20"/>
          <w:szCs w:val="20"/>
          <w:lang w:val="en-US" w:eastAsia="en-CA"/>
        </w:rPr>
      </w:pPr>
    </w:p>
    <w:p w:rsidR="00066C81" w:rsidRPr="00066C81" w:rsidRDefault="00066C81" w:rsidP="00066C81">
      <w:pPr>
        <w:spacing w:line="233" w:lineRule="auto"/>
        <w:jc w:val="both"/>
        <w:rPr>
          <w:rFonts w:eastAsia="Times New Roman" w:cs="Times New Roman"/>
          <w:sz w:val="20"/>
          <w:szCs w:val="20"/>
          <w:lang w:val="fr-FR" w:eastAsia="en-CA"/>
        </w:rPr>
      </w:pPr>
      <w:r w:rsidRPr="00066C81">
        <w:rPr>
          <w:rFonts w:eastAsia="Times New Roman" w:cs="Times New Roman"/>
          <w:b/>
          <w:bCs/>
          <w:sz w:val="20"/>
          <w:szCs w:val="20"/>
          <w:lang w:val="fr-FR" w:eastAsia="en-CA"/>
        </w:rPr>
        <w:t xml:space="preserve">À LA SUITE DE L’ORDONNANCE </w:t>
      </w:r>
      <w:r w:rsidRPr="00066C81">
        <w:rPr>
          <w:rFonts w:eastAsia="Times New Roman" w:cs="Times New Roman"/>
          <w:sz w:val="20"/>
          <w:szCs w:val="20"/>
          <w:lang w:val="fr-FR" w:eastAsia="en-CA"/>
        </w:rPr>
        <w:t>du 30 avril 2013, accordant l’autorisation d’intervenir à la Pivot Legal Society, Downtown Eastside Sex Workers United Against Violence et PACE Society, au Secretariat of the Joint United Nations Programme on HIV/AIDS, à l’Association des libertés civiles de la Colombie-Britannique, à l’</w:t>
      </w:r>
      <w:r w:rsidRPr="00066C81">
        <w:rPr>
          <w:rFonts w:eastAsia="Times New Roman" w:cs="Times New Roman"/>
          <w:bCs/>
          <w:sz w:val="20"/>
          <w:szCs w:val="20"/>
          <w:lang w:val="fr-FR" w:eastAsia="en-CA"/>
        </w:rPr>
        <w:t>Alliance évangélique du Canada</w:t>
      </w:r>
      <w:r w:rsidRPr="00066C81">
        <w:rPr>
          <w:rFonts w:eastAsia="Times New Roman" w:cs="Times New Roman"/>
          <w:sz w:val="20"/>
          <w:szCs w:val="20"/>
          <w:lang w:val="fr-FR" w:eastAsia="en-CA"/>
        </w:rPr>
        <w:t xml:space="preserve">, au Réseau juridique canadien VIH/sida, British Columbia Centre for Excellence in HIV/AIDS et HIV &amp; AIDS Legal Clinic Ontario, à la Canadian Association of Sexual Assault Centres, Native Women's Association of Canada, Canadian Association of Elizabeth Fry Societies, Action ontarienne contre la violence faite aux femmes, Concertation des luttes contre l'exploitation sexuelle, Regroupement québécois des centres d'aide et de lutte contre les agressions à caractère sexuel et Vancouver Rape Relief Society, à la Christian Legal Fellowship, Catholic Civil Rights Leagues et REAL Women of Canada, au David Asper Centre for Constitutional Rights, à l’Institut Simone de Beauvoir, à la </w:t>
      </w:r>
      <w:r w:rsidRPr="00066C81">
        <w:rPr>
          <w:rFonts w:eastAsia="Times New Roman" w:cs="Times New Roman"/>
          <w:sz w:val="20"/>
          <w:szCs w:val="20"/>
          <w:lang w:val="fr-CA" w:eastAsia="en-CA"/>
        </w:rPr>
        <w:t xml:space="preserve">AWCEP Asian Women for Equality Society, operating as Asian Women Coalition Ending </w:t>
      </w:r>
      <w:r w:rsidRPr="00066C81">
        <w:rPr>
          <w:rFonts w:eastAsia="Times New Roman" w:cs="Times New Roman"/>
          <w:sz w:val="20"/>
          <w:szCs w:val="20"/>
          <w:lang w:val="fr-FR" w:eastAsia="en-CA"/>
        </w:rPr>
        <w:t>Prostitution et à l’Aboriginal Legal Services of Toronto Inc.;</w:t>
      </w:r>
    </w:p>
    <w:p w:rsidR="00066C81" w:rsidRPr="00066C81" w:rsidRDefault="00066C81" w:rsidP="00066C81">
      <w:pPr>
        <w:spacing w:line="233" w:lineRule="auto"/>
        <w:rPr>
          <w:rFonts w:eastAsia="Times New Roman" w:cs="Times New Roman"/>
          <w:sz w:val="20"/>
          <w:szCs w:val="20"/>
          <w:lang w:val="fr-FR" w:eastAsia="en-CA"/>
        </w:rPr>
      </w:pPr>
    </w:p>
    <w:p w:rsidR="00066C81" w:rsidRPr="00066C81" w:rsidRDefault="00066C81" w:rsidP="00066C81">
      <w:pPr>
        <w:spacing w:line="230" w:lineRule="auto"/>
        <w:ind w:left="-23"/>
        <w:jc w:val="both"/>
        <w:rPr>
          <w:rFonts w:eastAsia="Times New Roman" w:cs="Times New Roman"/>
          <w:sz w:val="20"/>
          <w:szCs w:val="20"/>
          <w:lang w:val="fr-CA" w:eastAsia="en-CA"/>
        </w:rPr>
      </w:pPr>
      <w:r w:rsidRPr="00066C81">
        <w:rPr>
          <w:rFonts w:eastAsia="Times New Roman" w:cs="Times New Roman"/>
          <w:b/>
          <w:bCs/>
          <w:sz w:val="20"/>
          <w:szCs w:val="20"/>
          <w:lang w:val="fr-CA" w:eastAsia="en-CA"/>
        </w:rPr>
        <w:t xml:space="preserve">IL EST AUSSI ORDONNÉ QUE </w:t>
      </w:r>
      <w:r w:rsidRPr="00066C81">
        <w:rPr>
          <w:rFonts w:eastAsia="Times New Roman" w:cs="Times New Roman"/>
          <w:sz w:val="20"/>
          <w:szCs w:val="20"/>
          <w:lang w:val="fr-CA" w:eastAsia="en-CA"/>
        </w:rPr>
        <w:t>ces intervenants auront chacun le droit de présenter une plaidoirie orale d’au plus dix (10) minutes lors de l’audition de l’appel sauf le</w:t>
      </w:r>
      <w:r w:rsidRPr="00066C81">
        <w:rPr>
          <w:rFonts w:eastAsia="Times New Roman" w:cs="Times New Roman"/>
          <w:sz w:val="20"/>
          <w:szCs w:val="20"/>
          <w:lang w:val="fr-FR" w:eastAsia="en-CA"/>
        </w:rPr>
        <w:t xml:space="preserve"> Secretariat of the Joint United Nations Programme on HIV/AIDS qui a retiré sa demande pour ce faire.</w:t>
      </w:r>
    </w:p>
    <w:p w:rsidR="00066C81" w:rsidRPr="00066C81" w:rsidRDefault="00066C81" w:rsidP="00066C81">
      <w:pPr>
        <w:spacing w:line="233" w:lineRule="auto"/>
        <w:jc w:val="both"/>
        <w:rPr>
          <w:rFonts w:eastAsia="Times New Roman" w:cs="Times New Roman"/>
          <w:sz w:val="20"/>
          <w:szCs w:val="20"/>
          <w:lang w:val="fr-CA" w:eastAsia="en-CA"/>
        </w:rPr>
      </w:pPr>
    </w:p>
    <w:p w:rsidR="00066C81" w:rsidRPr="00066C81" w:rsidRDefault="00B3404D" w:rsidP="00066C81">
      <w:pPr>
        <w:tabs>
          <w:tab w:val="left" w:pos="-1440"/>
          <w:tab w:val="left" w:pos="-720"/>
        </w:tabs>
        <w:jc w:val="both"/>
        <w:rPr>
          <w:rFonts w:eastAsia="Times New Roman" w:cs="Times New Roman"/>
          <w:sz w:val="20"/>
          <w:szCs w:val="20"/>
          <w:lang w:val="fr-CA" w:eastAsia="en-CA"/>
        </w:rPr>
      </w:pPr>
      <w:r w:rsidRPr="00B3404D">
        <w:rPr>
          <w:rFonts w:eastAsia="Times New Roman" w:cs="Times New Roman"/>
          <w:sz w:val="20"/>
          <w:szCs w:val="20"/>
          <w:lang w:val="fr-CA" w:eastAsia="en-CA"/>
        </w:rPr>
        <w:pict>
          <v:rect id="_x0000_i1103" style="width:2in;height:1pt" o:hrpct="0" o:hralign="center" o:hrstd="t" o:hrnoshade="t" o:hr="t" fillcolor="black [3213]" stroked="f"/>
        </w:pict>
      </w:r>
    </w:p>
    <w:p w:rsidR="00066C81" w:rsidRPr="00066C81" w:rsidRDefault="00066C81" w:rsidP="00066C81">
      <w:pPr>
        <w:tabs>
          <w:tab w:val="left" w:pos="-1440"/>
          <w:tab w:val="left" w:pos="-720"/>
        </w:tabs>
        <w:jc w:val="both"/>
        <w:rPr>
          <w:rFonts w:eastAsia="Times New Roman" w:cs="Times New Roman"/>
          <w:sz w:val="20"/>
          <w:szCs w:val="20"/>
          <w:lang w:val="fr-CA" w:eastAsia="en-CA"/>
        </w:rPr>
      </w:pPr>
    </w:p>
    <w:p w:rsidR="00AC41D3" w:rsidRDefault="00AC41D3">
      <w:pPr>
        <w:rPr>
          <w:rFonts w:eastAsia="Times New Roman" w:cs="Times New Roman"/>
          <w:sz w:val="20"/>
          <w:szCs w:val="20"/>
          <w:lang w:val="fr-CA" w:eastAsia="en-CA"/>
        </w:rPr>
      </w:pPr>
      <w:r>
        <w:rPr>
          <w:rFonts w:eastAsia="Times New Roman" w:cs="Times New Roman"/>
          <w:sz w:val="20"/>
          <w:szCs w:val="20"/>
          <w:lang w:val="fr-CA" w:eastAsia="en-CA"/>
        </w:rPr>
        <w:br w:type="page"/>
      </w:r>
    </w:p>
    <w:p w:rsidR="00AC41D3" w:rsidRPr="00066C81" w:rsidRDefault="00AC41D3" w:rsidP="00AC41D3">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13</w:t>
      </w:r>
      <w:r w:rsidRPr="00066C81">
        <w:rPr>
          <w:rFonts w:eastAsia="Times New Roman" w:cs="Times New Roman"/>
          <w:sz w:val="20"/>
          <w:szCs w:val="20"/>
          <w:lang w:val="fr-CA" w:eastAsia="en-CA"/>
        </w:rPr>
        <w:t>.06.2013</w:t>
      </w:r>
    </w:p>
    <w:p w:rsidR="00AC41D3" w:rsidRDefault="00AC41D3" w:rsidP="00AC41D3">
      <w:pPr>
        <w:tabs>
          <w:tab w:val="left" w:pos="-1440"/>
          <w:tab w:val="left" w:pos="-720"/>
        </w:tabs>
        <w:jc w:val="both"/>
        <w:rPr>
          <w:rFonts w:eastAsia="Times New Roman" w:cs="Times New Roman"/>
          <w:sz w:val="20"/>
          <w:szCs w:val="20"/>
          <w:lang w:val="fr-CA" w:eastAsia="en-CA"/>
        </w:rPr>
      </w:pPr>
    </w:p>
    <w:p w:rsidR="00AC41D3" w:rsidRPr="00C50A5C" w:rsidRDefault="00AC41D3" w:rsidP="00AC41D3">
      <w:pPr>
        <w:widowControl w:val="0"/>
        <w:ind w:left="1440" w:hanging="1440"/>
        <w:rPr>
          <w:b/>
          <w:sz w:val="20"/>
          <w:szCs w:val="20"/>
        </w:rPr>
      </w:pPr>
      <w:r w:rsidRPr="00AC41D3">
        <w:rPr>
          <w:rFonts w:eastAsia="Times New Roman" w:cs="Times New Roman"/>
          <w:sz w:val="20"/>
          <w:szCs w:val="20"/>
          <w:lang w:eastAsia="en-CA"/>
        </w:rPr>
        <w:t>Before / Devant :</w:t>
      </w:r>
      <w:r w:rsidRPr="00C50A5C">
        <w:rPr>
          <w:sz w:val="20"/>
          <w:szCs w:val="20"/>
        </w:rPr>
        <w:t xml:space="preserve"> </w:t>
      </w:r>
      <w:r w:rsidRPr="00C50A5C">
        <w:rPr>
          <w:sz w:val="20"/>
          <w:szCs w:val="20"/>
        </w:rPr>
        <w:tab/>
      </w:r>
      <w:r w:rsidRPr="00C50A5C">
        <w:rPr>
          <w:sz w:val="20"/>
          <w:szCs w:val="20"/>
          <w:u w:val="single"/>
        </w:rPr>
        <w:t>McLachlin C.J. and LeBel, Fish, Abella, Rothstein</w:t>
      </w:r>
      <w:r>
        <w:rPr>
          <w:sz w:val="20"/>
          <w:szCs w:val="20"/>
          <w:u w:val="single"/>
        </w:rPr>
        <w:t xml:space="preserve">, </w:t>
      </w:r>
      <w:r w:rsidRPr="00C50A5C">
        <w:rPr>
          <w:sz w:val="20"/>
          <w:szCs w:val="20"/>
          <w:u w:val="single"/>
        </w:rPr>
        <w:t>Cromwell</w:t>
      </w:r>
      <w:r>
        <w:rPr>
          <w:sz w:val="20"/>
          <w:szCs w:val="20"/>
          <w:u w:val="single"/>
        </w:rPr>
        <w:t>, Moldaver, Karakatsanis and Wagner</w:t>
      </w:r>
      <w:r w:rsidRPr="00C50A5C">
        <w:rPr>
          <w:sz w:val="20"/>
          <w:szCs w:val="20"/>
          <w:u w:val="single"/>
        </w:rPr>
        <w:t xml:space="preserve"> JJ.</w:t>
      </w:r>
      <w:r w:rsidRPr="00C50A5C">
        <w:rPr>
          <w:sz w:val="20"/>
          <w:szCs w:val="20"/>
        </w:rPr>
        <w:t xml:space="preserve"> </w:t>
      </w:r>
    </w:p>
    <w:p w:rsidR="00AC41D3" w:rsidRPr="00AC41D3" w:rsidRDefault="00AC41D3" w:rsidP="00AC41D3">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C41D3" w:rsidRPr="004E1363" w:rsidTr="00AC41D3">
        <w:tc>
          <w:tcPr>
            <w:tcW w:w="4338" w:type="dxa"/>
          </w:tcPr>
          <w:p w:rsidR="00AC41D3" w:rsidRPr="00066C81" w:rsidRDefault="00AC41D3" w:rsidP="00AC41D3">
            <w:pPr>
              <w:tabs>
                <w:tab w:val="left" w:pos="-1440"/>
                <w:tab w:val="left" w:pos="-720"/>
              </w:tabs>
              <w:jc w:val="both"/>
              <w:rPr>
                <w:b/>
                <w:lang w:val="en-US"/>
              </w:rPr>
            </w:pPr>
            <w:r>
              <w:rPr>
                <w:b/>
                <w:lang w:val="en-US"/>
              </w:rPr>
              <w:t>Motion to strike</w:t>
            </w:r>
          </w:p>
        </w:tc>
        <w:tc>
          <w:tcPr>
            <w:tcW w:w="1170" w:type="dxa"/>
          </w:tcPr>
          <w:p w:rsidR="00AC41D3" w:rsidRPr="00066C81" w:rsidRDefault="00AC41D3" w:rsidP="00AC41D3">
            <w:pPr>
              <w:tabs>
                <w:tab w:val="left" w:pos="-1440"/>
                <w:tab w:val="left" w:pos="-720"/>
              </w:tabs>
              <w:jc w:val="both"/>
              <w:rPr>
                <w:lang w:val="en-US"/>
              </w:rPr>
            </w:pPr>
          </w:p>
          <w:p w:rsidR="00AC41D3" w:rsidRPr="00066C81" w:rsidRDefault="00AC41D3" w:rsidP="00AC41D3">
            <w:pPr>
              <w:tabs>
                <w:tab w:val="left" w:pos="-1440"/>
                <w:tab w:val="left" w:pos="-720"/>
              </w:tabs>
              <w:jc w:val="both"/>
              <w:rPr>
                <w:lang w:val="en-US"/>
              </w:rPr>
            </w:pPr>
          </w:p>
        </w:tc>
        <w:tc>
          <w:tcPr>
            <w:tcW w:w="4327" w:type="dxa"/>
          </w:tcPr>
          <w:p w:rsidR="00AC41D3" w:rsidRPr="00066C81" w:rsidRDefault="00B3404D" w:rsidP="00AC41D3">
            <w:pPr>
              <w:tabs>
                <w:tab w:val="left" w:pos="-1440"/>
                <w:tab w:val="left" w:pos="-720"/>
              </w:tabs>
              <w:jc w:val="both"/>
              <w:rPr>
                <w:lang w:val="fr-CA"/>
              </w:rPr>
            </w:pPr>
            <w:r w:rsidRPr="00066C81">
              <w:rPr>
                <w:lang w:val="en-US"/>
              </w:rPr>
              <w:fldChar w:fldCharType="begin"/>
            </w:r>
            <w:r w:rsidR="00AC41D3" w:rsidRPr="00066C81">
              <w:rPr>
                <w:lang w:val="fr-CA"/>
              </w:rPr>
              <w:instrText xml:space="preserve"> SEQ CHAPTER \h \r 1</w:instrText>
            </w:r>
            <w:r w:rsidRPr="00066C81">
              <w:rPr>
                <w:lang w:val="en-US"/>
              </w:rPr>
              <w:fldChar w:fldCharType="end"/>
            </w:r>
            <w:r w:rsidR="00AC41D3" w:rsidRPr="00066C81">
              <w:rPr>
                <w:b/>
                <w:bCs/>
                <w:lang w:val="fr-CA"/>
              </w:rPr>
              <w:t xml:space="preserve">Requête en </w:t>
            </w:r>
            <w:r w:rsidR="00AC41D3">
              <w:rPr>
                <w:b/>
                <w:lang w:val="fr-CA"/>
              </w:rPr>
              <w:t>radiation</w:t>
            </w:r>
            <w:r w:rsidRPr="00066C81">
              <w:rPr>
                <w:lang w:val="en-US"/>
              </w:rPr>
              <w:fldChar w:fldCharType="begin"/>
            </w:r>
            <w:r w:rsidR="00AC41D3" w:rsidRPr="00066C81">
              <w:rPr>
                <w:lang w:val="fr-CA"/>
              </w:rPr>
              <w:instrText xml:space="preserve"> SEQ CHAPTER \h \r 1</w:instrText>
            </w:r>
            <w:r w:rsidRPr="00066C81">
              <w:rPr>
                <w:lang w:val="en-US"/>
              </w:rPr>
              <w:fldChar w:fldCharType="end"/>
            </w:r>
            <w:r w:rsidRPr="00066C81">
              <w:rPr>
                <w:lang w:val="en-US"/>
              </w:rPr>
              <w:fldChar w:fldCharType="begin"/>
            </w:r>
            <w:r w:rsidR="00AC41D3" w:rsidRPr="00066C81">
              <w:rPr>
                <w:lang w:val="fr-CA"/>
              </w:rPr>
              <w:instrText xml:space="preserve"> SEQ CHAPTER \h \r 1</w:instrText>
            </w:r>
            <w:r w:rsidRPr="00066C81">
              <w:rPr>
                <w:lang w:val="en-US"/>
              </w:rPr>
              <w:fldChar w:fldCharType="end"/>
            </w:r>
          </w:p>
        </w:tc>
      </w:tr>
      <w:tr w:rsidR="00AC41D3" w:rsidRPr="00066C81" w:rsidTr="00AC41D3">
        <w:tc>
          <w:tcPr>
            <w:tcW w:w="4338" w:type="dxa"/>
          </w:tcPr>
          <w:p w:rsidR="00AC41D3" w:rsidRPr="00066C81" w:rsidRDefault="00AC41D3" w:rsidP="00AC41D3">
            <w:r w:rsidRPr="00066C81">
              <w:t>Attorney General of Canada et al.</w:t>
            </w:r>
          </w:p>
          <w:p w:rsidR="00AC41D3" w:rsidRPr="00066C81" w:rsidRDefault="00AC41D3" w:rsidP="00AC41D3"/>
          <w:p w:rsidR="00AC41D3" w:rsidRPr="00066C81" w:rsidRDefault="00AC41D3" w:rsidP="00AC41D3">
            <w:pPr>
              <w:rPr>
                <w:lang w:val="fr-CA"/>
              </w:rPr>
            </w:pPr>
            <w:r w:rsidRPr="00066C81">
              <w:tab/>
            </w:r>
            <w:r w:rsidRPr="00066C81">
              <w:rPr>
                <w:lang w:val="fr-CA"/>
              </w:rPr>
              <w:t>c. (34788)</w:t>
            </w:r>
          </w:p>
          <w:p w:rsidR="00AC41D3" w:rsidRPr="00066C81" w:rsidRDefault="00AC41D3" w:rsidP="00AC41D3">
            <w:pPr>
              <w:rPr>
                <w:lang w:val="fr-CA"/>
              </w:rPr>
            </w:pPr>
          </w:p>
          <w:p w:rsidR="00AC41D3" w:rsidRPr="00066C81" w:rsidRDefault="00AC41D3" w:rsidP="00AC41D3">
            <w:pPr>
              <w:tabs>
                <w:tab w:val="left" w:pos="-1440"/>
                <w:tab w:val="left" w:pos="-720"/>
              </w:tabs>
              <w:jc w:val="both"/>
              <w:rPr>
                <w:lang w:val="fr-CA"/>
              </w:rPr>
            </w:pPr>
            <w:r w:rsidRPr="00066C81">
              <w:rPr>
                <w:lang w:val="fr-CA"/>
              </w:rPr>
              <w:t>Terri Jean Bedford et al. (Crim.) (Ont.)</w:t>
            </w:r>
          </w:p>
        </w:tc>
        <w:tc>
          <w:tcPr>
            <w:tcW w:w="1170" w:type="dxa"/>
          </w:tcPr>
          <w:p w:rsidR="00AC41D3" w:rsidRPr="00066C81" w:rsidRDefault="00AC41D3" w:rsidP="00AC41D3">
            <w:pPr>
              <w:tabs>
                <w:tab w:val="left" w:pos="-1440"/>
                <w:tab w:val="left" w:pos="-720"/>
              </w:tabs>
              <w:jc w:val="both"/>
              <w:rPr>
                <w:lang w:val="fr-CA"/>
              </w:rPr>
            </w:pPr>
          </w:p>
        </w:tc>
        <w:tc>
          <w:tcPr>
            <w:tcW w:w="4327" w:type="dxa"/>
          </w:tcPr>
          <w:p w:rsidR="00AC41D3" w:rsidRPr="00066C81" w:rsidRDefault="00AC41D3" w:rsidP="00AC41D3">
            <w:pPr>
              <w:tabs>
                <w:tab w:val="left" w:pos="-1440"/>
                <w:tab w:val="left" w:pos="-720"/>
              </w:tabs>
              <w:jc w:val="both"/>
              <w:rPr>
                <w:lang w:val="fr-CA"/>
              </w:rPr>
            </w:pPr>
          </w:p>
        </w:tc>
      </w:tr>
    </w:tbl>
    <w:p w:rsidR="00AC41D3" w:rsidRDefault="00AC41D3" w:rsidP="00AC41D3">
      <w:pPr>
        <w:tabs>
          <w:tab w:val="left" w:pos="-1440"/>
          <w:tab w:val="left" w:pos="-720"/>
        </w:tabs>
        <w:jc w:val="both"/>
        <w:rPr>
          <w:rFonts w:eastAsia="Times New Roman" w:cs="Times New Roman"/>
          <w:sz w:val="20"/>
          <w:szCs w:val="20"/>
          <w:lang w:val="fr-CA" w:eastAsia="en-CA"/>
        </w:rPr>
      </w:pPr>
    </w:p>
    <w:p w:rsidR="00AC41D3" w:rsidRPr="00066C81" w:rsidRDefault="00AC41D3" w:rsidP="00AC41D3">
      <w:pPr>
        <w:tabs>
          <w:tab w:val="left" w:pos="-1440"/>
          <w:tab w:val="left" w:pos="-720"/>
        </w:tabs>
        <w:jc w:val="both"/>
        <w:rPr>
          <w:rFonts w:eastAsia="Times New Roman" w:cs="Times New Roman"/>
          <w:b/>
          <w:sz w:val="20"/>
          <w:szCs w:val="20"/>
          <w:lang w:eastAsia="en-CA"/>
        </w:rPr>
      </w:pPr>
      <w:r>
        <w:rPr>
          <w:rFonts w:eastAsia="Times New Roman" w:cs="Times New Roman"/>
          <w:b/>
          <w:sz w:val="20"/>
          <w:szCs w:val="20"/>
          <w:lang w:eastAsia="en-CA"/>
        </w:rPr>
        <w:t>DISMISS</w:t>
      </w:r>
      <w:r w:rsidRPr="00066C81">
        <w:rPr>
          <w:rFonts w:eastAsia="Times New Roman" w:cs="Times New Roman"/>
          <w:b/>
          <w:sz w:val="20"/>
          <w:szCs w:val="20"/>
          <w:lang w:eastAsia="en-CA"/>
        </w:rPr>
        <w:t xml:space="preserve">ED / </w:t>
      </w:r>
      <w:r>
        <w:rPr>
          <w:rFonts w:eastAsia="Times New Roman" w:cs="Times New Roman"/>
          <w:b/>
          <w:sz w:val="20"/>
          <w:szCs w:val="20"/>
          <w:lang w:eastAsia="en-CA"/>
        </w:rPr>
        <w:t>REJET</w:t>
      </w:r>
      <w:r w:rsidRPr="00066C81">
        <w:rPr>
          <w:rFonts w:eastAsia="Times New Roman" w:cs="Times New Roman"/>
          <w:b/>
          <w:sz w:val="20"/>
          <w:szCs w:val="20"/>
          <w:lang w:eastAsia="en-CA"/>
        </w:rPr>
        <w:t>ÉE</w:t>
      </w:r>
    </w:p>
    <w:p w:rsidR="00AC41D3" w:rsidRPr="00AC41D3" w:rsidRDefault="00AC41D3" w:rsidP="00AC41D3">
      <w:pPr>
        <w:spacing w:line="233" w:lineRule="auto"/>
        <w:jc w:val="both"/>
        <w:rPr>
          <w:rFonts w:eastAsia="Times New Roman" w:cs="Times New Roman"/>
          <w:bCs/>
          <w:sz w:val="20"/>
          <w:szCs w:val="20"/>
          <w:lang w:val="en-US" w:eastAsia="en-CA"/>
        </w:rPr>
      </w:pPr>
    </w:p>
    <w:p w:rsidR="00AC41D3" w:rsidRPr="00066C81" w:rsidRDefault="00B3404D" w:rsidP="00AC41D3">
      <w:pPr>
        <w:tabs>
          <w:tab w:val="left" w:pos="-1440"/>
          <w:tab w:val="left" w:pos="-720"/>
        </w:tabs>
        <w:jc w:val="both"/>
        <w:rPr>
          <w:rFonts w:eastAsia="Times New Roman" w:cs="Times New Roman"/>
          <w:sz w:val="20"/>
          <w:szCs w:val="20"/>
          <w:lang w:val="fr-CA" w:eastAsia="en-CA"/>
        </w:rPr>
      </w:pPr>
      <w:r w:rsidRPr="00B3404D">
        <w:rPr>
          <w:rFonts w:eastAsia="Times New Roman" w:cs="Times New Roman"/>
          <w:sz w:val="20"/>
          <w:szCs w:val="20"/>
          <w:lang w:val="fr-CA" w:eastAsia="en-CA"/>
        </w:rPr>
        <w:pict>
          <v:rect id="_x0000_i1104" style="width:2in;height:1pt" o:hrpct="0" o:hralign="center" o:hrstd="t" o:hrnoshade="t" o:hr="t" fillcolor="black [3213]" stroked="f"/>
        </w:pict>
      </w:r>
    </w:p>
    <w:p w:rsidR="00AC41D3" w:rsidRPr="00066C81" w:rsidRDefault="00AC41D3" w:rsidP="00AC41D3">
      <w:pPr>
        <w:tabs>
          <w:tab w:val="left" w:pos="-1440"/>
          <w:tab w:val="left" w:pos="-720"/>
        </w:tabs>
        <w:jc w:val="both"/>
        <w:rPr>
          <w:rFonts w:eastAsia="Times New Roman" w:cs="Times New Roman"/>
          <w:sz w:val="20"/>
          <w:szCs w:val="20"/>
          <w:lang w:val="fr-CA" w:eastAsia="en-CA"/>
        </w:rPr>
      </w:pPr>
    </w:p>
    <w:p w:rsidR="00066C81" w:rsidRDefault="00066C81" w:rsidP="00890FEB">
      <w:pPr>
        <w:rPr>
          <w:sz w:val="20"/>
          <w:szCs w:val="20"/>
        </w:rPr>
      </w:pPr>
    </w:p>
    <w:p w:rsidR="00066C81" w:rsidRDefault="00066C81" w:rsidP="00890FEB">
      <w:pPr>
        <w:rPr>
          <w:sz w:val="20"/>
          <w:szCs w:val="20"/>
        </w:rPr>
      </w:pPr>
    </w:p>
    <w:p w:rsidR="00066C81" w:rsidRDefault="00066C81" w:rsidP="00890FEB">
      <w:pPr>
        <w:rPr>
          <w:sz w:val="20"/>
          <w:szCs w:val="20"/>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D41BFD"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A66746" w:rsidP="00732DB7">
      <w:pPr>
        <w:widowControl w:val="0"/>
        <w:rPr>
          <w:sz w:val="20"/>
          <w:szCs w:val="20"/>
        </w:rPr>
      </w:pPr>
      <w:r>
        <w:rPr>
          <w:sz w:val="20"/>
          <w:szCs w:val="20"/>
        </w:rPr>
        <w:t>11</w:t>
      </w:r>
      <w:r w:rsidR="00732DB7" w:rsidRPr="00C50A5C">
        <w:rPr>
          <w:sz w:val="20"/>
          <w:szCs w:val="20"/>
        </w:rPr>
        <w:t>.06.201</w:t>
      </w:r>
      <w:r>
        <w:rPr>
          <w:sz w:val="20"/>
          <w:szCs w:val="20"/>
        </w:rPr>
        <w:t>3</w:t>
      </w:r>
    </w:p>
    <w:p w:rsidR="00732DB7" w:rsidRDefault="00732DB7" w:rsidP="00732DB7">
      <w:pPr>
        <w:widowControl w:val="0"/>
        <w:rPr>
          <w:sz w:val="20"/>
          <w:szCs w:val="20"/>
        </w:rPr>
      </w:pPr>
    </w:p>
    <w:p w:rsidR="00732DB7" w:rsidRPr="00C50A5C" w:rsidRDefault="00732DB7" w:rsidP="00732DB7">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McLachlin C.J. and LeBel, Fish, Abella, Rothstein</w:t>
      </w:r>
      <w:r w:rsidR="00E2673F">
        <w:rPr>
          <w:sz w:val="20"/>
          <w:szCs w:val="20"/>
          <w:u w:val="single"/>
        </w:rPr>
        <w:t xml:space="preserve">, </w:t>
      </w:r>
      <w:r w:rsidRPr="00C50A5C">
        <w:rPr>
          <w:sz w:val="20"/>
          <w:szCs w:val="20"/>
          <w:u w:val="single"/>
        </w:rPr>
        <w:t>Cromwell</w:t>
      </w:r>
      <w:r w:rsidR="00E2673F">
        <w:rPr>
          <w:sz w:val="20"/>
          <w:szCs w:val="20"/>
          <w:u w:val="single"/>
        </w:rPr>
        <w:t>, Moldaver, Karakatsanis and Wagner</w:t>
      </w:r>
      <w:r w:rsidRPr="00C50A5C">
        <w:rPr>
          <w:sz w:val="20"/>
          <w:szCs w:val="20"/>
          <w:u w:val="single"/>
        </w:rPr>
        <w:t xml:space="preserve"> JJ.</w:t>
      </w:r>
      <w:r w:rsidRPr="00C50A5C">
        <w:rPr>
          <w:sz w:val="20"/>
          <w:szCs w:val="20"/>
        </w:rPr>
        <w:t xml:space="preserve"> </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732DB7" w:rsidRPr="00C50A5C" w:rsidRDefault="00E2673F" w:rsidP="00C1697B">
            <w:pPr>
              <w:widowControl w:val="0"/>
              <w:jc w:val="both"/>
              <w:rPr>
                <w:b/>
                <w:sz w:val="20"/>
                <w:szCs w:val="20"/>
              </w:rPr>
            </w:pPr>
            <w:r>
              <w:rPr>
                <w:b/>
                <w:sz w:val="20"/>
                <w:szCs w:val="20"/>
              </w:rPr>
              <w:t>Inf</w:t>
            </w:r>
            <w:r w:rsidR="00732DB7" w:rsidRPr="00C50A5C">
              <w:rPr>
                <w:b/>
                <w:sz w:val="20"/>
                <w:szCs w:val="20"/>
              </w:rPr>
              <w:t>o</w:t>
            </w:r>
            <w:r>
              <w:rPr>
                <w:b/>
                <w:sz w:val="20"/>
                <w:szCs w:val="20"/>
              </w:rPr>
              <w:t>rmation and Privacy Commissioner et al.</w:t>
            </w:r>
          </w:p>
          <w:p w:rsidR="00732DB7" w:rsidRPr="00C50A5C" w:rsidRDefault="00732DB7" w:rsidP="00C1697B">
            <w:pPr>
              <w:widowControl w:val="0"/>
              <w:jc w:val="both"/>
              <w:rPr>
                <w:b/>
                <w:sz w:val="20"/>
                <w:szCs w:val="20"/>
              </w:rPr>
            </w:pPr>
          </w:p>
          <w:p w:rsidR="00732DB7" w:rsidRPr="00C50A5C" w:rsidRDefault="00732DB7" w:rsidP="00C1697B">
            <w:pPr>
              <w:widowControl w:val="0"/>
              <w:tabs>
                <w:tab w:val="left" w:pos="736"/>
              </w:tabs>
              <w:jc w:val="both"/>
              <w:rPr>
                <w:b/>
                <w:sz w:val="20"/>
                <w:szCs w:val="20"/>
              </w:rPr>
            </w:pPr>
            <w:r w:rsidRPr="00C50A5C">
              <w:rPr>
                <w:b/>
                <w:sz w:val="20"/>
                <w:szCs w:val="20"/>
              </w:rPr>
              <w:tab/>
              <w:t>v. (3</w:t>
            </w:r>
            <w:r w:rsidR="00E2673F">
              <w:rPr>
                <w:b/>
                <w:sz w:val="20"/>
                <w:szCs w:val="20"/>
              </w:rPr>
              <w:t>4890</w:t>
            </w:r>
            <w:r w:rsidRPr="00C50A5C">
              <w:rPr>
                <w:b/>
                <w:sz w:val="20"/>
                <w:szCs w:val="20"/>
              </w:rPr>
              <w:t>)</w:t>
            </w:r>
          </w:p>
          <w:p w:rsidR="00732DB7" w:rsidRPr="00C50A5C" w:rsidRDefault="00732DB7" w:rsidP="00C1697B">
            <w:pPr>
              <w:widowControl w:val="0"/>
              <w:jc w:val="both"/>
              <w:rPr>
                <w:b/>
                <w:sz w:val="20"/>
                <w:szCs w:val="20"/>
              </w:rPr>
            </w:pPr>
          </w:p>
          <w:p w:rsidR="00732DB7" w:rsidRPr="00E2673F" w:rsidRDefault="00E2673F" w:rsidP="00E2673F">
            <w:pPr>
              <w:widowControl w:val="0"/>
              <w:jc w:val="both"/>
              <w:rPr>
                <w:sz w:val="20"/>
                <w:szCs w:val="20"/>
              </w:rPr>
            </w:pPr>
            <w:r>
              <w:rPr>
                <w:b/>
                <w:sz w:val="20"/>
                <w:szCs w:val="20"/>
              </w:rPr>
              <w:t>United Food and Commercial Workers, Local 401 et al.</w:t>
            </w:r>
            <w:r w:rsidR="00732DB7" w:rsidRPr="00C50A5C">
              <w:rPr>
                <w:b/>
                <w:sz w:val="20"/>
                <w:szCs w:val="20"/>
              </w:rPr>
              <w:t xml:space="preserve"> (</w:t>
            </w:r>
            <w:r>
              <w:rPr>
                <w:b/>
                <w:sz w:val="20"/>
                <w:szCs w:val="20"/>
              </w:rPr>
              <w:t>Alta</w:t>
            </w:r>
            <w:r w:rsidR="00732DB7" w:rsidRPr="00C50A5C">
              <w:rPr>
                <w:b/>
                <w:sz w:val="20"/>
                <w:szCs w:val="20"/>
              </w:rPr>
              <w:t>.) (Civil) (By Leave)</w:t>
            </w:r>
          </w:p>
        </w:tc>
        <w:tc>
          <w:tcPr>
            <w:tcW w:w="720" w:type="dxa"/>
            <w:tcMar>
              <w:left w:w="0" w:type="dxa"/>
              <w:right w:w="0" w:type="dxa"/>
            </w:tcMar>
          </w:tcPr>
          <w:p w:rsidR="00732DB7" w:rsidRPr="00E2673F" w:rsidRDefault="00732DB7" w:rsidP="00732DB7">
            <w:pPr>
              <w:widowControl w:val="0"/>
              <w:jc w:val="center"/>
              <w:rPr>
                <w:sz w:val="20"/>
                <w:szCs w:val="20"/>
              </w:rPr>
            </w:pPr>
          </w:p>
        </w:tc>
        <w:tc>
          <w:tcPr>
            <w:tcW w:w="4380" w:type="dxa"/>
            <w:tcMar>
              <w:left w:w="0" w:type="dxa"/>
              <w:right w:w="0" w:type="dxa"/>
            </w:tcMar>
          </w:tcPr>
          <w:p w:rsidR="007C1B35" w:rsidRPr="00370088" w:rsidRDefault="007C1B35" w:rsidP="007C1B35">
            <w:pPr>
              <w:jc w:val="both"/>
              <w:rPr>
                <w:sz w:val="20"/>
                <w:szCs w:val="20"/>
              </w:rPr>
            </w:pPr>
            <w:r w:rsidRPr="00370088">
              <w:rPr>
                <w:sz w:val="20"/>
                <w:szCs w:val="20"/>
                <w:lang w:val="en-US"/>
              </w:rPr>
              <w:t>Glenn Solomon, Q.C.</w:t>
            </w:r>
            <w:r>
              <w:rPr>
                <w:sz w:val="20"/>
                <w:szCs w:val="20"/>
                <w:lang w:val="en-US"/>
              </w:rPr>
              <w:t xml:space="preserve"> and </w:t>
            </w:r>
            <w:r w:rsidRPr="00370088">
              <w:rPr>
                <w:sz w:val="20"/>
                <w:szCs w:val="20"/>
              </w:rPr>
              <w:t>Robert W. Armstrong</w:t>
            </w:r>
            <w:r>
              <w:rPr>
                <w:sz w:val="20"/>
                <w:szCs w:val="20"/>
              </w:rPr>
              <w:t xml:space="preserve"> f</w:t>
            </w:r>
            <w:r w:rsidRPr="00370088">
              <w:rPr>
                <w:sz w:val="20"/>
                <w:szCs w:val="20"/>
                <w:lang w:val="en-US"/>
              </w:rPr>
              <w:t xml:space="preserve">or the </w:t>
            </w:r>
            <w:r>
              <w:rPr>
                <w:sz w:val="20"/>
                <w:szCs w:val="20"/>
                <w:lang w:val="en-US"/>
              </w:rPr>
              <w:t>a</w:t>
            </w:r>
            <w:r w:rsidRPr="00370088">
              <w:rPr>
                <w:sz w:val="20"/>
                <w:szCs w:val="20"/>
                <w:lang w:val="en-US"/>
              </w:rPr>
              <w:t>ppellant</w:t>
            </w:r>
            <w:r>
              <w:rPr>
                <w:sz w:val="20"/>
                <w:szCs w:val="20"/>
                <w:lang w:val="en-US"/>
              </w:rPr>
              <w:t xml:space="preserve"> </w:t>
            </w:r>
            <w:r w:rsidRPr="00370088">
              <w:rPr>
                <w:sz w:val="20"/>
                <w:szCs w:val="20"/>
              </w:rPr>
              <w:t>Information and Privacy Commissioner</w:t>
            </w:r>
            <w:r>
              <w:rPr>
                <w:sz w:val="20"/>
                <w:szCs w:val="20"/>
              </w:rPr>
              <w:t>.</w:t>
            </w:r>
          </w:p>
          <w:p w:rsidR="007C1B35" w:rsidRPr="00370088" w:rsidRDefault="007C1B35" w:rsidP="007C1B35">
            <w:pPr>
              <w:jc w:val="both"/>
              <w:rPr>
                <w:sz w:val="20"/>
                <w:szCs w:val="20"/>
              </w:rPr>
            </w:pPr>
          </w:p>
          <w:p w:rsidR="007C1B35" w:rsidRPr="00370088" w:rsidRDefault="007C1B35" w:rsidP="007C1B35">
            <w:pPr>
              <w:jc w:val="both"/>
              <w:rPr>
                <w:sz w:val="20"/>
                <w:szCs w:val="20"/>
              </w:rPr>
            </w:pPr>
            <w:r w:rsidRPr="00370088">
              <w:rPr>
                <w:sz w:val="20"/>
                <w:szCs w:val="20"/>
                <w:lang w:val="en-US"/>
              </w:rPr>
              <w:t>Roderick Wiltshire</w:t>
            </w:r>
            <w:r>
              <w:rPr>
                <w:sz w:val="20"/>
                <w:szCs w:val="20"/>
                <w:lang w:val="en-US"/>
              </w:rPr>
              <w:t xml:space="preserve"> f</w:t>
            </w:r>
            <w:r w:rsidRPr="00370088">
              <w:rPr>
                <w:sz w:val="20"/>
                <w:szCs w:val="20"/>
                <w:lang w:val="en-US"/>
              </w:rPr>
              <w:t xml:space="preserve">or the </w:t>
            </w:r>
            <w:r>
              <w:rPr>
                <w:sz w:val="20"/>
                <w:szCs w:val="20"/>
                <w:lang w:val="en-US"/>
              </w:rPr>
              <w:t>a</w:t>
            </w:r>
            <w:r w:rsidRPr="00370088">
              <w:rPr>
                <w:sz w:val="20"/>
                <w:szCs w:val="20"/>
                <w:lang w:val="en-US"/>
              </w:rPr>
              <w:t>ppellant</w:t>
            </w:r>
            <w:r>
              <w:rPr>
                <w:sz w:val="20"/>
                <w:szCs w:val="20"/>
                <w:lang w:val="en-US"/>
              </w:rPr>
              <w:t xml:space="preserve"> </w:t>
            </w:r>
            <w:r w:rsidRPr="00370088">
              <w:rPr>
                <w:sz w:val="20"/>
                <w:szCs w:val="20"/>
              </w:rPr>
              <w:t>Attorney General of Alberta</w:t>
            </w:r>
            <w:r>
              <w:rPr>
                <w:sz w:val="20"/>
                <w:szCs w:val="20"/>
              </w:rPr>
              <w:t>.</w:t>
            </w:r>
          </w:p>
          <w:p w:rsidR="007C1B35" w:rsidRPr="00370088" w:rsidRDefault="007C1B35" w:rsidP="007C1B35">
            <w:pPr>
              <w:jc w:val="both"/>
              <w:rPr>
                <w:sz w:val="20"/>
                <w:szCs w:val="20"/>
              </w:rPr>
            </w:pPr>
          </w:p>
          <w:p w:rsidR="007C1B35" w:rsidRPr="00370088" w:rsidRDefault="007C1B35" w:rsidP="007C1B35">
            <w:pPr>
              <w:jc w:val="both"/>
              <w:rPr>
                <w:sz w:val="20"/>
                <w:szCs w:val="20"/>
              </w:rPr>
            </w:pPr>
            <w:r w:rsidRPr="00370088">
              <w:rPr>
                <w:sz w:val="20"/>
                <w:szCs w:val="20"/>
              </w:rPr>
              <w:t>Sean Gaudet</w:t>
            </w:r>
            <w:r>
              <w:rPr>
                <w:sz w:val="20"/>
                <w:szCs w:val="20"/>
              </w:rPr>
              <w:t xml:space="preserve"> f</w:t>
            </w:r>
            <w:r w:rsidRPr="00370088">
              <w:rPr>
                <w:sz w:val="20"/>
                <w:szCs w:val="20"/>
              </w:rPr>
              <w:t xml:space="preserve">or the </w:t>
            </w:r>
            <w:r>
              <w:rPr>
                <w:sz w:val="20"/>
                <w:szCs w:val="20"/>
              </w:rPr>
              <w:t>i</w:t>
            </w:r>
            <w:r w:rsidRPr="00370088">
              <w:rPr>
                <w:sz w:val="20"/>
                <w:szCs w:val="20"/>
              </w:rPr>
              <w:t>ntervener</w:t>
            </w:r>
            <w:r>
              <w:rPr>
                <w:sz w:val="20"/>
                <w:szCs w:val="20"/>
              </w:rPr>
              <w:t xml:space="preserve"> </w:t>
            </w:r>
            <w:r w:rsidRPr="00370088">
              <w:rPr>
                <w:sz w:val="20"/>
                <w:szCs w:val="20"/>
              </w:rPr>
              <w:t>Attorney General of Canada</w:t>
            </w:r>
            <w:r>
              <w:rPr>
                <w:sz w:val="20"/>
                <w:szCs w:val="20"/>
              </w:rPr>
              <w:t>.</w:t>
            </w:r>
          </w:p>
          <w:p w:rsidR="007C1B35" w:rsidRPr="00370088" w:rsidRDefault="007C1B35" w:rsidP="007C1B35">
            <w:pPr>
              <w:jc w:val="both"/>
              <w:rPr>
                <w:sz w:val="20"/>
                <w:szCs w:val="20"/>
              </w:rPr>
            </w:pPr>
          </w:p>
          <w:p w:rsidR="007C1B35" w:rsidRPr="00370088" w:rsidRDefault="007C1B35" w:rsidP="007C1B35">
            <w:pPr>
              <w:jc w:val="both"/>
              <w:rPr>
                <w:sz w:val="20"/>
                <w:szCs w:val="20"/>
              </w:rPr>
            </w:pPr>
            <w:r w:rsidRPr="00370088">
              <w:rPr>
                <w:sz w:val="20"/>
                <w:szCs w:val="20"/>
              </w:rPr>
              <w:t>Rochelle S. Fox</w:t>
            </w:r>
            <w:r>
              <w:rPr>
                <w:sz w:val="20"/>
                <w:szCs w:val="20"/>
              </w:rPr>
              <w:t xml:space="preserve"> and </w:t>
            </w:r>
            <w:r w:rsidRPr="00370088">
              <w:rPr>
                <w:sz w:val="20"/>
                <w:szCs w:val="20"/>
                <w:lang w:val="en-US"/>
              </w:rPr>
              <w:t>Sara Weinrib</w:t>
            </w:r>
            <w:r>
              <w:rPr>
                <w:sz w:val="20"/>
                <w:szCs w:val="20"/>
                <w:lang w:val="en-US"/>
              </w:rPr>
              <w:t xml:space="preserve"> f</w:t>
            </w:r>
            <w:r w:rsidRPr="00370088">
              <w:rPr>
                <w:sz w:val="20"/>
                <w:szCs w:val="20"/>
              </w:rPr>
              <w:t xml:space="preserve">or the </w:t>
            </w:r>
            <w:r>
              <w:rPr>
                <w:sz w:val="20"/>
                <w:szCs w:val="20"/>
              </w:rPr>
              <w:t>i</w:t>
            </w:r>
            <w:r w:rsidRPr="00370088">
              <w:rPr>
                <w:sz w:val="20"/>
                <w:szCs w:val="20"/>
              </w:rPr>
              <w:t>ntervener</w:t>
            </w:r>
            <w:r>
              <w:rPr>
                <w:sz w:val="20"/>
                <w:szCs w:val="20"/>
              </w:rPr>
              <w:t xml:space="preserve"> </w:t>
            </w:r>
            <w:r w:rsidRPr="00370088">
              <w:rPr>
                <w:sz w:val="20"/>
                <w:szCs w:val="20"/>
              </w:rPr>
              <w:t>Attorney General of Ontario</w:t>
            </w:r>
            <w:r>
              <w:rPr>
                <w:sz w:val="20"/>
                <w:szCs w:val="20"/>
              </w:rPr>
              <w:t>.</w:t>
            </w:r>
          </w:p>
          <w:p w:rsidR="007C1B35" w:rsidRPr="00370088" w:rsidRDefault="007C1B35" w:rsidP="007C1B35">
            <w:pPr>
              <w:jc w:val="both"/>
              <w:rPr>
                <w:sz w:val="20"/>
                <w:szCs w:val="20"/>
              </w:rPr>
            </w:pPr>
          </w:p>
          <w:p w:rsidR="007C1B35" w:rsidRPr="00370088" w:rsidRDefault="007C1B35" w:rsidP="007C1B35">
            <w:pPr>
              <w:jc w:val="both"/>
              <w:rPr>
                <w:sz w:val="20"/>
                <w:szCs w:val="20"/>
              </w:rPr>
            </w:pPr>
            <w:r w:rsidRPr="00370088">
              <w:rPr>
                <w:sz w:val="20"/>
                <w:szCs w:val="20"/>
              </w:rPr>
              <w:t>Mahmud Jamal</w:t>
            </w:r>
            <w:r>
              <w:rPr>
                <w:sz w:val="20"/>
                <w:szCs w:val="20"/>
              </w:rPr>
              <w:t xml:space="preserve">, </w:t>
            </w:r>
            <w:r w:rsidRPr="00370088">
              <w:rPr>
                <w:sz w:val="20"/>
                <w:szCs w:val="20"/>
                <w:lang w:val="en-US"/>
              </w:rPr>
              <w:t>Patricia Kosseim</w:t>
            </w:r>
            <w:r>
              <w:rPr>
                <w:sz w:val="20"/>
                <w:szCs w:val="20"/>
                <w:lang w:val="en-US"/>
              </w:rPr>
              <w:t xml:space="preserve">, </w:t>
            </w:r>
            <w:r w:rsidRPr="00370088">
              <w:rPr>
                <w:sz w:val="20"/>
                <w:szCs w:val="20"/>
              </w:rPr>
              <w:t>Regan Morris</w:t>
            </w:r>
            <w:r>
              <w:rPr>
                <w:sz w:val="20"/>
                <w:szCs w:val="20"/>
              </w:rPr>
              <w:t xml:space="preserve"> and </w:t>
            </w:r>
            <w:r w:rsidRPr="00370088">
              <w:rPr>
                <w:sz w:val="20"/>
                <w:szCs w:val="20"/>
              </w:rPr>
              <w:t xml:space="preserve">Kirk Shannon </w:t>
            </w:r>
            <w:r>
              <w:rPr>
                <w:sz w:val="20"/>
                <w:szCs w:val="20"/>
              </w:rPr>
              <w:t>f</w:t>
            </w:r>
            <w:r w:rsidRPr="00370088">
              <w:rPr>
                <w:sz w:val="20"/>
                <w:szCs w:val="20"/>
              </w:rPr>
              <w:t xml:space="preserve">or the </w:t>
            </w:r>
            <w:r>
              <w:rPr>
                <w:sz w:val="20"/>
                <w:szCs w:val="20"/>
              </w:rPr>
              <w:t>i</w:t>
            </w:r>
            <w:r w:rsidRPr="00370088">
              <w:rPr>
                <w:sz w:val="20"/>
                <w:szCs w:val="20"/>
              </w:rPr>
              <w:t>ntervener</w:t>
            </w:r>
            <w:r>
              <w:rPr>
                <w:sz w:val="20"/>
                <w:szCs w:val="20"/>
              </w:rPr>
              <w:t xml:space="preserve"> </w:t>
            </w:r>
            <w:r w:rsidRPr="00370088">
              <w:rPr>
                <w:sz w:val="20"/>
                <w:szCs w:val="20"/>
              </w:rPr>
              <w:t>Privacy Commissioner of Canada</w:t>
            </w:r>
            <w:r>
              <w:rPr>
                <w:sz w:val="20"/>
                <w:szCs w:val="20"/>
              </w:rPr>
              <w:t>.</w:t>
            </w:r>
          </w:p>
          <w:p w:rsidR="007C1B35" w:rsidRPr="00370088" w:rsidRDefault="007C1B35" w:rsidP="007C1B35">
            <w:pPr>
              <w:jc w:val="both"/>
              <w:rPr>
                <w:sz w:val="20"/>
                <w:szCs w:val="20"/>
              </w:rPr>
            </w:pPr>
          </w:p>
          <w:p w:rsidR="007C1B35" w:rsidRPr="00370088" w:rsidRDefault="007C1B35" w:rsidP="007C1B35">
            <w:pPr>
              <w:jc w:val="both"/>
              <w:rPr>
                <w:sz w:val="20"/>
                <w:szCs w:val="20"/>
              </w:rPr>
            </w:pPr>
            <w:r w:rsidRPr="00370088">
              <w:rPr>
                <w:sz w:val="20"/>
                <w:szCs w:val="20"/>
              </w:rPr>
              <w:t>William S. Challis</w:t>
            </w:r>
            <w:r>
              <w:rPr>
                <w:sz w:val="20"/>
                <w:szCs w:val="20"/>
              </w:rPr>
              <w:t xml:space="preserve"> f</w:t>
            </w:r>
            <w:r w:rsidRPr="00370088">
              <w:rPr>
                <w:sz w:val="20"/>
                <w:szCs w:val="20"/>
              </w:rPr>
              <w:t xml:space="preserve">or the </w:t>
            </w:r>
            <w:r>
              <w:rPr>
                <w:sz w:val="20"/>
                <w:szCs w:val="20"/>
              </w:rPr>
              <w:t>i</w:t>
            </w:r>
            <w:r w:rsidRPr="00370088">
              <w:rPr>
                <w:sz w:val="20"/>
                <w:szCs w:val="20"/>
              </w:rPr>
              <w:t>ntervener</w:t>
            </w:r>
            <w:r>
              <w:rPr>
                <w:sz w:val="20"/>
                <w:szCs w:val="20"/>
              </w:rPr>
              <w:t xml:space="preserve"> </w:t>
            </w:r>
            <w:r w:rsidRPr="00370088">
              <w:rPr>
                <w:sz w:val="20"/>
                <w:szCs w:val="20"/>
              </w:rPr>
              <w:t>Information and Privacy Commissioner of Ontario</w:t>
            </w:r>
            <w:r>
              <w:rPr>
                <w:sz w:val="20"/>
                <w:szCs w:val="20"/>
              </w:rPr>
              <w:t>.</w:t>
            </w:r>
          </w:p>
          <w:p w:rsidR="007C1B35" w:rsidRPr="00370088" w:rsidRDefault="007C1B35" w:rsidP="007C1B35">
            <w:pPr>
              <w:jc w:val="both"/>
              <w:rPr>
                <w:sz w:val="20"/>
                <w:szCs w:val="20"/>
              </w:rPr>
            </w:pPr>
          </w:p>
          <w:p w:rsidR="007C1B35" w:rsidRPr="00370088" w:rsidRDefault="007C1B35" w:rsidP="007C1B35">
            <w:pPr>
              <w:jc w:val="both"/>
              <w:rPr>
                <w:sz w:val="20"/>
                <w:szCs w:val="20"/>
              </w:rPr>
            </w:pPr>
            <w:r w:rsidRPr="00370088">
              <w:rPr>
                <w:sz w:val="20"/>
                <w:szCs w:val="20"/>
              </w:rPr>
              <w:t xml:space="preserve">Written submission only </w:t>
            </w:r>
            <w:r>
              <w:rPr>
                <w:sz w:val="20"/>
                <w:szCs w:val="20"/>
              </w:rPr>
              <w:t>fo</w:t>
            </w:r>
            <w:r w:rsidRPr="00370088">
              <w:rPr>
                <w:sz w:val="20"/>
                <w:szCs w:val="20"/>
              </w:rPr>
              <w:t xml:space="preserve">r the </w:t>
            </w:r>
            <w:r>
              <w:rPr>
                <w:sz w:val="20"/>
                <w:szCs w:val="20"/>
              </w:rPr>
              <w:t>i</w:t>
            </w:r>
            <w:r w:rsidRPr="00370088">
              <w:rPr>
                <w:sz w:val="20"/>
                <w:szCs w:val="20"/>
              </w:rPr>
              <w:t>ntervener</w:t>
            </w:r>
            <w:r>
              <w:rPr>
                <w:sz w:val="20"/>
                <w:szCs w:val="20"/>
              </w:rPr>
              <w:t xml:space="preserve"> </w:t>
            </w:r>
            <w:r w:rsidRPr="00370088">
              <w:rPr>
                <w:sz w:val="20"/>
                <w:szCs w:val="20"/>
              </w:rPr>
              <w:t xml:space="preserve">Information and Privacy Commissioner </w:t>
            </w:r>
            <w:r>
              <w:rPr>
                <w:sz w:val="20"/>
                <w:szCs w:val="20"/>
              </w:rPr>
              <w:t>of</w:t>
            </w:r>
            <w:r w:rsidRPr="00370088">
              <w:rPr>
                <w:sz w:val="20"/>
                <w:szCs w:val="20"/>
              </w:rPr>
              <w:t xml:space="preserve"> British Columbia</w:t>
            </w:r>
            <w:r>
              <w:rPr>
                <w:sz w:val="20"/>
                <w:szCs w:val="20"/>
              </w:rPr>
              <w:t>.</w:t>
            </w:r>
          </w:p>
          <w:p w:rsidR="007C1B35" w:rsidRPr="00370088" w:rsidRDefault="007C1B35" w:rsidP="007C1B35">
            <w:pPr>
              <w:jc w:val="both"/>
              <w:rPr>
                <w:sz w:val="20"/>
                <w:szCs w:val="20"/>
                <w:lang w:val="en-US"/>
              </w:rPr>
            </w:pPr>
          </w:p>
          <w:p w:rsidR="007C1B35" w:rsidRPr="00370088" w:rsidRDefault="007C1B35" w:rsidP="007C1B35">
            <w:pPr>
              <w:jc w:val="both"/>
              <w:rPr>
                <w:sz w:val="20"/>
                <w:szCs w:val="20"/>
                <w:lang w:val="en-US"/>
              </w:rPr>
            </w:pPr>
            <w:r w:rsidRPr="00370088">
              <w:rPr>
                <w:sz w:val="20"/>
                <w:szCs w:val="20"/>
                <w:lang w:val="en-US"/>
              </w:rPr>
              <w:t>Gwen J. Gray, Q.C.</w:t>
            </w:r>
            <w:r>
              <w:rPr>
                <w:sz w:val="20"/>
                <w:szCs w:val="20"/>
                <w:lang w:val="en-US"/>
              </w:rPr>
              <w:t xml:space="preserve"> and </w:t>
            </w:r>
            <w:r w:rsidRPr="00370088">
              <w:rPr>
                <w:sz w:val="20"/>
                <w:szCs w:val="20"/>
                <w:lang w:val="en-US"/>
              </w:rPr>
              <w:t>Vanessa Cosco</w:t>
            </w:r>
            <w:r>
              <w:rPr>
                <w:sz w:val="20"/>
                <w:szCs w:val="20"/>
                <w:lang w:val="en-US"/>
              </w:rPr>
              <w:t xml:space="preserve"> f</w:t>
            </w:r>
            <w:r w:rsidRPr="00370088">
              <w:rPr>
                <w:sz w:val="20"/>
                <w:szCs w:val="20"/>
                <w:lang w:val="en-US"/>
              </w:rPr>
              <w:t xml:space="preserve">or the </w:t>
            </w:r>
            <w:r>
              <w:rPr>
                <w:sz w:val="20"/>
                <w:szCs w:val="20"/>
                <w:lang w:val="en-US"/>
              </w:rPr>
              <w:t>r</w:t>
            </w:r>
            <w:r w:rsidRPr="00370088">
              <w:rPr>
                <w:sz w:val="20"/>
                <w:szCs w:val="20"/>
                <w:lang w:val="en-US"/>
              </w:rPr>
              <w:t>espondent.</w:t>
            </w:r>
          </w:p>
          <w:p w:rsidR="007C1B35" w:rsidRPr="00370088" w:rsidRDefault="007C1B35" w:rsidP="007C1B35">
            <w:pPr>
              <w:jc w:val="both"/>
              <w:rPr>
                <w:sz w:val="20"/>
                <w:szCs w:val="20"/>
                <w:lang w:val="en-US"/>
              </w:rPr>
            </w:pPr>
          </w:p>
          <w:p w:rsidR="007C1B35" w:rsidRPr="00370088" w:rsidRDefault="007C1B35" w:rsidP="007C1B35">
            <w:pPr>
              <w:jc w:val="both"/>
              <w:rPr>
                <w:sz w:val="20"/>
                <w:szCs w:val="20"/>
              </w:rPr>
            </w:pPr>
            <w:r w:rsidRPr="00370088">
              <w:rPr>
                <w:sz w:val="20"/>
                <w:szCs w:val="20"/>
                <w:lang w:val="en-US"/>
              </w:rPr>
              <w:t>Patricia D.S. Jackson</w:t>
            </w:r>
            <w:r>
              <w:rPr>
                <w:sz w:val="20"/>
                <w:szCs w:val="20"/>
                <w:lang w:val="en-US"/>
              </w:rPr>
              <w:t xml:space="preserve"> and </w:t>
            </w:r>
            <w:r w:rsidRPr="00370088">
              <w:rPr>
                <w:sz w:val="20"/>
                <w:szCs w:val="20"/>
                <w:lang w:val="en-US"/>
              </w:rPr>
              <w:t>Sarah Whitmore</w:t>
            </w:r>
            <w:r>
              <w:rPr>
                <w:sz w:val="20"/>
                <w:szCs w:val="20"/>
                <w:lang w:val="en-US"/>
              </w:rPr>
              <w:t xml:space="preserve"> f</w:t>
            </w:r>
            <w:r w:rsidRPr="00370088">
              <w:rPr>
                <w:sz w:val="20"/>
                <w:szCs w:val="20"/>
                <w:lang w:val="en-US"/>
              </w:rPr>
              <w:t xml:space="preserve">or the </w:t>
            </w:r>
            <w:r>
              <w:rPr>
                <w:sz w:val="20"/>
                <w:szCs w:val="20"/>
                <w:lang w:val="en-US"/>
              </w:rPr>
              <w:t>i</w:t>
            </w:r>
            <w:r w:rsidRPr="00370088">
              <w:rPr>
                <w:sz w:val="20"/>
                <w:szCs w:val="20"/>
                <w:lang w:val="en-US"/>
              </w:rPr>
              <w:t>ntervener</w:t>
            </w:r>
            <w:r>
              <w:rPr>
                <w:sz w:val="20"/>
                <w:szCs w:val="20"/>
                <w:lang w:val="en-US"/>
              </w:rPr>
              <w:t xml:space="preserve"> </w:t>
            </w:r>
            <w:r w:rsidRPr="00370088">
              <w:rPr>
                <w:sz w:val="20"/>
                <w:szCs w:val="20"/>
              </w:rPr>
              <w:t>Canadian Civil Liberties Association</w:t>
            </w:r>
            <w:r>
              <w:rPr>
                <w:sz w:val="20"/>
                <w:szCs w:val="20"/>
              </w:rPr>
              <w:t>.</w:t>
            </w:r>
          </w:p>
          <w:p w:rsidR="007C1B35" w:rsidRPr="00370088" w:rsidRDefault="007C1B35" w:rsidP="007C1B35">
            <w:pPr>
              <w:jc w:val="both"/>
              <w:rPr>
                <w:sz w:val="20"/>
                <w:szCs w:val="20"/>
                <w:lang w:val="en-US"/>
              </w:rPr>
            </w:pPr>
          </w:p>
          <w:p w:rsidR="007C1B35" w:rsidRPr="00370088" w:rsidRDefault="007C1B35" w:rsidP="007C1B35">
            <w:pPr>
              <w:jc w:val="both"/>
              <w:rPr>
                <w:sz w:val="20"/>
                <w:szCs w:val="20"/>
              </w:rPr>
            </w:pPr>
            <w:r w:rsidRPr="00370088">
              <w:rPr>
                <w:sz w:val="20"/>
                <w:szCs w:val="20"/>
                <w:lang w:val="en-US"/>
              </w:rPr>
              <w:t>Lindsay M. Lyster</w:t>
            </w:r>
            <w:r>
              <w:rPr>
                <w:sz w:val="20"/>
                <w:szCs w:val="20"/>
                <w:lang w:val="en-US"/>
              </w:rPr>
              <w:t xml:space="preserve"> for</w:t>
            </w:r>
            <w:r w:rsidRPr="00370088">
              <w:rPr>
                <w:sz w:val="20"/>
                <w:szCs w:val="20"/>
                <w:lang w:val="en-US"/>
              </w:rPr>
              <w:t xml:space="preserve"> the </w:t>
            </w:r>
            <w:r>
              <w:rPr>
                <w:sz w:val="20"/>
                <w:szCs w:val="20"/>
                <w:lang w:val="en-US"/>
              </w:rPr>
              <w:t>i</w:t>
            </w:r>
            <w:r w:rsidRPr="00370088">
              <w:rPr>
                <w:sz w:val="20"/>
                <w:szCs w:val="20"/>
                <w:lang w:val="en-US"/>
              </w:rPr>
              <w:t>ntervener</w:t>
            </w:r>
            <w:r>
              <w:rPr>
                <w:sz w:val="20"/>
                <w:szCs w:val="20"/>
                <w:lang w:val="en-US"/>
              </w:rPr>
              <w:t xml:space="preserve"> </w:t>
            </w:r>
            <w:r w:rsidRPr="00370088">
              <w:rPr>
                <w:sz w:val="20"/>
                <w:szCs w:val="20"/>
              </w:rPr>
              <w:t>British Columbia Civil Liberties Association</w:t>
            </w:r>
            <w:r>
              <w:rPr>
                <w:sz w:val="20"/>
                <w:szCs w:val="20"/>
              </w:rPr>
              <w:t>.</w:t>
            </w:r>
          </w:p>
          <w:p w:rsidR="007C1B35" w:rsidRPr="00370088" w:rsidRDefault="007C1B35" w:rsidP="007C1B35">
            <w:pPr>
              <w:jc w:val="both"/>
              <w:rPr>
                <w:sz w:val="20"/>
                <w:szCs w:val="20"/>
              </w:rPr>
            </w:pPr>
          </w:p>
          <w:p w:rsidR="007C1B35" w:rsidRPr="00370088" w:rsidRDefault="007C1B35" w:rsidP="007C1B35">
            <w:pPr>
              <w:jc w:val="both"/>
              <w:rPr>
                <w:sz w:val="20"/>
                <w:szCs w:val="20"/>
              </w:rPr>
            </w:pPr>
            <w:r w:rsidRPr="00370088">
              <w:rPr>
                <w:sz w:val="20"/>
                <w:szCs w:val="20"/>
                <w:lang w:val="en-US"/>
              </w:rPr>
              <w:t>David Williams</w:t>
            </w:r>
            <w:r>
              <w:rPr>
                <w:sz w:val="20"/>
                <w:szCs w:val="20"/>
                <w:lang w:val="en-US"/>
              </w:rPr>
              <w:t xml:space="preserve"> and </w:t>
            </w:r>
            <w:r w:rsidRPr="00370088">
              <w:rPr>
                <w:sz w:val="20"/>
                <w:szCs w:val="20"/>
                <w:lang w:val="en-US"/>
              </w:rPr>
              <w:t>Kristan McLeod</w:t>
            </w:r>
            <w:r>
              <w:rPr>
                <w:sz w:val="20"/>
                <w:szCs w:val="20"/>
                <w:lang w:val="en-US"/>
              </w:rPr>
              <w:t xml:space="preserve"> f</w:t>
            </w:r>
            <w:r w:rsidRPr="00370088">
              <w:rPr>
                <w:sz w:val="20"/>
                <w:szCs w:val="20"/>
                <w:lang w:val="en-US"/>
              </w:rPr>
              <w:t xml:space="preserve">or the </w:t>
            </w:r>
            <w:r>
              <w:rPr>
                <w:sz w:val="20"/>
                <w:szCs w:val="20"/>
                <w:lang w:val="en-US"/>
              </w:rPr>
              <w:t>i</w:t>
            </w:r>
            <w:r w:rsidRPr="00370088">
              <w:rPr>
                <w:sz w:val="20"/>
                <w:szCs w:val="20"/>
                <w:lang w:val="en-US"/>
              </w:rPr>
              <w:t>ntervener</w:t>
            </w:r>
            <w:r>
              <w:rPr>
                <w:sz w:val="20"/>
                <w:szCs w:val="20"/>
                <w:lang w:val="en-US"/>
              </w:rPr>
              <w:t xml:space="preserve"> </w:t>
            </w:r>
            <w:r w:rsidRPr="00370088">
              <w:rPr>
                <w:sz w:val="20"/>
                <w:szCs w:val="20"/>
              </w:rPr>
              <w:t>Alberta Federation of Labour</w:t>
            </w:r>
            <w:r>
              <w:rPr>
                <w:sz w:val="20"/>
                <w:szCs w:val="20"/>
              </w:rPr>
              <w:t>.</w:t>
            </w:r>
          </w:p>
          <w:p w:rsidR="007C1B35" w:rsidRPr="00370088" w:rsidRDefault="007C1B35" w:rsidP="007C1B35">
            <w:pPr>
              <w:jc w:val="both"/>
              <w:rPr>
                <w:sz w:val="20"/>
                <w:szCs w:val="20"/>
              </w:rPr>
            </w:pPr>
          </w:p>
          <w:p w:rsidR="00732DB7" w:rsidRPr="00C50A5C" w:rsidRDefault="007C1B35" w:rsidP="007C1B35">
            <w:pPr>
              <w:widowControl w:val="0"/>
              <w:jc w:val="both"/>
              <w:rPr>
                <w:sz w:val="20"/>
                <w:szCs w:val="20"/>
              </w:rPr>
            </w:pPr>
            <w:r w:rsidRPr="00370088">
              <w:rPr>
                <w:sz w:val="20"/>
                <w:szCs w:val="20"/>
              </w:rPr>
              <w:t>Written submission only</w:t>
            </w:r>
            <w:r w:rsidRPr="00370088">
              <w:rPr>
                <w:sz w:val="20"/>
                <w:szCs w:val="20"/>
                <w:lang w:val="en-US"/>
              </w:rPr>
              <w:t xml:space="preserve"> </w:t>
            </w:r>
            <w:r>
              <w:rPr>
                <w:sz w:val="20"/>
                <w:szCs w:val="20"/>
                <w:lang w:val="en-US"/>
              </w:rPr>
              <w:t xml:space="preserve">by </w:t>
            </w:r>
            <w:r w:rsidRPr="00370088">
              <w:rPr>
                <w:sz w:val="20"/>
                <w:szCs w:val="20"/>
                <w:lang w:val="en-US"/>
              </w:rPr>
              <w:t>Simon Ruel</w:t>
            </w:r>
            <w:r>
              <w:rPr>
                <w:sz w:val="20"/>
                <w:szCs w:val="20"/>
                <w:lang w:val="en-US"/>
              </w:rPr>
              <w:t xml:space="preserve"> f</w:t>
            </w:r>
            <w:r w:rsidRPr="00370088">
              <w:rPr>
                <w:sz w:val="20"/>
                <w:szCs w:val="20"/>
              </w:rPr>
              <w:t xml:space="preserve">or the </w:t>
            </w:r>
            <w:r>
              <w:rPr>
                <w:sz w:val="20"/>
                <w:szCs w:val="20"/>
              </w:rPr>
              <w:t xml:space="preserve">intervener </w:t>
            </w:r>
            <w:r w:rsidRPr="00370088">
              <w:rPr>
                <w:sz w:val="20"/>
                <w:szCs w:val="20"/>
              </w:rPr>
              <w:t>Coalition of British Columbia Businesses and Merit Canada</w:t>
            </w:r>
            <w:r>
              <w:rPr>
                <w:sz w:val="20"/>
                <w:szCs w:val="20"/>
              </w:rPr>
              <w:t>.</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E2673F">
        <w:rPr>
          <w:b/>
          <w:sz w:val="20"/>
          <w:szCs w:val="20"/>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D41BFD"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64689C" w:rsidRPr="006003CA" w:rsidRDefault="0064689C" w:rsidP="0064689C">
            <w:pPr>
              <w:widowControl w:val="0"/>
              <w:jc w:val="both"/>
              <w:rPr>
                <w:sz w:val="20"/>
                <w:szCs w:val="20"/>
              </w:rPr>
            </w:pPr>
            <w:r w:rsidRPr="006003CA">
              <w:rPr>
                <w:i/>
                <w:sz w:val="20"/>
                <w:szCs w:val="20"/>
              </w:rPr>
              <w:t>Charter</w:t>
            </w:r>
            <w:r w:rsidRPr="006003CA">
              <w:rPr>
                <w:sz w:val="20"/>
                <w:szCs w:val="20"/>
              </w:rPr>
              <w:t xml:space="preserve"> </w:t>
            </w:r>
            <w:r w:rsidRPr="006003CA">
              <w:rPr>
                <w:sz w:val="20"/>
                <w:szCs w:val="20"/>
              </w:rPr>
              <w:noBreakHyphen/>
              <w:t xml:space="preserve"> Freedom of expression </w:t>
            </w:r>
            <w:r w:rsidRPr="006003CA">
              <w:rPr>
                <w:sz w:val="20"/>
                <w:szCs w:val="20"/>
              </w:rPr>
              <w:noBreakHyphen/>
              <w:t xml:space="preserve"> Privacy law </w:t>
            </w:r>
            <w:r w:rsidRPr="006003CA">
              <w:rPr>
                <w:sz w:val="20"/>
                <w:szCs w:val="20"/>
              </w:rPr>
              <w:noBreakHyphen/>
              <w:t xml:space="preserve"> Labour relations </w:t>
            </w:r>
            <w:r w:rsidRPr="006003CA">
              <w:rPr>
                <w:sz w:val="20"/>
                <w:szCs w:val="20"/>
              </w:rPr>
              <w:noBreakHyphen/>
              <w:t xml:space="preserve"> Administrative law </w:t>
            </w:r>
            <w:r w:rsidRPr="006003CA">
              <w:rPr>
                <w:sz w:val="20"/>
                <w:szCs w:val="20"/>
              </w:rPr>
              <w:noBreakHyphen/>
              <w:t xml:space="preserve"> Privacy legislation prohibiting Respondent Union from collecting, using or disclosing images of individuals at or near a picket line during the course of a lawful </w:t>
            </w:r>
            <w:r w:rsidRPr="006003CA">
              <w:rPr>
                <w:sz w:val="20"/>
                <w:szCs w:val="20"/>
              </w:rPr>
              <w:lastRenderedPageBreak/>
              <w:t xml:space="preserve">strike </w:t>
            </w:r>
            <w:r w:rsidRPr="006003CA">
              <w:rPr>
                <w:sz w:val="20"/>
                <w:szCs w:val="20"/>
              </w:rPr>
              <w:noBreakHyphen/>
              <w:t xml:space="preserve"> Do the </w:t>
            </w:r>
            <w:r w:rsidRPr="006003CA">
              <w:rPr>
                <w:i/>
                <w:sz w:val="20"/>
                <w:szCs w:val="20"/>
              </w:rPr>
              <w:t>Personal Information Protection Act</w:t>
            </w:r>
            <w:r w:rsidRPr="006003CA">
              <w:rPr>
                <w:sz w:val="20"/>
                <w:szCs w:val="20"/>
              </w:rPr>
              <w:t>, S.A. 2003, c. P</w:t>
            </w:r>
            <w:r w:rsidRPr="006003CA">
              <w:rPr>
                <w:sz w:val="20"/>
                <w:szCs w:val="20"/>
              </w:rPr>
              <w:noBreakHyphen/>
              <w:t xml:space="preserve">6.5 and the </w:t>
            </w:r>
            <w:r w:rsidRPr="006003CA">
              <w:rPr>
                <w:i/>
                <w:sz w:val="20"/>
                <w:szCs w:val="20"/>
              </w:rPr>
              <w:t>Personal Information Protection Act Regulation</w:t>
            </w:r>
            <w:r w:rsidRPr="006003CA">
              <w:rPr>
                <w:sz w:val="20"/>
                <w:szCs w:val="20"/>
              </w:rPr>
              <w:t xml:space="preserve">, Alta Reg. 366/2003 violate s. 2(b) of the </w:t>
            </w:r>
            <w:r w:rsidRPr="006003CA">
              <w:rPr>
                <w:i/>
                <w:sz w:val="20"/>
                <w:szCs w:val="20"/>
              </w:rPr>
              <w:t>Canadian Charter of Rights and Freedoms</w:t>
            </w:r>
            <w:r w:rsidRPr="006003CA">
              <w:rPr>
                <w:sz w:val="20"/>
                <w:szCs w:val="20"/>
              </w:rPr>
              <w:t xml:space="preserve"> insofar as they restrict a union’s ability to collect, use or disclose personal information during the course of a lawful strike? </w:t>
            </w:r>
            <w:r w:rsidRPr="006003CA">
              <w:rPr>
                <w:sz w:val="20"/>
                <w:szCs w:val="20"/>
              </w:rPr>
              <w:noBreakHyphen/>
              <w:t xml:space="preserve"> If so, is the infringement a reasonable limit prescribed by law, which can be demonstrably justified in a free and democratic society under s. 1 of the </w:t>
            </w:r>
            <w:r w:rsidRPr="006003CA">
              <w:rPr>
                <w:i/>
                <w:sz w:val="20"/>
                <w:szCs w:val="20"/>
              </w:rPr>
              <w:t>Canadian Charter of Rights and Freedoms</w:t>
            </w:r>
            <w:r w:rsidRPr="006003CA">
              <w:rPr>
                <w:sz w:val="20"/>
                <w:szCs w:val="20"/>
              </w:rPr>
              <w:t xml:space="preserve">? </w:t>
            </w:r>
            <w:r w:rsidRPr="006003CA">
              <w:rPr>
                <w:sz w:val="20"/>
                <w:szCs w:val="20"/>
              </w:rPr>
              <w:noBreakHyphen/>
              <w:t xml:space="preserve"> What is the administrative tribunal’s role when its enabling legislation is the subject of a constitutional challenge and it does not have the power to decide the constitutional question?</w:t>
            </w:r>
          </w:p>
          <w:p w:rsidR="00C1697B" w:rsidRPr="00C1697B" w:rsidRDefault="00C1697B" w:rsidP="00C1697B">
            <w:pPr>
              <w:widowControl w:val="0"/>
              <w:jc w:val="both"/>
              <w:rPr>
                <w:b/>
                <w:sz w:val="20"/>
                <w:szCs w:val="20"/>
              </w:rPr>
            </w:pP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05792" w:rsidRDefault="00C1697B" w:rsidP="00C1697B">
            <w:pPr>
              <w:widowControl w:val="0"/>
              <w:jc w:val="both"/>
              <w:rPr>
                <w:b/>
                <w:sz w:val="20"/>
                <w:szCs w:val="20"/>
                <w:u w:val="single"/>
                <w:lang w:val="fr-CA"/>
              </w:rPr>
            </w:pPr>
            <w:r w:rsidRPr="00C05792">
              <w:rPr>
                <w:b/>
                <w:sz w:val="20"/>
                <w:szCs w:val="20"/>
                <w:u w:val="single"/>
                <w:lang w:val="fr-CA"/>
              </w:rPr>
              <w:t>Nature de la cause :</w:t>
            </w:r>
          </w:p>
          <w:p w:rsidR="00C1697B" w:rsidRPr="00C05792" w:rsidRDefault="00C1697B" w:rsidP="00C1697B">
            <w:pPr>
              <w:widowControl w:val="0"/>
              <w:jc w:val="both"/>
              <w:rPr>
                <w:sz w:val="20"/>
                <w:szCs w:val="20"/>
                <w:lang w:val="fr-CA"/>
              </w:rPr>
            </w:pPr>
          </w:p>
          <w:p w:rsidR="00C1697B" w:rsidRPr="0064689C" w:rsidRDefault="0064689C" w:rsidP="0064689C">
            <w:pPr>
              <w:widowControl w:val="0"/>
              <w:jc w:val="both"/>
              <w:rPr>
                <w:sz w:val="20"/>
                <w:szCs w:val="20"/>
                <w:lang w:val="fr-CA"/>
              </w:rPr>
            </w:pPr>
            <w:r w:rsidRPr="00154BE0">
              <w:rPr>
                <w:sz w:val="20"/>
                <w:szCs w:val="20"/>
                <w:lang w:val="fr-CA"/>
              </w:rPr>
              <w:t xml:space="preserve">Charte </w:t>
            </w:r>
            <w:r w:rsidRPr="00154BE0">
              <w:rPr>
                <w:sz w:val="20"/>
                <w:szCs w:val="20"/>
                <w:lang w:val="fr-CA"/>
              </w:rPr>
              <w:noBreakHyphen/>
              <w:t xml:space="preserve"> Liberté d’expression </w:t>
            </w:r>
            <w:r w:rsidRPr="00154BE0">
              <w:rPr>
                <w:sz w:val="20"/>
                <w:szCs w:val="20"/>
                <w:lang w:val="fr-CA"/>
              </w:rPr>
              <w:noBreakHyphen/>
              <w:t xml:space="preserve"> Droit relatif au respect de la vie privée </w:t>
            </w:r>
            <w:r w:rsidRPr="00154BE0">
              <w:rPr>
                <w:sz w:val="20"/>
                <w:szCs w:val="20"/>
                <w:lang w:val="fr-CA"/>
              </w:rPr>
              <w:noBreakHyphen/>
              <w:t xml:space="preserve"> Relations de travail </w:t>
            </w:r>
            <w:r w:rsidRPr="00154BE0">
              <w:rPr>
                <w:sz w:val="20"/>
                <w:szCs w:val="20"/>
                <w:lang w:val="fr-CA"/>
              </w:rPr>
              <w:noBreakHyphen/>
              <w:t xml:space="preserve"> Droit administratif </w:t>
            </w:r>
            <w:r w:rsidRPr="00154BE0">
              <w:rPr>
                <w:sz w:val="20"/>
                <w:szCs w:val="20"/>
                <w:lang w:val="fr-CA"/>
              </w:rPr>
              <w:noBreakHyphen/>
              <w:t xml:space="preserve"> La législation relative au respect de la vie privée interdit au syndicat intimé de recueillir, d’utiliser ou de communiquer les images de personnes </w:t>
            </w:r>
            <w:r w:rsidRPr="00154BE0">
              <w:rPr>
                <w:sz w:val="20"/>
                <w:szCs w:val="20"/>
                <w:lang w:val="fr-CA"/>
              </w:rPr>
              <w:lastRenderedPageBreak/>
              <w:t>qui se trouvent sur une ligne de piquetage ou près de celle</w:t>
            </w:r>
            <w:r w:rsidRPr="00154BE0">
              <w:rPr>
                <w:sz w:val="20"/>
                <w:szCs w:val="20"/>
                <w:lang w:val="fr-CA"/>
              </w:rPr>
              <w:noBreakHyphen/>
              <w:t xml:space="preserve">ci pendant une grève légale </w:t>
            </w:r>
            <w:r w:rsidRPr="00154BE0">
              <w:rPr>
                <w:sz w:val="20"/>
                <w:szCs w:val="20"/>
                <w:lang w:val="fr-CA"/>
              </w:rPr>
              <w:noBreakHyphen/>
              <w:t xml:space="preserve"> La </w:t>
            </w:r>
            <w:r w:rsidRPr="00154BE0">
              <w:rPr>
                <w:i/>
                <w:sz w:val="20"/>
                <w:szCs w:val="20"/>
                <w:lang w:val="fr-CA"/>
              </w:rPr>
              <w:t>Personal Information Protection Act</w:t>
            </w:r>
            <w:r w:rsidRPr="00154BE0">
              <w:rPr>
                <w:sz w:val="20"/>
                <w:szCs w:val="20"/>
                <w:lang w:val="fr-CA"/>
              </w:rPr>
              <w:t>, S.A. 2003, ch. P</w:t>
            </w:r>
            <w:r w:rsidRPr="00154BE0">
              <w:rPr>
                <w:sz w:val="20"/>
                <w:szCs w:val="20"/>
                <w:lang w:val="fr-CA"/>
              </w:rPr>
              <w:noBreakHyphen/>
              <w:t xml:space="preserve">6.5 et les </w:t>
            </w:r>
            <w:r w:rsidRPr="00154BE0">
              <w:rPr>
                <w:i/>
                <w:sz w:val="20"/>
                <w:szCs w:val="20"/>
                <w:lang w:val="fr-CA"/>
              </w:rPr>
              <w:t>Personal Information Protection Act Regulations</w:t>
            </w:r>
            <w:r w:rsidRPr="00154BE0">
              <w:rPr>
                <w:sz w:val="20"/>
                <w:szCs w:val="20"/>
                <w:lang w:val="fr-CA"/>
              </w:rPr>
              <w:t>, Alta Reg 366/2003, violent</w:t>
            </w:r>
            <w:r w:rsidRPr="00154BE0">
              <w:rPr>
                <w:sz w:val="20"/>
                <w:szCs w:val="20"/>
                <w:lang w:val="fr-CA"/>
              </w:rPr>
              <w:noBreakHyphen/>
              <w:t>ils l’al. 2</w:t>
            </w:r>
            <w:r w:rsidRPr="00154BE0">
              <w:rPr>
                <w:i/>
                <w:sz w:val="20"/>
                <w:szCs w:val="20"/>
                <w:lang w:val="fr-CA"/>
              </w:rPr>
              <w:t>b)</w:t>
            </w:r>
            <w:r w:rsidRPr="00154BE0">
              <w:rPr>
                <w:sz w:val="20"/>
                <w:szCs w:val="20"/>
                <w:lang w:val="fr-CA"/>
              </w:rPr>
              <w:t xml:space="preserve"> de la </w:t>
            </w:r>
            <w:r w:rsidRPr="00154BE0">
              <w:rPr>
                <w:i/>
                <w:sz w:val="20"/>
                <w:szCs w:val="20"/>
                <w:lang w:val="fr-CA"/>
              </w:rPr>
              <w:t>Charte canadienne des droits et libertés</w:t>
            </w:r>
            <w:r w:rsidRPr="00154BE0">
              <w:rPr>
                <w:sz w:val="20"/>
                <w:szCs w:val="20"/>
                <w:lang w:val="fr-CA"/>
              </w:rPr>
              <w:t xml:space="preserve"> dans la mesure où ils limitent la capacité du syndicat de recueillir, d’utiliser ou de communiquer des renseignements personnels au cours d’une grève légale? </w:t>
            </w:r>
            <w:r w:rsidRPr="00154BE0">
              <w:rPr>
                <w:sz w:val="20"/>
                <w:szCs w:val="20"/>
                <w:lang w:val="fr-CA"/>
              </w:rPr>
              <w:noBreakHyphen/>
              <w:t xml:space="preserve"> Dans l’affirmative, cette violation constitue</w:t>
            </w:r>
            <w:r w:rsidRPr="00154BE0">
              <w:rPr>
                <w:sz w:val="20"/>
                <w:szCs w:val="20"/>
                <w:lang w:val="fr-CA"/>
              </w:rPr>
              <w:noBreakHyphen/>
              <w:t>t</w:t>
            </w:r>
            <w:r w:rsidRPr="00154BE0">
              <w:rPr>
                <w:sz w:val="20"/>
                <w:szCs w:val="20"/>
                <w:lang w:val="fr-CA"/>
              </w:rPr>
              <w:noBreakHyphen/>
              <w:t xml:space="preserve">elle une limite raisonnable prescrite par une règle de droit et dont la justification peut se démontrer dans le cadre d’une société libre et démocratique, au sens de l’article premier de la </w:t>
            </w:r>
            <w:r w:rsidRPr="00154BE0">
              <w:rPr>
                <w:i/>
                <w:iCs/>
                <w:sz w:val="20"/>
                <w:szCs w:val="20"/>
                <w:lang w:val="fr-CA"/>
              </w:rPr>
              <w:t>Charte canadienne des droits et libertés</w:t>
            </w:r>
            <w:r w:rsidRPr="00154BE0">
              <w:rPr>
                <w:sz w:val="20"/>
                <w:szCs w:val="20"/>
                <w:lang w:val="fr-CA"/>
              </w:rPr>
              <w:t xml:space="preserve">? </w:t>
            </w:r>
            <w:r w:rsidRPr="00154BE0">
              <w:rPr>
                <w:sz w:val="20"/>
                <w:szCs w:val="20"/>
                <w:lang w:val="fr-CA"/>
              </w:rPr>
              <w:noBreakHyphen/>
              <w:t xml:space="preserve"> Quel est le rôle du tribunal administratif lorsque sa loi habilitante est l’objet d’une contestation constitutionnelle et qu’il n’a pas le pouvoir de trancher la question constitutionnelle?</w:t>
            </w:r>
          </w:p>
        </w:tc>
      </w:tr>
    </w:tbl>
    <w:p w:rsidR="00732DB7" w:rsidRPr="0064689C" w:rsidRDefault="00732DB7" w:rsidP="00732DB7">
      <w:pPr>
        <w:widowControl w:val="0"/>
        <w:rPr>
          <w:sz w:val="20"/>
          <w:szCs w:val="20"/>
          <w:lang w:val="fr-CA"/>
        </w:rPr>
      </w:pPr>
    </w:p>
    <w:p w:rsidR="002A27D1" w:rsidRDefault="00B3404D" w:rsidP="002A27D1">
      <w:pPr>
        <w:widowControl w:val="0"/>
        <w:rPr>
          <w:sz w:val="20"/>
          <w:szCs w:val="20"/>
        </w:rPr>
      </w:pPr>
      <w:r w:rsidRPr="00B3404D">
        <w:rPr>
          <w:sz w:val="20"/>
          <w:szCs w:val="20"/>
          <w:lang w:val="fr-CA"/>
        </w:rPr>
        <w:pict>
          <v:rect id="_x0000_i1107" style="width:2in;height:1pt" o:hrpct="0" o:hralign="center" o:hrstd="t" o:hrnoshade="t" o:hr="t" fillcolor="black [3213]" stroked="f"/>
        </w:pict>
      </w:r>
    </w:p>
    <w:p w:rsidR="002A27D1" w:rsidRDefault="002A27D1" w:rsidP="002A27D1">
      <w:pPr>
        <w:widowControl w:val="0"/>
        <w:rPr>
          <w:sz w:val="20"/>
          <w:szCs w:val="20"/>
        </w:rPr>
      </w:pPr>
    </w:p>
    <w:p w:rsidR="00A66746" w:rsidRPr="00C50A5C" w:rsidRDefault="00A66746" w:rsidP="00A66746">
      <w:pPr>
        <w:widowControl w:val="0"/>
        <w:rPr>
          <w:sz w:val="20"/>
          <w:szCs w:val="20"/>
        </w:rPr>
      </w:pPr>
      <w:r>
        <w:rPr>
          <w:sz w:val="20"/>
          <w:szCs w:val="20"/>
        </w:rPr>
        <w:t>13</w:t>
      </w:r>
      <w:r w:rsidRPr="00C50A5C">
        <w:rPr>
          <w:sz w:val="20"/>
          <w:szCs w:val="20"/>
        </w:rPr>
        <w:t>.06.201</w:t>
      </w:r>
      <w:r>
        <w:rPr>
          <w:sz w:val="20"/>
          <w:szCs w:val="20"/>
        </w:rPr>
        <w:t>3</w:t>
      </w:r>
    </w:p>
    <w:p w:rsidR="00A66746" w:rsidRDefault="00A66746" w:rsidP="00A66746">
      <w:pPr>
        <w:widowControl w:val="0"/>
        <w:rPr>
          <w:sz w:val="20"/>
          <w:szCs w:val="20"/>
        </w:rPr>
      </w:pPr>
    </w:p>
    <w:p w:rsidR="00E2673F" w:rsidRPr="00C50A5C" w:rsidRDefault="00E2673F" w:rsidP="00E2673F">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McLachlin C.J. and LeBel, Fish, Abella, Rothstein</w:t>
      </w:r>
      <w:r>
        <w:rPr>
          <w:sz w:val="20"/>
          <w:szCs w:val="20"/>
          <w:u w:val="single"/>
        </w:rPr>
        <w:t xml:space="preserve">, </w:t>
      </w:r>
      <w:r w:rsidRPr="00C50A5C">
        <w:rPr>
          <w:sz w:val="20"/>
          <w:szCs w:val="20"/>
          <w:u w:val="single"/>
        </w:rPr>
        <w:t>Cromwell</w:t>
      </w:r>
      <w:r>
        <w:rPr>
          <w:sz w:val="20"/>
          <w:szCs w:val="20"/>
          <w:u w:val="single"/>
        </w:rPr>
        <w:t>, Moldaver, Karakatsanis and Wagner</w:t>
      </w:r>
      <w:r w:rsidRPr="00C50A5C">
        <w:rPr>
          <w:sz w:val="20"/>
          <w:szCs w:val="20"/>
          <w:u w:val="single"/>
        </w:rPr>
        <w:t xml:space="preserve"> JJ.</w:t>
      </w:r>
      <w:r w:rsidRPr="00C50A5C">
        <w:rPr>
          <w:sz w:val="20"/>
          <w:szCs w:val="20"/>
        </w:rPr>
        <w:t xml:space="preserve"> </w:t>
      </w:r>
    </w:p>
    <w:p w:rsidR="00A66746" w:rsidRPr="00C50A5C" w:rsidRDefault="00A66746" w:rsidP="00A66746">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A66746" w:rsidRPr="00C50A5C" w:rsidTr="00C05792">
        <w:tc>
          <w:tcPr>
            <w:tcW w:w="4380" w:type="dxa"/>
            <w:tcMar>
              <w:left w:w="0" w:type="dxa"/>
              <w:right w:w="0" w:type="dxa"/>
            </w:tcMar>
          </w:tcPr>
          <w:p w:rsidR="00A66746" w:rsidRPr="00C50A5C" w:rsidRDefault="00E2673F" w:rsidP="00C05792">
            <w:pPr>
              <w:widowControl w:val="0"/>
              <w:jc w:val="both"/>
              <w:rPr>
                <w:b/>
                <w:sz w:val="20"/>
                <w:szCs w:val="20"/>
              </w:rPr>
            </w:pPr>
            <w:r>
              <w:rPr>
                <w:b/>
                <w:sz w:val="20"/>
                <w:szCs w:val="20"/>
              </w:rPr>
              <w:t>Attor</w:t>
            </w:r>
            <w:r w:rsidR="00A66746" w:rsidRPr="00C50A5C">
              <w:rPr>
                <w:b/>
                <w:sz w:val="20"/>
                <w:szCs w:val="20"/>
              </w:rPr>
              <w:t>n</w:t>
            </w:r>
            <w:r>
              <w:rPr>
                <w:b/>
                <w:sz w:val="20"/>
                <w:szCs w:val="20"/>
              </w:rPr>
              <w:t>ey General of Canada</w:t>
            </w:r>
            <w:r w:rsidR="00A66746" w:rsidRPr="00C50A5C">
              <w:rPr>
                <w:b/>
                <w:sz w:val="20"/>
                <w:szCs w:val="20"/>
              </w:rPr>
              <w:t xml:space="preserve"> et al.</w:t>
            </w:r>
          </w:p>
          <w:p w:rsidR="00A66746" w:rsidRPr="00C50A5C" w:rsidRDefault="00A66746" w:rsidP="00C05792">
            <w:pPr>
              <w:widowControl w:val="0"/>
              <w:jc w:val="both"/>
              <w:rPr>
                <w:b/>
                <w:sz w:val="20"/>
                <w:szCs w:val="20"/>
              </w:rPr>
            </w:pPr>
          </w:p>
          <w:p w:rsidR="00A66746" w:rsidRPr="0064689C" w:rsidRDefault="00A66746" w:rsidP="00C05792">
            <w:pPr>
              <w:widowControl w:val="0"/>
              <w:tabs>
                <w:tab w:val="left" w:pos="736"/>
              </w:tabs>
              <w:jc w:val="both"/>
              <w:rPr>
                <w:b/>
                <w:sz w:val="20"/>
                <w:szCs w:val="20"/>
                <w:lang w:val="fr-CA"/>
              </w:rPr>
            </w:pPr>
            <w:r w:rsidRPr="00C50A5C">
              <w:rPr>
                <w:b/>
                <w:sz w:val="20"/>
                <w:szCs w:val="20"/>
              </w:rPr>
              <w:tab/>
            </w:r>
            <w:r w:rsidRPr="0064689C">
              <w:rPr>
                <w:b/>
                <w:sz w:val="20"/>
                <w:szCs w:val="20"/>
                <w:lang w:val="fr-CA"/>
              </w:rPr>
              <w:t>v. (3</w:t>
            </w:r>
            <w:r w:rsidR="00E2673F" w:rsidRPr="0064689C">
              <w:rPr>
                <w:b/>
                <w:sz w:val="20"/>
                <w:szCs w:val="20"/>
                <w:lang w:val="fr-CA"/>
              </w:rPr>
              <w:t>4788</w:t>
            </w:r>
            <w:r w:rsidRPr="0064689C">
              <w:rPr>
                <w:b/>
                <w:sz w:val="20"/>
                <w:szCs w:val="20"/>
                <w:lang w:val="fr-CA"/>
              </w:rPr>
              <w:t>)</w:t>
            </w:r>
          </w:p>
          <w:p w:rsidR="00A66746" w:rsidRPr="0064689C" w:rsidRDefault="00A66746" w:rsidP="00C05792">
            <w:pPr>
              <w:widowControl w:val="0"/>
              <w:jc w:val="both"/>
              <w:rPr>
                <w:b/>
                <w:sz w:val="20"/>
                <w:szCs w:val="20"/>
                <w:lang w:val="fr-CA"/>
              </w:rPr>
            </w:pPr>
          </w:p>
          <w:p w:rsidR="00A66746" w:rsidRPr="00E2673F" w:rsidRDefault="00E2673F" w:rsidP="00E2673F">
            <w:pPr>
              <w:widowControl w:val="0"/>
              <w:jc w:val="both"/>
              <w:rPr>
                <w:sz w:val="20"/>
                <w:szCs w:val="20"/>
              </w:rPr>
            </w:pPr>
            <w:r w:rsidRPr="00E2673F">
              <w:rPr>
                <w:b/>
                <w:sz w:val="20"/>
                <w:szCs w:val="20"/>
                <w:lang w:val="fr-CA"/>
              </w:rPr>
              <w:t>Te</w:t>
            </w:r>
            <w:r w:rsidR="00A66746" w:rsidRPr="00E2673F">
              <w:rPr>
                <w:b/>
                <w:sz w:val="20"/>
                <w:szCs w:val="20"/>
                <w:lang w:val="fr-CA"/>
              </w:rPr>
              <w:t>rri</w:t>
            </w:r>
            <w:r w:rsidRPr="00E2673F">
              <w:rPr>
                <w:b/>
                <w:sz w:val="20"/>
                <w:szCs w:val="20"/>
                <w:lang w:val="fr-CA"/>
              </w:rPr>
              <w:t xml:space="preserve"> J</w:t>
            </w:r>
            <w:r>
              <w:rPr>
                <w:b/>
                <w:sz w:val="20"/>
                <w:szCs w:val="20"/>
                <w:lang w:val="fr-CA"/>
              </w:rPr>
              <w:t>e</w:t>
            </w:r>
            <w:r w:rsidR="00A66746" w:rsidRPr="00E2673F">
              <w:rPr>
                <w:b/>
                <w:sz w:val="20"/>
                <w:szCs w:val="20"/>
                <w:lang w:val="fr-CA"/>
              </w:rPr>
              <w:t>a</w:t>
            </w:r>
            <w:r w:rsidRPr="00E2673F">
              <w:rPr>
                <w:b/>
                <w:sz w:val="20"/>
                <w:szCs w:val="20"/>
                <w:lang w:val="fr-CA"/>
              </w:rPr>
              <w:t xml:space="preserve">n Bedford et </w:t>
            </w:r>
            <w:r w:rsidR="00A66746" w:rsidRPr="00E2673F">
              <w:rPr>
                <w:b/>
                <w:sz w:val="20"/>
                <w:szCs w:val="20"/>
                <w:lang w:val="fr-CA"/>
              </w:rPr>
              <w:t>al</w:t>
            </w:r>
            <w:r w:rsidRPr="00E2673F">
              <w:rPr>
                <w:b/>
                <w:sz w:val="20"/>
                <w:szCs w:val="20"/>
                <w:lang w:val="fr-CA"/>
              </w:rPr>
              <w:t>.</w:t>
            </w:r>
            <w:r w:rsidR="00A66746" w:rsidRPr="00E2673F">
              <w:rPr>
                <w:b/>
                <w:sz w:val="20"/>
                <w:szCs w:val="20"/>
                <w:lang w:val="fr-CA"/>
              </w:rPr>
              <w:t xml:space="preserve"> </w:t>
            </w:r>
            <w:r w:rsidR="00A66746" w:rsidRPr="00C50A5C">
              <w:rPr>
                <w:b/>
                <w:sz w:val="20"/>
                <w:szCs w:val="20"/>
              </w:rPr>
              <w:t>(</w:t>
            </w:r>
            <w:r>
              <w:rPr>
                <w:b/>
                <w:sz w:val="20"/>
                <w:szCs w:val="20"/>
              </w:rPr>
              <w:t>Ont</w:t>
            </w:r>
            <w:r w:rsidR="00A66746" w:rsidRPr="00C50A5C">
              <w:rPr>
                <w:b/>
                <w:sz w:val="20"/>
                <w:szCs w:val="20"/>
              </w:rPr>
              <w:t>.) (C</w:t>
            </w:r>
            <w:r>
              <w:rPr>
                <w:b/>
                <w:sz w:val="20"/>
                <w:szCs w:val="20"/>
              </w:rPr>
              <w:t>r</w:t>
            </w:r>
            <w:r w:rsidR="00A66746" w:rsidRPr="00C50A5C">
              <w:rPr>
                <w:b/>
                <w:sz w:val="20"/>
                <w:szCs w:val="20"/>
              </w:rPr>
              <w:t>i</w:t>
            </w:r>
            <w:r>
              <w:rPr>
                <w:b/>
                <w:sz w:val="20"/>
                <w:szCs w:val="20"/>
              </w:rPr>
              <w:t>m</w:t>
            </w:r>
            <w:r w:rsidR="00A66746" w:rsidRPr="00C50A5C">
              <w:rPr>
                <w:b/>
                <w:sz w:val="20"/>
                <w:szCs w:val="20"/>
              </w:rPr>
              <w:t>i</w:t>
            </w:r>
            <w:r>
              <w:rPr>
                <w:b/>
                <w:sz w:val="20"/>
                <w:szCs w:val="20"/>
              </w:rPr>
              <w:t>na</w:t>
            </w:r>
            <w:r w:rsidR="00A66746" w:rsidRPr="00C50A5C">
              <w:rPr>
                <w:b/>
                <w:sz w:val="20"/>
                <w:szCs w:val="20"/>
              </w:rPr>
              <w:t>l) (By</w:t>
            </w:r>
            <w:r>
              <w:rPr>
                <w:b/>
                <w:sz w:val="20"/>
                <w:szCs w:val="20"/>
              </w:rPr>
              <w:t> </w:t>
            </w:r>
            <w:r w:rsidR="00A66746" w:rsidRPr="00C50A5C">
              <w:rPr>
                <w:b/>
                <w:sz w:val="20"/>
                <w:szCs w:val="20"/>
              </w:rPr>
              <w:t>Leave)</w:t>
            </w:r>
          </w:p>
        </w:tc>
        <w:tc>
          <w:tcPr>
            <w:tcW w:w="720" w:type="dxa"/>
            <w:tcMar>
              <w:left w:w="0" w:type="dxa"/>
              <w:right w:w="0" w:type="dxa"/>
            </w:tcMar>
          </w:tcPr>
          <w:p w:rsidR="00A66746" w:rsidRPr="00E2673F" w:rsidRDefault="00A66746" w:rsidP="00C05792">
            <w:pPr>
              <w:widowControl w:val="0"/>
              <w:jc w:val="center"/>
              <w:rPr>
                <w:sz w:val="20"/>
                <w:szCs w:val="20"/>
              </w:rPr>
            </w:pPr>
          </w:p>
        </w:tc>
        <w:tc>
          <w:tcPr>
            <w:tcW w:w="4380" w:type="dxa"/>
            <w:tcMar>
              <w:left w:w="0" w:type="dxa"/>
              <w:right w:w="0" w:type="dxa"/>
            </w:tcMar>
          </w:tcPr>
          <w:p w:rsidR="00D50F3A" w:rsidRPr="00121FC6" w:rsidRDefault="00D50F3A" w:rsidP="00D50F3A">
            <w:pPr>
              <w:jc w:val="both"/>
              <w:rPr>
                <w:sz w:val="20"/>
                <w:szCs w:val="20"/>
              </w:rPr>
            </w:pPr>
            <w:r w:rsidRPr="00121FC6">
              <w:rPr>
                <w:sz w:val="20"/>
                <w:szCs w:val="20"/>
                <w:lang w:val="en-US"/>
              </w:rPr>
              <w:t>Michael H. Morris</w:t>
            </w:r>
            <w:r>
              <w:rPr>
                <w:sz w:val="20"/>
                <w:szCs w:val="20"/>
                <w:lang w:val="en-US"/>
              </w:rPr>
              <w:t xml:space="preserve">, </w:t>
            </w:r>
            <w:r w:rsidRPr="00121FC6">
              <w:rPr>
                <w:sz w:val="20"/>
                <w:szCs w:val="20"/>
                <w:lang w:val="en-US"/>
              </w:rPr>
              <w:t>Nancy Dennison</w:t>
            </w:r>
            <w:r>
              <w:rPr>
                <w:sz w:val="20"/>
                <w:szCs w:val="20"/>
                <w:lang w:val="en-US"/>
              </w:rPr>
              <w:t xml:space="preserve"> and </w:t>
            </w:r>
            <w:r w:rsidRPr="00121FC6">
              <w:rPr>
                <w:sz w:val="20"/>
                <w:szCs w:val="20"/>
              </w:rPr>
              <w:t>Gail Sinclair</w:t>
            </w:r>
            <w:r>
              <w:rPr>
                <w:sz w:val="20"/>
                <w:szCs w:val="20"/>
              </w:rPr>
              <w:t xml:space="preserve"> f</w:t>
            </w:r>
            <w:r w:rsidRPr="00121FC6">
              <w:rPr>
                <w:sz w:val="20"/>
                <w:szCs w:val="20"/>
                <w:lang w:val="en-US"/>
              </w:rPr>
              <w:t xml:space="preserve">or the </w:t>
            </w:r>
            <w:r>
              <w:rPr>
                <w:sz w:val="20"/>
                <w:szCs w:val="20"/>
                <w:lang w:val="en-US"/>
              </w:rPr>
              <w:t>a</w:t>
            </w:r>
            <w:r w:rsidRPr="00121FC6">
              <w:rPr>
                <w:sz w:val="20"/>
                <w:szCs w:val="20"/>
                <w:lang w:val="en-US"/>
              </w:rPr>
              <w:t>ppellant</w:t>
            </w:r>
            <w:r>
              <w:rPr>
                <w:sz w:val="20"/>
                <w:szCs w:val="20"/>
                <w:lang w:val="en-US"/>
              </w:rPr>
              <w:t>/r</w:t>
            </w:r>
            <w:r w:rsidRPr="00121FC6">
              <w:rPr>
                <w:sz w:val="20"/>
                <w:szCs w:val="20"/>
                <w:lang w:val="en-US"/>
              </w:rPr>
              <w:t>espondent on cross-appeal</w:t>
            </w:r>
            <w:r>
              <w:rPr>
                <w:sz w:val="20"/>
                <w:szCs w:val="20"/>
                <w:lang w:val="en-US"/>
              </w:rPr>
              <w:t xml:space="preserve"> </w:t>
            </w:r>
            <w:r w:rsidRPr="00121FC6">
              <w:rPr>
                <w:sz w:val="20"/>
                <w:szCs w:val="20"/>
              </w:rPr>
              <w:t>Attorney General of Canada</w:t>
            </w:r>
            <w:r>
              <w:rPr>
                <w:sz w:val="20"/>
                <w:szCs w:val="20"/>
              </w:rPr>
              <w:t>.</w:t>
            </w:r>
          </w:p>
          <w:p w:rsidR="00D50F3A" w:rsidRPr="00121FC6" w:rsidRDefault="00D50F3A" w:rsidP="00D50F3A">
            <w:pPr>
              <w:jc w:val="both"/>
              <w:rPr>
                <w:sz w:val="20"/>
                <w:szCs w:val="20"/>
              </w:rPr>
            </w:pPr>
          </w:p>
          <w:p w:rsidR="00D50F3A" w:rsidRPr="00121FC6" w:rsidRDefault="00D50F3A" w:rsidP="00D50F3A">
            <w:pPr>
              <w:jc w:val="both"/>
              <w:rPr>
                <w:sz w:val="20"/>
                <w:szCs w:val="20"/>
              </w:rPr>
            </w:pPr>
            <w:r w:rsidRPr="00121FC6">
              <w:rPr>
                <w:sz w:val="20"/>
                <w:szCs w:val="20"/>
                <w:lang w:val="en-US"/>
              </w:rPr>
              <w:t>Jamie C. Klukach</w:t>
            </w:r>
            <w:r>
              <w:rPr>
                <w:sz w:val="20"/>
                <w:szCs w:val="20"/>
                <w:lang w:val="en-US"/>
              </w:rPr>
              <w:t xml:space="preserve">, </w:t>
            </w:r>
            <w:r w:rsidRPr="00121FC6">
              <w:rPr>
                <w:sz w:val="20"/>
                <w:szCs w:val="20"/>
                <w:lang w:val="en-US"/>
              </w:rPr>
              <w:t>Christine Bartlett-Hughes</w:t>
            </w:r>
            <w:r>
              <w:rPr>
                <w:sz w:val="20"/>
                <w:szCs w:val="20"/>
                <w:lang w:val="en-US"/>
              </w:rPr>
              <w:t xml:space="preserve"> and </w:t>
            </w:r>
            <w:r w:rsidRPr="00121FC6">
              <w:rPr>
                <w:sz w:val="20"/>
                <w:szCs w:val="20"/>
              </w:rPr>
              <w:t>Megan Stephens</w:t>
            </w:r>
            <w:r>
              <w:rPr>
                <w:sz w:val="20"/>
                <w:szCs w:val="20"/>
              </w:rPr>
              <w:t xml:space="preserve"> f</w:t>
            </w:r>
            <w:r w:rsidRPr="00121FC6">
              <w:rPr>
                <w:sz w:val="20"/>
                <w:szCs w:val="20"/>
                <w:lang w:val="en-US"/>
              </w:rPr>
              <w:t xml:space="preserve">or the </w:t>
            </w:r>
            <w:r>
              <w:rPr>
                <w:sz w:val="20"/>
                <w:szCs w:val="20"/>
                <w:lang w:val="en-US"/>
              </w:rPr>
              <w:t>a</w:t>
            </w:r>
            <w:r w:rsidRPr="00121FC6">
              <w:rPr>
                <w:sz w:val="20"/>
                <w:szCs w:val="20"/>
                <w:lang w:val="en-US"/>
              </w:rPr>
              <w:t>ppellant/</w:t>
            </w:r>
            <w:r>
              <w:rPr>
                <w:sz w:val="20"/>
                <w:szCs w:val="20"/>
                <w:lang w:val="en-US"/>
              </w:rPr>
              <w:t>r</w:t>
            </w:r>
            <w:r w:rsidRPr="00121FC6">
              <w:rPr>
                <w:sz w:val="20"/>
                <w:szCs w:val="20"/>
                <w:lang w:val="en-US"/>
              </w:rPr>
              <w:t>espondent on cross-appeal</w:t>
            </w:r>
            <w:r>
              <w:rPr>
                <w:sz w:val="20"/>
                <w:szCs w:val="20"/>
                <w:lang w:val="en-US"/>
              </w:rPr>
              <w:t xml:space="preserve"> A</w:t>
            </w:r>
            <w:r w:rsidRPr="00121FC6">
              <w:rPr>
                <w:sz w:val="20"/>
                <w:szCs w:val="20"/>
              </w:rPr>
              <w:t>ttorney General of Ontario</w:t>
            </w:r>
            <w:r>
              <w:rPr>
                <w:sz w:val="20"/>
                <w:szCs w:val="20"/>
              </w:rPr>
              <w:t>.</w:t>
            </w:r>
          </w:p>
          <w:p w:rsidR="00D50F3A" w:rsidRPr="00121FC6" w:rsidRDefault="00D50F3A" w:rsidP="00D50F3A">
            <w:pPr>
              <w:jc w:val="both"/>
              <w:rPr>
                <w:sz w:val="20"/>
                <w:szCs w:val="20"/>
              </w:rPr>
            </w:pPr>
          </w:p>
          <w:p w:rsidR="00D50F3A" w:rsidRPr="00121FC6" w:rsidRDefault="00D50F3A" w:rsidP="00D50F3A">
            <w:pPr>
              <w:jc w:val="both"/>
              <w:rPr>
                <w:sz w:val="20"/>
                <w:szCs w:val="20"/>
                <w:lang w:val="fr-CA"/>
              </w:rPr>
            </w:pPr>
            <w:r w:rsidRPr="00121FC6">
              <w:rPr>
                <w:sz w:val="20"/>
                <w:szCs w:val="20"/>
                <w:lang w:val="fr-CA"/>
              </w:rPr>
              <w:t>Sylvain Leboeuf</w:t>
            </w:r>
            <w:r>
              <w:rPr>
                <w:sz w:val="20"/>
                <w:szCs w:val="20"/>
                <w:lang w:val="fr-CA"/>
              </w:rPr>
              <w:t xml:space="preserve"> et </w:t>
            </w:r>
            <w:r w:rsidRPr="00121FC6">
              <w:rPr>
                <w:sz w:val="20"/>
                <w:szCs w:val="20"/>
                <w:lang w:val="fr-CA"/>
              </w:rPr>
              <w:t>Julie Dassylva</w:t>
            </w:r>
            <w:r>
              <w:rPr>
                <w:sz w:val="20"/>
                <w:szCs w:val="20"/>
                <w:lang w:val="fr-CA"/>
              </w:rPr>
              <w:t xml:space="preserve"> p</w:t>
            </w:r>
            <w:r w:rsidRPr="00121FC6">
              <w:rPr>
                <w:sz w:val="20"/>
                <w:szCs w:val="20"/>
                <w:lang w:val="fr-CA"/>
              </w:rPr>
              <w:t>our l’intervenant</w:t>
            </w:r>
            <w:r>
              <w:rPr>
                <w:sz w:val="20"/>
                <w:szCs w:val="20"/>
                <w:lang w:val="fr-CA"/>
              </w:rPr>
              <w:t xml:space="preserve"> </w:t>
            </w:r>
            <w:r w:rsidRPr="00121FC6">
              <w:rPr>
                <w:sz w:val="20"/>
                <w:szCs w:val="20"/>
                <w:lang w:val="fr-CA"/>
              </w:rPr>
              <w:t>Procureur général du Québec</w:t>
            </w:r>
          </w:p>
          <w:p w:rsidR="00D50F3A" w:rsidRPr="00121FC6" w:rsidRDefault="00D50F3A" w:rsidP="00D50F3A">
            <w:pPr>
              <w:jc w:val="both"/>
              <w:rPr>
                <w:sz w:val="20"/>
                <w:szCs w:val="20"/>
                <w:lang w:val="fr-CA"/>
              </w:rPr>
            </w:pPr>
          </w:p>
          <w:p w:rsidR="00D50F3A" w:rsidRPr="00121FC6" w:rsidRDefault="00D50F3A" w:rsidP="00D50F3A">
            <w:pPr>
              <w:jc w:val="both"/>
              <w:rPr>
                <w:sz w:val="20"/>
                <w:szCs w:val="20"/>
              </w:rPr>
            </w:pPr>
            <w:r w:rsidRPr="00121FC6">
              <w:rPr>
                <w:sz w:val="20"/>
                <w:szCs w:val="20"/>
                <w:lang w:val="en-US"/>
              </w:rPr>
              <w:t>Robert W. Staley</w:t>
            </w:r>
            <w:r>
              <w:rPr>
                <w:sz w:val="20"/>
                <w:szCs w:val="20"/>
                <w:lang w:val="en-US"/>
              </w:rPr>
              <w:t xml:space="preserve">, </w:t>
            </w:r>
            <w:r w:rsidRPr="00121FC6">
              <w:rPr>
                <w:sz w:val="20"/>
                <w:szCs w:val="20"/>
                <w:lang w:val="en-US"/>
              </w:rPr>
              <w:t>Ranjan K. Agarwal</w:t>
            </w:r>
            <w:r>
              <w:rPr>
                <w:sz w:val="20"/>
                <w:szCs w:val="20"/>
                <w:lang w:val="en-US"/>
              </w:rPr>
              <w:t xml:space="preserve"> and </w:t>
            </w:r>
            <w:r w:rsidRPr="00121FC6">
              <w:rPr>
                <w:sz w:val="20"/>
                <w:szCs w:val="20"/>
              </w:rPr>
              <w:t>Amanda C. McLachlan</w:t>
            </w:r>
            <w:r>
              <w:rPr>
                <w:sz w:val="20"/>
                <w:szCs w:val="20"/>
              </w:rPr>
              <w:t xml:space="preserve"> f</w:t>
            </w:r>
            <w:r w:rsidRPr="00121FC6">
              <w:rPr>
                <w:sz w:val="20"/>
                <w:szCs w:val="20"/>
                <w:lang w:val="en-US"/>
              </w:rPr>
              <w:t xml:space="preserve">or the </w:t>
            </w:r>
            <w:r>
              <w:rPr>
                <w:sz w:val="20"/>
                <w:szCs w:val="20"/>
                <w:lang w:val="en-US"/>
              </w:rPr>
              <w:t>i</w:t>
            </w:r>
            <w:r w:rsidRPr="00121FC6">
              <w:rPr>
                <w:sz w:val="20"/>
                <w:szCs w:val="20"/>
                <w:lang w:val="en-US"/>
              </w:rPr>
              <w:t>nterveners</w:t>
            </w:r>
            <w:r>
              <w:rPr>
                <w:sz w:val="20"/>
                <w:szCs w:val="20"/>
                <w:lang w:val="en-US"/>
              </w:rPr>
              <w:t xml:space="preserve"> </w:t>
            </w:r>
            <w:r w:rsidRPr="00121FC6">
              <w:rPr>
                <w:sz w:val="20"/>
                <w:szCs w:val="20"/>
              </w:rPr>
              <w:t>Christian Legal Fellowship et al.</w:t>
            </w:r>
          </w:p>
          <w:p w:rsidR="00D50F3A" w:rsidRPr="00121FC6" w:rsidRDefault="00D50F3A" w:rsidP="00D50F3A">
            <w:pPr>
              <w:jc w:val="both"/>
              <w:rPr>
                <w:sz w:val="20"/>
                <w:szCs w:val="20"/>
              </w:rPr>
            </w:pPr>
          </w:p>
          <w:p w:rsidR="00D50F3A" w:rsidRPr="00121FC6" w:rsidRDefault="00D50F3A" w:rsidP="00D50F3A">
            <w:pPr>
              <w:jc w:val="both"/>
              <w:rPr>
                <w:sz w:val="20"/>
                <w:szCs w:val="20"/>
              </w:rPr>
            </w:pPr>
            <w:r w:rsidRPr="00121FC6">
              <w:rPr>
                <w:sz w:val="20"/>
                <w:szCs w:val="20"/>
                <w:lang w:val="en-US"/>
              </w:rPr>
              <w:t>Georgialee A. Lang</w:t>
            </w:r>
            <w:r>
              <w:rPr>
                <w:sz w:val="20"/>
                <w:szCs w:val="20"/>
                <w:lang w:val="en-US"/>
              </w:rPr>
              <w:t xml:space="preserve"> and </w:t>
            </w:r>
            <w:r w:rsidRPr="00121FC6">
              <w:rPr>
                <w:sz w:val="20"/>
                <w:szCs w:val="20"/>
                <w:lang w:val="en-US"/>
              </w:rPr>
              <w:t>Donald Hutchinson</w:t>
            </w:r>
            <w:r>
              <w:rPr>
                <w:sz w:val="20"/>
                <w:szCs w:val="20"/>
                <w:lang w:val="en-US"/>
              </w:rPr>
              <w:t xml:space="preserve"> f</w:t>
            </w:r>
            <w:r w:rsidRPr="00121FC6">
              <w:rPr>
                <w:sz w:val="20"/>
                <w:szCs w:val="20"/>
                <w:lang w:val="en-US"/>
              </w:rPr>
              <w:t xml:space="preserve">or the </w:t>
            </w:r>
            <w:r>
              <w:rPr>
                <w:sz w:val="20"/>
                <w:szCs w:val="20"/>
                <w:lang w:val="en-US"/>
              </w:rPr>
              <w:t>i</w:t>
            </w:r>
            <w:r w:rsidRPr="00121FC6">
              <w:rPr>
                <w:sz w:val="20"/>
                <w:szCs w:val="20"/>
                <w:lang w:val="en-US"/>
              </w:rPr>
              <w:t>ntervener</w:t>
            </w:r>
            <w:r>
              <w:rPr>
                <w:sz w:val="20"/>
                <w:szCs w:val="20"/>
                <w:lang w:val="en-US"/>
              </w:rPr>
              <w:t xml:space="preserve"> </w:t>
            </w:r>
            <w:r w:rsidRPr="00121FC6">
              <w:rPr>
                <w:sz w:val="20"/>
                <w:szCs w:val="20"/>
                <w:lang w:val="en-US"/>
              </w:rPr>
              <w:tab/>
            </w:r>
            <w:r w:rsidRPr="00121FC6">
              <w:rPr>
                <w:sz w:val="20"/>
                <w:szCs w:val="20"/>
              </w:rPr>
              <w:t>Evangelical Fellowship of Canada</w:t>
            </w:r>
            <w:r>
              <w:rPr>
                <w:sz w:val="20"/>
                <w:szCs w:val="20"/>
              </w:rPr>
              <w:t>.</w:t>
            </w:r>
          </w:p>
          <w:p w:rsidR="00D50F3A" w:rsidRPr="00121FC6" w:rsidRDefault="00D50F3A" w:rsidP="00D50F3A">
            <w:pPr>
              <w:jc w:val="both"/>
              <w:rPr>
                <w:sz w:val="20"/>
                <w:szCs w:val="20"/>
              </w:rPr>
            </w:pPr>
          </w:p>
          <w:p w:rsidR="00D50F3A" w:rsidRPr="00121FC6" w:rsidRDefault="00D50F3A" w:rsidP="00D50F3A">
            <w:pPr>
              <w:jc w:val="both"/>
              <w:rPr>
                <w:sz w:val="20"/>
                <w:szCs w:val="20"/>
                <w:lang w:val="en-US"/>
              </w:rPr>
            </w:pPr>
            <w:r w:rsidRPr="00121FC6">
              <w:rPr>
                <w:sz w:val="20"/>
                <w:szCs w:val="20"/>
                <w:lang w:val="en-US"/>
              </w:rPr>
              <w:t>Alan N. Young</w:t>
            </w:r>
            <w:r>
              <w:rPr>
                <w:sz w:val="20"/>
                <w:szCs w:val="20"/>
                <w:lang w:val="en-US"/>
              </w:rPr>
              <w:t xml:space="preserve">, </w:t>
            </w:r>
            <w:r w:rsidRPr="00121FC6">
              <w:rPr>
                <w:sz w:val="20"/>
                <w:szCs w:val="20"/>
                <w:lang w:val="en-US"/>
              </w:rPr>
              <w:t>Marlys A. Edwardh</w:t>
            </w:r>
            <w:r>
              <w:rPr>
                <w:sz w:val="20"/>
                <w:szCs w:val="20"/>
                <w:lang w:val="en-US"/>
              </w:rPr>
              <w:t xml:space="preserve"> and </w:t>
            </w:r>
            <w:r w:rsidRPr="00121FC6">
              <w:rPr>
                <w:sz w:val="20"/>
                <w:szCs w:val="20"/>
                <w:lang w:val="en-US"/>
              </w:rPr>
              <w:t>Daniel Sheppard</w:t>
            </w:r>
            <w:r>
              <w:rPr>
                <w:sz w:val="20"/>
                <w:szCs w:val="20"/>
                <w:lang w:val="en-US"/>
              </w:rPr>
              <w:t xml:space="preserve"> f</w:t>
            </w:r>
            <w:r w:rsidRPr="00121FC6">
              <w:rPr>
                <w:sz w:val="20"/>
                <w:szCs w:val="20"/>
                <w:lang w:val="en-US"/>
              </w:rPr>
              <w:t xml:space="preserve">or the </w:t>
            </w:r>
            <w:r>
              <w:rPr>
                <w:sz w:val="20"/>
                <w:szCs w:val="20"/>
                <w:lang w:val="en-US"/>
              </w:rPr>
              <w:t>r</w:t>
            </w:r>
            <w:r w:rsidRPr="00121FC6">
              <w:rPr>
                <w:sz w:val="20"/>
                <w:szCs w:val="20"/>
                <w:lang w:val="en-US"/>
              </w:rPr>
              <w:t>espondents/</w:t>
            </w:r>
            <w:r>
              <w:rPr>
                <w:sz w:val="20"/>
                <w:szCs w:val="20"/>
                <w:lang w:val="en-US"/>
              </w:rPr>
              <w:t>a</w:t>
            </w:r>
            <w:r w:rsidRPr="00121FC6">
              <w:rPr>
                <w:sz w:val="20"/>
                <w:szCs w:val="20"/>
                <w:lang w:val="en-US"/>
              </w:rPr>
              <w:t>ppellants on cross-appeal</w:t>
            </w:r>
          </w:p>
          <w:p w:rsidR="00D50F3A" w:rsidRPr="00121FC6" w:rsidRDefault="00D50F3A" w:rsidP="00D50F3A">
            <w:pPr>
              <w:jc w:val="both"/>
              <w:rPr>
                <w:sz w:val="20"/>
                <w:szCs w:val="20"/>
                <w:lang w:val="en-US"/>
              </w:rPr>
            </w:pPr>
          </w:p>
          <w:p w:rsidR="00D50F3A" w:rsidRPr="00121FC6" w:rsidRDefault="00D50F3A" w:rsidP="00D50F3A">
            <w:pPr>
              <w:jc w:val="both"/>
              <w:rPr>
                <w:sz w:val="20"/>
                <w:szCs w:val="20"/>
              </w:rPr>
            </w:pPr>
            <w:r w:rsidRPr="00121FC6">
              <w:rPr>
                <w:sz w:val="20"/>
                <w:szCs w:val="20"/>
                <w:lang w:val="en-US"/>
              </w:rPr>
              <w:t>Joseph J. Arvay, Q.C.</w:t>
            </w:r>
            <w:r>
              <w:rPr>
                <w:sz w:val="20"/>
                <w:szCs w:val="20"/>
                <w:lang w:val="en-US"/>
              </w:rPr>
              <w:t xml:space="preserve"> and </w:t>
            </w:r>
            <w:r w:rsidRPr="00121FC6">
              <w:rPr>
                <w:sz w:val="20"/>
                <w:szCs w:val="20"/>
                <w:lang w:val="en-US"/>
              </w:rPr>
              <w:t>Cheryl Milne</w:t>
            </w:r>
            <w:r>
              <w:rPr>
                <w:sz w:val="20"/>
                <w:szCs w:val="20"/>
                <w:lang w:val="en-US"/>
              </w:rPr>
              <w:t xml:space="preserve"> f</w:t>
            </w:r>
            <w:r w:rsidRPr="00121FC6">
              <w:rPr>
                <w:sz w:val="20"/>
                <w:szCs w:val="20"/>
                <w:lang w:val="en-US"/>
              </w:rPr>
              <w:t xml:space="preserve">or the </w:t>
            </w:r>
            <w:r>
              <w:rPr>
                <w:sz w:val="20"/>
                <w:szCs w:val="20"/>
                <w:lang w:val="en-US"/>
              </w:rPr>
              <w:t>i</w:t>
            </w:r>
            <w:r w:rsidRPr="00121FC6">
              <w:rPr>
                <w:sz w:val="20"/>
                <w:szCs w:val="20"/>
                <w:lang w:val="en-US"/>
              </w:rPr>
              <w:t>ntervener</w:t>
            </w:r>
            <w:r>
              <w:rPr>
                <w:sz w:val="20"/>
                <w:szCs w:val="20"/>
                <w:lang w:val="en-US"/>
              </w:rPr>
              <w:t xml:space="preserve"> </w:t>
            </w:r>
            <w:r w:rsidRPr="00121FC6">
              <w:rPr>
                <w:sz w:val="20"/>
                <w:szCs w:val="20"/>
              </w:rPr>
              <w:t>David Asper Centre for Constitutional Rights</w:t>
            </w:r>
            <w:r>
              <w:rPr>
                <w:sz w:val="20"/>
                <w:szCs w:val="20"/>
              </w:rPr>
              <w:t>.</w:t>
            </w:r>
          </w:p>
          <w:p w:rsidR="00D50F3A" w:rsidRPr="00121FC6" w:rsidRDefault="00D50F3A" w:rsidP="00D50F3A">
            <w:pPr>
              <w:jc w:val="both"/>
              <w:rPr>
                <w:sz w:val="20"/>
                <w:szCs w:val="20"/>
                <w:lang w:val="en-US"/>
              </w:rPr>
            </w:pPr>
          </w:p>
          <w:p w:rsidR="00D50F3A" w:rsidRPr="00121FC6" w:rsidRDefault="00D50F3A" w:rsidP="00D50F3A">
            <w:pPr>
              <w:jc w:val="both"/>
              <w:rPr>
                <w:sz w:val="20"/>
                <w:szCs w:val="20"/>
              </w:rPr>
            </w:pPr>
            <w:r w:rsidRPr="00121FC6">
              <w:rPr>
                <w:sz w:val="20"/>
                <w:szCs w:val="20"/>
                <w:lang w:val="en-US"/>
              </w:rPr>
              <w:t>Christa Big Canoe</w:t>
            </w:r>
            <w:r>
              <w:rPr>
                <w:sz w:val="20"/>
                <w:szCs w:val="20"/>
                <w:lang w:val="en-US"/>
              </w:rPr>
              <w:t xml:space="preserve"> and </w:t>
            </w:r>
            <w:r w:rsidRPr="00121FC6">
              <w:rPr>
                <w:sz w:val="20"/>
                <w:szCs w:val="20"/>
                <w:lang w:val="en-US"/>
              </w:rPr>
              <w:t>Emily R. Hill</w:t>
            </w:r>
            <w:r>
              <w:rPr>
                <w:sz w:val="20"/>
                <w:szCs w:val="20"/>
                <w:lang w:val="en-US"/>
              </w:rPr>
              <w:t xml:space="preserve"> f</w:t>
            </w:r>
            <w:r w:rsidRPr="00121FC6">
              <w:rPr>
                <w:sz w:val="20"/>
                <w:szCs w:val="20"/>
                <w:lang w:val="en-US"/>
              </w:rPr>
              <w:t xml:space="preserve">or the </w:t>
            </w:r>
            <w:r>
              <w:rPr>
                <w:sz w:val="20"/>
                <w:szCs w:val="20"/>
                <w:lang w:val="en-US"/>
              </w:rPr>
              <w:t>i</w:t>
            </w:r>
            <w:r w:rsidRPr="00121FC6">
              <w:rPr>
                <w:sz w:val="20"/>
                <w:szCs w:val="20"/>
                <w:lang w:val="en-US"/>
              </w:rPr>
              <w:t>ntervener</w:t>
            </w:r>
            <w:r>
              <w:rPr>
                <w:sz w:val="20"/>
                <w:szCs w:val="20"/>
                <w:lang w:val="en-US"/>
              </w:rPr>
              <w:t xml:space="preserve"> </w:t>
            </w:r>
            <w:r w:rsidRPr="00121FC6">
              <w:rPr>
                <w:sz w:val="20"/>
                <w:szCs w:val="20"/>
              </w:rPr>
              <w:t>Aboriginal Legal Services of Toronto Inc.</w:t>
            </w:r>
          </w:p>
          <w:p w:rsidR="00D50F3A" w:rsidRPr="00121FC6" w:rsidRDefault="00D50F3A" w:rsidP="00D50F3A">
            <w:pPr>
              <w:jc w:val="both"/>
              <w:rPr>
                <w:sz w:val="20"/>
                <w:szCs w:val="20"/>
                <w:lang w:val="en-US"/>
              </w:rPr>
            </w:pPr>
          </w:p>
          <w:p w:rsidR="00D50F3A" w:rsidRPr="00121FC6" w:rsidRDefault="00D50F3A" w:rsidP="00D50F3A">
            <w:pPr>
              <w:jc w:val="both"/>
              <w:rPr>
                <w:sz w:val="20"/>
                <w:szCs w:val="20"/>
                <w:lang w:val="en-US"/>
              </w:rPr>
            </w:pPr>
            <w:r w:rsidRPr="00121FC6">
              <w:rPr>
                <w:sz w:val="20"/>
                <w:szCs w:val="20"/>
                <w:lang w:val="en-US"/>
              </w:rPr>
              <w:lastRenderedPageBreak/>
              <w:t>Katrina E.Pacey</w:t>
            </w:r>
            <w:r>
              <w:rPr>
                <w:sz w:val="20"/>
                <w:szCs w:val="20"/>
                <w:lang w:val="en-US"/>
              </w:rPr>
              <w:t xml:space="preserve">, </w:t>
            </w:r>
            <w:r w:rsidRPr="00121FC6">
              <w:rPr>
                <w:sz w:val="20"/>
                <w:szCs w:val="20"/>
                <w:lang w:val="en-US"/>
              </w:rPr>
              <w:t>Joseph J. Arvay, Q.C.</w:t>
            </w:r>
            <w:r>
              <w:rPr>
                <w:sz w:val="20"/>
                <w:szCs w:val="20"/>
                <w:lang w:val="en-US"/>
              </w:rPr>
              <w:t xml:space="preserve">, </w:t>
            </w:r>
            <w:r w:rsidRPr="00121FC6">
              <w:rPr>
                <w:sz w:val="20"/>
                <w:szCs w:val="20"/>
                <w:lang w:val="en-US"/>
              </w:rPr>
              <w:t>Elin R.S. Sigurdson</w:t>
            </w:r>
            <w:r>
              <w:rPr>
                <w:sz w:val="20"/>
                <w:szCs w:val="20"/>
                <w:lang w:val="en-US"/>
              </w:rPr>
              <w:t xml:space="preserve">, </w:t>
            </w:r>
            <w:r w:rsidRPr="00121FC6">
              <w:rPr>
                <w:sz w:val="20"/>
                <w:szCs w:val="20"/>
              </w:rPr>
              <w:t>Lisa C. Glowack</w:t>
            </w:r>
            <w:r>
              <w:rPr>
                <w:sz w:val="20"/>
                <w:szCs w:val="20"/>
              </w:rPr>
              <w:t xml:space="preserve">i and </w:t>
            </w:r>
            <w:r w:rsidRPr="00121FC6">
              <w:rPr>
                <w:sz w:val="20"/>
                <w:szCs w:val="20"/>
              </w:rPr>
              <w:t>M. Kathleen Kinch</w:t>
            </w:r>
            <w:r>
              <w:rPr>
                <w:sz w:val="20"/>
                <w:szCs w:val="20"/>
              </w:rPr>
              <w:t xml:space="preserve"> f</w:t>
            </w:r>
            <w:r w:rsidRPr="00121FC6">
              <w:rPr>
                <w:sz w:val="20"/>
                <w:szCs w:val="20"/>
                <w:lang w:val="en-US"/>
              </w:rPr>
              <w:t xml:space="preserve">or the </w:t>
            </w:r>
            <w:r>
              <w:rPr>
                <w:sz w:val="20"/>
                <w:szCs w:val="20"/>
                <w:lang w:val="en-US"/>
              </w:rPr>
              <w:t>i</w:t>
            </w:r>
            <w:r w:rsidRPr="00121FC6">
              <w:rPr>
                <w:sz w:val="20"/>
                <w:szCs w:val="20"/>
                <w:lang w:val="en-US"/>
              </w:rPr>
              <w:t>nterveners</w:t>
            </w:r>
            <w:r>
              <w:rPr>
                <w:sz w:val="20"/>
                <w:szCs w:val="20"/>
                <w:lang w:val="en-US"/>
              </w:rPr>
              <w:t xml:space="preserve"> </w:t>
            </w:r>
            <w:r w:rsidRPr="00121FC6">
              <w:rPr>
                <w:sz w:val="20"/>
                <w:szCs w:val="20"/>
              </w:rPr>
              <w:t>Pivot Legal Society et al.</w:t>
            </w:r>
          </w:p>
          <w:p w:rsidR="00D50F3A" w:rsidRPr="00121FC6" w:rsidRDefault="00D50F3A" w:rsidP="00D50F3A">
            <w:pPr>
              <w:jc w:val="both"/>
              <w:rPr>
                <w:sz w:val="20"/>
                <w:szCs w:val="20"/>
              </w:rPr>
            </w:pPr>
          </w:p>
          <w:p w:rsidR="00D50F3A" w:rsidRPr="00121FC6" w:rsidRDefault="00D50F3A" w:rsidP="00D50F3A">
            <w:pPr>
              <w:jc w:val="both"/>
              <w:rPr>
                <w:sz w:val="20"/>
                <w:szCs w:val="20"/>
              </w:rPr>
            </w:pPr>
            <w:r w:rsidRPr="00121FC6">
              <w:rPr>
                <w:sz w:val="20"/>
                <w:szCs w:val="20"/>
                <w:lang w:val="en-US"/>
              </w:rPr>
              <w:t>Brent B. Olthuis</w:t>
            </w:r>
            <w:r>
              <w:rPr>
                <w:sz w:val="20"/>
                <w:szCs w:val="20"/>
                <w:lang w:val="en-US"/>
              </w:rPr>
              <w:t>,</w:t>
            </w:r>
            <w:r w:rsidRPr="00121FC6">
              <w:rPr>
                <w:sz w:val="20"/>
                <w:szCs w:val="20"/>
                <w:lang w:val="en-US"/>
              </w:rPr>
              <w:t xml:space="preserve"> Megan Vis-Dunbar</w:t>
            </w:r>
            <w:r>
              <w:rPr>
                <w:sz w:val="20"/>
                <w:szCs w:val="20"/>
                <w:lang w:val="en-US"/>
              </w:rPr>
              <w:t xml:space="preserve"> and </w:t>
            </w:r>
            <w:r w:rsidRPr="00121FC6">
              <w:rPr>
                <w:sz w:val="20"/>
                <w:szCs w:val="20"/>
              </w:rPr>
              <w:t>Michael Sobkin</w:t>
            </w:r>
            <w:r>
              <w:rPr>
                <w:sz w:val="20"/>
                <w:szCs w:val="20"/>
                <w:lang w:val="en-US"/>
              </w:rPr>
              <w:t xml:space="preserve"> f</w:t>
            </w:r>
            <w:r w:rsidRPr="00121FC6">
              <w:rPr>
                <w:sz w:val="20"/>
                <w:szCs w:val="20"/>
                <w:lang w:val="en-US"/>
              </w:rPr>
              <w:t xml:space="preserve">or the </w:t>
            </w:r>
            <w:r>
              <w:rPr>
                <w:sz w:val="20"/>
                <w:szCs w:val="20"/>
                <w:lang w:val="en-US"/>
              </w:rPr>
              <w:t>i</w:t>
            </w:r>
            <w:r w:rsidRPr="00121FC6">
              <w:rPr>
                <w:sz w:val="20"/>
                <w:szCs w:val="20"/>
                <w:lang w:val="en-US"/>
              </w:rPr>
              <w:t>ntervener</w:t>
            </w:r>
            <w:r>
              <w:rPr>
                <w:sz w:val="20"/>
                <w:szCs w:val="20"/>
                <w:lang w:val="en-US"/>
              </w:rPr>
              <w:t xml:space="preserve"> </w:t>
            </w:r>
            <w:r w:rsidRPr="00121FC6">
              <w:rPr>
                <w:sz w:val="20"/>
                <w:szCs w:val="20"/>
              </w:rPr>
              <w:t>British Columbia Civil Liberties Association</w:t>
            </w:r>
            <w:r>
              <w:rPr>
                <w:sz w:val="20"/>
                <w:szCs w:val="20"/>
              </w:rPr>
              <w:t>.</w:t>
            </w:r>
          </w:p>
          <w:p w:rsidR="00D50F3A" w:rsidRPr="00121FC6" w:rsidRDefault="00D50F3A" w:rsidP="00D50F3A">
            <w:pPr>
              <w:jc w:val="both"/>
              <w:rPr>
                <w:sz w:val="20"/>
                <w:szCs w:val="20"/>
              </w:rPr>
            </w:pPr>
          </w:p>
          <w:p w:rsidR="00D50F3A" w:rsidRPr="00121FC6" w:rsidRDefault="00D50F3A" w:rsidP="00D50F3A">
            <w:pPr>
              <w:jc w:val="both"/>
              <w:rPr>
                <w:sz w:val="20"/>
                <w:szCs w:val="20"/>
              </w:rPr>
            </w:pPr>
            <w:r w:rsidRPr="00121FC6">
              <w:rPr>
                <w:sz w:val="20"/>
                <w:szCs w:val="20"/>
                <w:lang w:val="en-US"/>
              </w:rPr>
              <w:t>Jonathan A. Shime</w:t>
            </w:r>
            <w:r>
              <w:rPr>
                <w:sz w:val="20"/>
                <w:szCs w:val="20"/>
                <w:lang w:val="en-US"/>
              </w:rPr>
              <w:t xml:space="preserve">, </w:t>
            </w:r>
            <w:r w:rsidRPr="00121FC6">
              <w:rPr>
                <w:sz w:val="20"/>
                <w:szCs w:val="20"/>
              </w:rPr>
              <w:t>Megan Schwartzentruber</w:t>
            </w:r>
            <w:r>
              <w:rPr>
                <w:sz w:val="20"/>
                <w:szCs w:val="20"/>
              </w:rPr>
              <w:t xml:space="preserve"> and </w:t>
            </w:r>
            <w:r w:rsidRPr="00121FC6">
              <w:rPr>
                <w:sz w:val="20"/>
                <w:szCs w:val="20"/>
                <w:lang w:val="en-US"/>
              </w:rPr>
              <w:t>Renée Lang</w:t>
            </w:r>
            <w:r>
              <w:rPr>
                <w:sz w:val="20"/>
                <w:szCs w:val="20"/>
                <w:lang w:val="en-US"/>
              </w:rPr>
              <w:t xml:space="preserve"> f</w:t>
            </w:r>
            <w:r w:rsidRPr="00121FC6">
              <w:rPr>
                <w:sz w:val="20"/>
                <w:szCs w:val="20"/>
                <w:lang w:val="en-US"/>
              </w:rPr>
              <w:t xml:space="preserve">or the </w:t>
            </w:r>
            <w:r>
              <w:rPr>
                <w:sz w:val="20"/>
                <w:szCs w:val="20"/>
                <w:lang w:val="en-US"/>
              </w:rPr>
              <w:t>i</w:t>
            </w:r>
            <w:r w:rsidRPr="00121FC6">
              <w:rPr>
                <w:sz w:val="20"/>
                <w:szCs w:val="20"/>
                <w:lang w:val="en-US"/>
              </w:rPr>
              <w:t>nterveners</w:t>
            </w:r>
            <w:r>
              <w:rPr>
                <w:sz w:val="20"/>
                <w:szCs w:val="20"/>
                <w:lang w:val="en-US"/>
              </w:rPr>
              <w:t xml:space="preserve"> </w:t>
            </w:r>
            <w:r w:rsidRPr="00121FC6">
              <w:rPr>
                <w:sz w:val="20"/>
                <w:szCs w:val="20"/>
              </w:rPr>
              <w:t>Canadian HIV/AIDS Legal Network, et al.</w:t>
            </w:r>
          </w:p>
          <w:p w:rsidR="00D50F3A" w:rsidRPr="00121FC6" w:rsidRDefault="00D50F3A" w:rsidP="00D50F3A">
            <w:pPr>
              <w:jc w:val="both"/>
              <w:rPr>
                <w:sz w:val="20"/>
                <w:szCs w:val="20"/>
                <w:lang w:val="en-US"/>
              </w:rPr>
            </w:pPr>
          </w:p>
          <w:p w:rsidR="00D50F3A" w:rsidRPr="00121FC6" w:rsidRDefault="00D50F3A" w:rsidP="00D50F3A">
            <w:pPr>
              <w:jc w:val="both"/>
              <w:rPr>
                <w:sz w:val="20"/>
                <w:szCs w:val="20"/>
              </w:rPr>
            </w:pPr>
            <w:r w:rsidRPr="00121FC6">
              <w:rPr>
                <w:sz w:val="20"/>
                <w:szCs w:val="20"/>
                <w:lang w:val="en-US"/>
              </w:rPr>
              <w:t>Gwendoline Allison</w:t>
            </w:r>
            <w:r>
              <w:rPr>
                <w:sz w:val="20"/>
                <w:szCs w:val="20"/>
                <w:lang w:val="en-US"/>
              </w:rPr>
              <w:t xml:space="preserve"> f</w:t>
            </w:r>
            <w:r w:rsidRPr="00121FC6">
              <w:rPr>
                <w:sz w:val="20"/>
                <w:szCs w:val="20"/>
                <w:lang w:val="en-US"/>
              </w:rPr>
              <w:t xml:space="preserve">or the </w:t>
            </w:r>
            <w:r>
              <w:rPr>
                <w:sz w:val="20"/>
                <w:szCs w:val="20"/>
                <w:lang w:val="en-US"/>
              </w:rPr>
              <w:t>i</w:t>
            </w:r>
            <w:r w:rsidRPr="00121FC6">
              <w:rPr>
                <w:sz w:val="20"/>
                <w:szCs w:val="20"/>
                <w:lang w:val="en-US"/>
              </w:rPr>
              <w:t>ntervener</w:t>
            </w:r>
            <w:r>
              <w:rPr>
                <w:sz w:val="20"/>
                <w:szCs w:val="20"/>
                <w:lang w:val="en-US"/>
              </w:rPr>
              <w:t xml:space="preserve"> </w:t>
            </w:r>
            <w:r w:rsidRPr="00121FC6">
              <w:rPr>
                <w:sz w:val="20"/>
                <w:szCs w:val="20"/>
              </w:rPr>
              <w:t>AWCEP Asian Women for Equality Society,</w:t>
            </w:r>
            <w:r>
              <w:rPr>
                <w:sz w:val="20"/>
                <w:szCs w:val="20"/>
              </w:rPr>
              <w:t xml:space="preserve"> </w:t>
            </w:r>
            <w:r w:rsidRPr="00121FC6">
              <w:rPr>
                <w:sz w:val="20"/>
                <w:szCs w:val="20"/>
              </w:rPr>
              <w:t>operating as Asian Women Coalition Ending Prostitution</w:t>
            </w:r>
            <w:r>
              <w:rPr>
                <w:sz w:val="20"/>
                <w:szCs w:val="20"/>
              </w:rPr>
              <w:t>.</w:t>
            </w:r>
          </w:p>
          <w:p w:rsidR="00D50F3A" w:rsidRPr="00121FC6" w:rsidRDefault="00D50F3A" w:rsidP="00D50F3A">
            <w:pPr>
              <w:jc w:val="both"/>
              <w:rPr>
                <w:sz w:val="20"/>
                <w:szCs w:val="20"/>
              </w:rPr>
            </w:pPr>
          </w:p>
          <w:p w:rsidR="00D50F3A" w:rsidRPr="00121FC6" w:rsidRDefault="00D50F3A" w:rsidP="00D50F3A">
            <w:pPr>
              <w:jc w:val="both"/>
              <w:rPr>
                <w:sz w:val="20"/>
                <w:szCs w:val="20"/>
              </w:rPr>
            </w:pPr>
            <w:r w:rsidRPr="00121FC6">
              <w:rPr>
                <w:sz w:val="20"/>
                <w:szCs w:val="20"/>
                <w:lang w:val="en-US"/>
              </w:rPr>
              <w:t>Janine Benedet</w:t>
            </w:r>
            <w:r>
              <w:rPr>
                <w:sz w:val="20"/>
                <w:szCs w:val="20"/>
                <w:lang w:val="en-US"/>
              </w:rPr>
              <w:t xml:space="preserve"> and </w:t>
            </w:r>
            <w:r w:rsidRPr="00121FC6">
              <w:rPr>
                <w:sz w:val="20"/>
                <w:szCs w:val="20"/>
                <w:lang w:val="en-US"/>
              </w:rPr>
              <w:t>Fay Faraday</w:t>
            </w:r>
            <w:r>
              <w:rPr>
                <w:sz w:val="20"/>
                <w:szCs w:val="20"/>
                <w:lang w:val="en-US"/>
              </w:rPr>
              <w:t xml:space="preserve"> f</w:t>
            </w:r>
            <w:r w:rsidRPr="00121FC6">
              <w:rPr>
                <w:sz w:val="20"/>
                <w:szCs w:val="20"/>
                <w:lang w:val="en-US"/>
              </w:rPr>
              <w:t xml:space="preserve">or the </w:t>
            </w:r>
            <w:r>
              <w:rPr>
                <w:sz w:val="20"/>
                <w:szCs w:val="20"/>
                <w:lang w:val="en-US"/>
              </w:rPr>
              <w:t>i</w:t>
            </w:r>
            <w:r w:rsidRPr="00121FC6">
              <w:rPr>
                <w:sz w:val="20"/>
                <w:szCs w:val="20"/>
                <w:lang w:val="en-US"/>
              </w:rPr>
              <w:t>nterveners</w:t>
            </w:r>
            <w:r>
              <w:rPr>
                <w:sz w:val="20"/>
                <w:szCs w:val="20"/>
                <w:lang w:val="en-US"/>
              </w:rPr>
              <w:t xml:space="preserve"> </w:t>
            </w:r>
            <w:r w:rsidRPr="00121FC6">
              <w:rPr>
                <w:sz w:val="20"/>
                <w:szCs w:val="20"/>
              </w:rPr>
              <w:t>Canadian Association of Sexual Assault Centres et al.</w:t>
            </w:r>
          </w:p>
          <w:p w:rsidR="00D50F3A" w:rsidRPr="00121FC6" w:rsidRDefault="00D50F3A" w:rsidP="00D50F3A">
            <w:pPr>
              <w:jc w:val="both"/>
              <w:rPr>
                <w:sz w:val="20"/>
                <w:szCs w:val="20"/>
              </w:rPr>
            </w:pPr>
          </w:p>
          <w:p w:rsidR="00D50F3A" w:rsidRPr="007C3D8B" w:rsidRDefault="00D50F3A" w:rsidP="00D50F3A">
            <w:pPr>
              <w:jc w:val="both"/>
              <w:rPr>
                <w:sz w:val="20"/>
                <w:szCs w:val="20"/>
                <w:lang w:val="fr-CA"/>
              </w:rPr>
            </w:pPr>
            <w:r w:rsidRPr="00121FC6">
              <w:rPr>
                <w:sz w:val="20"/>
                <w:szCs w:val="20"/>
                <w:lang w:val="fr-CA"/>
              </w:rPr>
              <w:t>Walid Hijazi</w:t>
            </w:r>
            <w:r>
              <w:rPr>
                <w:sz w:val="20"/>
                <w:szCs w:val="20"/>
                <w:lang w:val="fr-CA"/>
              </w:rPr>
              <w:t xml:space="preserve"> p</w:t>
            </w:r>
            <w:r w:rsidRPr="00121FC6">
              <w:rPr>
                <w:sz w:val="20"/>
                <w:szCs w:val="20"/>
                <w:lang w:val="fr-CA"/>
              </w:rPr>
              <w:t>our l’intervenant</w:t>
            </w:r>
            <w:r>
              <w:rPr>
                <w:sz w:val="20"/>
                <w:szCs w:val="20"/>
                <w:lang w:val="fr-CA"/>
              </w:rPr>
              <w:t xml:space="preserve"> </w:t>
            </w:r>
            <w:r w:rsidRPr="007C3D8B">
              <w:rPr>
                <w:sz w:val="20"/>
                <w:szCs w:val="20"/>
                <w:lang w:val="fr-CA"/>
              </w:rPr>
              <w:t>Institut Simone de Beauvoir.</w:t>
            </w:r>
          </w:p>
          <w:p w:rsidR="00D50F3A" w:rsidRPr="007C3D8B" w:rsidRDefault="00D50F3A" w:rsidP="00D50F3A">
            <w:pPr>
              <w:jc w:val="both"/>
              <w:rPr>
                <w:sz w:val="20"/>
                <w:szCs w:val="20"/>
                <w:lang w:val="fr-CA"/>
              </w:rPr>
            </w:pPr>
          </w:p>
          <w:p w:rsidR="00A66746" w:rsidRPr="00C50A5C" w:rsidRDefault="00D50F3A" w:rsidP="00D50F3A">
            <w:pPr>
              <w:jc w:val="both"/>
              <w:rPr>
                <w:sz w:val="20"/>
                <w:szCs w:val="20"/>
              </w:rPr>
            </w:pPr>
            <w:r w:rsidRPr="00121FC6">
              <w:rPr>
                <w:sz w:val="20"/>
                <w:szCs w:val="20"/>
                <w:lang w:val="en-US"/>
              </w:rPr>
              <w:t xml:space="preserve">Written submission only </w:t>
            </w:r>
            <w:r>
              <w:rPr>
                <w:sz w:val="20"/>
                <w:szCs w:val="20"/>
                <w:lang w:val="en-US"/>
              </w:rPr>
              <w:t>f</w:t>
            </w:r>
            <w:r w:rsidRPr="00121FC6">
              <w:rPr>
                <w:sz w:val="20"/>
                <w:szCs w:val="20"/>
                <w:lang w:val="en-US"/>
              </w:rPr>
              <w:t xml:space="preserve">or the </w:t>
            </w:r>
            <w:r>
              <w:rPr>
                <w:sz w:val="20"/>
                <w:szCs w:val="20"/>
                <w:lang w:val="en-US"/>
              </w:rPr>
              <w:t>i</w:t>
            </w:r>
            <w:r w:rsidRPr="00121FC6">
              <w:rPr>
                <w:sz w:val="20"/>
                <w:szCs w:val="20"/>
                <w:lang w:val="en-US"/>
              </w:rPr>
              <w:t>ntervener</w:t>
            </w:r>
            <w:r>
              <w:rPr>
                <w:sz w:val="20"/>
                <w:szCs w:val="20"/>
                <w:lang w:val="en-US"/>
              </w:rPr>
              <w:t xml:space="preserve"> </w:t>
            </w:r>
            <w:r w:rsidRPr="00121FC6">
              <w:rPr>
                <w:sz w:val="20"/>
                <w:szCs w:val="20"/>
              </w:rPr>
              <w:t>Secretariat of the Joint United Nations Programme on HIV/AIDS</w:t>
            </w:r>
            <w:r>
              <w:rPr>
                <w:sz w:val="20"/>
                <w:szCs w:val="20"/>
              </w:rPr>
              <w:t>.</w:t>
            </w:r>
          </w:p>
        </w:tc>
      </w:tr>
    </w:tbl>
    <w:p w:rsidR="00A66746" w:rsidRDefault="00A66746" w:rsidP="00A66746">
      <w:pPr>
        <w:widowControl w:val="0"/>
      </w:pPr>
    </w:p>
    <w:p w:rsidR="00A66746" w:rsidRDefault="00A66746" w:rsidP="00A66746">
      <w:pPr>
        <w:widowControl w:val="0"/>
        <w:rPr>
          <w:b/>
          <w:sz w:val="20"/>
          <w:szCs w:val="20"/>
        </w:rPr>
      </w:pPr>
      <w:r w:rsidRPr="0085476B">
        <w:rPr>
          <w:b/>
          <w:sz w:val="20"/>
          <w:szCs w:val="20"/>
        </w:rPr>
        <w:t xml:space="preserve">RESERVED / </w:t>
      </w:r>
      <w:r w:rsidRPr="00E2673F">
        <w:rPr>
          <w:b/>
          <w:sz w:val="20"/>
          <w:szCs w:val="20"/>
        </w:rPr>
        <w:t>EN DÉLIBÉRÉ</w:t>
      </w:r>
    </w:p>
    <w:p w:rsidR="00A66746" w:rsidRDefault="00A66746" w:rsidP="00A66746"/>
    <w:tbl>
      <w:tblPr>
        <w:tblW w:w="0" w:type="auto"/>
        <w:tblLayout w:type="fixed"/>
        <w:tblCellMar>
          <w:left w:w="0" w:type="dxa"/>
          <w:right w:w="0" w:type="dxa"/>
        </w:tblCellMar>
        <w:tblLook w:val="0000"/>
      </w:tblPr>
      <w:tblGrid>
        <w:gridCol w:w="4380"/>
        <w:gridCol w:w="720"/>
        <w:gridCol w:w="4380"/>
      </w:tblGrid>
      <w:tr w:rsidR="00A66746" w:rsidRPr="00D41BFD" w:rsidTr="00C05792">
        <w:tc>
          <w:tcPr>
            <w:tcW w:w="4380" w:type="dxa"/>
            <w:tcMar>
              <w:left w:w="0" w:type="dxa"/>
              <w:right w:w="0" w:type="dxa"/>
            </w:tcMar>
          </w:tcPr>
          <w:p w:rsidR="00A66746" w:rsidRPr="00CC4D84" w:rsidRDefault="00A66746" w:rsidP="00C05792">
            <w:pPr>
              <w:widowControl w:val="0"/>
              <w:jc w:val="both"/>
              <w:rPr>
                <w:b/>
                <w:sz w:val="20"/>
                <w:szCs w:val="20"/>
                <w:u w:val="single"/>
              </w:rPr>
            </w:pPr>
            <w:r w:rsidRPr="00CC4D84">
              <w:rPr>
                <w:b/>
                <w:sz w:val="20"/>
                <w:szCs w:val="20"/>
                <w:u w:val="single"/>
              </w:rPr>
              <w:t>Nature of the case:</w:t>
            </w:r>
          </w:p>
          <w:p w:rsidR="00A66746" w:rsidRPr="00C1697B" w:rsidRDefault="00A66746" w:rsidP="00C05792">
            <w:pPr>
              <w:widowControl w:val="0"/>
              <w:jc w:val="both"/>
              <w:rPr>
                <w:b/>
                <w:sz w:val="20"/>
                <w:szCs w:val="20"/>
              </w:rPr>
            </w:pPr>
          </w:p>
          <w:p w:rsidR="00A66746" w:rsidRPr="00C1697B" w:rsidRDefault="0064689C" w:rsidP="0064689C">
            <w:pPr>
              <w:widowControl w:val="0"/>
              <w:jc w:val="both"/>
              <w:rPr>
                <w:b/>
                <w:sz w:val="20"/>
                <w:szCs w:val="20"/>
              </w:rPr>
            </w:pPr>
            <w:r w:rsidRPr="00696955">
              <w:rPr>
                <w:i/>
                <w:sz w:val="20"/>
                <w:szCs w:val="20"/>
              </w:rPr>
              <w:t xml:space="preserve">Charter of Rights and Freedoms </w:t>
            </w:r>
            <w:r w:rsidRPr="00696955">
              <w:rPr>
                <w:sz w:val="20"/>
                <w:szCs w:val="20"/>
              </w:rPr>
              <w:noBreakHyphen/>
              <w:t xml:space="preserve"> Security of the person </w:t>
            </w:r>
            <w:r w:rsidRPr="00696955">
              <w:rPr>
                <w:sz w:val="20"/>
                <w:szCs w:val="20"/>
              </w:rPr>
              <w:noBreakHyphen/>
              <w:t xml:space="preserve"> Freedom of Expression </w:t>
            </w:r>
            <w:r w:rsidRPr="00696955">
              <w:rPr>
                <w:sz w:val="20"/>
                <w:szCs w:val="20"/>
              </w:rPr>
              <w:noBreakHyphen/>
              <w:t xml:space="preserve"> Criminal Law </w:t>
            </w:r>
            <w:r w:rsidRPr="00696955">
              <w:rPr>
                <w:sz w:val="20"/>
                <w:szCs w:val="20"/>
              </w:rPr>
              <w:noBreakHyphen/>
              <w:t xml:space="preserve"> Prostitution </w:t>
            </w:r>
            <w:r w:rsidRPr="00696955">
              <w:rPr>
                <w:sz w:val="20"/>
                <w:szCs w:val="20"/>
              </w:rPr>
              <w:noBreakHyphen/>
              <w:t xml:space="preserve"> Does s. 210 of the </w:t>
            </w:r>
            <w:r w:rsidRPr="00696955">
              <w:rPr>
                <w:i/>
                <w:sz w:val="20"/>
                <w:szCs w:val="20"/>
              </w:rPr>
              <w:t>Criminal Code</w:t>
            </w:r>
            <w:r w:rsidRPr="00696955">
              <w:rPr>
                <w:sz w:val="20"/>
                <w:szCs w:val="20"/>
              </w:rPr>
              <w:t>, R.S.C. 1985, c. C</w:t>
            </w:r>
            <w:r w:rsidRPr="00696955">
              <w:rPr>
                <w:sz w:val="20"/>
                <w:szCs w:val="20"/>
              </w:rPr>
              <w:noBreakHyphen/>
              <w:t>46, as it relates to common bawdy</w:t>
            </w:r>
            <w:r w:rsidRPr="00696955">
              <w:rPr>
                <w:sz w:val="20"/>
                <w:szCs w:val="20"/>
              </w:rPr>
              <w:noBreakHyphen/>
              <w:t xml:space="preserve">houses kept or occupied or resorted to for the purpose of prostitution, infringe s. 7 of the </w:t>
            </w:r>
            <w:r w:rsidRPr="00696955">
              <w:rPr>
                <w:i/>
                <w:sz w:val="20"/>
                <w:szCs w:val="20"/>
              </w:rPr>
              <w:t>Canadian Charter of Rights and Freedoms</w:t>
            </w:r>
            <w:r w:rsidRPr="00696955">
              <w:rPr>
                <w:sz w:val="20"/>
                <w:szCs w:val="20"/>
              </w:rPr>
              <w:t xml:space="preserve">? </w:t>
            </w:r>
            <w:r w:rsidRPr="00696955">
              <w:rPr>
                <w:sz w:val="20"/>
                <w:szCs w:val="20"/>
              </w:rPr>
              <w:noBreakHyphen/>
              <w:t xml:space="preserve"> If so, is the infringement a reasonable limit prescribed by law as can be demonstrably justified in a free and democratic society under s. 1 of the </w:t>
            </w:r>
            <w:r w:rsidRPr="00696955">
              <w:rPr>
                <w:i/>
                <w:sz w:val="20"/>
                <w:szCs w:val="20"/>
              </w:rPr>
              <w:t>Canadian Charter of Rights and Freedoms</w:t>
            </w:r>
            <w:r w:rsidRPr="00696955">
              <w:rPr>
                <w:sz w:val="20"/>
                <w:szCs w:val="20"/>
              </w:rPr>
              <w:t xml:space="preserve">? </w:t>
            </w:r>
            <w:r w:rsidRPr="00696955">
              <w:rPr>
                <w:sz w:val="20"/>
                <w:szCs w:val="20"/>
              </w:rPr>
              <w:noBreakHyphen/>
              <w:t xml:space="preserve"> Does section 212(1)(j) of the </w:t>
            </w:r>
            <w:r w:rsidRPr="00696955">
              <w:rPr>
                <w:i/>
                <w:sz w:val="20"/>
                <w:szCs w:val="20"/>
              </w:rPr>
              <w:t>Criminal Code</w:t>
            </w:r>
            <w:r w:rsidRPr="00696955">
              <w:rPr>
                <w:sz w:val="20"/>
                <w:szCs w:val="20"/>
              </w:rPr>
              <w:t>, R.S.C. 1985, c. C</w:t>
            </w:r>
            <w:r w:rsidRPr="00696955">
              <w:rPr>
                <w:sz w:val="20"/>
                <w:szCs w:val="20"/>
              </w:rPr>
              <w:noBreakHyphen/>
              <w:t xml:space="preserve">46, infringe s. 7 of the </w:t>
            </w:r>
            <w:r w:rsidRPr="00696955">
              <w:rPr>
                <w:i/>
                <w:sz w:val="20"/>
                <w:szCs w:val="20"/>
              </w:rPr>
              <w:t>Canadian Charter of Rights and Freedoms</w:t>
            </w:r>
            <w:r w:rsidRPr="00696955">
              <w:rPr>
                <w:sz w:val="20"/>
                <w:szCs w:val="20"/>
              </w:rPr>
              <w:t xml:space="preserve">? </w:t>
            </w:r>
            <w:r w:rsidRPr="00696955">
              <w:rPr>
                <w:sz w:val="20"/>
                <w:szCs w:val="20"/>
              </w:rPr>
              <w:noBreakHyphen/>
              <w:t xml:space="preserve"> If so, is the infringement a reasonable limit prescribed by law as can be demonstrably justified in a free and democratic society under s. 1 of the </w:t>
            </w:r>
            <w:r w:rsidRPr="00696955">
              <w:rPr>
                <w:i/>
                <w:sz w:val="20"/>
                <w:szCs w:val="20"/>
              </w:rPr>
              <w:t>Canadian Charter of Rights and Freedoms</w:t>
            </w:r>
            <w:r w:rsidRPr="00696955">
              <w:rPr>
                <w:sz w:val="20"/>
                <w:szCs w:val="20"/>
              </w:rPr>
              <w:t xml:space="preserve">? </w:t>
            </w:r>
            <w:r w:rsidRPr="00696955">
              <w:rPr>
                <w:sz w:val="20"/>
                <w:szCs w:val="20"/>
              </w:rPr>
              <w:noBreakHyphen/>
              <w:t xml:space="preserve"> Does section 213(1)(c) of the </w:t>
            </w:r>
            <w:r w:rsidRPr="00696955">
              <w:rPr>
                <w:i/>
                <w:sz w:val="20"/>
                <w:szCs w:val="20"/>
              </w:rPr>
              <w:t>Criminal Code</w:t>
            </w:r>
            <w:r w:rsidRPr="00696955">
              <w:rPr>
                <w:sz w:val="20"/>
                <w:szCs w:val="20"/>
              </w:rPr>
              <w:t>, R.S.C. 1985, c. C</w:t>
            </w:r>
            <w:r w:rsidRPr="00696955">
              <w:rPr>
                <w:sz w:val="20"/>
                <w:szCs w:val="20"/>
              </w:rPr>
              <w:noBreakHyphen/>
              <w:t xml:space="preserve">46, infringe s. 7 of the </w:t>
            </w:r>
            <w:r w:rsidRPr="00696955">
              <w:rPr>
                <w:i/>
                <w:sz w:val="20"/>
                <w:szCs w:val="20"/>
              </w:rPr>
              <w:t>Canadian Charter of Rights and Freedoms</w:t>
            </w:r>
            <w:r w:rsidRPr="00696955">
              <w:rPr>
                <w:sz w:val="20"/>
                <w:szCs w:val="20"/>
              </w:rPr>
              <w:t xml:space="preserve">? </w:t>
            </w:r>
            <w:r w:rsidRPr="00696955">
              <w:rPr>
                <w:sz w:val="20"/>
                <w:szCs w:val="20"/>
              </w:rPr>
              <w:noBreakHyphen/>
              <w:t xml:space="preserve"> If so, is the infringement a reasonable limit prescribed by law as can be demonstrably justified in a free and democratic society under s. 1 of the </w:t>
            </w:r>
            <w:r w:rsidRPr="00696955">
              <w:rPr>
                <w:i/>
                <w:sz w:val="20"/>
                <w:szCs w:val="20"/>
              </w:rPr>
              <w:t>Canadian Charter of Rights and Freedoms</w:t>
            </w:r>
            <w:r w:rsidRPr="00696955">
              <w:rPr>
                <w:sz w:val="20"/>
                <w:szCs w:val="20"/>
              </w:rPr>
              <w:t xml:space="preserve">? </w:t>
            </w:r>
            <w:r w:rsidRPr="00696955">
              <w:rPr>
                <w:sz w:val="20"/>
                <w:szCs w:val="20"/>
              </w:rPr>
              <w:noBreakHyphen/>
              <w:t xml:space="preserve"> Does section 213(1)(c) of the </w:t>
            </w:r>
            <w:r w:rsidRPr="00696955">
              <w:rPr>
                <w:i/>
                <w:sz w:val="20"/>
                <w:szCs w:val="20"/>
              </w:rPr>
              <w:t>Criminal Code</w:t>
            </w:r>
            <w:r w:rsidRPr="00696955">
              <w:rPr>
                <w:sz w:val="20"/>
                <w:szCs w:val="20"/>
              </w:rPr>
              <w:t>, R.S.C. 1985, c. C</w:t>
            </w:r>
            <w:r w:rsidRPr="00696955">
              <w:rPr>
                <w:sz w:val="20"/>
                <w:szCs w:val="20"/>
              </w:rPr>
              <w:noBreakHyphen/>
              <w:t xml:space="preserve">46, infringe s. 2(b) of the </w:t>
            </w:r>
            <w:r w:rsidRPr="00696955">
              <w:rPr>
                <w:i/>
                <w:sz w:val="20"/>
                <w:szCs w:val="20"/>
              </w:rPr>
              <w:t>Canadian Charter of Rights and Freedoms</w:t>
            </w:r>
            <w:r w:rsidRPr="00696955">
              <w:rPr>
                <w:sz w:val="20"/>
                <w:szCs w:val="20"/>
              </w:rPr>
              <w:t xml:space="preserve">? </w:t>
            </w:r>
            <w:r w:rsidRPr="00696955">
              <w:rPr>
                <w:sz w:val="20"/>
                <w:szCs w:val="20"/>
              </w:rPr>
              <w:noBreakHyphen/>
              <w:t xml:space="preserve"> If so, is the infringement a reasonable limit prescribed by law as can be demonstrably justified in a free and democratic society under s. 1 of the </w:t>
            </w:r>
            <w:r w:rsidRPr="00696955">
              <w:rPr>
                <w:i/>
                <w:sz w:val="20"/>
                <w:szCs w:val="20"/>
              </w:rPr>
              <w:t>Canadian Charter of Rights and Freedoms</w:t>
            </w:r>
            <w:r w:rsidRPr="00696955">
              <w:rPr>
                <w:sz w:val="20"/>
                <w:szCs w:val="20"/>
              </w:rPr>
              <w:t>?</w:t>
            </w:r>
          </w:p>
        </w:tc>
        <w:tc>
          <w:tcPr>
            <w:tcW w:w="720" w:type="dxa"/>
            <w:tcMar>
              <w:left w:w="0" w:type="dxa"/>
              <w:right w:w="0" w:type="dxa"/>
            </w:tcMar>
          </w:tcPr>
          <w:p w:rsidR="00A66746" w:rsidRPr="00C1697B" w:rsidRDefault="00A66746" w:rsidP="00C05792">
            <w:pPr>
              <w:widowControl w:val="0"/>
              <w:jc w:val="center"/>
              <w:rPr>
                <w:sz w:val="20"/>
                <w:szCs w:val="20"/>
              </w:rPr>
            </w:pPr>
          </w:p>
        </w:tc>
        <w:tc>
          <w:tcPr>
            <w:tcW w:w="4380" w:type="dxa"/>
            <w:tcMar>
              <w:left w:w="0" w:type="dxa"/>
              <w:right w:w="0" w:type="dxa"/>
            </w:tcMar>
          </w:tcPr>
          <w:p w:rsidR="00A66746" w:rsidRPr="0064689C" w:rsidRDefault="00A66746" w:rsidP="00C05792">
            <w:pPr>
              <w:widowControl w:val="0"/>
              <w:jc w:val="both"/>
              <w:rPr>
                <w:b/>
                <w:sz w:val="20"/>
                <w:szCs w:val="20"/>
                <w:u w:val="single"/>
                <w:lang w:val="fr-CA"/>
              </w:rPr>
            </w:pPr>
            <w:r w:rsidRPr="0064689C">
              <w:rPr>
                <w:b/>
                <w:sz w:val="20"/>
                <w:szCs w:val="20"/>
                <w:u w:val="single"/>
                <w:lang w:val="fr-CA"/>
              </w:rPr>
              <w:t>Nature de la cause :</w:t>
            </w:r>
          </w:p>
          <w:p w:rsidR="00A66746" w:rsidRPr="0064689C" w:rsidRDefault="00A66746" w:rsidP="00C05792">
            <w:pPr>
              <w:widowControl w:val="0"/>
              <w:jc w:val="both"/>
              <w:rPr>
                <w:sz w:val="20"/>
                <w:szCs w:val="20"/>
                <w:lang w:val="fr-CA"/>
              </w:rPr>
            </w:pPr>
          </w:p>
          <w:p w:rsidR="00A66746" w:rsidRPr="0064689C" w:rsidRDefault="0064689C" w:rsidP="00C05792">
            <w:pPr>
              <w:widowControl w:val="0"/>
              <w:jc w:val="both"/>
              <w:rPr>
                <w:sz w:val="20"/>
                <w:szCs w:val="20"/>
                <w:lang w:val="fr-CA"/>
              </w:rPr>
            </w:pPr>
            <w:r w:rsidRPr="00AE0C8F">
              <w:rPr>
                <w:i/>
                <w:sz w:val="20"/>
                <w:szCs w:val="20"/>
                <w:lang w:val="fr-CA"/>
              </w:rPr>
              <w:t xml:space="preserve">Charte des droits et libertés </w:t>
            </w:r>
            <w:r w:rsidRPr="00AE0C8F">
              <w:rPr>
                <w:sz w:val="20"/>
                <w:szCs w:val="20"/>
                <w:lang w:val="fr-CA"/>
              </w:rPr>
              <w:noBreakHyphen/>
              <w:t xml:space="preserve"> Sécurité de la personne </w:t>
            </w:r>
            <w:r w:rsidRPr="00AE0C8F">
              <w:rPr>
                <w:sz w:val="20"/>
                <w:szCs w:val="20"/>
                <w:lang w:val="fr-CA"/>
              </w:rPr>
              <w:noBreakHyphen/>
              <w:t xml:space="preserve"> Liberté d’expression </w:t>
            </w:r>
            <w:r w:rsidRPr="00AE0C8F">
              <w:rPr>
                <w:sz w:val="20"/>
                <w:szCs w:val="20"/>
                <w:lang w:val="fr-CA"/>
              </w:rPr>
              <w:noBreakHyphen/>
              <w:t xml:space="preserve"> Droit criminel </w:t>
            </w:r>
            <w:r w:rsidRPr="00AE0C8F">
              <w:rPr>
                <w:sz w:val="20"/>
                <w:szCs w:val="20"/>
                <w:lang w:val="fr-CA"/>
              </w:rPr>
              <w:noBreakHyphen/>
              <w:t xml:space="preserve"> Prostitution </w:t>
            </w:r>
            <w:r w:rsidRPr="00AE0C8F">
              <w:rPr>
                <w:sz w:val="20"/>
                <w:szCs w:val="20"/>
                <w:lang w:val="fr-CA"/>
              </w:rPr>
              <w:noBreakHyphen/>
              <w:t xml:space="preserve"> L’art. 210 du </w:t>
            </w:r>
            <w:r w:rsidRPr="00AE0C8F">
              <w:rPr>
                <w:i/>
                <w:sz w:val="20"/>
                <w:szCs w:val="20"/>
                <w:lang w:val="fr-CA"/>
              </w:rPr>
              <w:t>Code criminel</w:t>
            </w:r>
            <w:r w:rsidRPr="00AE0C8F">
              <w:rPr>
                <w:sz w:val="20"/>
                <w:szCs w:val="20"/>
                <w:lang w:val="fr-CA"/>
              </w:rPr>
              <w:t>, L.R.C. 1985, ch. C</w:t>
            </w:r>
            <w:r w:rsidRPr="00AE0C8F">
              <w:rPr>
                <w:sz w:val="20"/>
                <w:szCs w:val="20"/>
                <w:lang w:val="fr-CA"/>
              </w:rPr>
              <w:noBreakHyphen/>
              <w:t>46, applicable aux maisons de débauche tenues, occupées ou fréquentées à des fins de prostitution, viole</w:t>
            </w:r>
            <w:r w:rsidRPr="00AE0C8F">
              <w:rPr>
                <w:sz w:val="20"/>
                <w:szCs w:val="20"/>
                <w:lang w:val="fr-CA"/>
              </w:rPr>
              <w:noBreakHyphen/>
              <w:t>t</w:t>
            </w:r>
            <w:r w:rsidRPr="00AE0C8F">
              <w:rPr>
                <w:sz w:val="20"/>
                <w:szCs w:val="20"/>
                <w:lang w:val="fr-CA"/>
              </w:rPr>
              <w:noBreakHyphen/>
              <w:t xml:space="preserve">il l’art. 7 de la </w:t>
            </w:r>
            <w:r w:rsidRPr="00AE0C8F">
              <w:rPr>
                <w:i/>
                <w:sz w:val="20"/>
                <w:szCs w:val="20"/>
                <w:lang w:val="fr-CA"/>
              </w:rPr>
              <w:t>Charte canadienne des droits et libertés</w:t>
            </w:r>
            <w:r w:rsidRPr="00AE0C8F">
              <w:rPr>
                <w:sz w:val="20"/>
                <w:szCs w:val="20"/>
                <w:lang w:val="fr-CA"/>
              </w:rPr>
              <w:t xml:space="preserve">? </w:t>
            </w:r>
            <w:r w:rsidRPr="00AE0C8F">
              <w:rPr>
                <w:sz w:val="20"/>
                <w:szCs w:val="20"/>
                <w:lang w:val="fr-CA"/>
              </w:rPr>
              <w:noBreakHyphen/>
              <w:t xml:space="preserve"> Dans l’affirmative, cette violation constitue</w:t>
            </w:r>
            <w:r w:rsidRPr="00AE0C8F">
              <w:rPr>
                <w:sz w:val="20"/>
                <w:szCs w:val="20"/>
                <w:lang w:val="fr-CA"/>
              </w:rPr>
              <w:noBreakHyphen/>
              <w:t>t</w:t>
            </w:r>
            <w:r w:rsidRPr="00AE0C8F">
              <w:rPr>
                <w:sz w:val="20"/>
                <w:szCs w:val="20"/>
                <w:lang w:val="fr-CA"/>
              </w:rPr>
              <w:noBreakHyphen/>
              <w:t>elle une limite raisonnable prescrite par une règle de droit et dont la justification peut se démontrer dans le cadre d’une société libre et démocratique, au sens de l’article premier de la </w:t>
            </w:r>
            <w:r w:rsidRPr="00AE0C8F">
              <w:rPr>
                <w:i/>
                <w:iCs/>
                <w:sz w:val="20"/>
                <w:szCs w:val="20"/>
                <w:lang w:val="fr-CA"/>
              </w:rPr>
              <w:t>Charte canadienne des droits et libertés</w:t>
            </w:r>
            <w:r w:rsidRPr="00AE0C8F">
              <w:rPr>
                <w:sz w:val="20"/>
                <w:szCs w:val="20"/>
                <w:lang w:val="fr-CA"/>
              </w:rPr>
              <w:t xml:space="preserve">? </w:t>
            </w:r>
            <w:r w:rsidRPr="00AE0C8F">
              <w:rPr>
                <w:sz w:val="20"/>
                <w:szCs w:val="20"/>
                <w:lang w:val="fr-CA"/>
              </w:rPr>
              <w:noBreakHyphen/>
              <w:t xml:space="preserve"> L’al. 212(1)</w:t>
            </w:r>
            <w:r w:rsidRPr="00AE0C8F">
              <w:rPr>
                <w:i/>
                <w:sz w:val="20"/>
                <w:szCs w:val="20"/>
                <w:lang w:val="fr-CA"/>
              </w:rPr>
              <w:t>j)</w:t>
            </w:r>
            <w:r w:rsidRPr="00AE0C8F">
              <w:rPr>
                <w:sz w:val="20"/>
                <w:szCs w:val="20"/>
                <w:lang w:val="fr-CA"/>
              </w:rPr>
              <w:t xml:space="preserve"> du </w:t>
            </w:r>
            <w:r w:rsidRPr="00AE0C8F">
              <w:rPr>
                <w:i/>
                <w:sz w:val="20"/>
                <w:szCs w:val="20"/>
                <w:lang w:val="fr-CA"/>
              </w:rPr>
              <w:t>Code criminel</w:t>
            </w:r>
            <w:r w:rsidRPr="00AE0C8F">
              <w:rPr>
                <w:sz w:val="20"/>
                <w:szCs w:val="20"/>
                <w:lang w:val="fr-CA"/>
              </w:rPr>
              <w:t>, L.R.C. 1985, ch. C</w:t>
            </w:r>
            <w:r w:rsidRPr="00AE0C8F">
              <w:rPr>
                <w:sz w:val="20"/>
                <w:szCs w:val="20"/>
                <w:lang w:val="fr-CA"/>
              </w:rPr>
              <w:noBreakHyphen/>
              <w:t>46, viole</w:t>
            </w:r>
            <w:r w:rsidRPr="00AE0C8F">
              <w:rPr>
                <w:sz w:val="20"/>
                <w:szCs w:val="20"/>
                <w:lang w:val="fr-CA"/>
              </w:rPr>
              <w:noBreakHyphen/>
              <w:t>t</w:t>
            </w:r>
            <w:r w:rsidRPr="00AE0C8F">
              <w:rPr>
                <w:sz w:val="20"/>
                <w:szCs w:val="20"/>
                <w:lang w:val="fr-CA"/>
              </w:rPr>
              <w:noBreakHyphen/>
              <w:t xml:space="preserve">il l’art. 7 de la </w:t>
            </w:r>
            <w:r w:rsidRPr="00AE0C8F">
              <w:rPr>
                <w:i/>
                <w:sz w:val="20"/>
                <w:szCs w:val="20"/>
                <w:lang w:val="fr-CA"/>
              </w:rPr>
              <w:t>Charte canadienne des droits et libertés</w:t>
            </w:r>
            <w:r w:rsidRPr="00AE0C8F">
              <w:rPr>
                <w:sz w:val="20"/>
                <w:szCs w:val="20"/>
                <w:lang w:val="fr-CA"/>
              </w:rPr>
              <w:t xml:space="preserve">? </w:t>
            </w:r>
            <w:r w:rsidRPr="00AE0C8F">
              <w:rPr>
                <w:sz w:val="20"/>
                <w:szCs w:val="20"/>
                <w:lang w:val="fr-CA"/>
              </w:rPr>
              <w:noBreakHyphen/>
              <w:t xml:space="preserve"> Dans l’affirmative, cette violation constitue</w:t>
            </w:r>
            <w:r w:rsidRPr="00AE0C8F">
              <w:rPr>
                <w:sz w:val="20"/>
                <w:szCs w:val="20"/>
                <w:lang w:val="fr-CA"/>
              </w:rPr>
              <w:noBreakHyphen/>
              <w:t>t</w:t>
            </w:r>
            <w:r w:rsidRPr="00AE0C8F">
              <w:rPr>
                <w:sz w:val="20"/>
                <w:szCs w:val="20"/>
                <w:lang w:val="fr-CA"/>
              </w:rPr>
              <w:noBreakHyphen/>
              <w:t>elle une limite raisonnable prescrite par une règle de droit et dont la justification peut se démontrer dans le cadre d’une société libre et démocratique, au sens de l’article premier de la </w:t>
            </w:r>
            <w:r w:rsidRPr="00AE0C8F">
              <w:rPr>
                <w:i/>
                <w:iCs/>
                <w:sz w:val="20"/>
                <w:szCs w:val="20"/>
                <w:lang w:val="fr-CA"/>
              </w:rPr>
              <w:t>Charte canadienne des droits et libertés</w:t>
            </w:r>
            <w:r w:rsidRPr="00AE0C8F">
              <w:rPr>
                <w:sz w:val="20"/>
                <w:szCs w:val="20"/>
                <w:lang w:val="fr-CA"/>
              </w:rPr>
              <w:t xml:space="preserve">? </w:t>
            </w:r>
            <w:r w:rsidRPr="00AE0C8F">
              <w:rPr>
                <w:sz w:val="20"/>
                <w:szCs w:val="20"/>
                <w:lang w:val="fr-CA"/>
              </w:rPr>
              <w:noBreakHyphen/>
              <w:t xml:space="preserve"> L’al. 213(1)</w:t>
            </w:r>
            <w:r w:rsidRPr="00AE0C8F">
              <w:rPr>
                <w:i/>
                <w:sz w:val="20"/>
                <w:szCs w:val="20"/>
                <w:lang w:val="fr-CA"/>
              </w:rPr>
              <w:t>c)</w:t>
            </w:r>
            <w:r w:rsidRPr="00AE0C8F">
              <w:rPr>
                <w:sz w:val="20"/>
                <w:szCs w:val="20"/>
                <w:lang w:val="fr-CA"/>
              </w:rPr>
              <w:t xml:space="preserve"> du </w:t>
            </w:r>
            <w:r w:rsidRPr="00AE0C8F">
              <w:rPr>
                <w:i/>
                <w:sz w:val="20"/>
                <w:szCs w:val="20"/>
                <w:lang w:val="fr-CA"/>
              </w:rPr>
              <w:t>Code criminel</w:t>
            </w:r>
            <w:r w:rsidRPr="00AE0C8F">
              <w:rPr>
                <w:sz w:val="20"/>
                <w:szCs w:val="20"/>
                <w:lang w:val="fr-CA"/>
              </w:rPr>
              <w:t>, L.R.C. 1985, ch. C</w:t>
            </w:r>
            <w:r w:rsidRPr="00AE0C8F">
              <w:rPr>
                <w:sz w:val="20"/>
                <w:szCs w:val="20"/>
                <w:lang w:val="fr-CA"/>
              </w:rPr>
              <w:noBreakHyphen/>
              <w:t>46, viole</w:t>
            </w:r>
            <w:r w:rsidRPr="00AE0C8F">
              <w:rPr>
                <w:sz w:val="20"/>
                <w:szCs w:val="20"/>
                <w:lang w:val="fr-CA"/>
              </w:rPr>
              <w:noBreakHyphen/>
              <w:t>t</w:t>
            </w:r>
            <w:r w:rsidRPr="00AE0C8F">
              <w:rPr>
                <w:sz w:val="20"/>
                <w:szCs w:val="20"/>
                <w:lang w:val="fr-CA"/>
              </w:rPr>
              <w:noBreakHyphen/>
              <w:t xml:space="preserve">il l’art. 7 de la </w:t>
            </w:r>
            <w:r w:rsidRPr="00AE0C8F">
              <w:rPr>
                <w:i/>
                <w:sz w:val="20"/>
                <w:szCs w:val="20"/>
                <w:lang w:val="fr-CA"/>
              </w:rPr>
              <w:t>Charte canadienne des droits et libertés</w:t>
            </w:r>
            <w:r w:rsidRPr="00AE0C8F">
              <w:rPr>
                <w:sz w:val="20"/>
                <w:szCs w:val="20"/>
                <w:lang w:val="fr-CA"/>
              </w:rPr>
              <w:t xml:space="preserve">? </w:t>
            </w:r>
            <w:r w:rsidRPr="00AE0C8F">
              <w:rPr>
                <w:sz w:val="20"/>
                <w:szCs w:val="20"/>
                <w:lang w:val="fr-CA"/>
              </w:rPr>
              <w:noBreakHyphen/>
              <w:t xml:space="preserve"> Dans l’affirmative, cette violation constitue</w:t>
            </w:r>
            <w:r w:rsidRPr="00AE0C8F">
              <w:rPr>
                <w:sz w:val="20"/>
                <w:szCs w:val="20"/>
                <w:lang w:val="fr-CA"/>
              </w:rPr>
              <w:noBreakHyphen/>
              <w:t>t</w:t>
            </w:r>
            <w:r w:rsidRPr="00AE0C8F">
              <w:rPr>
                <w:sz w:val="20"/>
                <w:szCs w:val="20"/>
                <w:lang w:val="fr-CA"/>
              </w:rPr>
              <w:noBreakHyphen/>
              <w:t>elle une limite raisonnable prescrite par une règle de droit et dont la justification peut se démontrer dans le cadre d’une société libre et démocratique, au sens de l’article premier de la </w:t>
            </w:r>
            <w:r w:rsidRPr="00AE0C8F">
              <w:rPr>
                <w:i/>
                <w:iCs/>
                <w:sz w:val="20"/>
                <w:szCs w:val="20"/>
                <w:lang w:val="fr-CA"/>
              </w:rPr>
              <w:t>Charte canadienne des droits et libertés</w:t>
            </w:r>
            <w:r w:rsidRPr="00AE0C8F">
              <w:rPr>
                <w:sz w:val="20"/>
                <w:szCs w:val="20"/>
                <w:lang w:val="fr-CA"/>
              </w:rPr>
              <w:t xml:space="preserve">? </w:t>
            </w:r>
            <w:r w:rsidRPr="00AE0C8F">
              <w:rPr>
                <w:sz w:val="20"/>
                <w:szCs w:val="20"/>
                <w:lang w:val="fr-CA"/>
              </w:rPr>
              <w:noBreakHyphen/>
              <w:t xml:space="preserve"> L’al. 213(1)</w:t>
            </w:r>
            <w:r w:rsidRPr="00AE0C8F">
              <w:rPr>
                <w:i/>
                <w:sz w:val="20"/>
                <w:szCs w:val="20"/>
                <w:lang w:val="fr-CA"/>
              </w:rPr>
              <w:t>c)</w:t>
            </w:r>
            <w:r w:rsidRPr="00AE0C8F">
              <w:rPr>
                <w:sz w:val="20"/>
                <w:szCs w:val="20"/>
                <w:lang w:val="fr-CA"/>
              </w:rPr>
              <w:t xml:space="preserve"> du </w:t>
            </w:r>
            <w:r w:rsidRPr="00AE0C8F">
              <w:rPr>
                <w:i/>
                <w:sz w:val="20"/>
                <w:szCs w:val="20"/>
                <w:lang w:val="fr-CA"/>
              </w:rPr>
              <w:t>Code criminel</w:t>
            </w:r>
            <w:r w:rsidRPr="00AE0C8F">
              <w:rPr>
                <w:sz w:val="20"/>
                <w:szCs w:val="20"/>
                <w:lang w:val="fr-CA"/>
              </w:rPr>
              <w:t>, L.R.C. 1985, ch. C</w:t>
            </w:r>
            <w:r w:rsidRPr="00AE0C8F">
              <w:rPr>
                <w:sz w:val="20"/>
                <w:szCs w:val="20"/>
                <w:lang w:val="fr-CA"/>
              </w:rPr>
              <w:noBreakHyphen/>
              <w:t>46, viole</w:t>
            </w:r>
            <w:r w:rsidRPr="00AE0C8F">
              <w:rPr>
                <w:sz w:val="20"/>
                <w:szCs w:val="20"/>
                <w:lang w:val="fr-CA"/>
              </w:rPr>
              <w:noBreakHyphen/>
              <w:t>t</w:t>
            </w:r>
            <w:r w:rsidRPr="00AE0C8F">
              <w:rPr>
                <w:sz w:val="20"/>
                <w:szCs w:val="20"/>
                <w:lang w:val="fr-CA"/>
              </w:rPr>
              <w:noBreakHyphen/>
              <w:t>il l’al. 2</w:t>
            </w:r>
            <w:r w:rsidRPr="00AE0C8F">
              <w:rPr>
                <w:i/>
                <w:sz w:val="20"/>
                <w:szCs w:val="20"/>
                <w:lang w:val="fr-CA"/>
              </w:rPr>
              <w:t>b)</w:t>
            </w:r>
            <w:r w:rsidRPr="00AE0C8F">
              <w:rPr>
                <w:sz w:val="20"/>
                <w:szCs w:val="20"/>
                <w:lang w:val="fr-CA"/>
              </w:rPr>
              <w:t xml:space="preserve"> de la </w:t>
            </w:r>
            <w:r w:rsidRPr="00AE0C8F">
              <w:rPr>
                <w:i/>
                <w:sz w:val="20"/>
                <w:szCs w:val="20"/>
                <w:lang w:val="fr-CA"/>
              </w:rPr>
              <w:t>Charte canadienne des droits et libertés</w:t>
            </w:r>
            <w:r w:rsidRPr="00AE0C8F">
              <w:rPr>
                <w:sz w:val="20"/>
                <w:szCs w:val="20"/>
                <w:lang w:val="fr-CA"/>
              </w:rPr>
              <w:t xml:space="preserve">? </w:t>
            </w:r>
            <w:r w:rsidRPr="00AE0C8F">
              <w:rPr>
                <w:sz w:val="20"/>
                <w:szCs w:val="20"/>
                <w:lang w:val="fr-CA"/>
              </w:rPr>
              <w:noBreakHyphen/>
              <w:t xml:space="preserve"> Dans l’affirmative, cette violation constitue</w:t>
            </w:r>
            <w:r w:rsidRPr="00AE0C8F">
              <w:rPr>
                <w:sz w:val="20"/>
                <w:szCs w:val="20"/>
                <w:lang w:val="fr-CA"/>
              </w:rPr>
              <w:noBreakHyphen/>
              <w:t>t</w:t>
            </w:r>
            <w:r w:rsidRPr="00AE0C8F">
              <w:rPr>
                <w:sz w:val="20"/>
                <w:szCs w:val="20"/>
                <w:lang w:val="fr-CA"/>
              </w:rPr>
              <w:noBreakHyphen/>
              <w:t>elle une limite raisonnable prescrite par une règle de droit et dont la justification peut se démontrer dans le cadre d’une société libre et démocratique, au sens de l’article premier de la </w:t>
            </w:r>
            <w:r w:rsidRPr="00AE0C8F">
              <w:rPr>
                <w:i/>
                <w:iCs/>
                <w:sz w:val="20"/>
                <w:szCs w:val="20"/>
                <w:lang w:val="fr-CA"/>
              </w:rPr>
              <w:t>Charte canadienne des droits et libertés</w:t>
            </w:r>
            <w:r w:rsidRPr="00AE0C8F">
              <w:rPr>
                <w:sz w:val="20"/>
                <w:szCs w:val="20"/>
                <w:lang w:val="fr-CA"/>
              </w:rPr>
              <w:t>?</w:t>
            </w:r>
          </w:p>
        </w:tc>
      </w:tr>
    </w:tbl>
    <w:p w:rsidR="00A66746" w:rsidRPr="0064689C" w:rsidRDefault="00A66746" w:rsidP="00A66746">
      <w:pPr>
        <w:widowControl w:val="0"/>
        <w:rPr>
          <w:sz w:val="20"/>
          <w:szCs w:val="20"/>
          <w:lang w:val="fr-CA"/>
        </w:rPr>
      </w:pPr>
    </w:p>
    <w:p w:rsidR="00A66746" w:rsidRDefault="00B3404D" w:rsidP="00A66746">
      <w:pPr>
        <w:widowControl w:val="0"/>
        <w:rPr>
          <w:sz w:val="20"/>
          <w:szCs w:val="20"/>
        </w:rPr>
      </w:pPr>
      <w:r w:rsidRPr="00B3404D">
        <w:rPr>
          <w:sz w:val="20"/>
          <w:szCs w:val="20"/>
          <w:lang w:val="fr-CA"/>
        </w:rPr>
        <w:pict>
          <v:rect id="_x0000_i1108" style="width:2in;height:1pt" o:hrpct="0" o:hralign="center" o:hrstd="t" o:hrnoshade="t" o:hr="t" fillcolor="black [3213]" stroked="f"/>
        </w:pict>
      </w:r>
    </w:p>
    <w:p w:rsidR="00A66746" w:rsidRDefault="00A66746" w:rsidP="00A66746">
      <w:pPr>
        <w:widowControl w:val="0"/>
        <w:rPr>
          <w:sz w:val="20"/>
          <w:szCs w:val="20"/>
        </w:rPr>
      </w:pPr>
    </w:p>
    <w:p w:rsidR="00A66746" w:rsidRDefault="00A66746" w:rsidP="002A27D1">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D41BFD"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757AEB" w:rsidP="00AF1715">
      <w:pPr>
        <w:rPr>
          <w:b/>
          <w:sz w:val="20"/>
          <w:szCs w:val="20"/>
        </w:rPr>
      </w:pPr>
      <w:r>
        <w:rPr>
          <w:b/>
          <w:sz w:val="20"/>
          <w:szCs w:val="20"/>
        </w:rPr>
        <w:t>JUNE 13</w:t>
      </w:r>
      <w:r w:rsidR="00AF1715" w:rsidRPr="003B3977">
        <w:rPr>
          <w:b/>
          <w:sz w:val="20"/>
          <w:szCs w:val="20"/>
        </w:rPr>
        <w:t>, 201</w:t>
      </w:r>
      <w:r>
        <w:rPr>
          <w:b/>
          <w:sz w:val="20"/>
          <w:szCs w:val="20"/>
        </w:rPr>
        <w:t>3</w:t>
      </w:r>
      <w:r w:rsidR="00AF1715" w:rsidRPr="003B3977">
        <w:rPr>
          <w:b/>
          <w:sz w:val="20"/>
          <w:szCs w:val="20"/>
        </w:rPr>
        <w:t xml:space="preserve"> / LE </w:t>
      </w:r>
      <w:r>
        <w:rPr>
          <w:b/>
          <w:sz w:val="20"/>
          <w:szCs w:val="20"/>
        </w:rPr>
        <w:t>13 JUIN</w:t>
      </w:r>
      <w:r w:rsidR="00AF1715" w:rsidRPr="003B3977">
        <w:rPr>
          <w:b/>
          <w:sz w:val="20"/>
          <w:szCs w:val="20"/>
        </w:rPr>
        <w:t xml:space="preserve"> 201</w:t>
      </w:r>
      <w:r>
        <w:rPr>
          <w:b/>
          <w:sz w:val="20"/>
          <w:szCs w:val="20"/>
        </w:rPr>
        <w:t>3</w:t>
      </w:r>
    </w:p>
    <w:p w:rsidR="00AF1715" w:rsidRDefault="00AF1715" w:rsidP="00AF1715">
      <w:pPr>
        <w:rPr>
          <w:sz w:val="20"/>
          <w:szCs w:val="20"/>
        </w:rPr>
      </w:pPr>
    </w:p>
    <w:p w:rsidR="0027418D" w:rsidRPr="00C5495C" w:rsidRDefault="00B3404D" w:rsidP="0027418D">
      <w:pPr>
        <w:ind w:left="1440" w:hanging="1440"/>
        <w:jc w:val="both"/>
        <w:rPr>
          <w:sz w:val="20"/>
          <w:szCs w:val="20"/>
        </w:rPr>
      </w:pPr>
      <w:r w:rsidRPr="00C5495C">
        <w:rPr>
          <w:b/>
          <w:sz w:val="20"/>
          <w:szCs w:val="20"/>
        </w:rPr>
        <w:fldChar w:fldCharType="begin"/>
      </w:r>
      <w:r w:rsidR="0027418D" w:rsidRPr="00C5495C">
        <w:rPr>
          <w:b/>
          <w:sz w:val="20"/>
          <w:szCs w:val="20"/>
        </w:rPr>
        <w:instrText xml:space="preserve"> SEQ CHAPTER \h \r 1</w:instrText>
      </w:r>
      <w:r w:rsidRPr="00C5495C">
        <w:rPr>
          <w:b/>
          <w:sz w:val="20"/>
          <w:szCs w:val="20"/>
        </w:rPr>
        <w:fldChar w:fldCharType="end"/>
      </w:r>
      <w:r w:rsidR="0027418D" w:rsidRPr="00C5495C">
        <w:rPr>
          <w:b/>
          <w:sz w:val="20"/>
          <w:szCs w:val="20"/>
        </w:rPr>
        <w:t>34510</w:t>
      </w:r>
      <w:r w:rsidR="0027418D" w:rsidRPr="00C5495C">
        <w:rPr>
          <w:sz w:val="20"/>
          <w:szCs w:val="20"/>
        </w:rPr>
        <w:tab/>
      </w:r>
      <w:r w:rsidR="0027418D" w:rsidRPr="00C5495C">
        <w:rPr>
          <w:b/>
          <w:sz w:val="20"/>
          <w:szCs w:val="20"/>
          <w:u w:val="single"/>
        </w:rPr>
        <w:t>Edward Sumio Nishi v. Rascal Trucking Ltd.</w:t>
      </w:r>
      <w:r w:rsidR="0027418D" w:rsidRPr="00C5495C">
        <w:rPr>
          <w:b/>
          <w:sz w:val="20"/>
          <w:szCs w:val="20"/>
        </w:rPr>
        <w:t xml:space="preserve"> </w:t>
      </w:r>
      <w:r w:rsidR="0027418D" w:rsidRPr="00C5495C">
        <w:rPr>
          <w:iCs/>
          <w:sz w:val="20"/>
          <w:szCs w:val="20"/>
        </w:rPr>
        <w:t>(B.C.)</w:t>
      </w:r>
    </w:p>
    <w:p w:rsidR="0027418D" w:rsidRPr="00C5495C" w:rsidRDefault="0027418D" w:rsidP="0027418D">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C5495C">
        <w:rPr>
          <w:b/>
          <w:sz w:val="20"/>
          <w:szCs w:val="20"/>
        </w:rPr>
        <w:t>2013 SCC 33 / 2013 CSC 33</w:t>
      </w:r>
    </w:p>
    <w:p w:rsidR="0027418D" w:rsidRPr="00C5495C" w:rsidRDefault="0027418D" w:rsidP="0027418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27418D" w:rsidRPr="00C5495C" w:rsidRDefault="0027418D" w:rsidP="0027418D">
      <w:pPr>
        <w:ind w:left="1440" w:hanging="1440"/>
        <w:rPr>
          <w:sz w:val="20"/>
          <w:szCs w:val="20"/>
          <w:u w:val="single"/>
        </w:rPr>
      </w:pPr>
      <w:r w:rsidRPr="00C5495C">
        <w:rPr>
          <w:sz w:val="20"/>
          <w:szCs w:val="20"/>
        </w:rPr>
        <w:t>Coram:</w:t>
      </w:r>
      <w:r w:rsidRPr="00C5495C">
        <w:rPr>
          <w:sz w:val="20"/>
          <w:szCs w:val="20"/>
        </w:rPr>
        <w:tab/>
      </w:r>
      <w:r w:rsidRPr="00C5495C">
        <w:rPr>
          <w:sz w:val="20"/>
          <w:szCs w:val="20"/>
          <w:u w:val="single"/>
        </w:rPr>
        <w:t>McLachlin C.J. and LeBel, Abella, Rothstein, Cromwell, Karakatsanis and Wagner JJ.</w:t>
      </w:r>
    </w:p>
    <w:p w:rsidR="0027418D" w:rsidRPr="00C5495C" w:rsidRDefault="0027418D" w:rsidP="0027418D">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szCs w:val="20"/>
          <w:u w:val="single"/>
        </w:rPr>
      </w:pPr>
    </w:p>
    <w:p w:rsidR="0027418D" w:rsidRPr="00C5495C" w:rsidRDefault="0027418D" w:rsidP="0027418D">
      <w:pPr>
        <w:jc w:val="both"/>
        <w:rPr>
          <w:sz w:val="20"/>
          <w:szCs w:val="20"/>
        </w:rPr>
      </w:pPr>
      <w:r w:rsidRPr="00C5495C">
        <w:rPr>
          <w:sz w:val="20"/>
          <w:szCs w:val="20"/>
        </w:rPr>
        <w:t xml:space="preserve">The appeal from the judgment of the Court of Appeal for British Columbia (Vancouver), Number CA038118, 2011 BCCA 348, dated August 17, 2011, heard on January 16, 2013, is allowed with costs throughout, and the decision of the trial judge is restored. </w:t>
      </w:r>
    </w:p>
    <w:p w:rsidR="0027418D" w:rsidRPr="00C5495C" w:rsidRDefault="0027418D" w:rsidP="0027418D">
      <w:pPr>
        <w:jc w:val="both"/>
        <w:rPr>
          <w:sz w:val="20"/>
          <w:szCs w:val="20"/>
        </w:rPr>
      </w:pPr>
    </w:p>
    <w:p w:rsidR="0027418D" w:rsidRPr="00C5495C" w:rsidRDefault="0027418D" w:rsidP="0027418D">
      <w:pPr>
        <w:jc w:val="both"/>
        <w:rPr>
          <w:sz w:val="20"/>
          <w:szCs w:val="20"/>
          <w:lang w:val="fr-CA"/>
        </w:rPr>
      </w:pPr>
      <w:r w:rsidRPr="00C5495C">
        <w:rPr>
          <w:sz w:val="20"/>
          <w:szCs w:val="20"/>
          <w:lang w:val="fr-CA"/>
        </w:rPr>
        <w:t xml:space="preserve">L’appel interjeté contre l’arrêt de la Cour d’appel de la Colombie-Britannique (Vancouver), numéro CA038118, 2011 BCCA 348, en date du 17 août 2011, entendu le 16 janvier 2013, est accueilli avec dépens devant toutes les cours, et la décision du juge de première instance est rétablie. </w:t>
      </w:r>
    </w:p>
    <w:p w:rsidR="00757AEB" w:rsidRPr="0027418D" w:rsidRDefault="00757AEB" w:rsidP="00AF1715">
      <w:pPr>
        <w:rPr>
          <w:sz w:val="20"/>
          <w:szCs w:val="20"/>
          <w:lang w:val="fr-CA"/>
        </w:rPr>
      </w:pPr>
    </w:p>
    <w:p w:rsidR="00AF1715" w:rsidRPr="003B3977" w:rsidRDefault="00B3404D" w:rsidP="00AF1715">
      <w:pPr>
        <w:spacing w:line="0" w:lineRule="atLeast"/>
        <w:rPr>
          <w:sz w:val="20"/>
          <w:szCs w:val="20"/>
        </w:rPr>
      </w:pPr>
      <w:r w:rsidRPr="00B3404D">
        <w:rPr>
          <w:b/>
          <w:sz w:val="20"/>
          <w:szCs w:val="20"/>
        </w:rPr>
        <w:pict>
          <v:rect id="_x0000_i1111"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757AEB" w:rsidRPr="00B97980" w:rsidRDefault="00757AEB" w:rsidP="00757AEB">
      <w:pPr>
        <w:rPr>
          <w:b/>
          <w:sz w:val="20"/>
          <w:szCs w:val="20"/>
        </w:rPr>
      </w:pPr>
      <w:r w:rsidRPr="00B97980">
        <w:rPr>
          <w:b/>
          <w:sz w:val="20"/>
          <w:szCs w:val="20"/>
        </w:rPr>
        <w:t>JUNE 14, 2013 / LE 14 JUIN 2013</w:t>
      </w:r>
    </w:p>
    <w:p w:rsidR="00D004FC" w:rsidRPr="00B97980" w:rsidRDefault="00D004FC" w:rsidP="00D004FC">
      <w:pPr>
        <w:spacing w:line="0" w:lineRule="atLeast"/>
        <w:rPr>
          <w:rFonts w:cs="Times New Roman"/>
          <w:sz w:val="20"/>
          <w:szCs w:val="20"/>
        </w:rPr>
      </w:pPr>
    </w:p>
    <w:p w:rsidR="005D5387" w:rsidRPr="0058586F" w:rsidRDefault="00B3404D" w:rsidP="005D5387">
      <w:pPr>
        <w:ind w:left="1440" w:hanging="1440"/>
        <w:jc w:val="both"/>
        <w:rPr>
          <w:sz w:val="20"/>
          <w:szCs w:val="20"/>
        </w:rPr>
      </w:pPr>
      <w:r w:rsidRPr="0058586F">
        <w:rPr>
          <w:b/>
          <w:sz w:val="20"/>
          <w:szCs w:val="20"/>
        </w:rPr>
        <w:fldChar w:fldCharType="begin"/>
      </w:r>
      <w:r w:rsidR="005D5387" w:rsidRPr="0058586F">
        <w:rPr>
          <w:b/>
          <w:sz w:val="20"/>
          <w:szCs w:val="20"/>
        </w:rPr>
        <w:instrText xml:space="preserve"> SEQ CHAPTER \h \r 1</w:instrText>
      </w:r>
      <w:r w:rsidRPr="0058586F">
        <w:rPr>
          <w:b/>
          <w:sz w:val="20"/>
          <w:szCs w:val="20"/>
        </w:rPr>
        <w:fldChar w:fldCharType="end"/>
      </w:r>
      <w:r w:rsidR="005D5387" w:rsidRPr="0058586F">
        <w:rPr>
          <w:b/>
          <w:sz w:val="20"/>
          <w:szCs w:val="20"/>
        </w:rPr>
        <w:t>34473</w:t>
      </w:r>
      <w:r w:rsidR="005D5387">
        <w:rPr>
          <w:b/>
          <w:sz w:val="20"/>
        </w:rPr>
        <w:tab/>
      </w:r>
      <w:r w:rsidR="005D5387" w:rsidRPr="0058586F">
        <w:rPr>
          <w:b/>
          <w:sz w:val="20"/>
          <w:szCs w:val="20"/>
          <w:u w:val="single"/>
        </w:rPr>
        <w:t>Communications, Energy and Paperworkers Union of Canada, Local 30 v. Irving Pulp &amp; Paper, Limited – and – Construction Owners Association of Alberta, Construction Labour Relations - an Alberta Association, Enform, Canadian National Railway Company, Canadian Pacific Railway Company, Via Rail Canada Inc., Alberta Federation of Labour, Communications, Energy and Paperworkers Union of Canada, Local 707, Canadian Civil Liberties Association, Alliance of Manufacturers &amp; Exporters of Canada, carrying on business as Canadian Manufacturers &amp; Exporters, Canadian Mining Association, Mining Association of British Columbia, Mining Association of Manitoba Inc., Québec Mining Association, Ontario Mining Association, Saskatchewan Mining Association and Power Workers’ Union</w:t>
      </w:r>
      <w:r w:rsidR="005D5387" w:rsidRPr="0058586F">
        <w:rPr>
          <w:b/>
          <w:sz w:val="20"/>
          <w:szCs w:val="20"/>
        </w:rPr>
        <w:t xml:space="preserve"> </w:t>
      </w:r>
      <w:r w:rsidR="005D5387" w:rsidRPr="0058586F">
        <w:rPr>
          <w:iCs/>
          <w:sz w:val="20"/>
          <w:szCs w:val="20"/>
        </w:rPr>
        <w:t>(N.B.)</w:t>
      </w:r>
    </w:p>
    <w:p w:rsidR="005D5387" w:rsidRPr="0058586F" w:rsidRDefault="005D5387" w:rsidP="005D5387">
      <w:pPr>
        <w:ind w:left="1440"/>
        <w:jc w:val="both"/>
        <w:rPr>
          <w:sz w:val="20"/>
          <w:szCs w:val="20"/>
        </w:rPr>
      </w:pPr>
      <w:r w:rsidRPr="0058586F">
        <w:rPr>
          <w:b/>
          <w:sz w:val="20"/>
          <w:szCs w:val="20"/>
        </w:rPr>
        <w:t>2013 SCC 34 / 2013 CSC 34</w:t>
      </w:r>
    </w:p>
    <w:p w:rsidR="005D5387" w:rsidRPr="0058586F" w:rsidRDefault="005D5387" w:rsidP="005D5387">
      <w:pPr>
        <w:jc w:val="both"/>
        <w:rPr>
          <w:sz w:val="20"/>
          <w:szCs w:val="20"/>
        </w:rPr>
      </w:pPr>
    </w:p>
    <w:p w:rsidR="005D5387" w:rsidRPr="0058586F" w:rsidRDefault="005D5387" w:rsidP="005D5387">
      <w:pPr>
        <w:ind w:left="1440" w:hanging="1440"/>
        <w:jc w:val="both"/>
        <w:rPr>
          <w:sz w:val="20"/>
          <w:szCs w:val="20"/>
          <w:u w:val="single"/>
        </w:rPr>
      </w:pPr>
      <w:r w:rsidRPr="0058586F">
        <w:rPr>
          <w:sz w:val="20"/>
          <w:szCs w:val="20"/>
        </w:rPr>
        <w:t>Coram:</w:t>
      </w:r>
      <w:r w:rsidRPr="0058586F">
        <w:rPr>
          <w:sz w:val="20"/>
          <w:szCs w:val="20"/>
        </w:rPr>
        <w:tab/>
      </w:r>
      <w:r w:rsidRPr="0058586F">
        <w:rPr>
          <w:sz w:val="20"/>
          <w:szCs w:val="20"/>
          <w:u w:val="single"/>
        </w:rPr>
        <w:t xml:space="preserve">McLachlin C.J. and LeBel, Fish, Abella, Rothstein, Cromwell, Moldaver, Karakatsanis and Wagner JJ. </w:t>
      </w:r>
    </w:p>
    <w:p w:rsidR="005D5387" w:rsidRPr="0058586F" w:rsidRDefault="005D5387" w:rsidP="005D5387">
      <w:pPr>
        <w:ind w:left="1440" w:hanging="1440"/>
        <w:jc w:val="both"/>
        <w:rPr>
          <w:sz w:val="20"/>
          <w:szCs w:val="20"/>
          <w:u w:val="single"/>
        </w:rPr>
      </w:pPr>
    </w:p>
    <w:p w:rsidR="005D5387" w:rsidRPr="0058586F" w:rsidRDefault="005D5387" w:rsidP="005D5387">
      <w:pPr>
        <w:jc w:val="both"/>
        <w:rPr>
          <w:sz w:val="20"/>
          <w:szCs w:val="20"/>
        </w:rPr>
      </w:pPr>
      <w:r w:rsidRPr="0058586F">
        <w:rPr>
          <w:sz w:val="20"/>
          <w:szCs w:val="20"/>
        </w:rPr>
        <w:t xml:space="preserve">The appeal from the judgment </w:t>
      </w:r>
      <w:bookmarkStart w:id="5" w:name="BM_1_"/>
      <w:bookmarkEnd w:id="5"/>
      <w:r w:rsidRPr="0058586F">
        <w:rPr>
          <w:sz w:val="20"/>
          <w:szCs w:val="20"/>
        </w:rPr>
        <w:t>of the Court of Appeal of New Brunswick, Number 133-10-CA, 2011 NBCA 58, dated July 7, 2011, heard on December 7, 2012, is allowed with costs throughout.  McLachlin C.J. and Rothstein and Moldaver JJ. are dissenting.</w:t>
      </w:r>
    </w:p>
    <w:p w:rsidR="005D5387" w:rsidRPr="0058586F" w:rsidRDefault="005D5387" w:rsidP="005D5387">
      <w:pPr>
        <w:jc w:val="both"/>
        <w:rPr>
          <w:sz w:val="20"/>
          <w:szCs w:val="20"/>
        </w:rPr>
      </w:pPr>
    </w:p>
    <w:p w:rsidR="00757AEB" w:rsidRDefault="005D5387" w:rsidP="000F36E2">
      <w:pPr>
        <w:spacing w:line="0" w:lineRule="atLeast"/>
        <w:jc w:val="both"/>
        <w:rPr>
          <w:rFonts w:cs="Times New Roman"/>
          <w:sz w:val="20"/>
          <w:szCs w:val="20"/>
          <w:lang w:val="fr-CA"/>
        </w:rPr>
      </w:pPr>
      <w:r w:rsidRPr="0058586F">
        <w:rPr>
          <w:sz w:val="20"/>
          <w:szCs w:val="20"/>
          <w:lang w:val="fr-CA"/>
        </w:rPr>
        <w:t>L’appel interjeté contre l’arrêt de la Cour d’appel du Nouveau-Brunswick, numéro 133-10-CA, 2011 NBCA 58, en date du 7 juillet 2011, entendu le 7 décembre 2012, est accueilli avec dépens devant toutes les cours.  La juge en chef McLachlin et les juges Rothstein et Moldaver sont dissidents.</w:t>
      </w:r>
    </w:p>
    <w:p w:rsidR="00757AEB" w:rsidRDefault="00757AEB" w:rsidP="00D004FC">
      <w:pPr>
        <w:spacing w:line="0" w:lineRule="atLeast"/>
        <w:rPr>
          <w:rFonts w:cs="Times New Roman"/>
          <w:sz w:val="20"/>
          <w:szCs w:val="20"/>
          <w:lang w:val="fr-CA"/>
        </w:rPr>
      </w:pPr>
    </w:p>
    <w:p w:rsidR="00D004FC" w:rsidRDefault="00B3404D" w:rsidP="00D004FC">
      <w:pPr>
        <w:jc w:val="both"/>
        <w:rPr>
          <w:rFonts w:cs="Times New Roman"/>
          <w:b/>
          <w:sz w:val="20"/>
          <w:szCs w:val="20"/>
        </w:rPr>
      </w:pPr>
      <w:r w:rsidRPr="00B3404D">
        <w:rPr>
          <w:rFonts w:cs="Times New Roman"/>
          <w:b/>
          <w:sz w:val="20"/>
          <w:szCs w:val="20"/>
        </w:rPr>
        <w:pict>
          <v:rect id="_x0000_i1112"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757AEB" w:rsidRPr="0059529C" w:rsidRDefault="00757AEB" w:rsidP="00757AEB">
      <w:pPr>
        <w:ind w:left="720" w:hanging="720"/>
        <w:rPr>
          <w:sz w:val="20"/>
          <w:szCs w:val="20"/>
        </w:rPr>
      </w:pPr>
      <w:r w:rsidRPr="0059529C">
        <w:rPr>
          <w:i/>
          <w:sz w:val="20"/>
          <w:szCs w:val="20"/>
        </w:rPr>
        <w:t>Edward Sumio Nishi v. Rascal Trucking Ltd.</w:t>
      </w:r>
      <w:r w:rsidRPr="0059529C">
        <w:rPr>
          <w:sz w:val="20"/>
          <w:szCs w:val="20"/>
        </w:rPr>
        <w:t xml:space="preserve"> (B.C.) (34510)</w:t>
      </w:r>
    </w:p>
    <w:p w:rsidR="00E16126" w:rsidRPr="00E16126" w:rsidRDefault="00E16126" w:rsidP="00E16126">
      <w:pPr>
        <w:jc w:val="both"/>
        <w:rPr>
          <w:b/>
          <w:sz w:val="20"/>
          <w:szCs w:val="20"/>
        </w:rPr>
      </w:pPr>
      <w:r w:rsidRPr="00417459">
        <w:rPr>
          <w:b/>
          <w:sz w:val="20"/>
          <w:szCs w:val="20"/>
        </w:rPr>
        <w:t xml:space="preserve">Indexed as:  Nishi </w:t>
      </w:r>
      <w:r w:rsidRPr="00417459">
        <w:rPr>
          <w:b/>
          <w:i/>
          <w:sz w:val="20"/>
          <w:szCs w:val="20"/>
        </w:rPr>
        <w:t>v.</w:t>
      </w:r>
      <w:r w:rsidRPr="00417459">
        <w:rPr>
          <w:b/>
          <w:sz w:val="20"/>
          <w:szCs w:val="20"/>
        </w:rPr>
        <w:t xml:space="preserve"> Rascal Trucking Ltd.</w:t>
      </w:r>
      <w:r>
        <w:rPr>
          <w:b/>
          <w:sz w:val="20"/>
          <w:szCs w:val="20"/>
        </w:rPr>
        <w:t xml:space="preserve"> / </w:t>
      </w:r>
      <w:r w:rsidRPr="00E16126">
        <w:rPr>
          <w:b/>
          <w:sz w:val="20"/>
          <w:szCs w:val="20"/>
        </w:rPr>
        <w:t xml:space="preserve">Répertorié : Nishi </w:t>
      </w:r>
      <w:r w:rsidRPr="00E16126">
        <w:rPr>
          <w:b/>
          <w:i/>
          <w:sz w:val="20"/>
          <w:szCs w:val="20"/>
        </w:rPr>
        <w:t>c.</w:t>
      </w:r>
      <w:r w:rsidRPr="00E16126">
        <w:rPr>
          <w:b/>
          <w:sz w:val="20"/>
          <w:szCs w:val="20"/>
        </w:rPr>
        <w:t xml:space="preserve"> Rascal Trucking Ltd.</w:t>
      </w:r>
    </w:p>
    <w:p w:rsidR="005C6840" w:rsidRPr="00E16126" w:rsidRDefault="005C6840" w:rsidP="005C6840">
      <w:pPr>
        <w:pStyle w:val="SCCSystemYear"/>
        <w:jc w:val="both"/>
        <w:rPr>
          <w:sz w:val="20"/>
        </w:rPr>
      </w:pPr>
      <w:r w:rsidRPr="00E16126">
        <w:rPr>
          <w:sz w:val="20"/>
        </w:rPr>
        <w:t>Neutral citation:  201</w:t>
      </w:r>
      <w:r w:rsidR="00F761A3" w:rsidRPr="00E16126">
        <w:rPr>
          <w:sz w:val="20"/>
        </w:rPr>
        <w:t>3</w:t>
      </w:r>
      <w:r w:rsidRPr="00E16126">
        <w:rPr>
          <w:sz w:val="20"/>
        </w:rPr>
        <w:t xml:space="preserve"> SCC </w:t>
      </w:r>
      <w:r w:rsidR="00757AEB" w:rsidRPr="00E16126">
        <w:rPr>
          <w:sz w:val="20"/>
        </w:rPr>
        <w:t>33</w:t>
      </w:r>
      <w:r w:rsidRPr="00E16126">
        <w:rPr>
          <w:sz w:val="20"/>
        </w:rPr>
        <w:t xml:space="preserve"> / Référence neutre : 201</w:t>
      </w:r>
      <w:r w:rsidR="00F761A3" w:rsidRPr="00E16126">
        <w:rPr>
          <w:sz w:val="20"/>
        </w:rPr>
        <w:t>3</w:t>
      </w:r>
      <w:r w:rsidRPr="00E16126">
        <w:rPr>
          <w:sz w:val="20"/>
        </w:rPr>
        <w:t xml:space="preserve"> CSC </w:t>
      </w:r>
      <w:r w:rsidR="00757AEB" w:rsidRPr="00E16126">
        <w:rPr>
          <w:sz w:val="20"/>
        </w:rPr>
        <w:t>33</w:t>
      </w:r>
    </w:p>
    <w:p w:rsidR="005C6840" w:rsidRPr="003B3977" w:rsidRDefault="005C6840" w:rsidP="005C6840">
      <w:pPr>
        <w:rPr>
          <w:rFonts w:cs="Times New Roman"/>
          <w:sz w:val="20"/>
          <w:szCs w:val="20"/>
          <w:lang w:val="fr-CA"/>
        </w:rPr>
      </w:pPr>
      <w:r w:rsidRPr="00E16126">
        <w:rPr>
          <w:rFonts w:cs="Times New Roman"/>
          <w:sz w:val="20"/>
          <w:szCs w:val="20"/>
          <w:lang w:val="fr-CA"/>
        </w:rPr>
        <w:t xml:space="preserve">Hearing:  </w:t>
      </w:r>
      <w:r w:rsidR="00E16126" w:rsidRPr="00E16126">
        <w:rPr>
          <w:rFonts w:cs="Times New Roman"/>
          <w:sz w:val="20"/>
          <w:szCs w:val="20"/>
          <w:lang w:val="fr-CA"/>
        </w:rPr>
        <w:t>January 16</w:t>
      </w:r>
      <w:r w:rsidRPr="003B3977">
        <w:rPr>
          <w:rFonts w:cs="Times New Roman"/>
          <w:sz w:val="20"/>
          <w:szCs w:val="20"/>
          <w:lang w:val="fr-CA"/>
        </w:rPr>
        <w:t>, 201</w:t>
      </w:r>
      <w:r w:rsidR="00E16126">
        <w:rPr>
          <w:rFonts w:cs="Times New Roman"/>
          <w:sz w:val="20"/>
          <w:szCs w:val="20"/>
          <w:lang w:val="fr-CA"/>
        </w:rPr>
        <w:t>3</w:t>
      </w:r>
      <w:r w:rsidRPr="003B3977">
        <w:rPr>
          <w:rFonts w:cs="Times New Roman"/>
          <w:sz w:val="20"/>
          <w:szCs w:val="20"/>
          <w:lang w:val="fr-CA"/>
        </w:rPr>
        <w:t xml:space="preserve"> / Judgment:  </w:t>
      </w:r>
      <w:r w:rsidR="00757AEB">
        <w:rPr>
          <w:rFonts w:cs="Times New Roman"/>
          <w:sz w:val="20"/>
          <w:szCs w:val="20"/>
          <w:lang w:val="fr-CA"/>
        </w:rPr>
        <w:t>June 13</w:t>
      </w:r>
      <w:r w:rsidRPr="003B3977">
        <w:rPr>
          <w:rFonts w:cs="Times New Roman"/>
          <w:sz w:val="20"/>
          <w:szCs w:val="20"/>
          <w:lang w:val="fr-CA"/>
        </w:rPr>
        <w:t>, 201</w:t>
      </w:r>
      <w:r w:rsidR="00757AEB">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E16126">
        <w:rPr>
          <w:rFonts w:cs="Times New Roman"/>
          <w:sz w:val="20"/>
          <w:szCs w:val="20"/>
          <w:lang w:val="fr-CA"/>
        </w:rPr>
        <w:t>16 janvier</w:t>
      </w:r>
      <w:r w:rsidRPr="003B3977">
        <w:rPr>
          <w:rFonts w:cs="Times New Roman"/>
          <w:sz w:val="20"/>
          <w:szCs w:val="20"/>
          <w:lang w:val="fr-CA"/>
        </w:rPr>
        <w:t xml:space="preserve"> 201</w:t>
      </w:r>
      <w:r w:rsidR="00E16126">
        <w:rPr>
          <w:rFonts w:cs="Times New Roman"/>
          <w:sz w:val="20"/>
          <w:szCs w:val="20"/>
          <w:lang w:val="fr-CA"/>
        </w:rPr>
        <w:t>3</w:t>
      </w:r>
      <w:r w:rsidRPr="003B3977">
        <w:rPr>
          <w:rFonts w:cs="Times New Roman"/>
          <w:sz w:val="20"/>
          <w:szCs w:val="20"/>
          <w:lang w:val="fr-CA"/>
        </w:rPr>
        <w:t xml:space="preserve"> / Jugement : Le </w:t>
      </w:r>
      <w:r w:rsidR="00757AEB">
        <w:rPr>
          <w:rFonts w:cs="Times New Roman"/>
          <w:sz w:val="20"/>
          <w:szCs w:val="20"/>
          <w:lang w:val="fr-CA"/>
        </w:rPr>
        <w:t>13 juin</w:t>
      </w:r>
      <w:r w:rsidRPr="003B3977">
        <w:rPr>
          <w:rFonts w:cs="Times New Roman"/>
          <w:sz w:val="20"/>
          <w:szCs w:val="20"/>
          <w:lang w:val="fr-CA"/>
        </w:rPr>
        <w:t xml:space="preserve"> 201</w:t>
      </w:r>
      <w:r w:rsidR="00757AEB">
        <w:rPr>
          <w:rFonts w:cs="Times New Roman"/>
          <w:sz w:val="20"/>
          <w:szCs w:val="20"/>
          <w:lang w:val="fr-CA"/>
        </w:rPr>
        <w:t>3</w:t>
      </w:r>
    </w:p>
    <w:p w:rsidR="005C6840" w:rsidRPr="003B3977" w:rsidRDefault="00B3404D" w:rsidP="005C6840">
      <w:pPr>
        <w:rPr>
          <w:rFonts w:cs="Times New Roman"/>
          <w:sz w:val="20"/>
          <w:szCs w:val="20"/>
          <w:lang w:val="fr-CA"/>
        </w:rPr>
      </w:pPr>
      <w:r w:rsidRPr="00B3404D">
        <w:rPr>
          <w:rFonts w:cs="Times New Roman"/>
          <w:i/>
          <w:sz w:val="20"/>
          <w:szCs w:val="20"/>
        </w:rPr>
        <w:pict>
          <v:rect id="_x0000_i1115"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E16126" w:rsidRPr="00417459" w:rsidRDefault="00E16126" w:rsidP="00E16126">
      <w:pPr>
        <w:jc w:val="both"/>
        <w:rPr>
          <w:sz w:val="20"/>
          <w:szCs w:val="20"/>
        </w:rPr>
      </w:pPr>
      <w:r w:rsidRPr="00417459">
        <w:rPr>
          <w:sz w:val="20"/>
          <w:szCs w:val="20"/>
        </w:rPr>
        <w:t>Present:  McLachlin C.J. and LeBel, Abella, Rothstein, Cromwell, Karakatsanis and Wagner JJ.</w:t>
      </w:r>
    </w:p>
    <w:p w:rsidR="00E16126" w:rsidRDefault="00E16126" w:rsidP="00E16126">
      <w:pPr>
        <w:pStyle w:val="SCCLowerCourtNameLowercase"/>
        <w:spacing w:line="240" w:lineRule="auto"/>
        <w:rPr>
          <w:sz w:val="20"/>
        </w:rPr>
      </w:pPr>
    </w:p>
    <w:p w:rsidR="00E16126" w:rsidRPr="00417459" w:rsidRDefault="00E16126" w:rsidP="00E16126">
      <w:pPr>
        <w:pStyle w:val="SCCNormalDoubleSpacing"/>
        <w:spacing w:line="240" w:lineRule="auto"/>
        <w:rPr>
          <w:i/>
          <w:sz w:val="20"/>
        </w:rPr>
      </w:pPr>
      <w:r w:rsidRPr="00417459">
        <w:rPr>
          <w:i/>
          <w:sz w:val="20"/>
        </w:rPr>
        <w:tab/>
        <w:t>Trusts — Purchase money resulting trust — Appellant using funds received from respondent to purchase property in appellant’s own name — Funds representing disputed monies owed to third party — Whether purchase money resulting trust should be abolished in commercial transactions in favour of unjust enrichment principles — Whether a transfer is gratuitous when it constitutes the discharge of a legal and moral obligation to a third party — Whether a proportionate interest in the property is acquired where the transferor attempted, but failed to secure the title holder’s agreement to an interest in the property — Whether presumption of resulting trust was rebutted</w:t>
      </w:r>
    </w:p>
    <w:p w:rsidR="00E16126" w:rsidRDefault="00E16126" w:rsidP="00E16126">
      <w:pPr>
        <w:pStyle w:val="SCCNormalDoubleSpacing"/>
        <w:spacing w:line="240" w:lineRule="auto"/>
        <w:rPr>
          <w:sz w:val="20"/>
        </w:rPr>
      </w:pPr>
    </w:p>
    <w:p w:rsidR="00E16126" w:rsidRPr="00417459" w:rsidRDefault="00E16126" w:rsidP="00E16126">
      <w:pPr>
        <w:pStyle w:val="SCCNormalDoubleSpacing"/>
        <w:spacing w:line="240" w:lineRule="auto"/>
        <w:rPr>
          <w:sz w:val="20"/>
        </w:rPr>
      </w:pPr>
      <w:r w:rsidRPr="00417459">
        <w:rPr>
          <w:sz w:val="20"/>
        </w:rPr>
        <w:tab/>
        <w:t>In 1996, Kismet Enterprises Ltd. owned approximately two acres of land in Nanaimo, British Columbia that it leased to Rascal Trucking Ltd.  Rascal began operating a topsoil processing facility on the property that generated significant complaints from the neighbourhood.  As a result, the City passed resolutions declaring that the facility was a nuisance.  The City subsequently removed the topsoil and lodged the costs incurred of $110,679.74 against the property as tax arrears.  Rascal’s lease included provisions which required it to “hold harmless” Kismet for “any and all liabilities resulting from Rascal’s operations on the property”, but at no point did Rascal reimburse Kismet or the City for the costs of the removal of the topsoil.  Kismet determined that, as a result of the tax arrears and the existing mortgage to CIBC, there was no equity left in the property.  It stopped making mortgage payments.  Throughout the ensuing foreclosure proceedings, Mr. Heringa, the principal of Rascal, tried in a number of ways to acquire the property, but was unsuccessful.  In May 2001, the property was sold to Mr. Nishi for $237,500.  Nishi was assisted in the purchase by Rascal in the amount of $110,679.74, the exact amount of the tax arrears.  Heringa sent Nishi’s lawyer several faxes containing offers with different terms, attempting to acquire an interest in the property.  Nishi did not agree.  Heringa subsequently sent a fax indicating that the monies would be advanced “without any conditions or requirements”.  In November 2008 Rascal began this action claiming a one</w:t>
      </w:r>
      <w:r w:rsidRPr="00417459">
        <w:rPr>
          <w:sz w:val="20"/>
        </w:rPr>
        <w:noBreakHyphen/>
        <w:t>half undivided interest in the property.  The trial judge dismissed the action but this decision was overturned on appeal.</w:t>
      </w:r>
    </w:p>
    <w:p w:rsidR="00E16126" w:rsidRDefault="00E16126" w:rsidP="00E16126">
      <w:pPr>
        <w:pStyle w:val="SCCNormalDoubleSpacing"/>
        <w:spacing w:line="240" w:lineRule="auto"/>
        <w:rPr>
          <w:i/>
          <w:sz w:val="20"/>
        </w:rPr>
      </w:pPr>
    </w:p>
    <w:p w:rsidR="00E16126" w:rsidRPr="00417459" w:rsidRDefault="00E16126" w:rsidP="00E16126">
      <w:pPr>
        <w:pStyle w:val="SCCNormalDoubleSpacing"/>
        <w:spacing w:line="240" w:lineRule="auto"/>
        <w:rPr>
          <w:sz w:val="20"/>
        </w:rPr>
      </w:pPr>
      <w:r w:rsidRPr="00417459">
        <w:rPr>
          <w:i/>
          <w:sz w:val="20"/>
        </w:rPr>
        <w:tab/>
        <w:t>Held:</w:t>
      </w:r>
      <w:r w:rsidRPr="00417459">
        <w:rPr>
          <w:sz w:val="20"/>
        </w:rPr>
        <w:t xml:space="preserve">  The appeal should be allowed and the decision of the trial judge should be restored.</w:t>
      </w:r>
    </w:p>
    <w:p w:rsidR="00E16126" w:rsidRDefault="00E16126" w:rsidP="00E16126">
      <w:pPr>
        <w:pStyle w:val="SCCNormalDoubleSpacing"/>
        <w:spacing w:line="240" w:lineRule="auto"/>
        <w:rPr>
          <w:sz w:val="20"/>
        </w:rPr>
      </w:pPr>
    </w:p>
    <w:p w:rsidR="00E16126" w:rsidRPr="00417459" w:rsidRDefault="00E16126" w:rsidP="00E16126">
      <w:pPr>
        <w:pStyle w:val="SCCNormalDoubleSpacing"/>
        <w:spacing w:line="240" w:lineRule="auto"/>
        <w:rPr>
          <w:sz w:val="20"/>
        </w:rPr>
      </w:pPr>
      <w:r w:rsidRPr="00417459">
        <w:rPr>
          <w:sz w:val="20"/>
        </w:rPr>
        <w:tab/>
        <w:t xml:space="preserve">There is no reason to depart from the long standing doctrine of the purchase money resulting trust in favour of an approach based on unjust enrichment.  While flexibility is no doubt desirable in certain areas of the law, the purchase money resulting trust provides certainty and predictability because it relies on a clear rule for determining who holds the beneficial interest in a property.  When making a gratuitous transfer of property, the person who makes the transfer must have intended either to pass the beneficial interest (a gift) or retain it (a trust).  A purchase money resulting trust is a species of gratuitous transfer resulting trust that arises when a person advances funds to contribute to the purchase price of property, but does not take legal title to that property.  Where the person advancing the funds is unrelated to the person taking title, the law presumes that the parties intended for the person who advanced the funds to hold a beneficial interest in the property in proportion to that person’s contribution.  This presumption can be rebutted if the recipient of the property proves, on a balance of probabilities, that at the time of the contribution, the person making the contribution intended to make a gift to the person taking title.  While rebutting the presumption requires evidence of the intention of the person who advanced the funds </w:t>
      </w:r>
      <w:r w:rsidRPr="00417459">
        <w:rPr>
          <w:i/>
          <w:sz w:val="20"/>
        </w:rPr>
        <w:t>at the time of the advance</w:t>
      </w:r>
      <w:r w:rsidRPr="00417459">
        <w:rPr>
          <w:sz w:val="20"/>
        </w:rPr>
        <w:t>, after the fact evidence can be admitted so long as the trier of fact is careful to consider the possibility of self</w:t>
      </w:r>
      <w:r w:rsidRPr="00417459">
        <w:rPr>
          <w:sz w:val="20"/>
        </w:rPr>
        <w:noBreakHyphen/>
        <w:t>serving changes in intention over time.</w:t>
      </w:r>
    </w:p>
    <w:p w:rsidR="00E16126" w:rsidRDefault="00E16126" w:rsidP="00E16126">
      <w:pPr>
        <w:pStyle w:val="SCCNormalDoubleSpacing"/>
        <w:spacing w:line="240" w:lineRule="auto"/>
        <w:rPr>
          <w:sz w:val="20"/>
        </w:rPr>
      </w:pPr>
    </w:p>
    <w:p w:rsidR="00E16126" w:rsidRDefault="00E16126" w:rsidP="00E16126">
      <w:pPr>
        <w:pStyle w:val="SCCNormalDoubleSpacing"/>
        <w:spacing w:line="240" w:lineRule="auto"/>
        <w:rPr>
          <w:sz w:val="20"/>
        </w:rPr>
      </w:pPr>
      <w:r w:rsidRPr="00417459">
        <w:rPr>
          <w:sz w:val="20"/>
        </w:rPr>
        <w:tab/>
        <w:t xml:space="preserve">Reviewing the trial judge’s reasons in their full context confirms that he understood that Rascal’s intention at the time of the advance was to contribute to the purchase price without taking a beneficial interest in the property because Rascal was motivated by recognition of the costs that it had imposed on Kismet.  This intention, to make good on Rascal’s obligations to Kismet by way of a payment to Mr. Nishi, is not inconsistent with a finding of a legal gift.  Moreover, Rascal’s stated intention was to make the advance without any conditions and its contribution towards the mortgage on the property was the amount of the tax arrears ($110,679.74) down to the penny.  It was open to the trial judge to conclude that the presumption of resulting trust had been rebutted and it was well supported by the evidence. </w:t>
      </w:r>
    </w:p>
    <w:p w:rsidR="00E16126" w:rsidRDefault="00E16126" w:rsidP="00E16126">
      <w:pPr>
        <w:pStyle w:val="SCCNormalDoubleSpacing"/>
        <w:spacing w:line="240" w:lineRule="auto"/>
        <w:rPr>
          <w:sz w:val="20"/>
        </w:rPr>
      </w:pPr>
    </w:p>
    <w:p w:rsidR="00E16126" w:rsidRPr="00417459" w:rsidRDefault="00E16126" w:rsidP="00E16126">
      <w:pPr>
        <w:pStyle w:val="SCCNormalDoubleSpacing"/>
        <w:spacing w:line="240" w:lineRule="auto"/>
        <w:rPr>
          <w:sz w:val="20"/>
          <w:lang w:val="en-US"/>
        </w:rPr>
      </w:pPr>
      <w:r w:rsidRPr="00417459">
        <w:rPr>
          <w:sz w:val="20"/>
        </w:rPr>
        <w:tab/>
        <w:t xml:space="preserve">APPEAL from a judgment of the British Columbia Court of Appeal (Kirkpatrick, Frankel and Smith JJ.A.), 2011 BCCA 348, 21 B.C.L.R. (5th) 330, 309 B.C.A.C. 182, 523 W.A.C. 182, 340 D.L.R. (4th) 284, [2011] B.C.J. No. 1561 (QL), 2011 CarswellBC 2154, reversing a decision of Dley J., 2010 BCSC 649, [2010] B.C.J. No. 840 (QL), 2010 CarswellBC 1454.  Appeal allowed. </w:t>
      </w:r>
    </w:p>
    <w:p w:rsidR="00E16126" w:rsidRDefault="00E16126" w:rsidP="00E16126">
      <w:pPr>
        <w:pStyle w:val="SCCNormalDoubleSpacing"/>
        <w:spacing w:line="240" w:lineRule="auto"/>
        <w:rPr>
          <w:i/>
          <w:sz w:val="20"/>
        </w:rPr>
      </w:pPr>
    </w:p>
    <w:p w:rsidR="00E16126" w:rsidRPr="00417459" w:rsidRDefault="00E16126" w:rsidP="00E16126">
      <w:pPr>
        <w:pStyle w:val="SCCNormalDoubleSpacing"/>
        <w:spacing w:line="240" w:lineRule="auto"/>
        <w:rPr>
          <w:sz w:val="20"/>
        </w:rPr>
      </w:pPr>
      <w:r w:rsidRPr="00417459">
        <w:rPr>
          <w:i/>
          <w:sz w:val="20"/>
        </w:rPr>
        <w:tab/>
        <w:t>D. Geoffrey G. Cowper, Q.C.,</w:t>
      </w:r>
      <w:r w:rsidRPr="00417459">
        <w:rPr>
          <w:sz w:val="20"/>
        </w:rPr>
        <w:t xml:space="preserve"> and </w:t>
      </w:r>
      <w:r w:rsidRPr="00417459">
        <w:rPr>
          <w:i/>
          <w:sz w:val="20"/>
        </w:rPr>
        <w:t>Joel Payne</w:t>
      </w:r>
      <w:r w:rsidRPr="00417459">
        <w:rPr>
          <w:sz w:val="20"/>
        </w:rPr>
        <w:t>, for the appellant.</w:t>
      </w:r>
    </w:p>
    <w:p w:rsidR="00E16126" w:rsidRDefault="00E16126" w:rsidP="00E16126">
      <w:pPr>
        <w:pStyle w:val="SCCNormalDoubleSpacing"/>
        <w:spacing w:line="240" w:lineRule="auto"/>
        <w:rPr>
          <w:i/>
          <w:sz w:val="20"/>
        </w:rPr>
      </w:pPr>
    </w:p>
    <w:p w:rsidR="00E16126" w:rsidRPr="00417459" w:rsidRDefault="00E16126" w:rsidP="00E16126">
      <w:pPr>
        <w:pStyle w:val="SCCNormalDoubleSpacing"/>
        <w:spacing w:line="240" w:lineRule="auto"/>
        <w:rPr>
          <w:sz w:val="20"/>
        </w:rPr>
      </w:pPr>
      <w:r w:rsidRPr="00417459">
        <w:rPr>
          <w:i/>
          <w:sz w:val="20"/>
        </w:rPr>
        <w:tab/>
        <w:t>Craig P. Dennis</w:t>
      </w:r>
      <w:r w:rsidRPr="00417459">
        <w:rPr>
          <w:sz w:val="20"/>
        </w:rPr>
        <w:t xml:space="preserve"> and </w:t>
      </w:r>
      <w:r w:rsidRPr="00417459">
        <w:rPr>
          <w:i/>
          <w:sz w:val="20"/>
        </w:rPr>
        <w:t>Owen J. James</w:t>
      </w:r>
      <w:r w:rsidRPr="00417459">
        <w:rPr>
          <w:sz w:val="20"/>
        </w:rPr>
        <w:t>, for the respondent.</w:t>
      </w:r>
    </w:p>
    <w:p w:rsidR="00E16126" w:rsidRDefault="00E16126" w:rsidP="00E16126">
      <w:pPr>
        <w:pStyle w:val="SCCLawFirm"/>
        <w:spacing w:line="240" w:lineRule="auto"/>
        <w:rPr>
          <w:sz w:val="20"/>
        </w:rPr>
      </w:pPr>
    </w:p>
    <w:p w:rsidR="00E16126" w:rsidRPr="00E16126" w:rsidRDefault="00E16126" w:rsidP="00E16126">
      <w:pPr>
        <w:pStyle w:val="SCCLawFirm"/>
        <w:spacing w:line="240" w:lineRule="auto"/>
        <w:rPr>
          <w:sz w:val="20"/>
          <w:lang w:val="fr-CA"/>
        </w:rPr>
      </w:pPr>
      <w:r w:rsidRPr="00417459">
        <w:rPr>
          <w:sz w:val="20"/>
        </w:rPr>
        <w:tab/>
      </w:r>
      <w:r w:rsidRPr="00E16126">
        <w:rPr>
          <w:sz w:val="20"/>
          <w:lang w:val="fr-CA"/>
        </w:rPr>
        <w:t>Solicitors for the appellant:  Fasken Martineau DuMoulin, Vancouver.</w:t>
      </w:r>
    </w:p>
    <w:p w:rsidR="00E16126" w:rsidRPr="00E16126" w:rsidRDefault="00E16126" w:rsidP="00E16126">
      <w:pPr>
        <w:pStyle w:val="SCCLawFirm"/>
        <w:spacing w:line="240" w:lineRule="auto"/>
        <w:rPr>
          <w:sz w:val="20"/>
          <w:lang w:val="fr-CA"/>
        </w:rPr>
      </w:pPr>
    </w:p>
    <w:p w:rsidR="00E16126" w:rsidRPr="00E16126" w:rsidRDefault="00E16126" w:rsidP="00E16126">
      <w:pPr>
        <w:pStyle w:val="SCCLawFirm"/>
        <w:spacing w:line="240" w:lineRule="auto"/>
        <w:rPr>
          <w:sz w:val="20"/>
          <w:lang w:val="fr-CA"/>
        </w:rPr>
      </w:pPr>
      <w:r w:rsidRPr="00E16126">
        <w:rPr>
          <w:sz w:val="20"/>
          <w:lang w:val="fr-CA"/>
        </w:rPr>
        <w:tab/>
        <w:t>Solicitors for the respondent:  Dentons Canada, Vancouver.</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E16126" w:rsidRPr="008B2DE1" w:rsidRDefault="00E16126" w:rsidP="00E16126">
      <w:pPr>
        <w:jc w:val="both"/>
        <w:rPr>
          <w:sz w:val="20"/>
          <w:szCs w:val="20"/>
          <w:lang w:val="fr-CA"/>
        </w:rPr>
      </w:pPr>
      <w:r w:rsidRPr="008B2DE1">
        <w:rPr>
          <w:sz w:val="20"/>
          <w:szCs w:val="20"/>
          <w:lang w:val="fr-CA"/>
        </w:rPr>
        <w:t>Présents : La juge en chef McLachlin et les juges LeBel, Abella, Rothstein, Cromwell, Karakatsanis et Wagner.</w:t>
      </w:r>
    </w:p>
    <w:p w:rsidR="00E16126" w:rsidRDefault="00E16126" w:rsidP="00E16126">
      <w:pPr>
        <w:jc w:val="both"/>
        <w:rPr>
          <w:smallCaps/>
          <w:sz w:val="20"/>
          <w:lang w:val="fr-CA"/>
        </w:rPr>
      </w:pPr>
    </w:p>
    <w:p w:rsidR="00E16126" w:rsidRPr="008B2DE1" w:rsidRDefault="00E16126" w:rsidP="00E16126">
      <w:pPr>
        <w:pStyle w:val="SCCNormalDoubleSpacing"/>
        <w:spacing w:line="240" w:lineRule="auto"/>
        <w:rPr>
          <w:i/>
          <w:sz w:val="20"/>
          <w:lang w:val="fr-CA"/>
        </w:rPr>
      </w:pPr>
      <w:r w:rsidRPr="008B2DE1">
        <w:rPr>
          <w:sz w:val="20"/>
          <w:lang w:val="fr-CA"/>
        </w:rPr>
        <w:tab/>
      </w:r>
      <w:r w:rsidRPr="008B2DE1">
        <w:rPr>
          <w:i/>
          <w:sz w:val="20"/>
          <w:lang w:val="fr-CA"/>
        </w:rPr>
        <w:t>Fiducies — Fiducie résultoire découlant des circonstances d’achat — Utilisation par l’appelant des fonds reçus de l’intimée pour acheter une propriété en son propre nom — Fonds représentant une somme d’argent contestée due à un tiers — La fiducie résultoire découlant des circonstances d’achat doit</w:t>
      </w:r>
      <w:r w:rsidRPr="008B2DE1">
        <w:rPr>
          <w:i/>
          <w:sz w:val="20"/>
          <w:lang w:val="fr-CA"/>
        </w:rPr>
        <w:noBreakHyphen/>
        <w:t>elle être abolie dans les opérations commerciales en faveur des principes de l’enrichissement injustifié? — Un transfert de fonds est</w:t>
      </w:r>
      <w:r w:rsidRPr="008B2DE1">
        <w:rPr>
          <w:i/>
          <w:sz w:val="20"/>
          <w:lang w:val="fr-CA"/>
        </w:rPr>
        <w:noBreakHyphen/>
        <w:t>il fait à titre gratuit s’il constitue l’acquittement d’une obligation légale et morale envers un tiers? — L’auteur du transfert de fonds qui a tenté, sans succès, d’obtenir que le titulaire du titre lui concède un intérêt dans la propriété acquiert</w:t>
      </w:r>
      <w:r w:rsidRPr="008B2DE1">
        <w:rPr>
          <w:i/>
          <w:sz w:val="20"/>
          <w:lang w:val="fr-CA"/>
        </w:rPr>
        <w:noBreakHyphen/>
        <w:t>il dans la propriété un intérêt au prorata de la somme transférée? — La présomption de fiducie résultoire a</w:t>
      </w:r>
      <w:r w:rsidRPr="008B2DE1">
        <w:rPr>
          <w:i/>
          <w:sz w:val="20"/>
          <w:lang w:val="fr-CA"/>
        </w:rPr>
        <w:noBreakHyphen/>
        <w:t>t</w:t>
      </w:r>
      <w:r w:rsidRPr="008B2DE1">
        <w:rPr>
          <w:i/>
          <w:sz w:val="20"/>
          <w:lang w:val="fr-CA"/>
        </w:rPr>
        <w:noBreakHyphen/>
        <w:t>elle été réfutée?</w:t>
      </w:r>
    </w:p>
    <w:p w:rsidR="00E16126" w:rsidRDefault="00E16126" w:rsidP="00E16126">
      <w:pPr>
        <w:pStyle w:val="SCCNormalDoubleSpacing"/>
        <w:spacing w:line="240" w:lineRule="auto"/>
        <w:rPr>
          <w:sz w:val="20"/>
          <w:lang w:val="fr-CA"/>
        </w:rPr>
      </w:pPr>
    </w:p>
    <w:p w:rsidR="00E16126" w:rsidRPr="008B2DE1" w:rsidRDefault="00E16126" w:rsidP="00E16126">
      <w:pPr>
        <w:pStyle w:val="SCCNormalDoubleSpacing"/>
        <w:spacing w:line="240" w:lineRule="auto"/>
        <w:rPr>
          <w:sz w:val="20"/>
          <w:lang w:val="fr-CA"/>
        </w:rPr>
      </w:pPr>
      <w:r w:rsidRPr="008B2DE1">
        <w:rPr>
          <w:sz w:val="20"/>
          <w:lang w:val="fr-CA"/>
        </w:rPr>
        <w:tab/>
        <w:t>En 1996, Kismet Enterprises Ltd. était propriétaire d’un terrain d’environ deux acres à Nanaimo, en Colombie</w:t>
      </w:r>
      <w:r w:rsidRPr="008B2DE1">
        <w:rPr>
          <w:sz w:val="20"/>
          <w:lang w:val="fr-CA"/>
        </w:rPr>
        <w:noBreakHyphen/>
        <w:t>Britannique, qu’elle a louée à Rascal Trucking Ltd.  Rascal a commencé à y exploiter une installation de production de terre végétale qui a suscité de nombreuses plaintes de la part des résidents du quartier.  Par conséquent, la Ville a adopté des résolutions déclarant que l’installation constituait une nuisance.  La Ville a ensuite enlevé la terre et imputé les frais engagés, s’élevant à 110 679,74 $, comme charge grevant la propriété à titre d’arriéré d’impôt.  Des dispositions du bail obligeaient Rascal à « exonérer Kismet de toute responsabilité » à l’égard de « tout dommage découlant de ses activités sur la propriété », mais Rascal n’a jamais remboursé à Kismet ou à la Ville les frais engagés pour l’enlèvement de la terre.  Kismet est arrivée à la conclusion que, en raison de l’arriéré d’impôt et d’une hypothèque existante consentie à la CIBC, la propriété n’avait plus aucune valeur nette.  Elle a donc arrêté de verser les paiements hypothécaires.  Au cours des procédures de forclusion qui ont suivi, M. Heringa, le dirigeant de Rascal, a essayé de différentes façons, mais en vain, d’acquérir la propriété.  En mai 2001, la propriété a été vendue à M. Nishi pour 237 500 $.  Au moment de l’achat, M. Nishi a reçu de Rascal une aide au montant de 110 679,74 $, soit le montant exact de l’arriéré d’impôt.  Cherchant à acquérir un intérêt dans la propriété, M. Heringa a envoyé à l’avocat de M. Nishi plusieurs télécopies qui présentaient des offres contenant des modalités différentes, offres que M. Nishi a refusées.  Par la suite, M. Heringa a envoyé une télécopie indiquant que la somme d’argent serait avancée « exempte de toute condition ou exigence ».  En novembre 2008, Rascal a intenté la présente action en vue d’obtenir un intérêt indivis de cinquante pour cent dans la propriété.  Le juge de première instance a rejeté l’action, mais sa décision a été infirmée en appel.</w:t>
      </w:r>
    </w:p>
    <w:p w:rsidR="00E16126" w:rsidRDefault="00E16126" w:rsidP="00E16126">
      <w:pPr>
        <w:pStyle w:val="SCCNormalDoubleSpacing"/>
        <w:spacing w:line="240" w:lineRule="auto"/>
        <w:rPr>
          <w:sz w:val="20"/>
          <w:lang w:val="fr-CA"/>
        </w:rPr>
      </w:pPr>
    </w:p>
    <w:p w:rsidR="00E16126" w:rsidRPr="008B2DE1" w:rsidRDefault="00E16126" w:rsidP="00E16126">
      <w:pPr>
        <w:pStyle w:val="SCCNormalDoubleSpacing"/>
        <w:spacing w:line="240" w:lineRule="auto"/>
        <w:rPr>
          <w:sz w:val="20"/>
          <w:lang w:val="fr-CA"/>
        </w:rPr>
      </w:pPr>
      <w:r w:rsidRPr="008B2DE1">
        <w:rPr>
          <w:sz w:val="20"/>
          <w:lang w:val="fr-CA"/>
        </w:rPr>
        <w:tab/>
      </w:r>
      <w:r w:rsidRPr="008B2DE1">
        <w:rPr>
          <w:i/>
          <w:sz w:val="20"/>
          <w:lang w:val="fr-CA"/>
        </w:rPr>
        <w:t>Arrêt</w:t>
      </w:r>
      <w:r w:rsidRPr="008B2DE1">
        <w:rPr>
          <w:sz w:val="20"/>
          <w:lang w:val="fr-CA"/>
        </w:rPr>
        <w:t> : Le pourvoi est accueilli et la décision du juge de première instance est rétablie.</w:t>
      </w:r>
    </w:p>
    <w:p w:rsidR="00E16126" w:rsidRDefault="00E16126" w:rsidP="00E16126">
      <w:pPr>
        <w:pStyle w:val="SCCNormalDoubleSpacing"/>
        <w:spacing w:line="240" w:lineRule="auto"/>
        <w:rPr>
          <w:sz w:val="20"/>
          <w:lang w:val="fr-CA"/>
        </w:rPr>
      </w:pPr>
    </w:p>
    <w:p w:rsidR="00E16126" w:rsidRPr="008B2DE1" w:rsidRDefault="00E16126" w:rsidP="00E16126">
      <w:pPr>
        <w:pStyle w:val="SCCNormalDoubleSpacing"/>
        <w:spacing w:line="240" w:lineRule="auto"/>
        <w:rPr>
          <w:sz w:val="20"/>
          <w:lang w:val="fr-CA"/>
        </w:rPr>
      </w:pPr>
      <w:r w:rsidRPr="008B2DE1">
        <w:rPr>
          <w:sz w:val="20"/>
          <w:lang w:val="fr-CA"/>
        </w:rPr>
        <w:tab/>
        <w:t xml:space="preserve">Il n’y a aucune raison d’écarter la doctrine, établie depuis longtemps, de la fiducie résultoire découlant des circonstances d’achat en faveur d’une démarche fondée sur l’enrichissement injustifié.  Bien que la souplesse soit certainement souhaitable dans certains domaines du droit, la fiducie résultoire découlant des circonstances d’achat offre une certitude et une prévisibilité du fait qu’elle est fondée sur une règle claire permettant de déterminer qui détient l’intérêt bénéficiaire sur un bien.  Au moment de faire un transfert d’un bien à titre gratuit, l’auteur du transfert doit avoir eu l’intention soit de céder l’intérêt bénéficiaire (donation), soit de le garder (fiducie).  La fiducie résultoire découlant des circonstances d’achat est une sorte de fiducie résultoire découlant d’un transfert à titre gratuit qui s’opère lorsqu’une personne avance des fonds en vue de contribuer au prix d’achat d’un bien sans en acquérir le titre.  Lorsque la personne qui avance les fonds n’a aucun lien de parenté avec la personne qui acquiert le titre, il faut présumer en droit que les parties voulaient que l’auteur de l’avance des fonds détienne un intérêt bénéficiaire dans le bien au prorata de sa contribution.  Cette présomption peut être réfutée si la personne qui a reçu le bien prouve, selon la prépondérance des probabilités, qu’au moment de faire la contribution, la personne qui a avancé les fonds voulait faire une donation à la personne qui a acquis le titre dans ce bien.  Pour réfuter la présomption, il faut prouver l’intention de la personne ayant avancé les fonds </w:t>
      </w:r>
      <w:r w:rsidRPr="008B2DE1">
        <w:rPr>
          <w:i/>
          <w:sz w:val="20"/>
          <w:lang w:val="fr-CA"/>
        </w:rPr>
        <w:t>au moment où l’avance a été consentie</w:t>
      </w:r>
      <w:r w:rsidRPr="008B2DE1">
        <w:rPr>
          <w:sz w:val="20"/>
          <w:lang w:val="fr-CA"/>
        </w:rPr>
        <w:t>, mais des éléments de preuve de l’intention postérieurs à l’avance peuvent être admis dans la mesure où le juge des faits tient dûment compte de la possibilité que l’auteur de l’avance de fonds ait pu changer ses intentions au fil du temps en vue de s’avantager.</w:t>
      </w:r>
    </w:p>
    <w:p w:rsidR="00E16126" w:rsidRDefault="00E16126" w:rsidP="00E16126">
      <w:pPr>
        <w:pStyle w:val="SCCNormalDoubleSpacing"/>
        <w:spacing w:line="240" w:lineRule="auto"/>
        <w:rPr>
          <w:sz w:val="20"/>
          <w:lang w:val="fr-CA"/>
        </w:rPr>
      </w:pPr>
    </w:p>
    <w:p w:rsidR="00E16126" w:rsidRDefault="00E16126" w:rsidP="00E16126">
      <w:pPr>
        <w:pStyle w:val="SCCNormalDoubleSpacing"/>
        <w:spacing w:line="240" w:lineRule="auto"/>
        <w:rPr>
          <w:sz w:val="20"/>
          <w:lang w:val="fr-CA"/>
        </w:rPr>
      </w:pPr>
      <w:r w:rsidRPr="008B2DE1">
        <w:rPr>
          <w:sz w:val="20"/>
          <w:lang w:val="fr-CA"/>
        </w:rPr>
        <w:tab/>
        <w:t>Un examen des motifs du juge de première instance considérés dans leur contexte global confirme que selon lui, l’intention de Rascal, au moment de l’avance de fonds, était de contribuer au prix d’achat sans acquérir un intérêt bénéficiaire sur la propriété parce qu’elle reconnaissait avoir imposé des frais à Kismet.  Cette intention d’honorer les obligations de Rascal envers Kismet en faisant un paiement à M. Nishi n’est pas incompatible avec la conclusion qu’une donation a été faite.  De plus, l’intention déclarée de Rascal était d’avancer des fonds sans aucune condition, et sa contribution à l’hypothèque grevant la propriété équivalait, au cent près, au montant d’arriéré d’impôt (110 679,74 $).  Il était loisible au juge de première instance de conclure que la présomption de fiducie résultoire avait été réfutée, et cette conclusion était bien étayée par la preuve.</w:t>
      </w:r>
    </w:p>
    <w:p w:rsidR="00E16126" w:rsidRDefault="00E16126" w:rsidP="00E16126">
      <w:pPr>
        <w:pStyle w:val="SCCNormalDoubleSpacing"/>
        <w:spacing w:line="240" w:lineRule="auto"/>
        <w:rPr>
          <w:sz w:val="20"/>
          <w:lang w:val="fr-CA"/>
        </w:rPr>
      </w:pPr>
    </w:p>
    <w:p w:rsidR="00E16126" w:rsidRPr="008B2DE1" w:rsidRDefault="00E16126" w:rsidP="00E16126">
      <w:pPr>
        <w:pStyle w:val="SCCNormalDoubleSpacing"/>
        <w:spacing w:line="240" w:lineRule="auto"/>
        <w:rPr>
          <w:sz w:val="20"/>
          <w:lang w:val="fr-CA"/>
        </w:rPr>
      </w:pPr>
      <w:r w:rsidRPr="00E16126">
        <w:rPr>
          <w:sz w:val="20"/>
          <w:lang w:val="fr-CA"/>
        </w:rPr>
        <w:tab/>
        <w:t>POURVOI contre un arrêt de la Cour d’appel de la Colombie</w:t>
      </w:r>
      <w:r w:rsidRPr="00E16126">
        <w:rPr>
          <w:sz w:val="20"/>
          <w:lang w:val="fr-CA"/>
        </w:rPr>
        <w:noBreakHyphen/>
        <w:t xml:space="preserve">Britannique (les juges Kirkpatrick, Frankel et Smith), 2011 BCCA 348, 21 B.C.L.R. (5th) 330, 309 B.C.A.C. 182, 523 W.A.C. 182, 340 D.L.R. (4th) 284, [2011] B.C.J. No. 1561 (QL), 2011 CarswellBC 2154, qui a infirmé une décision du juge Dley, 2010 BCSC 649, [2010] B.C.J. No. 840 (QL), 2010 CarswellBC 1454.  </w:t>
      </w:r>
      <w:r w:rsidRPr="008B2DE1">
        <w:rPr>
          <w:sz w:val="20"/>
          <w:lang w:val="fr-CA"/>
        </w:rPr>
        <w:t>Pourvoi accueilli.</w:t>
      </w:r>
    </w:p>
    <w:p w:rsidR="00E16126" w:rsidRDefault="00E16126" w:rsidP="00E16126">
      <w:pPr>
        <w:pStyle w:val="SCCNormalDoubleSpacing"/>
        <w:spacing w:line="240" w:lineRule="auto"/>
        <w:rPr>
          <w:i/>
          <w:sz w:val="20"/>
          <w:lang w:val="fr-CA"/>
        </w:rPr>
      </w:pPr>
    </w:p>
    <w:p w:rsidR="00E16126" w:rsidRPr="008B2DE1" w:rsidRDefault="00E16126" w:rsidP="00E16126">
      <w:pPr>
        <w:pStyle w:val="SCCNormalDoubleSpacing"/>
        <w:spacing w:line="240" w:lineRule="auto"/>
        <w:rPr>
          <w:sz w:val="20"/>
          <w:lang w:val="fr-CA"/>
        </w:rPr>
      </w:pPr>
      <w:r w:rsidRPr="008B2DE1">
        <w:rPr>
          <w:i/>
          <w:sz w:val="20"/>
          <w:lang w:val="fr-CA"/>
        </w:rPr>
        <w:tab/>
        <w:t>D. Geoffrey G. Cowper, c.r.,</w:t>
      </w:r>
      <w:r w:rsidRPr="008B2DE1">
        <w:rPr>
          <w:sz w:val="20"/>
          <w:lang w:val="fr-CA"/>
        </w:rPr>
        <w:t xml:space="preserve"> et </w:t>
      </w:r>
      <w:r w:rsidRPr="008B2DE1">
        <w:rPr>
          <w:i/>
          <w:sz w:val="20"/>
          <w:lang w:val="fr-CA"/>
        </w:rPr>
        <w:t>Joel Payne</w:t>
      </w:r>
      <w:r w:rsidRPr="008B2DE1">
        <w:rPr>
          <w:sz w:val="20"/>
          <w:lang w:val="fr-CA"/>
        </w:rPr>
        <w:t>, pour l’appelant.</w:t>
      </w:r>
    </w:p>
    <w:p w:rsidR="00E16126" w:rsidRDefault="00E16126" w:rsidP="00E16126">
      <w:pPr>
        <w:pStyle w:val="SCCNormalDoubleSpacing"/>
        <w:spacing w:line="240" w:lineRule="auto"/>
        <w:rPr>
          <w:i/>
          <w:sz w:val="20"/>
          <w:lang w:val="fr-CA"/>
        </w:rPr>
      </w:pPr>
    </w:p>
    <w:p w:rsidR="00E16126" w:rsidRPr="008B2DE1" w:rsidRDefault="00E16126" w:rsidP="00E16126">
      <w:pPr>
        <w:pStyle w:val="SCCNormalDoubleSpacing"/>
        <w:spacing w:line="240" w:lineRule="auto"/>
        <w:rPr>
          <w:sz w:val="20"/>
          <w:lang w:val="fr-CA"/>
        </w:rPr>
      </w:pPr>
      <w:r w:rsidRPr="008B2DE1">
        <w:rPr>
          <w:i/>
          <w:sz w:val="20"/>
          <w:lang w:val="fr-CA"/>
        </w:rPr>
        <w:tab/>
        <w:t>Craig P. Dennis</w:t>
      </w:r>
      <w:r w:rsidRPr="008B2DE1">
        <w:rPr>
          <w:sz w:val="20"/>
          <w:lang w:val="fr-CA"/>
        </w:rPr>
        <w:t xml:space="preserve"> et </w:t>
      </w:r>
      <w:r w:rsidRPr="008B2DE1">
        <w:rPr>
          <w:i/>
          <w:sz w:val="20"/>
          <w:lang w:val="fr-CA"/>
        </w:rPr>
        <w:t>Owen J. James</w:t>
      </w:r>
      <w:r w:rsidRPr="008B2DE1">
        <w:rPr>
          <w:sz w:val="20"/>
          <w:lang w:val="fr-CA"/>
        </w:rPr>
        <w:t>, pour l’intimée.</w:t>
      </w:r>
    </w:p>
    <w:p w:rsidR="00E16126" w:rsidRDefault="00E16126" w:rsidP="00E16126">
      <w:pPr>
        <w:pStyle w:val="SCCLawFirm"/>
        <w:spacing w:line="240" w:lineRule="auto"/>
        <w:rPr>
          <w:sz w:val="20"/>
          <w:lang w:val="fr-CA"/>
        </w:rPr>
      </w:pPr>
    </w:p>
    <w:p w:rsidR="00E16126" w:rsidRPr="008B2DE1" w:rsidRDefault="00E16126" w:rsidP="00E16126">
      <w:pPr>
        <w:pStyle w:val="SCCLawFirm"/>
        <w:spacing w:line="240" w:lineRule="auto"/>
        <w:rPr>
          <w:sz w:val="20"/>
          <w:lang w:val="fr-CA"/>
        </w:rPr>
      </w:pPr>
      <w:r w:rsidRPr="008B2DE1">
        <w:rPr>
          <w:sz w:val="20"/>
          <w:lang w:val="fr-CA"/>
        </w:rPr>
        <w:tab/>
        <w:t>Procureurs de l’appelant : Fasken Martineau DuMoulin, Vancouver.</w:t>
      </w:r>
    </w:p>
    <w:p w:rsidR="00E16126" w:rsidRDefault="00E16126" w:rsidP="00E16126">
      <w:pPr>
        <w:pStyle w:val="SCCLawFirm"/>
        <w:spacing w:line="240" w:lineRule="auto"/>
        <w:rPr>
          <w:sz w:val="20"/>
          <w:lang w:val="fr-CA"/>
        </w:rPr>
      </w:pPr>
    </w:p>
    <w:p w:rsidR="00E16126" w:rsidRDefault="00E16126" w:rsidP="00E16126">
      <w:pPr>
        <w:pStyle w:val="SCCLawFirm"/>
        <w:spacing w:line="240" w:lineRule="auto"/>
        <w:rPr>
          <w:sz w:val="20"/>
          <w:lang w:val="fr-CA"/>
        </w:rPr>
      </w:pPr>
      <w:r w:rsidRPr="008B2DE1">
        <w:rPr>
          <w:sz w:val="20"/>
          <w:lang w:val="fr-CA"/>
        </w:rPr>
        <w:tab/>
        <w:t>Procureurs de l’intimée : Dentons Canada, Vancouver.</w:t>
      </w:r>
    </w:p>
    <w:p w:rsidR="003B3977" w:rsidRDefault="003B3977" w:rsidP="005C6840">
      <w:pPr>
        <w:rPr>
          <w:rFonts w:cs="Times New Roman"/>
          <w:sz w:val="20"/>
          <w:szCs w:val="20"/>
          <w:lang w:val="fr-CA"/>
        </w:rPr>
      </w:pPr>
    </w:p>
    <w:p w:rsidR="005C6840" w:rsidRDefault="00B3404D" w:rsidP="005C6840">
      <w:pPr>
        <w:rPr>
          <w:lang w:val="fr-CA"/>
        </w:rPr>
      </w:pPr>
      <w:r w:rsidRPr="00B3404D">
        <w:rPr>
          <w:rFonts w:cs="Times New Roman"/>
          <w:sz w:val="20"/>
          <w:szCs w:val="20"/>
          <w:lang w:val="fr-CA"/>
        </w:rPr>
        <w:pict>
          <v:rect id="_x0000_i1116" style="width:144.3pt;height:1pt" o:hrpct="300" o:hralign="center" o:hrstd="t" o:hrnoshade="t" o:hr="t" fillcolor="black [3213]" stroked="f"/>
        </w:pict>
      </w:r>
      <w:r w:rsidR="005C6840">
        <w:rPr>
          <w:lang w:val="fr-CA"/>
        </w:rPr>
        <w:br w:type="page"/>
      </w:r>
    </w:p>
    <w:p w:rsidR="00757AEB" w:rsidRDefault="00757AEB" w:rsidP="00757AEB">
      <w:pPr>
        <w:jc w:val="both"/>
        <w:rPr>
          <w:sz w:val="20"/>
          <w:szCs w:val="20"/>
        </w:rPr>
      </w:pPr>
      <w:r w:rsidRPr="0059529C">
        <w:rPr>
          <w:i/>
          <w:sz w:val="20"/>
          <w:szCs w:val="20"/>
        </w:rPr>
        <w:t>Communications, Energy and Paperworkers Union of Canada, Local 30 v. Irving Pulp &amp; Paper, Limited</w:t>
      </w:r>
      <w:r w:rsidRPr="0059529C">
        <w:rPr>
          <w:sz w:val="20"/>
          <w:szCs w:val="20"/>
        </w:rPr>
        <w:t xml:space="preserve"> (N.B.) (34473)</w:t>
      </w:r>
    </w:p>
    <w:p w:rsidR="004E1363" w:rsidRDefault="004E1363" w:rsidP="004E1363">
      <w:pPr>
        <w:jc w:val="both"/>
        <w:rPr>
          <w:b/>
          <w:sz w:val="20"/>
          <w:szCs w:val="20"/>
        </w:rPr>
      </w:pPr>
      <w:r w:rsidRPr="006A7BF6">
        <w:rPr>
          <w:b/>
          <w:sz w:val="20"/>
          <w:szCs w:val="20"/>
        </w:rPr>
        <w:t xml:space="preserve">Indexed as:  Communications, Energy and Paperworkers Union of Canada, Local 30 </w:t>
      </w:r>
      <w:r w:rsidRPr="006A7BF6">
        <w:rPr>
          <w:b/>
          <w:i/>
          <w:sz w:val="20"/>
          <w:szCs w:val="20"/>
        </w:rPr>
        <w:t>v.</w:t>
      </w:r>
      <w:r w:rsidRPr="006A7BF6">
        <w:rPr>
          <w:b/>
          <w:sz w:val="20"/>
          <w:szCs w:val="20"/>
        </w:rPr>
        <w:t xml:space="preserve"> Irving Pulp &amp; Paper, Ltd.</w:t>
      </w:r>
      <w:r>
        <w:rPr>
          <w:b/>
          <w:sz w:val="20"/>
          <w:szCs w:val="20"/>
        </w:rPr>
        <w:t xml:space="preserve"> / </w:t>
      </w:r>
    </w:p>
    <w:p w:rsidR="004E1363" w:rsidRPr="00842C30" w:rsidRDefault="004E1363" w:rsidP="004E1363">
      <w:pPr>
        <w:jc w:val="both"/>
        <w:rPr>
          <w:b/>
          <w:sz w:val="20"/>
          <w:szCs w:val="20"/>
          <w:lang w:val="fr-CA"/>
        </w:rPr>
      </w:pPr>
      <w:r w:rsidRPr="00842C30">
        <w:rPr>
          <w:b/>
          <w:sz w:val="20"/>
          <w:szCs w:val="20"/>
          <w:lang w:val="fr-CA"/>
        </w:rPr>
        <w:t xml:space="preserve">Répertorié : Syndicat canadien des communications, de l’énergie et du papier, section locale 30 </w:t>
      </w:r>
      <w:r w:rsidRPr="00842C30">
        <w:rPr>
          <w:b/>
          <w:i/>
          <w:sz w:val="20"/>
          <w:szCs w:val="20"/>
          <w:lang w:val="fr-CA"/>
        </w:rPr>
        <w:t>c.</w:t>
      </w:r>
      <w:r w:rsidRPr="00842C30">
        <w:rPr>
          <w:b/>
          <w:sz w:val="20"/>
          <w:szCs w:val="20"/>
          <w:lang w:val="fr-CA"/>
        </w:rPr>
        <w:t xml:space="preserve"> Pâtes &amp; Papier Irving, Ltée</w:t>
      </w:r>
    </w:p>
    <w:p w:rsidR="00902E51" w:rsidRPr="004E1363" w:rsidRDefault="00902E51" w:rsidP="00902E51">
      <w:pPr>
        <w:pStyle w:val="SCCSystemYear"/>
        <w:jc w:val="both"/>
        <w:rPr>
          <w:sz w:val="20"/>
        </w:rPr>
      </w:pPr>
      <w:r w:rsidRPr="004E1363">
        <w:rPr>
          <w:sz w:val="20"/>
        </w:rPr>
        <w:t>Neutral citation:  2013 SCC </w:t>
      </w:r>
      <w:r w:rsidR="00757AEB" w:rsidRPr="004E1363">
        <w:rPr>
          <w:sz w:val="20"/>
        </w:rPr>
        <w:t>34</w:t>
      </w:r>
      <w:r w:rsidRPr="004E1363">
        <w:rPr>
          <w:sz w:val="20"/>
        </w:rPr>
        <w:t xml:space="preserve"> / Référence neutre : 2013 CSC </w:t>
      </w:r>
      <w:r w:rsidR="00757AEB" w:rsidRPr="004E1363">
        <w:rPr>
          <w:sz w:val="20"/>
        </w:rPr>
        <w:t>34</w:t>
      </w:r>
    </w:p>
    <w:p w:rsidR="00902E51" w:rsidRPr="00352A49" w:rsidRDefault="00902E51" w:rsidP="00902E51">
      <w:pPr>
        <w:rPr>
          <w:sz w:val="20"/>
          <w:szCs w:val="20"/>
          <w:lang w:val="fr-CA"/>
        </w:rPr>
      </w:pPr>
      <w:r w:rsidRPr="004E1363">
        <w:rPr>
          <w:sz w:val="20"/>
          <w:szCs w:val="20"/>
          <w:lang w:val="fr-CA"/>
        </w:rPr>
        <w:t>Hearin</w:t>
      </w:r>
      <w:r w:rsidRPr="00352A49">
        <w:rPr>
          <w:sz w:val="20"/>
          <w:szCs w:val="20"/>
          <w:lang w:val="fr-CA"/>
        </w:rPr>
        <w:t xml:space="preserve">g:  </w:t>
      </w:r>
      <w:r w:rsidR="004E1363">
        <w:rPr>
          <w:sz w:val="20"/>
          <w:szCs w:val="20"/>
          <w:lang w:val="fr-CA"/>
        </w:rPr>
        <w:t>Decembe</w:t>
      </w:r>
      <w:r w:rsidRPr="00352A49">
        <w:rPr>
          <w:sz w:val="20"/>
          <w:szCs w:val="20"/>
          <w:lang w:val="fr-CA"/>
        </w:rPr>
        <w:t>r 7, 201</w:t>
      </w:r>
      <w:r w:rsidR="004E1363">
        <w:rPr>
          <w:sz w:val="20"/>
          <w:szCs w:val="20"/>
          <w:lang w:val="fr-CA"/>
        </w:rPr>
        <w:t>2</w:t>
      </w:r>
      <w:r w:rsidRPr="00352A49">
        <w:rPr>
          <w:sz w:val="20"/>
          <w:szCs w:val="20"/>
          <w:lang w:val="fr-CA"/>
        </w:rPr>
        <w:t xml:space="preserve"> / Judgment:  </w:t>
      </w:r>
      <w:r w:rsidR="00757AEB">
        <w:rPr>
          <w:sz w:val="20"/>
          <w:szCs w:val="20"/>
          <w:lang w:val="fr-CA"/>
        </w:rPr>
        <w:t xml:space="preserve">June </w:t>
      </w:r>
      <w:r w:rsidRPr="00352A49">
        <w:rPr>
          <w:sz w:val="20"/>
          <w:szCs w:val="20"/>
          <w:lang w:val="fr-CA"/>
        </w:rPr>
        <w:t>1</w:t>
      </w:r>
      <w:r w:rsidR="00757AEB">
        <w:rPr>
          <w:sz w:val="20"/>
          <w:szCs w:val="20"/>
          <w:lang w:val="fr-CA"/>
        </w:rPr>
        <w:t>4</w:t>
      </w:r>
      <w:r w:rsidRPr="00352A49">
        <w:rPr>
          <w:sz w:val="20"/>
          <w:szCs w:val="20"/>
          <w:lang w:val="fr-CA"/>
        </w:rPr>
        <w:t>, 2013</w:t>
      </w:r>
    </w:p>
    <w:p w:rsidR="00902E51" w:rsidRPr="003B3977" w:rsidRDefault="00902E51" w:rsidP="00902E51">
      <w:pPr>
        <w:rPr>
          <w:sz w:val="20"/>
          <w:szCs w:val="20"/>
          <w:lang w:val="fr-CA"/>
        </w:rPr>
      </w:pPr>
      <w:r w:rsidRPr="003B3977">
        <w:rPr>
          <w:sz w:val="20"/>
          <w:szCs w:val="20"/>
          <w:lang w:val="fr-CA"/>
        </w:rPr>
        <w:t xml:space="preserve">Audition : Le </w:t>
      </w:r>
      <w:r>
        <w:rPr>
          <w:sz w:val="20"/>
          <w:szCs w:val="20"/>
          <w:lang w:val="fr-CA"/>
        </w:rPr>
        <w:t xml:space="preserve">7 </w:t>
      </w:r>
      <w:r w:rsidR="004E1363">
        <w:rPr>
          <w:sz w:val="20"/>
          <w:szCs w:val="20"/>
          <w:lang w:val="fr-CA"/>
        </w:rPr>
        <w:t>déce</w:t>
      </w:r>
      <w:r w:rsidRPr="003B3977">
        <w:rPr>
          <w:sz w:val="20"/>
          <w:szCs w:val="20"/>
          <w:lang w:val="fr-CA"/>
        </w:rPr>
        <w:t>m</w:t>
      </w:r>
      <w:r w:rsidR="004E1363">
        <w:rPr>
          <w:sz w:val="20"/>
          <w:szCs w:val="20"/>
          <w:lang w:val="fr-CA"/>
        </w:rPr>
        <w:t>b</w:t>
      </w:r>
      <w:r>
        <w:rPr>
          <w:sz w:val="20"/>
          <w:szCs w:val="20"/>
          <w:lang w:val="fr-CA"/>
        </w:rPr>
        <w:t>r</w:t>
      </w:r>
      <w:r w:rsidR="004E1363">
        <w:rPr>
          <w:sz w:val="20"/>
          <w:szCs w:val="20"/>
          <w:lang w:val="fr-CA"/>
        </w:rPr>
        <w:t>e</w:t>
      </w:r>
      <w:r w:rsidRPr="003B3977">
        <w:rPr>
          <w:sz w:val="20"/>
          <w:szCs w:val="20"/>
          <w:lang w:val="fr-CA"/>
        </w:rPr>
        <w:t xml:space="preserve"> 201</w:t>
      </w:r>
      <w:r w:rsidR="004E1363">
        <w:rPr>
          <w:sz w:val="20"/>
          <w:szCs w:val="20"/>
          <w:lang w:val="fr-CA"/>
        </w:rPr>
        <w:t>2</w:t>
      </w:r>
      <w:r w:rsidRPr="003B3977">
        <w:rPr>
          <w:sz w:val="20"/>
          <w:szCs w:val="20"/>
          <w:lang w:val="fr-CA"/>
        </w:rPr>
        <w:t xml:space="preserve"> / Jugement : Le </w:t>
      </w:r>
      <w:r>
        <w:rPr>
          <w:sz w:val="20"/>
          <w:szCs w:val="20"/>
          <w:lang w:val="fr-CA"/>
        </w:rPr>
        <w:t>1</w:t>
      </w:r>
      <w:r w:rsidR="00757AEB">
        <w:rPr>
          <w:sz w:val="20"/>
          <w:szCs w:val="20"/>
          <w:lang w:val="fr-CA"/>
        </w:rPr>
        <w:t>4 ju</w:t>
      </w:r>
      <w:r>
        <w:rPr>
          <w:sz w:val="20"/>
          <w:szCs w:val="20"/>
          <w:lang w:val="fr-CA"/>
        </w:rPr>
        <w:t>i</w:t>
      </w:r>
      <w:r w:rsidR="00757AEB">
        <w:rPr>
          <w:sz w:val="20"/>
          <w:szCs w:val="20"/>
          <w:lang w:val="fr-CA"/>
        </w:rPr>
        <w:t>n</w:t>
      </w:r>
      <w:r w:rsidRPr="003B3977">
        <w:rPr>
          <w:sz w:val="20"/>
          <w:szCs w:val="20"/>
          <w:lang w:val="fr-CA"/>
        </w:rPr>
        <w:t xml:space="preserve"> 201</w:t>
      </w:r>
      <w:r>
        <w:rPr>
          <w:sz w:val="20"/>
          <w:szCs w:val="20"/>
          <w:lang w:val="fr-CA"/>
        </w:rPr>
        <w:t>3</w:t>
      </w:r>
    </w:p>
    <w:p w:rsidR="005C6840" w:rsidRPr="003B3977" w:rsidRDefault="00B3404D" w:rsidP="005C6840">
      <w:pPr>
        <w:rPr>
          <w:sz w:val="20"/>
          <w:szCs w:val="20"/>
          <w:lang w:val="fr-CA"/>
        </w:rPr>
      </w:pPr>
      <w:r w:rsidRPr="00B3404D">
        <w:rPr>
          <w:i/>
          <w:sz w:val="20"/>
          <w:szCs w:val="20"/>
        </w:rPr>
        <w:pict>
          <v:rect id="_x0000_i1117"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4E1363" w:rsidRPr="006A7BF6" w:rsidRDefault="004E1363" w:rsidP="004E1363">
      <w:pPr>
        <w:jc w:val="both"/>
        <w:rPr>
          <w:sz w:val="20"/>
          <w:szCs w:val="20"/>
        </w:rPr>
      </w:pPr>
      <w:r w:rsidRPr="006A7BF6">
        <w:rPr>
          <w:sz w:val="20"/>
          <w:szCs w:val="20"/>
        </w:rPr>
        <w:t>Present:  McLachlin C.J. and LeBel, Fish, Abella, Rothstein, Cromwell, Moldaver, Karakatsanis and Wagner JJ.</w:t>
      </w:r>
    </w:p>
    <w:p w:rsidR="004E1363" w:rsidRDefault="004E1363" w:rsidP="004E1363">
      <w:pPr>
        <w:pStyle w:val="SCCLowerCourtNameLowercase"/>
        <w:spacing w:line="240" w:lineRule="auto"/>
        <w:rPr>
          <w:sz w:val="20"/>
        </w:rPr>
      </w:pPr>
    </w:p>
    <w:p w:rsidR="004E1363" w:rsidRPr="006A7BF6" w:rsidRDefault="004E1363" w:rsidP="004E1363">
      <w:pPr>
        <w:pStyle w:val="SCCNormalDoubleSpacing"/>
        <w:spacing w:line="240" w:lineRule="auto"/>
        <w:rPr>
          <w:i/>
          <w:sz w:val="20"/>
        </w:rPr>
      </w:pPr>
      <w:r w:rsidRPr="006A7BF6">
        <w:rPr>
          <w:sz w:val="20"/>
        </w:rPr>
        <w:tab/>
      </w:r>
      <w:r w:rsidRPr="006A7BF6">
        <w:rPr>
          <w:i/>
          <w:sz w:val="20"/>
        </w:rPr>
        <w:t>Labour relations — Arbitration — Collective agreements — Management rights — Privacy — Employer unilaterally imposing mandatory random alcohol testing policy for employees — Whether unilaterally implementing random testing policy a valid exercise of employer’s management rights under collective agreement — Whether employer could unilaterally implement policy absent reasonable cause or evidence of workplace alcohol abuse.</w:t>
      </w:r>
    </w:p>
    <w:p w:rsidR="004E1363" w:rsidRDefault="004E1363" w:rsidP="004E1363">
      <w:pPr>
        <w:pStyle w:val="SCCNormalDoubleSpacing"/>
        <w:spacing w:line="240" w:lineRule="auto"/>
        <w:rPr>
          <w:i/>
          <w:sz w:val="20"/>
        </w:rPr>
      </w:pPr>
    </w:p>
    <w:p w:rsidR="004E1363" w:rsidRPr="006A7BF6" w:rsidRDefault="004E1363" w:rsidP="004E1363">
      <w:pPr>
        <w:pStyle w:val="SCCNormalDoubleSpacing"/>
        <w:spacing w:line="240" w:lineRule="auto"/>
        <w:rPr>
          <w:i/>
          <w:sz w:val="20"/>
        </w:rPr>
      </w:pPr>
      <w:r w:rsidRPr="006A7BF6">
        <w:rPr>
          <w:i/>
          <w:sz w:val="20"/>
        </w:rPr>
        <w:tab/>
        <w:t>Administrative law — Judicial review — Standard of review of labour arbitration board’s decision — Employer unilaterally imposing mandatory random alcohol testing policy for employees holding safety</w:t>
      </w:r>
      <w:r w:rsidRPr="006A7BF6">
        <w:rPr>
          <w:i/>
          <w:sz w:val="20"/>
        </w:rPr>
        <w:noBreakHyphen/>
        <w:t>sensitive positions — Whether arbitration board’s decision that harm to employees’ privacy outweighed policy’s benefits to employer was reasonable.</w:t>
      </w:r>
    </w:p>
    <w:p w:rsidR="004E1363" w:rsidRDefault="004E1363" w:rsidP="004E1363">
      <w:pPr>
        <w:pStyle w:val="SCCNormalDoubleSpacing"/>
        <w:spacing w:line="240" w:lineRule="auto"/>
        <w:rPr>
          <w:sz w:val="20"/>
        </w:rPr>
      </w:pPr>
    </w:p>
    <w:p w:rsidR="004E1363" w:rsidRPr="006A7BF6" w:rsidRDefault="004E1363" w:rsidP="004E1363">
      <w:pPr>
        <w:pStyle w:val="SCCNormalDoubleSpacing"/>
        <w:spacing w:line="240" w:lineRule="auto"/>
        <w:rPr>
          <w:sz w:val="20"/>
        </w:rPr>
      </w:pPr>
      <w:r w:rsidRPr="006A7BF6">
        <w:rPr>
          <w:sz w:val="20"/>
        </w:rPr>
        <w:tab/>
        <w:t xml:space="preserve">The Union brought a grievance challenging the mandatory random alcohol testing aspect of a policy on alcohol and drug use that the employer, Irving, unilaterally implemented at a paper mill.  Under the policy, 10% of employees in safety sensitive positions were to be randomly selected for unannounced breathalyser testing over the course of a year.  A positive test for alcohol attracted significant disciplinary action, including dismissal.  </w:t>
      </w:r>
    </w:p>
    <w:p w:rsidR="004E1363" w:rsidRDefault="004E1363" w:rsidP="004E1363">
      <w:pPr>
        <w:pStyle w:val="SCCNormalDoubleSpacing"/>
        <w:spacing w:line="240" w:lineRule="auto"/>
        <w:rPr>
          <w:sz w:val="20"/>
        </w:rPr>
      </w:pPr>
    </w:p>
    <w:p w:rsidR="004E1363" w:rsidRPr="006A7BF6" w:rsidRDefault="004E1363" w:rsidP="004E1363">
      <w:pPr>
        <w:pStyle w:val="SCCNormalDoubleSpacing"/>
        <w:spacing w:line="240" w:lineRule="auto"/>
        <w:rPr>
          <w:sz w:val="20"/>
        </w:rPr>
      </w:pPr>
      <w:r w:rsidRPr="006A7BF6">
        <w:rPr>
          <w:sz w:val="20"/>
        </w:rPr>
        <w:tab/>
        <w:t xml:space="preserve">The arbitration board allowed the grievance.  Weighing the employer’s interest in random alcohol testing as a workplace safety measure against the harm to the privacy interests of the employees, a majority of the board concluded that the random testing policy was unjustified because of the absence of evidence of an existing problem with alcohol use in the workplace.  On judicial review, the board’s award was set aside as unreasonable.  The New Brunswick Court of Appeal dismissed the appeal.  </w:t>
      </w:r>
    </w:p>
    <w:p w:rsidR="004E1363" w:rsidRDefault="004E1363" w:rsidP="004E1363">
      <w:pPr>
        <w:pStyle w:val="SCCNormalDoubleSpacing"/>
        <w:spacing w:line="240" w:lineRule="auto"/>
        <w:rPr>
          <w:sz w:val="20"/>
        </w:rPr>
      </w:pPr>
    </w:p>
    <w:p w:rsidR="004E1363" w:rsidRPr="006A7BF6" w:rsidRDefault="004E1363" w:rsidP="004E1363">
      <w:pPr>
        <w:pStyle w:val="SCCNormalDoubleSpacing"/>
        <w:spacing w:line="240" w:lineRule="auto"/>
        <w:rPr>
          <w:sz w:val="20"/>
        </w:rPr>
      </w:pPr>
      <w:r w:rsidRPr="006A7BF6">
        <w:rPr>
          <w:sz w:val="20"/>
        </w:rPr>
        <w:tab/>
      </w:r>
      <w:r w:rsidRPr="006A7BF6">
        <w:rPr>
          <w:i/>
          <w:sz w:val="20"/>
        </w:rPr>
        <w:t xml:space="preserve">Held </w:t>
      </w:r>
      <w:r w:rsidRPr="006A7BF6">
        <w:rPr>
          <w:sz w:val="20"/>
        </w:rPr>
        <w:t xml:space="preserve">(McLachlin C.J. and Rothstein and Moldaver JJ. dissenting):  The appeal should be allowed. </w:t>
      </w:r>
    </w:p>
    <w:p w:rsidR="004E1363" w:rsidRDefault="004E1363" w:rsidP="004E1363">
      <w:pPr>
        <w:pStyle w:val="SCCNormalDoubleSpacing"/>
        <w:spacing w:line="240" w:lineRule="auto"/>
        <w:rPr>
          <w:sz w:val="20"/>
        </w:rPr>
      </w:pPr>
    </w:p>
    <w:p w:rsidR="004E1363" w:rsidRPr="006A7BF6" w:rsidRDefault="004E1363" w:rsidP="004E1363">
      <w:pPr>
        <w:pStyle w:val="SCCNormalDoubleSpacing"/>
        <w:spacing w:line="240" w:lineRule="auto"/>
        <w:rPr>
          <w:sz w:val="20"/>
          <w:lang w:val="en-US"/>
        </w:rPr>
      </w:pPr>
      <w:r w:rsidRPr="006A7BF6">
        <w:rPr>
          <w:sz w:val="20"/>
        </w:rPr>
        <w:tab/>
      </w:r>
      <w:r w:rsidRPr="006A7BF6">
        <w:rPr>
          <w:i/>
          <w:sz w:val="20"/>
        </w:rPr>
        <w:t>Per</w:t>
      </w:r>
      <w:r w:rsidRPr="006A7BF6">
        <w:rPr>
          <w:sz w:val="20"/>
        </w:rPr>
        <w:t xml:space="preserve"> LeBel, Fish, </w:t>
      </w:r>
      <w:r w:rsidRPr="006A7BF6">
        <w:rPr>
          <w:b/>
          <w:sz w:val="20"/>
        </w:rPr>
        <w:t>Abella</w:t>
      </w:r>
      <w:r w:rsidRPr="006A7BF6">
        <w:rPr>
          <w:sz w:val="20"/>
        </w:rPr>
        <w:t>, Cromwell, Karakatsanis and Wagner JJ.:  The legal issue at the heart of this case is the interpretation of the management rights clause of a collective agreement.  The scope of management’s unilateral rule</w:t>
      </w:r>
      <w:r w:rsidRPr="006A7BF6">
        <w:rPr>
          <w:sz w:val="20"/>
        </w:rPr>
        <w:noBreakHyphen/>
        <w:t>making authority under a collective agreement is that any rule or policy unilaterally imposed by an employer and not subsequently agreed to by the union must be</w:t>
      </w:r>
      <w:r w:rsidRPr="006A7BF6">
        <w:rPr>
          <w:sz w:val="20"/>
          <w:lang w:val="en-US"/>
        </w:rPr>
        <w:t xml:space="preserve"> consistent with the collective agreement and be reasonable</w:t>
      </w:r>
      <w:r w:rsidRPr="006A7BF6">
        <w:rPr>
          <w:sz w:val="20"/>
          <w:lang w:bidi="en-US"/>
        </w:rPr>
        <w:t>.</w:t>
      </w:r>
    </w:p>
    <w:p w:rsidR="004E1363" w:rsidRDefault="004E1363" w:rsidP="004E1363">
      <w:pPr>
        <w:pStyle w:val="SCCNormalDoubleSpacing"/>
        <w:spacing w:line="240" w:lineRule="auto"/>
        <w:rPr>
          <w:sz w:val="20"/>
        </w:rPr>
      </w:pPr>
    </w:p>
    <w:p w:rsidR="004E1363" w:rsidRPr="006A7BF6" w:rsidRDefault="004E1363" w:rsidP="004E1363">
      <w:pPr>
        <w:pStyle w:val="SCCNormalDoubleSpacing"/>
        <w:spacing w:line="240" w:lineRule="auto"/>
        <w:rPr>
          <w:sz w:val="20"/>
        </w:rPr>
      </w:pPr>
      <w:r w:rsidRPr="006A7BF6">
        <w:rPr>
          <w:sz w:val="20"/>
        </w:rPr>
        <w:tab/>
        <w:t xml:space="preserve">A substantial body of arbitral jurisprudence has developed around the unilateral exercise of management rights in a safety context resulting in a carefully calibrated “balancing of interests” proportionality approach.  Under it, and built around the hallmark collective bargaining tenet that an employee can only be disciplined for reasonable cause, an employer can impose a rule with disciplinary consequences only if the need for the rule outweighs the harmful impact on employees’ privacy rights.  This approach has resulted in a consistent arbitral jurisprudence whereby arbitrators have found that when a workplace is dangerous, an employer can test an individual employee if there is reasonable cause to believe that the employee was impaired while on duty, was involved in a workplace accident or incident, or was returning to work after treatment for substance abuse. </w:t>
      </w:r>
    </w:p>
    <w:p w:rsidR="004E1363" w:rsidRDefault="004E1363" w:rsidP="004E1363">
      <w:pPr>
        <w:pStyle w:val="SCCNormalDoubleSpacing"/>
        <w:spacing w:line="240" w:lineRule="auto"/>
        <w:rPr>
          <w:sz w:val="20"/>
        </w:rPr>
      </w:pPr>
    </w:p>
    <w:p w:rsidR="004E1363" w:rsidRPr="006A7BF6" w:rsidRDefault="004E1363" w:rsidP="004E1363">
      <w:pPr>
        <w:pStyle w:val="SCCNormalDoubleSpacing"/>
        <w:spacing w:line="240" w:lineRule="auto"/>
        <w:rPr>
          <w:sz w:val="20"/>
          <w:lang w:val="en-US"/>
        </w:rPr>
      </w:pPr>
      <w:r w:rsidRPr="006A7BF6">
        <w:rPr>
          <w:sz w:val="20"/>
        </w:rPr>
        <w:tab/>
        <w:t xml:space="preserve">A unilaterally imposed policy of mandatory random testing for employees in a dangerous workplace has been overwhelmingly rejected by arbitrators as an unjustified affront to the dignity and privacy of employees unless there is </w:t>
      </w:r>
      <w:r w:rsidRPr="006A7BF6">
        <w:rPr>
          <w:sz w:val="20"/>
          <w:lang w:val="en-US"/>
        </w:rPr>
        <w:t xml:space="preserve">evidence of enhanced safety risks, such as evidence of a general problem with substance abuse in the workplace.  </w:t>
      </w:r>
      <w:r w:rsidRPr="006A7BF6">
        <w:rPr>
          <w:sz w:val="20"/>
        </w:rPr>
        <w:t xml:space="preserve">The dangerousness of a workplace is clearly relevant, but this does not shut down the inquiry, it begins the proportionality exercise.  </w:t>
      </w:r>
      <w:r w:rsidRPr="006A7BF6">
        <w:rPr>
          <w:sz w:val="20"/>
          <w:lang w:val="en-US"/>
        </w:rPr>
        <w:t xml:space="preserve">It has never been found to be an automatic justification for the unilateral imposition of unfettered random testing with disciplinary consequences. </w:t>
      </w:r>
    </w:p>
    <w:p w:rsidR="004E1363" w:rsidRDefault="004E1363" w:rsidP="004E1363">
      <w:pPr>
        <w:pStyle w:val="SCCNormalDoubleSpacing"/>
        <w:spacing w:line="240" w:lineRule="auto"/>
        <w:rPr>
          <w:sz w:val="20"/>
        </w:rPr>
      </w:pPr>
    </w:p>
    <w:p w:rsidR="004E1363" w:rsidRPr="006A7BF6" w:rsidRDefault="004E1363" w:rsidP="004E1363">
      <w:pPr>
        <w:pStyle w:val="SCCNormalDoubleSpacing"/>
        <w:spacing w:line="240" w:lineRule="auto"/>
        <w:rPr>
          <w:sz w:val="20"/>
        </w:rPr>
      </w:pPr>
      <w:r w:rsidRPr="006A7BF6">
        <w:rPr>
          <w:sz w:val="20"/>
        </w:rPr>
        <w:tab/>
        <w:t xml:space="preserve">In this case, the expected safety gains to the employer were found by the board to range from uncertain to minimal, while the impact on employee privacy was severe.  </w:t>
      </w:r>
      <w:r w:rsidRPr="006A7BF6">
        <w:rPr>
          <w:sz w:val="20"/>
          <w:lang w:val="en-US"/>
        </w:rPr>
        <w:t>The</w:t>
      </w:r>
      <w:r w:rsidRPr="006A7BF6">
        <w:rPr>
          <w:b/>
          <w:sz w:val="20"/>
          <w:lang w:val="en-US"/>
        </w:rPr>
        <w:t xml:space="preserve"> </w:t>
      </w:r>
      <w:r w:rsidRPr="006A7BF6">
        <w:rPr>
          <w:sz w:val="20"/>
          <w:lang w:val="en-US"/>
        </w:rPr>
        <w:t>board concluded that 8 alcohol</w:t>
      </w:r>
      <w:r w:rsidRPr="006A7BF6">
        <w:rPr>
          <w:sz w:val="20"/>
          <w:lang w:val="en-US"/>
        </w:rPr>
        <w:noBreakHyphen/>
        <w:t>related incidents at the Irving mill over a 15</w:t>
      </w:r>
      <w:r w:rsidRPr="006A7BF6">
        <w:rPr>
          <w:sz w:val="20"/>
          <w:lang w:val="en-US"/>
        </w:rPr>
        <w:noBreakHyphen/>
        <w:t xml:space="preserve">year period did not reflect the requisite problem with workplace alcohol use.  </w:t>
      </w:r>
      <w:r w:rsidRPr="006A7BF6">
        <w:rPr>
          <w:sz w:val="20"/>
        </w:rPr>
        <w:t>Consequently, the employer had not demonstrated the requisite safety concerns that would justify universal random testing.  As a result, the employer exceeded the scope of its rights under the collective agreement.</w:t>
      </w:r>
    </w:p>
    <w:p w:rsidR="004E1363" w:rsidRDefault="004E1363" w:rsidP="004E1363">
      <w:pPr>
        <w:pStyle w:val="SCCNormalDoubleSpacing"/>
        <w:spacing w:line="240" w:lineRule="auto"/>
        <w:rPr>
          <w:sz w:val="20"/>
        </w:rPr>
      </w:pPr>
    </w:p>
    <w:p w:rsidR="004E1363" w:rsidRPr="006A7BF6" w:rsidRDefault="004E1363" w:rsidP="004E1363">
      <w:pPr>
        <w:pStyle w:val="SCCNormalDoubleSpacing"/>
        <w:spacing w:line="240" w:lineRule="auto"/>
        <w:rPr>
          <w:sz w:val="20"/>
        </w:rPr>
      </w:pPr>
      <w:r w:rsidRPr="006A7BF6">
        <w:rPr>
          <w:sz w:val="20"/>
        </w:rPr>
        <w:tab/>
        <w:t>The applicable standard for reviewing the decision of the labour arbitrator is reasonableness.  The board’s decision must be approached as an organic whole, not as a line</w:t>
      </w:r>
      <w:r w:rsidRPr="006A7BF6">
        <w:rPr>
          <w:sz w:val="20"/>
        </w:rPr>
        <w:noBreakHyphen/>
        <w:t>by</w:t>
      </w:r>
      <w:r w:rsidRPr="006A7BF6">
        <w:rPr>
          <w:sz w:val="20"/>
        </w:rPr>
        <w:noBreakHyphen/>
        <w:t>line treasure hunt for error.  In this case, based on the findings of fact and the relevant jurisprudence, the decision was a reasonable one.</w:t>
      </w:r>
    </w:p>
    <w:p w:rsidR="004E1363" w:rsidRDefault="004E1363" w:rsidP="004E1363">
      <w:pPr>
        <w:pStyle w:val="SCCNormalDoubleSpacing"/>
        <w:spacing w:line="240" w:lineRule="auto"/>
        <w:rPr>
          <w:sz w:val="20"/>
        </w:rPr>
      </w:pPr>
    </w:p>
    <w:p w:rsidR="004E1363" w:rsidRPr="006A7BF6" w:rsidRDefault="004E1363" w:rsidP="004E1363">
      <w:pPr>
        <w:pStyle w:val="SCCNormalDoubleSpacing"/>
        <w:spacing w:line="240" w:lineRule="auto"/>
        <w:rPr>
          <w:sz w:val="20"/>
        </w:rPr>
      </w:pPr>
      <w:r w:rsidRPr="006A7BF6">
        <w:rPr>
          <w:sz w:val="20"/>
        </w:rPr>
        <w:tab/>
      </w:r>
      <w:r w:rsidRPr="006A7BF6">
        <w:rPr>
          <w:i/>
          <w:sz w:val="20"/>
        </w:rPr>
        <w:t xml:space="preserve">Per </w:t>
      </w:r>
      <w:r w:rsidRPr="006A7BF6">
        <w:rPr>
          <w:sz w:val="20"/>
        </w:rPr>
        <w:t xml:space="preserve">McLachlin C.J. and </w:t>
      </w:r>
      <w:r w:rsidRPr="006A7BF6">
        <w:rPr>
          <w:b/>
          <w:sz w:val="20"/>
        </w:rPr>
        <w:t>Rothstein</w:t>
      </w:r>
      <w:r w:rsidRPr="006A7BF6">
        <w:rPr>
          <w:sz w:val="20"/>
        </w:rPr>
        <w:t xml:space="preserve"> and </w:t>
      </w:r>
      <w:r w:rsidRPr="006A7BF6">
        <w:rPr>
          <w:b/>
          <w:sz w:val="20"/>
        </w:rPr>
        <w:t>Moldaver</w:t>
      </w:r>
      <w:r w:rsidRPr="006A7BF6">
        <w:rPr>
          <w:sz w:val="20"/>
        </w:rPr>
        <w:t xml:space="preserve"> JJ. (dissenting):  There is agreement with the majority that the standard of review is reasonableness.  However, there is disagreement as to the application of that standard.  In striking down the policy, the board departed from an arbitral consensus that has attempted to strike a balance between competing interests in privacy and safety in the workplace.  In so doing, it came to an unreasonable decision.  </w:t>
      </w:r>
    </w:p>
    <w:p w:rsidR="004E1363" w:rsidRDefault="004E1363" w:rsidP="004E1363">
      <w:pPr>
        <w:pStyle w:val="SCCNormalDoubleSpacing"/>
        <w:spacing w:line="240" w:lineRule="auto"/>
        <w:rPr>
          <w:sz w:val="20"/>
        </w:rPr>
      </w:pPr>
    </w:p>
    <w:p w:rsidR="004E1363" w:rsidRPr="006A7BF6" w:rsidRDefault="004E1363" w:rsidP="004E1363">
      <w:pPr>
        <w:pStyle w:val="SCCNormalDoubleSpacing"/>
        <w:spacing w:line="240" w:lineRule="auto"/>
        <w:rPr>
          <w:sz w:val="20"/>
        </w:rPr>
      </w:pPr>
      <w:r w:rsidRPr="006A7BF6">
        <w:rPr>
          <w:sz w:val="20"/>
        </w:rPr>
        <w:tab/>
        <w:t>This case asks whether management’s exercise of its unilateral rule</w:t>
      </w:r>
      <w:r w:rsidRPr="006A7BF6">
        <w:rPr>
          <w:sz w:val="20"/>
        </w:rPr>
        <w:noBreakHyphen/>
        <w:t>making power can be justified under a collective agreement.  That question is one the New Brunswick legislature has delegated to labour arbitrators.  Their decisions are entitled to a protected zone of deference in which the courts should not willingly enter as competing arbiters of labour policy.  Reasonable people may well differ about the wisdom of the legislative choice to entrust labour arbitrators with a policy</w:t>
      </w:r>
      <w:r w:rsidRPr="006A7BF6">
        <w:rPr>
          <w:sz w:val="20"/>
        </w:rPr>
        <w:noBreakHyphen/>
        <w:t xml:space="preserve">making function that potentially carries serious repercussions for public safety.  Indeed, the fact that the public interest — not merely that of employer and employee — is relevant in cases such as this one may counsel a reassessment of that choice.  But that decision is one for the New Brunswick legislature, not this Court.  </w:t>
      </w:r>
    </w:p>
    <w:p w:rsidR="004E1363" w:rsidRDefault="004E1363" w:rsidP="004E1363">
      <w:pPr>
        <w:pStyle w:val="SCCNormalDoubleSpacing"/>
        <w:spacing w:line="240" w:lineRule="auto"/>
        <w:rPr>
          <w:sz w:val="20"/>
        </w:rPr>
      </w:pPr>
    </w:p>
    <w:p w:rsidR="004E1363" w:rsidRPr="006A7BF6" w:rsidRDefault="004E1363" w:rsidP="004E1363">
      <w:pPr>
        <w:pStyle w:val="SCCNormalDoubleSpacing"/>
        <w:spacing w:line="240" w:lineRule="auto"/>
        <w:rPr>
          <w:sz w:val="20"/>
        </w:rPr>
      </w:pPr>
      <w:r w:rsidRPr="006A7BF6">
        <w:rPr>
          <w:sz w:val="20"/>
        </w:rPr>
        <w:tab/>
        <w:t>Nevertheless, under reasonableness review there is a difference between judicial abdication and judicial restraint.  To the extent a particular arbitral award is unreasonable — as this one is — it remains liable to being set aside on judicial review.</w:t>
      </w:r>
    </w:p>
    <w:p w:rsidR="004E1363" w:rsidRDefault="004E1363" w:rsidP="004E1363">
      <w:pPr>
        <w:pStyle w:val="SCCNormalDoubleSpacing"/>
        <w:spacing w:line="240" w:lineRule="auto"/>
        <w:rPr>
          <w:sz w:val="20"/>
        </w:rPr>
      </w:pPr>
    </w:p>
    <w:p w:rsidR="004E1363" w:rsidRPr="006A7BF6" w:rsidRDefault="004E1363" w:rsidP="004E1363">
      <w:pPr>
        <w:pStyle w:val="SCCNormalDoubleSpacing"/>
        <w:spacing w:line="240" w:lineRule="auto"/>
        <w:rPr>
          <w:sz w:val="20"/>
        </w:rPr>
      </w:pPr>
      <w:r w:rsidRPr="006A7BF6">
        <w:rPr>
          <w:sz w:val="20"/>
        </w:rPr>
        <w:tab/>
        <w:t xml:space="preserve">Where arbitral consensus exists, it raises a presumption — for the parties, labour arbitrators, and the courts — that subsequent arbitral decisions will follow those precedents.  Consistent rules and decisions are fundamental to the rule of law.  Therefore, arbitral precedents in previous cases concerning management’s unilateral adoption of a random alcohol testing policy shape the contours of what qualifies as a reasonable decision in this case. </w:t>
      </w:r>
    </w:p>
    <w:p w:rsidR="004E1363" w:rsidRDefault="004E1363" w:rsidP="004E1363">
      <w:pPr>
        <w:pStyle w:val="SCCNormalDoubleSpacing"/>
        <w:spacing w:line="240" w:lineRule="auto"/>
        <w:rPr>
          <w:sz w:val="20"/>
        </w:rPr>
      </w:pPr>
    </w:p>
    <w:p w:rsidR="004E1363" w:rsidRPr="006A7BF6" w:rsidRDefault="004E1363" w:rsidP="004E1363">
      <w:pPr>
        <w:pStyle w:val="SCCNormalDoubleSpacing"/>
        <w:spacing w:line="240" w:lineRule="auto"/>
        <w:rPr>
          <w:sz w:val="20"/>
          <w:lang w:bidi="en-US"/>
        </w:rPr>
      </w:pPr>
      <w:r w:rsidRPr="006A7BF6">
        <w:rPr>
          <w:sz w:val="20"/>
        </w:rPr>
        <w:tab/>
        <w:t xml:space="preserve">The arbitral jurisprudence does not recognize an unqualified right of employers to unilaterally impose workplace rules on their employees outside of the collective bargaining process.  Rather, the onus is on the employer to justify such rules based on compliance with standards established by the arbitral jurisprudence.  </w:t>
      </w:r>
      <w:r w:rsidRPr="006A7BF6">
        <w:rPr>
          <w:sz w:val="20"/>
          <w:lang w:bidi="en-US"/>
        </w:rPr>
        <w:t xml:space="preserve">In this case, the only standard in dispute was the reasonableness of the policy.  </w:t>
      </w:r>
      <w:r w:rsidRPr="006A7BF6">
        <w:rPr>
          <w:sz w:val="20"/>
        </w:rPr>
        <w:t>The key question is the threshold of evidence that the employer was required to introduce in order to meet its burden to demonstrate reasonableness and thereby justify its random alcohol testing policy.</w:t>
      </w:r>
    </w:p>
    <w:p w:rsidR="004E1363" w:rsidRDefault="004E1363" w:rsidP="004E1363">
      <w:pPr>
        <w:pStyle w:val="SCCNormalDoubleSpacing"/>
        <w:spacing w:line="240" w:lineRule="auto"/>
        <w:rPr>
          <w:sz w:val="20"/>
          <w:lang w:bidi="en-US"/>
        </w:rPr>
      </w:pPr>
    </w:p>
    <w:p w:rsidR="004E1363" w:rsidRPr="006A7BF6" w:rsidRDefault="004E1363" w:rsidP="004E1363">
      <w:pPr>
        <w:pStyle w:val="SCCNormalDoubleSpacing"/>
        <w:spacing w:line="240" w:lineRule="auto"/>
        <w:rPr>
          <w:sz w:val="20"/>
        </w:rPr>
      </w:pPr>
      <w:r w:rsidRPr="006A7BF6">
        <w:rPr>
          <w:sz w:val="20"/>
          <w:lang w:bidi="en-US"/>
        </w:rPr>
        <w:tab/>
      </w:r>
      <w:r w:rsidRPr="006A7BF6">
        <w:rPr>
          <w:sz w:val="20"/>
        </w:rPr>
        <w:t>From a review of the relevant arbitral decisions, what emerges is an arbitral consensus that an employer must demonstrate evidence of an alcohol problem in the workplace</w:t>
      </w:r>
      <w:r w:rsidRPr="006A7BF6">
        <w:rPr>
          <w:i/>
          <w:sz w:val="20"/>
        </w:rPr>
        <w:t xml:space="preserve"> </w:t>
      </w:r>
      <w:r w:rsidRPr="006A7BF6">
        <w:rPr>
          <w:sz w:val="20"/>
        </w:rPr>
        <w:t>in order to justify a random alcohol testing policy.  That is the evidentiary threshold accepted by arbitrators who have upheld such policies and those who have struck them down.  Thus, barring some explanation, whether implicit or explicit, for its basis for departing from it, that is the evidentiary threshold the board in this case should have applied.  That is not, however, what the board did.</w:t>
      </w:r>
    </w:p>
    <w:p w:rsidR="004E1363" w:rsidRDefault="004E1363" w:rsidP="004E1363">
      <w:pPr>
        <w:pStyle w:val="SCCNormalDoubleSpacing"/>
        <w:spacing w:line="240" w:lineRule="auto"/>
        <w:rPr>
          <w:sz w:val="20"/>
        </w:rPr>
      </w:pPr>
    </w:p>
    <w:p w:rsidR="004E1363" w:rsidRPr="006A7BF6" w:rsidRDefault="004E1363" w:rsidP="004E1363">
      <w:pPr>
        <w:pStyle w:val="SCCNormalDoubleSpacing"/>
        <w:spacing w:line="240" w:lineRule="auto"/>
        <w:rPr>
          <w:sz w:val="20"/>
        </w:rPr>
      </w:pPr>
      <w:r w:rsidRPr="006A7BF6">
        <w:rPr>
          <w:sz w:val="20"/>
        </w:rPr>
        <w:tab/>
        <w:t xml:space="preserve">Though purporting to apply the test emerging from the arbitral consensus, the board elevated the threshold of evidence that Irving was required to lead in order to justify its random alcohol testing policy and offered no reason for doing so.  The board required evidence of a “significant” or “serious” problem at the Irving mill.  The standard reflected in the arbitral consensus, however, is evidence of “a” problem.  The difference between the two approaches is obviously a marked one and it cannot be ignored.  The board then required that the evidence of alcohol use be tied or causally linked to the accident, injury or near miss history at the plant.  Again, there is no support for such a requirement in the arbitral jurisprudence.  An employer does not have to wait for a serious incident of loss, damage, injury or death to occur before taking action.  To require such a causal connection is not only unreasonable, it is patently absurd.  It is the application of this higher evidentiary standard which dictated the board’s decision to strike down the policy.  The evidence was the decisive factor.  </w:t>
      </w:r>
    </w:p>
    <w:p w:rsidR="004E1363" w:rsidRDefault="004E1363" w:rsidP="004E1363">
      <w:pPr>
        <w:pStyle w:val="SCCNormalDoubleSpacing"/>
        <w:spacing w:line="240" w:lineRule="auto"/>
        <w:rPr>
          <w:sz w:val="20"/>
        </w:rPr>
      </w:pPr>
    </w:p>
    <w:p w:rsidR="004E1363" w:rsidRPr="006A7BF6" w:rsidRDefault="004E1363" w:rsidP="004E1363">
      <w:pPr>
        <w:pStyle w:val="SCCNormalDoubleSpacing"/>
        <w:spacing w:line="240" w:lineRule="auto"/>
        <w:rPr>
          <w:sz w:val="20"/>
        </w:rPr>
      </w:pPr>
      <w:r w:rsidRPr="006A7BF6">
        <w:rPr>
          <w:sz w:val="20"/>
        </w:rPr>
        <w:tab/>
        <w:t xml:space="preserve">To be clear, it was open for the board in this case to depart from the arbitral consensus in reaching its conclusion, provided it had a reasonable basis for doing so.  In so departing, it was thus incumbent upon the board to provide some explanation for its reasoning.  Here, the board provided no explanation whatsoever — whether implicit or explicit, reasonable or unreasonable — for the new evidentiary standard that it applied.  In the absence of a reasonable explanation for its novel test, the board must be taken as having misapplied the existing test, which in the circumstances of this case rendered its decision unreasonable. </w:t>
      </w:r>
    </w:p>
    <w:p w:rsidR="004E1363" w:rsidRDefault="004E1363" w:rsidP="004E1363">
      <w:pPr>
        <w:pStyle w:val="SCCNormalDoubleSpacing"/>
        <w:spacing w:line="240" w:lineRule="auto"/>
        <w:rPr>
          <w:sz w:val="20"/>
        </w:rPr>
      </w:pPr>
    </w:p>
    <w:p w:rsidR="004E1363" w:rsidRPr="006A7BF6" w:rsidRDefault="004E1363" w:rsidP="004E1363">
      <w:pPr>
        <w:pStyle w:val="SCCNormalDoubleSpacing"/>
        <w:spacing w:line="240" w:lineRule="auto"/>
        <w:rPr>
          <w:sz w:val="20"/>
        </w:rPr>
      </w:pPr>
      <w:r w:rsidRPr="006A7BF6">
        <w:rPr>
          <w:sz w:val="20"/>
        </w:rPr>
        <w:tab/>
        <w:t>The reasonableness of the board’s reasoning is further undermined by its inference that the risk at the Irving mill was not high based on the fact that only 10 percent of mill employees in safety</w:t>
      </w:r>
      <w:r w:rsidRPr="006A7BF6">
        <w:rPr>
          <w:sz w:val="20"/>
        </w:rPr>
        <w:noBreakHyphen/>
        <w:t>sensitive positions were tested in any given year.  The inference was unreasonable because it failed to recognize that: even low testing percentages can be highly effective; testing a higher</w:t>
      </w:r>
      <w:r w:rsidRPr="006A7BF6">
        <w:rPr>
          <w:i/>
          <w:sz w:val="20"/>
        </w:rPr>
        <w:t xml:space="preserve"> </w:t>
      </w:r>
      <w:r w:rsidRPr="006A7BF6">
        <w:rPr>
          <w:sz w:val="20"/>
        </w:rPr>
        <w:t>percentage of employees in order to establish the reasonableness of a workplace testing policy would perversely incentivize employers and lead to a greater intrusion into the privacy of employees; and the threshold set by Irving is not out of the mainstream for random alcohol testing.</w:t>
      </w:r>
    </w:p>
    <w:p w:rsidR="004E1363" w:rsidRDefault="004E1363" w:rsidP="004E1363">
      <w:pPr>
        <w:pStyle w:val="SCCNormalDoubleSpacing"/>
        <w:spacing w:line="240" w:lineRule="auto"/>
        <w:rPr>
          <w:sz w:val="20"/>
        </w:rPr>
      </w:pPr>
    </w:p>
    <w:p w:rsidR="004E1363" w:rsidRDefault="004E1363" w:rsidP="004E1363">
      <w:pPr>
        <w:pStyle w:val="SCCNormalDoubleSpacing"/>
        <w:spacing w:line="240" w:lineRule="auto"/>
        <w:rPr>
          <w:sz w:val="20"/>
        </w:rPr>
      </w:pPr>
      <w:r w:rsidRPr="006A7BF6">
        <w:rPr>
          <w:sz w:val="20"/>
        </w:rPr>
        <w:tab/>
        <w:t>In sum, the board departed from the legal test emerging from the arbitral consensus by elevating the threshold of evidence Irving was required to introduce in order to justify a policy of random alcohol testing.  In the absence of any explanation whatsoever, it is impossible to understand why the board thought it reasonable to do what it did.  In the circumstances of this case, its decision thus fell outside the range of reasonable outcomes defensible in respect of the facts and law.</w:t>
      </w:r>
    </w:p>
    <w:p w:rsidR="004E1363" w:rsidRDefault="004E1363" w:rsidP="004E1363">
      <w:pPr>
        <w:pStyle w:val="SCCNormalDoubleSpacing"/>
        <w:spacing w:line="240" w:lineRule="auto"/>
        <w:rPr>
          <w:sz w:val="20"/>
        </w:rPr>
      </w:pPr>
    </w:p>
    <w:p w:rsidR="004E1363" w:rsidRPr="006A7BF6" w:rsidRDefault="004E1363" w:rsidP="004E1363">
      <w:pPr>
        <w:pStyle w:val="SCCNormalDoubleSpacing"/>
        <w:spacing w:line="240" w:lineRule="auto"/>
        <w:rPr>
          <w:sz w:val="20"/>
        </w:rPr>
      </w:pPr>
      <w:r w:rsidRPr="006A7BF6">
        <w:rPr>
          <w:sz w:val="20"/>
        </w:rPr>
        <w:tab/>
        <w:t xml:space="preserve">APPEAL from a judgment of the New Brunswick Court of Appeal (Drapeau C.J. and Turnbull and Robertson JJ.A.), </w:t>
      </w:r>
      <w:bookmarkStart w:id="6" w:name="OLE_LINK3"/>
      <w:bookmarkStart w:id="7" w:name="OLE_LINK4"/>
      <w:r w:rsidRPr="006A7BF6">
        <w:rPr>
          <w:sz w:val="20"/>
        </w:rPr>
        <w:t>2011 NBCA 58</w:t>
      </w:r>
      <w:bookmarkEnd w:id="6"/>
      <w:bookmarkEnd w:id="7"/>
      <w:r w:rsidRPr="006A7BF6">
        <w:rPr>
          <w:sz w:val="20"/>
        </w:rPr>
        <w:t>, 375 N.B.R. (2d) 92, 348 D.L.R. (4th) 105, 30 Admin. L.R. (5th) 269, 216 L.A.C. (4th) 418, 969 A.P.R. 92, [2011] N.B.J. No. 230 (QL), 2011 CarswellNB 356, affirming a decision of Grant J., 2010 NBQB 294, 367 N.B.R. (2d) 234, 199 L.A.C. (4th) 321, 946 A.P.R. 234, [2010] N.B.J. No. 331 (QL), 2010 CarswellNB 494, setting aside an award of an arbitration board, [2009] N.B.L.A.A. No. 28 (QL).  Appeal allowed, McLachlin C.J. and Rothstein and Moldaver JJ. dissenting.</w:t>
      </w:r>
    </w:p>
    <w:p w:rsidR="004E1363" w:rsidRDefault="004E1363" w:rsidP="004E1363">
      <w:pPr>
        <w:pStyle w:val="SCCNormalDoubleSpacing"/>
        <w:spacing w:line="240" w:lineRule="auto"/>
        <w:rPr>
          <w:i/>
          <w:sz w:val="20"/>
        </w:rPr>
      </w:pPr>
    </w:p>
    <w:p w:rsidR="004E1363" w:rsidRPr="006A7BF6" w:rsidRDefault="004E1363" w:rsidP="004E1363">
      <w:pPr>
        <w:pStyle w:val="SCCNormalDoubleSpacing"/>
        <w:spacing w:line="240" w:lineRule="auto"/>
        <w:rPr>
          <w:sz w:val="20"/>
        </w:rPr>
      </w:pPr>
      <w:r w:rsidRPr="006A7BF6">
        <w:rPr>
          <w:i/>
          <w:sz w:val="20"/>
        </w:rPr>
        <w:tab/>
        <w:t>Daniel Leger</w:t>
      </w:r>
      <w:r w:rsidRPr="006A7BF6">
        <w:rPr>
          <w:sz w:val="20"/>
        </w:rPr>
        <w:t xml:space="preserve">, </w:t>
      </w:r>
      <w:r w:rsidRPr="006A7BF6">
        <w:rPr>
          <w:i/>
          <w:sz w:val="20"/>
        </w:rPr>
        <w:t>David Mombourquette</w:t>
      </w:r>
      <w:r w:rsidRPr="006A7BF6">
        <w:rPr>
          <w:sz w:val="20"/>
        </w:rPr>
        <w:t xml:space="preserve"> and </w:t>
      </w:r>
      <w:r w:rsidRPr="006A7BF6">
        <w:rPr>
          <w:i/>
          <w:sz w:val="20"/>
        </w:rPr>
        <w:t>Joël Michaud</w:t>
      </w:r>
      <w:r w:rsidRPr="006A7BF6">
        <w:rPr>
          <w:sz w:val="20"/>
        </w:rPr>
        <w:t>, for the appellant.</w:t>
      </w:r>
    </w:p>
    <w:p w:rsidR="004E1363" w:rsidRDefault="004E1363" w:rsidP="004E1363">
      <w:pPr>
        <w:pStyle w:val="SCCNormalDoubleSpacing"/>
        <w:spacing w:line="240" w:lineRule="auto"/>
        <w:rPr>
          <w:i/>
          <w:sz w:val="20"/>
        </w:rPr>
      </w:pPr>
    </w:p>
    <w:p w:rsidR="004E1363" w:rsidRPr="006A7BF6" w:rsidRDefault="004E1363" w:rsidP="004E1363">
      <w:pPr>
        <w:pStyle w:val="SCCNormalDoubleSpacing"/>
        <w:spacing w:line="240" w:lineRule="auto"/>
        <w:rPr>
          <w:sz w:val="20"/>
        </w:rPr>
      </w:pPr>
      <w:r w:rsidRPr="006A7BF6">
        <w:rPr>
          <w:i/>
          <w:sz w:val="20"/>
        </w:rPr>
        <w:tab/>
        <w:t>Neil Finkelstein</w:t>
      </w:r>
      <w:r w:rsidRPr="006A7BF6">
        <w:rPr>
          <w:sz w:val="20"/>
        </w:rPr>
        <w:t xml:space="preserve">, </w:t>
      </w:r>
      <w:r w:rsidRPr="006A7BF6">
        <w:rPr>
          <w:i/>
          <w:sz w:val="20"/>
        </w:rPr>
        <w:t>Steven Mason, Brandon Kain, Byron Shaw</w:t>
      </w:r>
      <w:r w:rsidRPr="006A7BF6">
        <w:rPr>
          <w:sz w:val="20"/>
        </w:rPr>
        <w:t xml:space="preserve"> and </w:t>
      </w:r>
      <w:r w:rsidRPr="006A7BF6">
        <w:rPr>
          <w:i/>
          <w:sz w:val="20"/>
        </w:rPr>
        <w:t>William Goss</w:t>
      </w:r>
      <w:r w:rsidRPr="006A7BF6">
        <w:rPr>
          <w:sz w:val="20"/>
        </w:rPr>
        <w:t xml:space="preserve">, </w:t>
      </w:r>
      <w:r w:rsidRPr="006A7BF6">
        <w:rPr>
          <w:i/>
          <w:sz w:val="20"/>
        </w:rPr>
        <w:t>Q.C.</w:t>
      </w:r>
      <w:r w:rsidRPr="006A7BF6">
        <w:rPr>
          <w:sz w:val="20"/>
        </w:rPr>
        <w:t>, for the respondent.</w:t>
      </w:r>
    </w:p>
    <w:p w:rsidR="004E1363" w:rsidRDefault="004E1363" w:rsidP="004E1363">
      <w:pPr>
        <w:pStyle w:val="SCCNormalDoubleSpacing"/>
        <w:spacing w:line="240" w:lineRule="auto"/>
        <w:rPr>
          <w:i/>
          <w:sz w:val="20"/>
        </w:rPr>
      </w:pPr>
    </w:p>
    <w:p w:rsidR="004E1363" w:rsidRPr="006A7BF6" w:rsidRDefault="004E1363" w:rsidP="004E1363">
      <w:pPr>
        <w:pStyle w:val="SCCNormalDoubleSpacing"/>
        <w:spacing w:line="240" w:lineRule="auto"/>
        <w:rPr>
          <w:sz w:val="20"/>
        </w:rPr>
      </w:pPr>
      <w:r w:rsidRPr="006A7BF6">
        <w:rPr>
          <w:i/>
          <w:sz w:val="20"/>
        </w:rPr>
        <w:tab/>
        <w:t>Barbara B. Johnston</w:t>
      </w:r>
      <w:r w:rsidRPr="006A7BF6">
        <w:rPr>
          <w:sz w:val="20"/>
        </w:rPr>
        <w:t xml:space="preserve"> and </w:t>
      </w:r>
      <w:r w:rsidRPr="006A7BF6">
        <w:rPr>
          <w:i/>
          <w:sz w:val="20"/>
        </w:rPr>
        <w:t>April Kosten</w:t>
      </w:r>
      <w:r w:rsidRPr="006A7BF6">
        <w:rPr>
          <w:sz w:val="20"/>
        </w:rPr>
        <w:t>, for the interveners the Construction Owners Association of Alberta, Construction Labour Relations — an Alberta Association and Enform.</w:t>
      </w:r>
    </w:p>
    <w:p w:rsidR="004E1363" w:rsidRDefault="004E1363" w:rsidP="004E1363">
      <w:pPr>
        <w:pStyle w:val="SCCNormalDoubleSpacing"/>
        <w:spacing w:line="240" w:lineRule="auto"/>
        <w:rPr>
          <w:i/>
          <w:sz w:val="20"/>
        </w:rPr>
      </w:pPr>
    </w:p>
    <w:p w:rsidR="004E1363" w:rsidRPr="006A7BF6" w:rsidRDefault="004E1363" w:rsidP="004E1363">
      <w:pPr>
        <w:pStyle w:val="SCCNormalDoubleSpacing"/>
        <w:spacing w:line="240" w:lineRule="auto"/>
        <w:rPr>
          <w:sz w:val="20"/>
        </w:rPr>
      </w:pPr>
      <w:r w:rsidRPr="006A7BF6">
        <w:rPr>
          <w:i/>
          <w:sz w:val="20"/>
        </w:rPr>
        <w:tab/>
        <w:t>Robert Dupont</w:t>
      </w:r>
      <w:r w:rsidRPr="006A7BF6">
        <w:rPr>
          <w:sz w:val="20"/>
        </w:rPr>
        <w:t xml:space="preserve">, </w:t>
      </w:r>
      <w:r w:rsidRPr="006A7BF6">
        <w:rPr>
          <w:i/>
          <w:sz w:val="20"/>
        </w:rPr>
        <w:t>Simon</w:t>
      </w:r>
      <w:r w:rsidRPr="006A7BF6">
        <w:rPr>
          <w:i/>
          <w:sz w:val="20"/>
        </w:rPr>
        <w:noBreakHyphen/>
        <w:t>Pierre Paquette</w:t>
      </w:r>
      <w:r w:rsidRPr="006A7BF6">
        <w:rPr>
          <w:sz w:val="20"/>
        </w:rPr>
        <w:t xml:space="preserve"> and </w:t>
      </w:r>
      <w:r w:rsidRPr="006A7BF6">
        <w:rPr>
          <w:i/>
          <w:sz w:val="20"/>
        </w:rPr>
        <w:t>Johanne Cavé</w:t>
      </w:r>
      <w:r w:rsidRPr="006A7BF6">
        <w:rPr>
          <w:sz w:val="20"/>
        </w:rPr>
        <w:t>, for the interveners the Canadian National Railway Company, the Canadian Pacific Railway Company and Via Rail Canada Inc.</w:t>
      </w:r>
    </w:p>
    <w:p w:rsidR="004E1363" w:rsidRDefault="004E1363" w:rsidP="004E1363">
      <w:pPr>
        <w:pStyle w:val="SCCNormalDoubleSpacing"/>
        <w:spacing w:line="240" w:lineRule="auto"/>
        <w:rPr>
          <w:sz w:val="20"/>
        </w:rPr>
      </w:pPr>
    </w:p>
    <w:p w:rsidR="004E1363" w:rsidRPr="006A7BF6" w:rsidRDefault="004E1363" w:rsidP="004E1363">
      <w:pPr>
        <w:pStyle w:val="SCCNormalDoubleSpacing"/>
        <w:spacing w:line="240" w:lineRule="auto"/>
        <w:rPr>
          <w:sz w:val="20"/>
        </w:rPr>
      </w:pPr>
      <w:r w:rsidRPr="006A7BF6">
        <w:rPr>
          <w:sz w:val="20"/>
        </w:rPr>
        <w:tab/>
        <w:t>Written submissions only by</w:t>
      </w:r>
      <w:r w:rsidRPr="006A7BF6">
        <w:rPr>
          <w:i/>
          <w:sz w:val="20"/>
        </w:rPr>
        <w:t xml:space="preserve"> Ritu Khullar </w:t>
      </w:r>
      <w:r w:rsidRPr="006A7BF6">
        <w:rPr>
          <w:sz w:val="20"/>
        </w:rPr>
        <w:t>and</w:t>
      </w:r>
      <w:r w:rsidRPr="006A7BF6">
        <w:rPr>
          <w:i/>
          <w:sz w:val="20"/>
        </w:rPr>
        <w:t xml:space="preserve"> John Carpenter</w:t>
      </w:r>
      <w:r w:rsidRPr="006A7BF6">
        <w:rPr>
          <w:sz w:val="20"/>
        </w:rPr>
        <w:t>, for the intervener the Alberta Federation of Labour.</w:t>
      </w:r>
    </w:p>
    <w:p w:rsidR="004E1363" w:rsidRDefault="004E1363" w:rsidP="004E1363">
      <w:pPr>
        <w:pStyle w:val="SCCNormalDoubleSpacing"/>
        <w:spacing w:line="240" w:lineRule="auto"/>
        <w:rPr>
          <w:i/>
          <w:sz w:val="20"/>
        </w:rPr>
      </w:pPr>
    </w:p>
    <w:p w:rsidR="004E1363" w:rsidRPr="006A7BF6" w:rsidRDefault="004E1363" w:rsidP="004E1363">
      <w:pPr>
        <w:pStyle w:val="SCCNormalDoubleSpacing"/>
        <w:spacing w:line="240" w:lineRule="auto"/>
        <w:rPr>
          <w:sz w:val="20"/>
        </w:rPr>
      </w:pPr>
      <w:r w:rsidRPr="006A7BF6">
        <w:rPr>
          <w:i/>
          <w:sz w:val="20"/>
        </w:rPr>
        <w:tab/>
        <w:t>Ritu Khullar</w:t>
      </w:r>
      <w:r w:rsidRPr="006A7BF6">
        <w:rPr>
          <w:sz w:val="20"/>
        </w:rPr>
        <w:t>, for the intervener the Communications, Energy and Paperworkers Union of Canada, Local 707.</w:t>
      </w:r>
    </w:p>
    <w:p w:rsidR="004E1363" w:rsidRDefault="004E1363" w:rsidP="004E1363">
      <w:pPr>
        <w:pStyle w:val="SCCNormalDoubleSpacing"/>
        <w:spacing w:line="240" w:lineRule="auto"/>
        <w:rPr>
          <w:i/>
          <w:sz w:val="20"/>
        </w:rPr>
      </w:pPr>
    </w:p>
    <w:p w:rsidR="004E1363" w:rsidRPr="006A7BF6" w:rsidRDefault="004E1363" w:rsidP="004E1363">
      <w:pPr>
        <w:pStyle w:val="SCCNormalDoubleSpacing"/>
        <w:spacing w:line="240" w:lineRule="auto"/>
        <w:rPr>
          <w:sz w:val="20"/>
        </w:rPr>
      </w:pPr>
      <w:r w:rsidRPr="006A7BF6">
        <w:rPr>
          <w:i/>
          <w:sz w:val="20"/>
        </w:rPr>
        <w:tab/>
        <w:t xml:space="preserve">Joshua S. Phillips </w:t>
      </w:r>
      <w:r w:rsidRPr="006A7BF6">
        <w:rPr>
          <w:sz w:val="20"/>
        </w:rPr>
        <w:t>and</w:t>
      </w:r>
      <w:r w:rsidRPr="006A7BF6">
        <w:rPr>
          <w:i/>
          <w:sz w:val="20"/>
        </w:rPr>
        <w:t xml:space="preserve"> Karen Ensslen</w:t>
      </w:r>
      <w:r w:rsidRPr="006A7BF6">
        <w:rPr>
          <w:sz w:val="20"/>
        </w:rPr>
        <w:t>, for the intervener the Canadian Civil Liberties Association.</w:t>
      </w:r>
    </w:p>
    <w:p w:rsidR="004E1363" w:rsidRDefault="004E1363" w:rsidP="004E1363">
      <w:pPr>
        <w:pStyle w:val="SCCNormalDoubleSpacing"/>
        <w:spacing w:line="240" w:lineRule="auto"/>
        <w:rPr>
          <w:i/>
          <w:sz w:val="20"/>
        </w:rPr>
      </w:pPr>
    </w:p>
    <w:p w:rsidR="004E1363" w:rsidRPr="006A7BF6" w:rsidRDefault="004E1363" w:rsidP="004E1363">
      <w:pPr>
        <w:pStyle w:val="SCCNormalDoubleSpacing"/>
        <w:spacing w:line="240" w:lineRule="auto"/>
        <w:rPr>
          <w:sz w:val="20"/>
        </w:rPr>
      </w:pPr>
      <w:r w:rsidRPr="006A7BF6">
        <w:rPr>
          <w:i/>
          <w:sz w:val="20"/>
        </w:rPr>
        <w:tab/>
        <w:t>Norman A. Keith</w:t>
      </w:r>
      <w:r w:rsidRPr="006A7BF6">
        <w:rPr>
          <w:sz w:val="20"/>
        </w:rPr>
        <w:t xml:space="preserve">, </w:t>
      </w:r>
      <w:r w:rsidRPr="006A7BF6">
        <w:rPr>
          <w:i/>
          <w:sz w:val="20"/>
        </w:rPr>
        <w:t>Ailsa Jane Wiggins</w:t>
      </w:r>
      <w:r w:rsidRPr="006A7BF6">
        <w:rPr>
          <w:sz w:val="20"/>
        </w:rPr>
        <w:t xml:space="preserve"> and </w:t>
      </w:r>
      <w:r w:rsidRPr="006A7BF6">
        <w:rPr>
          <w:i/>
          <w:sz w:val="20"/>
        </w:rPr>
        <w:t>Anna Abbott</w:t>
      </w:r>
      <w:r w:rsidRPr="006A7BF6">
        <w:rPr>
          <w:sz w:val="20"/>
        </w:rPr>
        <w:t>, for the intervener the Alliance of Manufacturers &amp; Exporters of Canada, carrying on business as Canadian Manufacturers &amp; Exporters.</w:t>
      </w:r>
    </w:p>
    <w:p w:rsidR="004E1363" w:rsidRDefault="004E1363" w:rsidP="004E1363">
      <w:pPr>
        <w:pStyle w:val="SCCNormalDoubleSpacing"/>
        <w:spacing w:line="240" w:lineRule="auto"/>
        <w:rPr>
          <w:i/>
          <w:sz w:val="20"/>
        </w:rPr>
      </w:pPr>
    </w:p>
    <w:p w:rsidR="004E1363" w:rsidRPr="006A7BF6" w:rsidRDefault="004E1363" w:rsidP="004E1363">
      <w:pPr>
        <w:pStyle w:val="SCCNormalDoubleSpacing"/>
        <w:spacing w:line="240" w:lineRule="auto"/>
        <w:rPr>
          <w:sz w:val="20"/>
        </w:rPr>
      </w:pPr>
      <w:r w:rsidRPr="006A7BF6">
        <w:rPr>
          <w:i/>
          <w:sz w:val="20"/>
        </w:rPr>
        <w:tab/>
        <w:t>Peter A. Gall, Q.C.</w:t>
      </w:r>
      <w:r w:rsidRPr="006A7BF6">
        <w:rPr>
          <w:sz w:val="20"/>
        </w:rPr>
        <w:t xml:space="preserve">, </w:t>
      </w:r>
      <w:r w:rsidRPr="006A7BF6">
        <w:rPr>
          <w:i/>
          <w:sz w:val="20"/>
        </w:rPr>
        <w:t>Andrea Zwack</w:t>
      </w:r>
      <w:r w:rsidRPr="006A7BF6">
        <w:rPr>
          <w:sz w:val="20"/>
        </w:rPr>
        <w:t xml:space="preserve"> and </w:t>
      </w:r>
      <w:r w:rsidRPr="006A7BF6">
        <w:rPr>
          <w:i/>
          <w:sz w:val="20"/>
        </w:rPr>
        <w:t>Melanie Vipond</w:t>
      </w:r>
      <w:r w:rsidRPr="006A7BF6">
        <w:rPr>
          <w:sz w:val="20"/>
        </w:rPr>
        <w:t>, for the interveners the Canadian Mining Association, the Mining Association of British Columbia, the Mining Association of Manitoba Inc., the Québec Mining Association, the Ontario Mining Association and the Saskatchewan Mining Association.</w:t>
      </w:r>
    </w:p>
    <w:p w:rsidR="004E1363" w:rsidRDefault="004E1363" w:rsidP="004E1363">
      <w:pPr>
        <w:pStyle w:val="SCCNormalDoubleSpacing"/>
        <w:spacing w:line="240" w:lineRule="auto"/>
        <w:rPr>
          <w:i/>
          <w:sz w:val="20"/>
        </w:rPr>
      </w:pPr>
    </w:p>
    <w:p w:rsidR="004E1363" w:rsidRPr="006A7BF6" w:rsidRDefault="004E1363" w:rsidP="004E1363">
      <w:pPr>
        <w:pStyle w:val="SCCNormalDoubleSpacing"/>
        <w:spacing w:line="240" w:lineRule="auto"/>
        <w:rPr>
          <w:sz w:val="20"/>
        </w:rPr>
      </w:pPr>
      <w:r w:rsidRPr="006A7BF6">
        <w:rPr>
          <w:i/>
          <w:sz w:val="20"/>
        </w:rPr>
        <w:tab/>
        <w:t>Andrew K. Lokan</w:t>
      </w:r>
      <w:r w:rsidRPr="006A7BF6">
        <w:rPr>
          <w:sz w:val="20"/>
        </w:rPr>
        <w:t xml:space="preserve">, </w:t>
      </w:r>
      <w:r w:rsidRPr="006A7BF6">
        <w:rPr>
          <w:i/>
          <w:sz w:val="20"/>
        </w:rPr>
        <w:t>Emily Lawrence</w:t>
      </w:r>
      <w:r w:rsidRPr="006A7BF6">
        <w:rPr>
          <w:sz w:val="20"/>
        </w:rPr>
        <w:t xml:space="preserve"> and </w:t>
      </w:r>
      <w:r w:rsidRPr="006A7BF6">
        <w:rPr>
          <w:i/>
          <w:sz w:val="20"/>
        </w:rPr>
        <w:t>Christopher M. Dassios</w:t>
      </w:r>
      <w:r w:rsidRPr="006A7BF6">
        <w:rPr>
          <w:sz w:val="20"/>
        </w:rPr>
        <w:t>, for the intervener the Power Workers’ Union.</w:t>
      </w:r>
    </w:p>
    <w:p w:rsidR="004E1363" w:rsidRDefault="004E1363" w:rsidP="004E1363">
      <w:pPr>
        <w:pStyle w:val="SCCLawFirm"/>
        <w:spacing w:line="240" w:lineRule="auto"/>
        <w:rPr>
          <w:sz w:val="20"/>
        </w:rPr>
      </w:pPr>
    </w:p>
    <w:p w:rsidR="004E1363" w:rsidRPr="006A7BF6" w:rsidRDefault="004E1363" w:rsidP="004E1363">
      <w:pPr>
        <w:pStyle w:val="SCCLawFirm"/>
        <w:spacing w:line="240" w:lineRule="auto"/>
        <w:rPr>
          <w:sz w:val="20"/>
        </w:rPr>
      </w:pPr>
      <w:r w:rsidRPr="006A7BF6">
        <w:rPr>
          <w:sz w:val="20"/>
        </w:rPr>
        <w:tab/>
        <w:t>Solicitors for the appellant:  Pink, Larkin, Fredericton.</w:t>
      </w:r>
    </w:p>
    <w:p w:rsidR="004E1363" w:rsidRDefault="004E1363" w:rsidP="004E1363">
      <w:pPr>
        <w:pStyle w:val="SCCLawFirm"/>
        <w:spacing w:line="240" w:lineRule="auto"/>
        <w:rPr>
          <w:sz w:val="20"/>
        </w:rPr>
      </w:pPr>
    </w:p>
    <w:p w:rsidR="004E1363" w:rsidRPr="006A7BF6" w:rsidRDefault="004E1363" w:rsidP="004E1363">
      <w:pPr>
        <w:pStyle w:val="SCCLawFirm"/>
        <w:spacing w:line="240" w:lineRule="auto"/>
        <w:rPr>
          <w:sz w:val="20"/>
        </w:rPr>
      </w:pPr>
      <w:r w:rsidRPr="006A7BF6">
        <w:rPr>
          <w:sz w:val="20"/>
        </w:rPr>
        <w:tab/>
        <w:t>Solicitors for the respondent:  McCarthy Tétrault, Toronto.</w:t>
      </w:r>
    </w:p>
    <w:p w:rsidR="004E1363" w:rsidRDefault="004E1363" w:rsidP="004E1363">
      <w:pPr>
        <w:pStyle w:val="SCCLawFirm"/>
        <w:spacing w:line="240" w:lineRule="auto"/>
        <w:rPr>
          <w:sz w:val="20"/>
        </w:rPr>
      </w:pPr>
    </w:p>
    <w:p w:rsidR="004E1363" w:rsidRPr="006A7BF6" w:rsidRDefault="004E1363" w:rsidP="004E1363">
      <w:pPr>
        <w:pStyle w:val="SCCLawFirm"/>
        <w:spacing w:line="240" w:lineRule="auto"/>
        <w:rPr>
          <w:sz w:val="20"/>
        </w:rPr>
      </w:pPr>
      <w:r w:rsidRPr="006A7BF6">
        <w:rPr>
          <w:sz w:val="20"/>
        </w:rPr>
        <w:tab/>
        <w:t>Solicitors for the interveners the Construction Owners Association of Alberta, Construction Labour Relations — an Alberta Association and Enform:  Dentons Canada, Calgary.</w:t>
      </w:r>
    </w:p>
    <w:p w:rsidR="004E1363" w:rsidRDefault="004E1363" w:rsidP="004E1363">
      <w:pPr>
        <w:pStyle w:val="SCCLawFirm"/>
        <w:spacing w:line="240" w:lineRule="auto"/>
        <w:rPr>
          <w:sz w:val="20"/>
        </w:rPr>
      </w:pPr>
    </w:p>
    <w:p w:rsidR="004E1363" w:rsidRPr="006A7BF6" w:rsidRDefault="004E1363" w:rsidP="004E1363">
      <w:pPr>
        <w:pStyle w:val="SCCLawFirm"/>
        <w:spacing w:line="240" w:lineRule="auto"/>
        <w:rPr>
          <w:sz w:val="20"/>
        </w:rPr>
      </w:pPr>
      <w:r w:rsidRPr="006A7BF6">
        <w:rPr>
          <w:sz w:val="20"/>
        </w:rPr>
        <w:tab/>
        <w:t>Solicitors for the interveners the Canadian National Railway Company, the Canadian Pacific Railway Company and Via Rail Canada Inc.:  Heenan Blaikie, Montréal; Canadian National Railway Company, Montréal.</w:t>
      </w:r>
    </w:p>
    <w:p w:rsidR="004E1363" w:rsidRDefault="004E1363" w:rsidP="004E1363">
      <w:pPr>
        <w:pStyle w:val="SCCLawFirm"/>
        <w:spacing w:line="240" w:lineRule="auto"/>
        <w:rPr>
          <w:sz w:val="20"/>
        </w:rPr>
      </w:pPr>
    </w:p>
    <w:p w:rsidR="004E1363" w:rsidRPr="006A7BF6" w:rsidRDefault="004E1363" w:rsidP="004E1363">
      <w:pPr>
        <w:pStyle w:val="SCCLawFirm"/>
        <w:spacing w:line="240" w:lineRule="auto"/>
        <w:rPr>
          <w:sz w:val="20"/>
        </w:rPr>
      </w:pPr>
      <w:r w:rsidRPr="006A7BF6">
        <w:rPr>
          <w:sz w:val="20"/>
        </w:rPr>
        <w:tab/>
        <w:t>Solicitors for the interveners the Alberta Federation of Labour and the Communications, Energy and Paperworkers Union of Canada, Local 707:  Chivers Carpenter, Edmonton.</w:t>
      </w:r>
    </w:p>
    <w:p w:rsidR="004E1363" w:rsidRDefault="004E1363" w:rsidP="004E1363">
      <w:pPr>
        <w:pStyle w:val="SCCLawFirm"/>
        <w:spacing w:line="240" w:lineRule="auto"/>
        <w:rPr>
          <w:sz w:val="20"/>
        </w:rPr>
      </w:pPr>
    </w:p>
    <w:p w:rsidR="004E1363" w:rsidRPr="006A7BF6" w:rsidRDefault="004E1363" w:rsidP="004E1363">
      <w:pPr>
        <w:pStyle w:val="SCCLawFirm"/>
        <w:spacing w:line="240" w:lineRule="auto"/>
        <w:rPr>
          <w:sz w:val="20"/>
        </w:rPr>
      </w:pPr>
      <w:r w:rsidRPr="006A7BF6">
        <w:rPr>
          <w:sz w:val="20"/>
        </w:rPr>
        <w:tab/>
        <w:t>Solicitors for the intervener the Canadian Civil Liberties Association:  Ursel Phillips Fellows Hopkinson, Toronto.</w:t>
      </w:r>
    </w:p>
    <w:p w:rsidR="004E1363" w:rsidRDefault="004E1363" w:rsidP="004E1363">
      <w:pPr>
        <w:pStyle w:val="SCCLawFirm"/>
        <w:spacing w:line="240" w:lineRule="auto"/>
        <w:rPr>
          <w:sz w:val="20"/>
        </w:rPr>
      </w:pPr>
    </w:p>
    <w:p w:rsidR="004E1363" w:rsidRPr="006A7BF6" w:rsidRDefault="004E1363" w:rsidP="004E1363">
      <w:pPr>
        <w:pStyle w:val="SCCLawFirm"/>
        <w:spacing w:line="240" w:lineRule="auto"/>
        <w:rPr>
          <w:sz w:val="20"/>
        </w:rPr>
      </w:pPr>
      <w:r w:rsidRPr="006A7BF6">
        <w:rPr>
          <w:sz w:val="20"/>
        </w:rPr>
        <w:tab/>
        <w:t>Solicitors for the intervener the Alliance of Manufacturers &amp; Exporters of Canada, carrying on business as Canadian Manufacturers &amp; Exporters:  Gowling Lafleur Henderson, Toronto.</w:t>
      </w:r>
    </w:p>
    <w:p w:rsidR="004E1363" w:rsidRDefault="004E1363" w:rsidP="004E1363">
      <w:pPr>
        <w:pStyle w:val="SCCLawFirm"/>
        <w:spacing w:line="240" w:lineRule="auto"/>
        <w:rPr>
          <w:sz w:val="20"/>
        </w:rPr>
      </w:pPr>
    </w:p>
    <w:p w:rsidR="004E1363" w:rsidRPr="006A7BF6" w:rsidRDefault="004E1363" w:rsidP="004E1363">
      <w:pPr>
        <w:pStyle w:val="SCCLawFirm"/>
        <w:spacing w:line="240" w:lineRule="auto"/>
        <w:rPr>
          <w:sz w:val="20"/>
        </w:rPr>
      </w:pPr>
      <w:r w:rsidRPr="006A7BF6">
        <w:rPr>
          <w:sz w:val="20"/>
        </w:rPr>
        <w:tab/>
        <w:t>Solicitors for the interveners the Canadian Mining Association, the Mining Association of British Columbia, the Mining Association of Manitoba Inc., the Québec Mining Association, the Ontario Mining Association and the Saskatchewan Mining Association:  Heenan Blaikie, Vancouver.</w:t>
      </w:r>
    </w:p>
    <w:p w:rsidR="004E1363" w:rsidRDefault="004E1363" w:rsidP="004E1363">
      <w:pPr>
        <w:pStyle w:val="SCCLawFirm"/>
        <w:spacing w:line="240" w:lineRule="auto"/>
        <w:rPr>
          <w:sz w:val="20"/>
        </w:rPr>
      </w:pPr>
    </w:p>
    <w:p w:rsidR="004E1363" w:rsidRDefault="004E1363" w:rsidP="004E1363">
      <w:pPr>
        <w:pStyle w:val="SCCLawFirm"/>
        <w:spacing w:line="240" w:lineRule="auto"/>
        <w:rPr>
          <w:sz w:val="20"/>
        </w:rPr>
      </w:pPr>
      <w:r w:rsidRPr="006A7BF6">
        <w:rPr>
          <w:sz w:val="20"/>
        </w:rPr>
        <w:tab/>
        <w:t>Solicitors for the intervener the Power Workers’ Union:  Paliare Roland Rosenberg Rothstein, Toronto; Power Workers’ Union, Toronto.</w:t>
      </w:r>
    </w:p>
    <w:p w:rsidR="00902E51" w:rsidRPr="004E1363" w:rsidRDefault="00902E51" w:rsidP="00902E51">
      <w:pPr>
        <w:rPr>
          <w:sz w:val="20"/>
          <w:szCs w:val="20"/>
          <w:lang w:val="fr-CA"/>
        </w:rPr>
      </w:pPr>
      <w:r w:rsidRPr="004E1363">
        <w:rPr>
          <w:sz w:val="20"/>
          <w:szCs w:val="20"/>
          <w:lang w:val="fr-CA"/>
        </w:rPr>
        <w:t>________________________</w:t>
      </w:r>
    </w:p>
    <w:p w:rsidR="00902E51" w:rsidRPr="004E1363" w:rsidRDefault="00902E51" w:rsidP="00902E51">
      <w:pPr>
        <w:rPr>
          <w:sz w:val="20"/>
          <w:szCs w:val="20"/>
          <w:lang w:val="fr-CA"/>
        </w:rPr>
      </w:pPr>
    </w:p>
    <w:p w:rsidR="004E1363" w:rsidRPr="00842C30" w:rsidRDefault="004E1363" w:rsidP="004E1363">
      <w:pPr>
        <w:jc w:val="both"/>
        <w:rPr>
          <w:sz w:val="20"/>
          <w:szCs w:val="20"/>
          <w:lang w:val="fr-CA"/>
        </w:rPr>
      </w:pPr>
      <w:r w:rsidRPr="00842C30">
        <w:rPr>
          <w:sz w:val="20"/>
          <w:szCs w:val="20"/>
          <w:lang w:val="fr-CA"/>
        </w:rPr>
        <w:t>Présents : La juge en chef McLachlin et les juges LeBel, Fish, Abella, Rothstein, Cromwell, Moldaver, Karakatsanis et Wagner.</w:t>
      </w:r>
    </w:p>
    <w:p w:rsidR="004E1363" w:rsidRDefault="004E1363" w:rsidP="004E1363">
      <w:pPr>
        <w:jc w:val="both"/>
        <w:rPr>
          <w:smallCaps/>
          <w:sz w:val="20"/>
          <w:lang w:val="fr-CA"/>
        </w:rPr>
      </w:pPr>
    </w:p>
    <w:p w:rsidR="004E1363" w:rsidRPr="00842C30" w:rsidRDefault="004E1363" w:rsidP="004E1363">
      <w:pPr>
        <w:pStyle w:val="SCCNormalDoubleSpacing"/>
        <w:spacing w:line="240" w:lineRule="auto"/>
        <w:rPr>
          <w:i/>
          <w:sz w:val="20"/>
          <w:lang w:val="fr-CA"/>
        </w:rPr>
      </w:pPr>
      <w:r w:rsidRPr="00842C30">
        <w:rPr>
          <w:sz w:val="20"/>
          <w:lang w:val="fr-CA"/>
        </w:rPr>
        <w:tab/>
      </w:r>
      <w:r w:rsidRPr="00842C30">
        <w:rPr>
          <w:i/>
          <w:sz w:val="20"/>
          <w:lang w:val="fr-CA"/>
        </w:rPr>
        <w:t>Relations du travail — Arbitrage — Conventions collectives — Droits de la direction — Protection de la vie privée — Imposition unilatérale, par l’employeur, d’une politique de tests aléatoires obligatoires de dépistage d’alcool aux employés — La mise en œuvre unilatérale d’une politique de tests aléatoires constitue-t-elle un exercice valide des droits de la direction de l’employeur prévus par une convention collective? — L’employeur peut-il mettre en œuvre unilatéralement une politique sans motif raisonnable ou preuve démontrant un problème de consommation d’alcool en milieu de travail?</w:t>
      </w:r>
    </w:p>
    <w:p w:rsidR="004E1363" w:rsidRDefault="004E1363" w:rsidP="004E1363">
      <w:pPr>
        <w:pStyle w:val="SCCNormalDoubleSpacing"/>
        <w:spacing w:line="240" w:lineRule="auto"/>
        <w:rPr>
          <w:i/>
          <w:sz w:val="20"/>
          <w:lang w:val="fr-CA"/>
        </w:rPr>
      </w:pPr>
    </w:p>
    <w:p w:rsidR="004E1363" w:rsidRPr="00842C30" w:rsidRDefault="004E1363" w:rsidP="004E1363">
      <w:pPr>
        <w:pStyle w:val="SCCNormalDoubleSpacing"/>
        <w:spacing w:line="240" w:lineRule="auto"/>
        <w:rPr>
          <w:i/>
          <w:sz w:val="20"/>
          <w:lang w:val="fr-CA"/>
        </w:rPr>
      </w:pPr>
      <w:r w:rsidRPr="00842C30">
        <w:rPr>
          <w:i/>
          <w:sz w:val="20"/>
          <w:lang w:val="fr-CA"/>
        </w:rPr>
        <w:tab/>
        <w:t>Droit administratif — Contrôle judiciaire — Norme de contrôle applicable à la décision d’un conseil d’arbitrage — Imposition unilatérale, par l’employeur, d’une politique de tests aléatoires obligatoires de dépistage d’alcool aux employés occupant un poste à risque — La décision du conseil d’arbitrage selon laquelle l’atteinte à la vie privée des employés l’emporte sur les avantages qu’offre la politique à l’employeur est-elle raisonnable?</w:t>
      </w:r>
    </w:p>
    <w:p w:rsidR="004E1363" w:rsidRDefault="004E1363" w:rsidP="004E1363">
      <w:pPr>
        <w:pStyle w:val="SCCNormalDoubleSpacing"/>
        <w:spacing w:line="240" w:lineRule="auto"/>
        <w:rPr>
          <w:sz w:val="20"/>
          <w:lang w:val="fr-CA"/>
        </w:rPr>
      </w:pPr>
    </w:p>
    <w:p w:rsidR="004E1363" w:rsidRPr="00842C30" w:rsidRDefault="004E1363" w:rsidP="004E1363">
      <w:pPr>
        <w:pStyle w:val="SCCNormalDoubleSpacing"/>
        <w:spacing w:line="240" w:lineRule="auto"/>
        <w:rPr>
          <w:sz w:val="20"/>
          <w:lang w:val="fr-CA"/>
        </w:rPr>
      </w:pPr>
      <w:r w:rsidRPr="00842C30">
        <w:rPr>
          <w:sz w:val="20"/>
          <w:lang w:val="fr-CA"/>
        </w:rPr>
        <w:tab/>
        <w:t xml:space="preserve">Le Syndicat a déposé un grief pour contester le volet sur les tests obligatoires aléatoires de dépistage d’alcool d’une politique sur la consommation d’alcool et de drogues que l’employeur, Irving, avait mise en œuvre unilatéralement à son usine de papier.  Suivant cette politique, au cours d’une année, 10 % des employés qui occupent un poste à risque allaient être choisis au hasard pour subir l’épreuve de l’éthylomètre sans préavis.  Un résultat positif allait emporter des sanctions disciplinaires graves, dont potentiellement le congédiement.  </w:t>
      </w:r>
    </w:p>
    <w:p w:rsidR="004E1363" w:rsidRDefault="004E1363" w:rsidP="004E1363">
      <w:pPr>
        <w:pStyle w:val="SCCNormalDoubleSpacing"/>
        <w:spacing w:line="240" w:lineRule="auto"/>
        <w:rPr>
          <w:sz w:val="20"/>
          <w:lang w:val="fr-CA"/>
        </w:rPr>
      </w:pPr>
    </w:p>
    <w:p w:rsidR="004E1363" w:rsidRPr="00842C30" w:rsidRDefault="004E1363" w:rsidP="004E1363">
      <w:pPr>
        <w:pStyle w:val="SCCNormalDoubleSpacing"/>
        <w:spacing w:line="240" w:lineRule="auto"/>
        <w:rPr>
          <w:sz w:val="20"/>
          <w:lang w:val="fr-CA"/>
        </w:rPr>
      </w:pPr>
      <w:r w:rsidRPr="00842C30">
        <w:rPr>
          <w:sz w:val="20"/>
          <w:lang w:val="fr-CA"/>
        </w:rPr>
        <w:tab/>
        <w:t xml:space="preserve">Le conseil d’arbitrage a accueilli le grief.  Après avoir mis en balance l’intérêt de l’employeur à mener des tests aléatoires de dépistage d’alcool comme mesure de sécurité en milieu de travail, d’une part, et l’atteinte à l’intérêt des employés à l’égard de leur vie privée, d’autre part, une majorité du conseil a conclu que la politique de tests aléatoires n’était pas justifiée vu l’absence d’éléments de preuve révélant l’existence d’un problème de consommation d’alcool en milieu de travail.  À l’issue du contrôle judiciaire, la sentence arbitrale a été annulée après avoir été jugée déraisonnable.  La Cour d’appel du Nouveau-Brunswick a rejeté l’appel.  </w:t>
      </w:r>
    </w:p>
    <w:p w:rsidR="004E1363" w:rsidRDefault="004E1363" w:rsidP="004E1363">
      <w:pPr>
        <w:pStyle w:val="SCCNormalDoubleSpacing"/>
        <w:spacing w:line="240" w:lineRule="auto"/>
        <w:rPr>
          <w:sz w:val="20"/>
          <w:lang w:val="fr-CA"/>
        </w:rPr>
      </w:pPr>
    </w:p>
    <w:p w:rsidR="004E1363" w:rsidRPr="00842C30" w:rsidRDefault="004E1363" w:rsidP="004E1363">
      <w:pPr>
        <w:pStyle w:val="SCCNormalDoubleSpacing"/>
        <w:spacing w:line="240" w:lineRule="auto"/>
        <w:rPr>
          <w:sz w:val="20"/>
          <w:lang w:val="fr-CA"/>
        </w:rPr>
      </w:pPr>
      <w:r w:rsidRPr="00842C30">
        <w:rPr>
          <w:sz w:val="20"/>
          <w:lang w:val="fr-CA"/>
        </w:rPr>
        <w:tab/>
      </w:r>
      <w:r w:rsidRPr="00842C30">
        <w:rPr>
          <w:i/>
          <w:sz w:val="20"/>
          <w:lang w:val="fr-CA"/>
        </w:rPr>
        <w:t xml:space="preserve">Arrêt </w:t>
      </w:r>
      <w:r w:rsidRPr="00842C30">
        <w:rPr>
          <w:sz w:val="20"/>
          <w:lang w:val="fr-CA"/>
        </w:rPr>
        <w:t>(la juge en chef McLachlin et les juges Rothstein et Moldaver sont dissidents) </w:t>
      </w:r>
      <w:r w:rsidRPr="00842C30">
        <w:rPr>
          <w:i/>
          <w:sz w:val="20"/>
          <w:lang w:val="fr-CA"/>
        </w:rPr>
        <w:t>:</w:t>
      </w:r>
      <w:r w:rsidRPr="00842C30">
        <w:rPr>
          <w:sz w:val="20"/>
          <w:lang w:val="fr-CA"/>
        </w:rPr>
        <w:t xml:space="preserve"> Le pourvoi est accueilli. </w:t>
      </w:r>
    </w:p>
    <w:p w:rsidR="004E1363" w:rsidRDefault="004E1363" w:rsidP="004E1363">
      <w:pPr>
        <w:pStyle w:val="SCCNormalDoubleSpacing"/>
        <w:spacing w:line="240" w:lineRule="auto"/>
        <w:rPr>
          <w:i/>
          <w:sz w:val="20"/>
          <w:lang w:val="fr-CA"/>
        </w:rPr>
      </w:pPr>
    </w:p>
    <w:p w:rsidR="004E1363" w:rsidRPr="00842C30" w:rsidRDefault="004E1363" w:rsidP="004E1363">
      <w:pPr>
        <w:pStyle w:val="SCCNormalDoubleSpacing"/>
        <w:spacing w:line="240" w:lineRule="auto"/>
        <w:rPr>
          <w:sz w:val="20"/>
          <w:lang w:val="fr-CA"/>
        </w:rPr>
      </w:pPr>
      <w:r w:rsidRPr="00842C30">
        <w:rPr>
          <w:i/>
          <w:sz w:val="20"/>
          <w:lang w:val="fr-CA"/>
        </w:rPr>
        <w:tab/>
        <w:t xml:space="preserve">Les </w:t>
      </w:r>
      <w:r w:rsidRPr="00842C30">
        <w:rPr>
          <w:sz w:val="20"/>
          <w:lang w:val="fr-CA"/>
        </w:rPr>
        <w:t xml:space="preserve">juges LeBel, Fish, </w:t>
      </w:r>
      <w:r w:rsidRPr="00842C30">
        <w:rPr>
          <w:b/>
          <w:sz w:val="20"/>
          <w:lang w:val="fr-CA"/>
        </w:rPr>
        <w:t>Abella</w:t>
      </w:r>
      <w:r w:rsidRPr="00842C30">
        <w:rPr>
          <w:sz w:val="20"/>
          <w:lang w:val="fr-CA"/>
        </w:rPr>
        <w:t>, Cromwell, Karakatsanis et Wagner :  La question juridique au cœur du présent litige est celle de l’interprétation de la clause de la convention collective prévoyant les droits de la direction.  L’étendue du pouvoir de la direction d’imposer unilatéralement des règles au titre de la convention collective veut que la règle ou la politique imposée unilatéralement par l’employeur, à laquelle le syndicat n’a pas donné son aval par la suite, soit conforme à la convention collective et raisonnable</w:t>
      </w:r>
      <w:r w:rsidRPr="00842C30">
        <w:rPr>
          <w:sz w:val="20"/>
          <w:lang w:val="fr-CA" w:bidi="en-US"/>
        </w:rPr>
        <w:t>.</w:t>
      </w:r>
    </w:p>
    <w:p w:rsidR="004E1363" w:rsidRDefault="004E1363" w:rsidP="004E1363">
      <w:pPr>
        <w:pStyle w:val="SCCNormalDoubleSpacing"/>
        <w:spacing w:line="240" w:lineRule="auto"/>
        <w:rPr>
          <w:sz w:val="20"/>
          <w:lang w:val="fr-CA"/>
        </w:rPr>
      </w:pPr>
    </w:p>
    <w:p w:rsidR="004E1363" w:rsidRPr="00842C30" w:rsidRDefault="004E1363" w:rsidP="004E1363">
      <w:pPr>
        <w:pStyle w:val="SCCNormalDoubleSpacing"/>
        <w:spacing w:line="240" w:lineRule="auto"/>
        <w:rPr>
          <w:sz w:val="20"/>
          <w:lang w:val="fr-CA"/>
        </w:rPr>
      </w:pPr>
      <w:r w:rsidRPr="00842C30">
        <w:rPr>
          <w:sz w:val="20"/>
          <w:lang w:val="fr-CA"/>
        </w:rPr>
        <w:tab/>
        <w:t xml:space="preserve">Il existe une importante jurisprudence arbitrale quant à l’exercice unilatéral des droits de la direction dans le contexte de la sécurité et il en a résulté une démarche axée sur la proportionnalité commandant une « mise en balance des intérêts » soigneusement pondérée.  Suivant cette démarche, et compte tenu du principe propre à la négociation collective selon lequel l’employé n’est passible d’une sanction disciplinaire que pour un motif raisonnable, l’employeur ne peut imposer une règle emportant des sanctions disciplinaires que si la nécessité d’adopter une telle règle l’emporte sur l’incidence négative de cette dernière sur les droits à la vie privée des employés.  De cette démarche a résulté une jurisprudence arbitrale constante suivant laquelle, dans un lieu de travail dangereux, l’employeur peut faire subir un test à un employé s’il a un motif raisonnable de croire que ce dernier a eu les facultés affaiblies dans l’exercice de ses fonctions, a été impliqué dans un accident ou un incident de travail ou reprend du service après avoir suivi un traitement pour combattre l’alcoolisme ou la toxicomanie.  </w:t>
      </w:r>
    </w:p>
    <w:p w:rsidR="004E1363" w:rsidRDefault="004E1363" w:rsidP="004E1363">
      <w:pPr>
        <w:pStyle w:val="SCCNormalDoubleSpacing"/>
        <w:spacing w:line="240" w:lineRule="auto"/>
        <w:rPr>
          <w:sz w:val="20"/>
          <w:lang w:val="fr-CA"/>
        </w:rPr>
      </w:pPr>
    </w:p>
    <w:p w:rsidR="004E1363" w:rsidRPr="00842C30" w:rsidRDefault="004E1363" w:rsidP="004E1363">
      <w:pPr>
        <w:pStyle w:val="SCCNormalDoubleSpacing"/>
        <w:spacing w:line="240" w:lineRule="auto"/>
        <w:rPr>
          <w:sz w:val="20"/>
          <w:lang w:val="fr-CA"/>
        </w:rPr>
      </w:pPr>
      <w:r w:rsidRPr="00842C30">
        <w:rPr>
          <w:sz w:val="20"/>
          <w:lang w:val="fr-CA"/>
        </w:rPr>
        <w:tab/>
        <w:t xml:space="preserve">Les arbitres ont rejeté massivement l’imposition unilatérale d’une politique de tests obligatoires aléatoires s’appliquant aux employés d’un lieu de travail dangereux, estimant qu’il s’agissait d’une atteinte injustifiée à la dignité et à la vie privée des employés, sauf s’il existe des indices d’un risque accru pour la sécurité, comme un problème généralisé d’alcoolisme ou de toxicomanie en milieu de travail.  La dangerosité d’un lieu de travail est manifestement pertinente.  Cet élément ne met toutefois pas fin à l’analyse; il enclenche plutôt la démarche axée sur la proportionnalité.  Les tribunaux n’ont jamais jugé qu’elle justifie automatiquement l’imposition unilatérale d’un régime illimité de tests aléatoires susceptibles d’emporter des sanctions disciplinaires. </w:t>
      </w:r>
    </w:p>
    <w:p w:rsidR="004E1363" w:rsidRDefault="004E1363" w:rsidP="004E1363">
      <w:pPr>
        <w:pStyle w:val="SCCNormalDoubleSpacing"/>
        <w:spacing w:line="240" w:lineRule="auto"/>
        <w:rPr>
          <w:sz w:val="20"/>
          <w:lang w:val="fr-CA"/>
        </w:rPr>
      </w:pPr>
    </w:p>
    <w:p w:rsidR="004E1363" w:rsidRPr="00842C30" w:rsidRDefault="004E1363" w:rsidP="004E1363">
      <w:pPr>
        <w:pStyle w:val="SCCNormalDoubleSpacing"/>
        <w:spacing w:line="240" w:lineRule="auto"/>
        <w:rPr>
          <w:sz w:val="20"/>
          <w:lang w:val="fr-CA"/>
        </w:rPr>
      </w:pPr>
      <w:r w:rsidRPr="00842C30">
        <w:rPr>
          <w:sz w:val="20"/>
          <w:lang w:val="fr-CA"/>
        </w:rPr>
        <w:tab/>
        <w:t>En l’espèce, le conseil d’arbitrage est arrivé à la conclusion que les avantages attendus sur le plan de la sécurité pour l’employeur se situaient dans la fourchette entre incertains et minimes, tandis que l’atteinte à la vie privée des employés était grave.  Selon le conseil d’arbitrage, huit incidents liés à la consommation d’alcool et survenus à l’usine Irving sur une période de 15 ans ne révélaient pas le degré jugé suffisant de problème de consommation d’alcool en milieu de travail.  Par conséquent, l’employeur n’avait pas démontré, comme il le devait, l’existence de préoccupations en ce qui a trait à la sécurité qui justifierait l’application universelle de tests aléatoires.  Par conséquent, l’employeur a outrepassé les droits de la direction que lui confère la convention collective.</w:t>
      </w:r>
    </w:p>
    <w:p w:rsidR="004E1363" w:rsidRDefault="004E1363" w:rsidP="004E1363">
      <w:pPr>
        <w:pStyle w:val="SCCNormalDoubleSpacing"/>
        <w:spacing w:line="240" w:lineRule="auto"/>
        <w:rPr>
          <w:sz w:val="20"/>
          <w:lang w:val="fr-CA"/>
        </w:rPr>
      </w:pPr>
    </w:p>
    <w:p w:rsidR="004E1363" w:rsidRPr="00842C30" w:rsidRDefault="004E1363" w:rsidP="004E1363">
      <w:pPr>
        <w:pStyle w:val="SCCNormalDoubleSpacing"/>
        <w:spacing w:line="240" w:lineRule="auto"/>
        <w:rPr>
          <w:sz w:val="20"/>
          <w:lang w:val="fr-CA"/>
        </w:rPr>
      </w:pPr>
      <w:r w:rsidRPr="00842C30">
        <w:rPr>
          <w:sz w:val="20"/>
          <w:lang w:val="fr-CA"/>
        </w:rPr>
        <w:tab/>
        <w:t xml:space="preserve">La norme de contrôle de la décision d’un arbitre en droit du travail est celle de la décision raisonnable.  Il faut considérer la sentence arbitrale comme un tout et s’abstenir de faire une chasse au trésor, phrase par phrase, à la recherche d’une erreur.  En l’espèce, compte tenu des conclusions de faits et de la jurisprudence pertinente, la décision du conseil arbitrale était raisonnable.  </w:t>
      </w:r>
    </w:p>
    <w:p w:rsidR="004E1363" w:rsidRDefault="004E1363" w:rsidP="004E1363">
      <w:pPr>
        <w:pStyle w:val="SCCNormalDoubleSpacing"/>
        <w:spacing w:line="240" w:lineRule="auto"/>
        <w:rPr>
          <w:sz w:val="20"/>
          <w:lang w:val="fr-CA"/>
        </w:rPr>
      </w:pPr>
    </w:p>
    <w:p w:rsidR="004E1363" w:rsidRPr="00842C30" w:rsidRDefault="004E1363" w:rsidP="004E1363">
      <w:pPr>
        <w:pStyle w:val="SCCNormalDoubleSpacing"/>
        <w:spacing w:line="240" w:lineRule="auto"/>
        <w:rPr>
          <w:sz w:val="20"/>
          <w:lang w:val="fr-CA"/>
        </w:rPr>
      </w:pPr>
      <w:r w:rsidRPr="00842C30">
        <w:rPr>
          <w:sz w:val="20"/>
          <w:lang w:val="fr-CA"/>
        </w:rPr>
        <w:tab/>
      </w:r>
      <w:r w:rsidRPr="00842C30">
        <w:rPr>
          <w:i/>
          <w:sz w:val="20"/>
          <w:lang w:val="fr-CA"/>
        </w:rPr>
        <w:t xml:space="preserve">La </w:t>
      </w:r>
      <w:r w:rsidRPr="00842C30">
        <w:rPr>
          <w:sz w:val="20"/>
          <w:lang w:val="fr-CA"/>
        </w:rPr>
        <w:t xml:space="preserve">juge en chef McLachlin et les juges </w:t>
      </w:r>
      <w:r w:rsidRPr="00842C30">
        <w:rPr>
          <w:b/>
          <w:sz w:val="20"/>
          <w:lang w:val="fr-CA"/>
        </w:rPr>
        <w:t>Rothstein</w:t>
      </w:r>
      <w:r w:rsidRPr="00842C30">
        <w:rPr>
          <w:sz w:val="20"/>
          <w:lang w:val="fr-CA"/>
        </w:rPr>
        <w:t xml:space="preserve"> et </w:t>
      </w:r>
      <w:r w:rsidRPr="00842C30">
        <w:rPr>
          <w:b/>
          <w:sz w:val="20"/>
          <w:lang w:val="fr-CA"/>
        </w:rPr>
        <w:t>Moldaver</w:t>
      </w:r>
      <w:r w:rsidRPr="00842C30">
        <w:rPr>
          <w:sz w:val="20"/>
          <w:lang w:val="fr-CA"/>
        </w:rPr>
        <w:t xml:space="preserve"> (dissidents) : Il y a accord avec les juges majoritaires pour dire que la norme de contrôle applicable est celle du caractère raisonnable.  Toutefois, il y a désaccord quant à l’application de cette norme.  En annulant la politique, le conseil a fait abstraction d’un consensus auquel étaient parvenus les arbitres, qui ont tenté de trouver un équilibre entre les intérêts opposés de la vie privée et de la sécurité en milieu de travail.  Ce faisant, il a rendu une décision déraisonnable.  </w:t>
      </w:r>
    </w:p>
    <w:p w:rsidR="004E1363" w:rsidRDefault="004E1363" w:rsidP="004E1363">
      <w:pPr>
        <w:pStyle w:val="SCCNormalDoubleSpacing"/>
        <w:spacing w:line="240" w:lineRule="auto"/>
        <w:rPr>
          <w:sz w:val="20"/>
          <w:lang w:val="fr-CA"/>
        </w:rPr>
      </w:pPr>
    </w:p>
    <w:p w:rsidR="004E1363" w:rsidRPr="00842C30" w:rsidRDefault="004E1363" w:rsidP="004E1363">
      <w:pPr>
        <w:pStyle w:val="SCCNormalDoubleSpacing"/>
        <w:spacing w:line="240" w:lineRule="auto"/>
        <w:rPr>
          <w:sz w:val="20"/>
          <w:lang w:val="fr-CA"/>
        </w:rPr>
      </w:pPr>
      <w:r w:rsidRPr="00842C30">
        <w:rPr>
          <w:sz w:val="20"/>
          <w:lang w:val="fr-CA"/>
        </w:rPr>
        <w:tab/>
        <w:t>Il s’agit en l’espèce de déterminer si la direction peut être justifiée, par application d’une convention collective, d’exercer un pouvoir décisionnel unilatéral.  Il s’agit d’une question que l’Assemblée législative du Nouveau</w:t>
      </w:r>
      <w:r w:rsidRPr="00842C30">
        <w:rPr>
          <w:sz w:val="20"/>
          <w:lang w:val="fr-CA"/>
        </w:rPr>
        <w:noBreakHyphen/>
        <w:t>Brunswick a déléguée aux arbitres en droit du travail.  Ainsi, leurs décisions commandent la déférence et les tribunaux ne devraient pas intervenir avec désinvolture et agir en tant qu’arbitres d’une politique de travail.  Des personnes raisonnables pourraient remettre en question le choix du législateur de confier aux arbitres la fonction d’adopter des politiques qui pourraient avoir des répercussions graves sur la sécurité publique.  En effet, la reconnaissance que l’intérêt du public — et non simplement celui de l’employeur et de l’employé — est pertinent dans des cas comme celui-ci pourrait commander une réévaluation de ce choix.  Cette décision revient toutefois au législateur du Nouveau</w:t>
      </w:r>
      <w:r w:rsidRPr="00842C30">
        <w:rPr>
          <w:sz w:val="20"/>
          <w:lang w:val="fr-CA"/>
        </w:rPr>
        <w:noBreakHyphen/>
        <w:t xml:space="preserve">Brunswick et non à la Cour.  </w:t>
      </w:r>
    </w:p>
    <w:p w:rsidR="004E1363" w:rsidRDefault="004E1363" w:rsidP="004E1363">
      <w:pPr>
        <w:pStyle w:val="SCCNormalDoubleSpacing"/>
        <w:spacing w:line="240" w:lineRule="auto"/>
        <w:rPr>
          <w:sz w:val="20"/>
          <w:lang w:val="fr-CA"/>
        </w:rPr>
      </w:pPr>
    </w:p>
    <w:p w:rsidR="004E1363" w:rsidRPr="00842C30" w:rsidRDefault="004E1363" w:rsidP="004E1363">
      <w:pPr>
        <w:pStyle w:val="SCCNormalDoubleSpacing"/>
        <w:spacing w:line="240" w:lineRule="auto"/>
        <w:rPr>
          <w:sz w:val="20"/>
          <w:lang w:val="fr-CA"/>
        </w:rPr>
      </w:pPr>
      <w:r w:rsidRPr="00842C30">
        <w:rPr>
          <w:sz w:val="20"/>
          <w:lang w:val="fr-CA"/>
        </w:rPr>
        <w:tab/>
        <w:t>Quoi qu’il en soit, dans le cadre du contrôle du caractère raisonnable, il existe une différence entre la renonciation judiciaire et la retenue judiciaire.  Dans la mesure où une sentence arbitrale donnée est déraisonnable — comme celle en l’espèce —, elle est susceptible d’être annulée à l’issue du contrôle judiciaire.</w:t>
      </w:r>
    </w:p>
    <w:p w:rsidR="004E1363" w:rsidRDefault="004E1363" w:rsidP="004E1363">
      <w:pPr>
        <w:pStyle w:val="SCCNormalDoubleSpacing"/>
        <w:spacing w:line="240" w:lineRule="auto"/>
        <w:rPr>
          <w:sz w:val="20"/>
          <w:lang w:val="fr-CA"/>
        </w:rPr>
      </w:pPr>
    </w:p>
    <w:p w:rsidR="004E1363" w:rsidRPr="00842C30" w:rsidRDefault="004E1363" w:rsidP="004E1363">
      <w:pPr>
        <w:pStyle w:val="SCCNormalDoubleSpacing"/>
        <w:spacing w:line="240" w:lineRule="auto"/>
        <w:rPr>
          <w:sz w:val="20"/>
          <w:lang w:val="fr-CA"/>
        </w:rPr>
      </w:pPr>
      <w:r w:rsidRPr="00842C30">
        <w:rPr>
          <w:sz w:val="20"/>
          <w:lang w:val="fr-CA"/>
        </w:rPr>
        <w:tab/>
        <w:t>Lorsqu’il y a consensus arbitral, celui</w:t>
      </w:r>
      <w:r w:rsidRPr="00842C30">
        <w:rPr>
          <w:sz w:val="20"/>
          <w:lang w:val="fr-CA"/>
        </w:rPr>
        <w:noBreakHyphen/>
        <w:t xml:space="preserve">ci soulève la présomption — pour les parties, les arbitres et les tribunaux — selon laquelle les décisions arbitrales subséquentes se conformeront à ces précédents.  L’uniformité des règles et des décisions est fondamentale pour la primauté du droit.  Par conséquent, la jurisprudence arbitrale antérieure portant sur l’adoption unilatérale d’une politique de dépistage aléatoire d’alcool a établi les limites de ce qui constitue une décision raisonnable en l’espèce. </w:t>
      </w:r>
    </w:p>
    <w:p w:rsidR="004E1363" w:rsidRDefault="004E1363" w:rsidP="004E1363">
      <w:pPr>
        <w:pStyle w:val="SCCNormalDoubleSpacing"/>
        <w:spacing w:line="240" w:lineRule="auto"/>
        <w:rPr>
          <w:sz w:val="20"/>
          <w:lang w:val="fr-CA"/>
        </w:rPr>
      </w:pPr>
    </w:p>
    <w:p w:rsidR="004E1363" w:rsidRPr="00842C30" w:rsidRDefault="004E1363" w:rsidP="004E1363">
      <w:pPr>
        <w:pStyle w:val="SCCNormalDoubleSpacing"/>
        <w:spacing w:line="240" w:lineRule="auto"/>
        <w:rPr>
          <w:sz w:val="20"/>
          <w:lang w:val="fr-CA" w:bidi="en-US"/>
        </w:rPr>
      </w:pPr>
      <w:r w:rsidRPr="00842C30">
        <w:rPr>
          <w:sz w:val="20"/>
          <w:lang w:val="fr-CA"/>
        </w:rPr>
        <w:tab/>
        <w:t xml:space="preserve">La jurisprudence arbitrale ne reconnaît aucun droit absolu aux employeurs d’imposer unilatéralement des règles en milieu de travail à leurs employés en dehors du processus de négociation collective.  Il incombe plutôt à l’employeur de justifier de telles règles sur le fondement du respect des normes établies par cette jurisprudence.  En l’espèce, la seule norme en cause était celle du caractère raisonnable de la politique.  La question clé est le seuil de preuve que l’employeur était tenu de présenter afin de s’acquitter de son fardeau de démontrer la raisonnabilité et de justifier par le fait même sa politique de tests aléatoires de dépistage d’alcool.  </w:t>
      </w:r>
    </w:p>
    <w:p w:rsidR="004E1363" w:rsidRDefault="004E1363" w:rsidP="004E1363">
      <w:pPr>
        <w:pStyle w:val="SCCNormalDoubleSpacing"/>
        <w:spacing w:line="240" w:lineRule="auto"/>
        <w:rPr>
          <w:sz w:val="20"/>
          <w:lang w:val="fr-CA" w:bidi="en-US"/>
        </w:rPr>
      </w:pPr>
    </w:p>
    <w:p w:rsidR="004E1363" w:rsidRPr="00842C30" w:rsidRDefault="004E1363" w:rsidP="004E1363">
      <w:pPr>
        <w:pStyle w:val="SCCNormalDoubleSpacing"/>
        <w:spacing w:line="240" w:lineRule="auto"/>
        <w:rPr>
          <w:sz w:val="20"/>
          <w:lang w:val="fr-CA"/>
        </w:rPr>
      </w:pPr>
      <w:r w:rsidRPr="00842C30">
        <w:rPr>
          <w:sz w:val="20"/>
          <w:lang w:val="fr-CA" w:bidi="en-US"/>
        </w:rPr>
        <w:tab/>
      </w:r>
      <w:r w:rsidRPr="00842C30">
        <w:rPr>
          <w:sz w:val="20"/>
          <w:lang w:val="fr-CA"/>
        </w:rPr>
        <w:t>Le constat qui se dégage, par conséquent, de l’examen des décisions pertinentes est qu’il existe un consensus arbitral selon lequel un employeur doit fournir des indices de consommation d’alcool en milieu de travail</w:t>
      </w:r>
      <w:r w:rsidRPr="00842C30">
        <w:rPr>
          <w:i/>
          <w:sz w:val="20"/>
          <w:lang w:val="fr-CA"/>
        </w:rPr>
        <w:t xml:space="preserve"> </w:t>
      </w:r>
      <w:r w:rsidRPr="00842C30">
        <w:rPr>
          <w:sz w:val="20"/>
          <w:lang w:val="fr-CA"/>
        </w:rPr>
        <w:t xml:space="preserve">pour justifier sa politique de tests aléatoires de dépistage d’alcool.  Il s’agit du seuil de preuve accepté par les arbitres qui ont confirmé de telles politiques et par ceux qui les ont annulées.  Ainsi, à défaut d’avoir expliqué pourquoi il a fait abstraction de ce seuil, il s’agit de celui que le conseil aurait dû appliquer en l’espèce.  Mais, ce n’est pas ce qu’il a fait. </w:t>
      </w:r>
    </w:p>
    <w:p w:rsidR="004E1363" w:rsidRDefault="004E1363" w:rsidP="004E1363">
      <w:pPr>
        <w:pStyle w:val="SCCNormalDoubleSpacing"/>
        <w:spacing w:line="240" w:lineRule="auto"/>
        <w:rPr>
          <w:sz w:val="20"/>
          <w:lang w:val="fr-CA"/>
        </w:rPr>
      </w:pPr>
    </w:p>
    <w:p w:rsidR="004E1363" w:rsidRPr="00842C30" w:rsidRDefault="004E1363" w:rsidP="004E1363">
      <w:pPr>
        <w:pStyle w:val="SCCNormalDoubleSpacing"/>
        <w:spacing w:line="240" w:lineRule="auto"/>
        <w:rPr>
          <w:sz w:val="20"/>
          <w:lang w:val="fr-CA"/>
        </w:rPr>
      </w:pPr>
      <w:r w:rsidRPr="00842C30">
        <w:rPr>
          <w:sz w:val="20"/>
          <w:lang w:val="fr-CA"/>
        </w:rPr>
        <w:tab/>
        <w:t>Bien qu’il ait prétendu avoir appliqué le critère découlant du consensus arbitral, le conseil a élevé le seuil de preuve qu’Irving était tenu de présenter afin de justifier sa politique de tests aléatoires de dépistage d’alcool, sans toutefois motiver sa décision.  Le conseil a exigé la preuve d’un « problème important » ou d’un « problème grave » à l’usine Irving.  La norme qui se dégage du consensus arbitral est est plutôt celle de la preuve de l’existence d’« un » problème.  La différence entre les deux approches est évidemment très marquée et ne peut être ignorée.  Le conseil a ensuite exigé que l’élément de preuve démontrant l’existence d’un problème d’alcool soit lié aux accidents et aux blessures — réels ou évités de justesse — survenus à l’usine ou ait un lien de causalité avec ceux</w:t>
      </w:r>
      <w:r w:rsidRPr="00842C30">
        <w:rPr>
          <w:sz w:val="20"/>
          <w:lang w:val="fr-CA"/>
        </w:rPr>
        <w:noBreakHyphen/>
        <w:t>ci.  Encore une fois, cette exigence n’est aucunement étayée par la jurisprudence arbitrale.  L’employeur ne doit pas attendre qu’un incident grave, comme une perte, des dommages, des blessures ou un décès, ne survienne avant de prendre des mesures.  Exiger que l’employeur établisse un tel lien de causalité est non seulement déraisonnable, mais manifestement absurde.  C’est l’application de cette norme plus élevée qui a dicté la conclusion du conseil en l’espèce d’annuler la politique.  La preuve était le facteur déterminant.</w:t>
      </w:r>
    </w:p>
    <w:p w:rsidR="004E1363" w:rsidRDefault="004E1363" w:rsidP="004E1363">
      <w:pPr>
        <w:pStyle w:val="SCCNormalDoubleSpacing"/>
        <w:spacing w:line="240" w:lineRule="auto"/>
        <w:rPr>
          <w:sz w:val="20"/>
          <w:lang w:val="fr-CA"/>
        </w:rPr>
      </w:pPr>
    </w:p>
    <w:p w:rsidR="004E1363" w:rsidRPr="00842C30" w:rsidRDefault="004E1363" w:rsidP="004E1363">
      <w:pPr>
        <w:pStyle w:val="SCCNormalDoubleSpacing"/>
        <w:spacing w:line="240" w:lineRule="auto"/>
        <w:rPr>
          <w:sz w:val="20"/>
          <w:lang w:val="fr-CA"/>
        </w:rPr>
      </w:pPr>
      <w:r w:rsidRPr="00842C30">
        <w:rPr>
          <w:sz w:val="20"/>
          <w:lang w:val="fr-CA"/>
        </w:rPr>
        <w:tab/>
        <w:t xml:space="preserve">Bref, il était loisible au conseil en l’espèce de faire abstraction du consensus arbitral pour arriver à sa conclusion, pourvu qu’il eût un motif raisonnable de le faire.  Ainsi, il incombait au conseil d’expliquer son raisonnement.  En l’espèce, il n’a fourni aucune explication — implicite ou explicite, raisonnable ou déraisonnable — pour justifier la nouvelle norme de preuve qu’il a appliquée.  Comme le conseil n’a pas expliqué de façon raisonnable pourquoi il a appliqué un nouveau critère, nous devons considérer qu’il a mal appliqué le critère déjà établi, ce qui, dans les circonstances de l’espèce, a rendu sa décision déraisonnable. </w:t>
      </w:r>
    </w:p>
    <w:p w:rsidR="004E1363" w:rsidRDefault="004E1363" w:rsidP="004E1363">
      <w:pPr>
        <w:pStyle w:val="SCCNormalDoubleSpacing"/>
        <w:spacing w:line="240" w:lineRule="auto"/>
        <w:rPr>
          <w:sz w:val="20"/>
          <w:lang w:val="fr-CA"/>
        </w:rPr>
      </w:pPr>
    </w:p>
    <w:p w:rsidR="004E1363" w:rsidRPr="00842C30" w:rsidRDefault="004E1363" w:rsidP="004E1363">
      <w:pPr>
        <w:pStyle w:val="SCCNormalDoubleSpacing"/>
        <w:spacing w:line="240" w:lineRule="auto"/>
        <w:rPr>
          <w:sz w:val="20"/>
          <w:lang w:val="fr-CA"/>
        </w:rPr>
      </w:pPr>
      <w:r w:rsidRPr="00842C30">
        <w:rPr>
          <w:sz w:val="20"/>
          <w:lang w:val="fr-CA"/>
        </w:rPr>
        <w:tab/>
        <w:t>L’inférence tirée par le conseil voulant que le risque fût peu élevé à l’usine Irving parce que seulement 10 pour cent des employés de l’usine occupant des postes à risque allait subir des tests au cours d’une année donnée a également miné la raisonnabilité du raisonnement du conseil.  L’inférence était déraisonnable parce qu’elle ne tenait pas compte du fait que : même les faibles pourcentages de dépistage peuvent être hautement efficaces; faire subir un test à un pourcentage plus élevé</w:t>
      </w:r>
      <w:r w:rsidRPr="00842C30">
        <w:rPr>
          <w:i/>
          <w:sz w:val="20"/>
          <w:lang w:val="fr-CA"/>
        </w:rPr>
        <w:t xml:space="preserve"> </w:t>
      </w:r>
      <w:r w:rsidRPr="00842C30">
        <w:rPr>
          <w:sz w:val="20"/>
          <w:lang w:val="fr-CA"/>
        </w:rPr>
        <w:t>d’employés afin d’établir la raisonnabilité d’une politique de tests de dépistage en milieu de travail inciterait abusivement les employeurs à agir ainsi et mènerait à une intrusion plus grande dans la vie privée des employés; le seuil établi par Irving n’est pas marginal en ce qui a trait aux tests aléatoires de dépistage d’alcool.</w:t>
      </w:r>
    </w:p>
    <w:p w:rsidR="004E1363" w:rsidRDefault="004E1363" w:rsidP="004E1363">
      <w:pPr>
        <w:pStyle w:val="SCCNormalDoubleSpacing"/>
        <w:spacing w:line="240" w:lineRule="auto"/>
        <w:rPr>
          <w:sz w:val="20"/>
          <w:lang w:val="fr-CA"/>
        </w:rPr>
      </w:pPr>
    </w:p>
    <w:p w:rsidR="004E1363" w:rsidRDefault="004E1363" w:rsidP="004E1363">
      <w:pPr>
        <w:pStyle w:val="SCCNormalDoubleSpacing"/>
        <w:spacing w:line="240" w:lineRule="auto"/>
        <w:rPr>
          <w:sz w:val="20"/>
          <w:lang w:val="fr-CA"/>
        </w:rPr>
      </w:pPr>
      <w:r w:rsidRPr="00842C30">
        <w:rPr>
          <w:sz w:val="20"/>
          <w:lang w:val="fr-CA"/>
        </w:rPr>
        <w:tab/>
        <w:t xml:space="preserve">En résumé, le conseil a dérogé au critère juridique s’étant dégagé du consensus arbitral en élevant le seuil de preuve qu’Irving était tenue de présenter pour justifier sa politique de tests aléatoires de dépistage d’alcool.  En l’absence d’une quelconque explication, il est impossible de comprendre pourquoi le conseil pensait qu’il était raisonnable d’agir comme il l’a fait.  Dans les circonstances de l’espèce, sa décision n’appartenait donc pas aux issues possibles raisonnables pouvant se justifier au regard des faits et du droit.  </w:t>
      </w:r>
    </w:p>
    <w:p w:rsidR="004E1363" w:rsidRDefault="004E1363" w:rsidP="004E1363">
      <w:pPr>
        <w:pStyle w:val="SCCNormalDoubleSpacing"/>
        <w:spacing w:line="240" w:lineRule="auto"/>
        <w:rPr>
          <w:sz w:val="20"/>
          <w:lang w:val="fr-CA"/>
        </w:rPr>
      </w:pPr>
    </w:p>
    <w:p w:rsidR="004E1363" w:rsidRPr="00842C30" w:rsidRDefault="004E1363" w:rsidP="004E1363">
      <w:pPr>
        <w:pStyle w:val="SCCNormalDoubleSpacing"/>
        <w:spacing w:line="240" w:lineRule="auto"/>
        <w:rPr>
          <w:sz w:val="20"/>
          <w:lang w:val="fr-CA"/>
        </w:rPr>
      </w:pPr>
      <w:r w:rsidRPr="00842C30">
        <w:rPr>
          <w:sz w:val="20"/>
          <w:lang w:val="fr-CA"/>
        </w:rPr>
        <w:tab/>
        <w:t>POURVOI contre un arrêt de la Cour d’appel du Nouveau</w:t>
      </w:r>
      <w:r w:rsidRPr="00842C30">
        <w:rPr>
          <w:sz w:val="20"/>
          <w:lang w:val="fr-CA"/>
        </w:rPr>
        <w:noBreakHyphen/>
        <w:t>Brunswick (le juge en chef Drapeau et les juges Turnbull et Robertson), 2011 NBCA 58, 375 R.N.</w:t>
      </w:r>
      <w:r w:rsidRPr="00842C30">
        <w:rPr>
          <w:sz w:val="20"/>
          <w:lang w:val="fr-CA"/>
        </w:rPr>
        <w:noBreakHyphen/>
        <w:t>B. (2</w:t>
      </w:r>
      <w:r w:rsidRPr="00842C30">
        <w:rPr>
          <w:sz w:val="20"/>
          <w:vertAlign w:val="superscript"/>
          <w:lang w:val="fr-CA"/>
        </w:rPr>
        <w:t>e</w:t>
      </w:r>
      <w:r w:rsidRPr="00842C30">
        <w:rPr>
          <w:sz w:val="20"/>
          <w:lang w:val="fr-CA"/>
        </w:rPr>
        <w:t>) 92, 348 D.L.R. (4th) 105, 30 Admin. L.R. (5th) 269, 216 L.A.C. (4th) 418, 969 A.P.R. 92, [2011] A.N.</w:t>
      </w:r>
      <w:r w:rsidRPr="00842C30">
        <w:rPr>
          <w:sz w:val="20"/>
          <w:lang w:val="fr-CA"/>
        </w:rPr>
        <w:noBreakHyphen/>
        <w:t>B. n</w:t>
      </w:r>
      <w:r w:rsidRPr="00842C30">
        <w:rPr>
          <w:sz w:val="20"/>
          <w:vertAlign w:val="superscript"/>
          <w:lang w:val="fr-CA"/>
        </w:rPr>
        <w:t>o</w:t>
      </w:r>
      <w:r w:rsidRPr="00842C30">
        <w:rPr>
          <w:sz w:val="20"/>
          <w:lang w:val="fr-CA"/>
        </w:rPr>
        <w:t xml:space="preserve"> 230 (QL), 2011 CarswellNB 357, qui a confirmé une décision du juge Grant, 2010 NBBR 294, 367 R.N.</w:t>
      </w:r>
      <w:r w:rsidRPr="00842C30">
        <w:rPr>
          <w:sz w:val="20"/>
          <w:lang w:val="fr-CA"/>
        </w:rPr>
        <w:noBreakHyphen/>
        <w:t>B. (2</w:t>
      </w:r>
      <w:r w:rsidRPr="00842C30">
        <w:rPr>
          <w:sz w:val="20"/>
          <w:vertAlign w:val="superscript"/>
          <w:lang w:val="fr-CA"/>
        </w:rPr>
        <w:t>e</w:t>
      </w:r>
      <w:r w:rsidRPr="00842C30">
        <w:rPr>
          <w:sz w:val="20"/>
          <w:lang w:val="fr-CA"/>
        </w:rPr>
        <w:t>) 234, 199 L.A.C. (4th) 321, 946 A.P.R. 234, [2010] A.N.</w:t>
      </w:r>
      <w:r w:rsidRPr="00842C30">
        <w:rPr>
          <w:sz w:val="20"/>
          <w:lang w:val="fr-CA"/>
        </w:rPr>
        <w:noBreakHyphen/>
        <w:t>B. n</w:t>
      </w:r>
      <w:r w:rsidRPr="00842C30">
        <w:rPr>
          <w:sz w:val="20"/>
          <w:vertAlign w:val="superscript"/>
          <w:lang w:val="fr-CA"/>
        </w:rPr>
        <w:t>o</w:t>
      </w:r>
      <w:r w:rsidRPr="00842C30">
        <w:rPr>
          <w:sz w:val="20"/>
          <w:lang w:val="fr-CA"/>
        </w:rPr>
        <w:t xml:space="preserve"> 331 (QL), 2010 CarswellNB 494, qui a infirmé une sentence d’un conseil d’arbitrage, [2009] N.B.L.A.A. No. 28 (QL).  Pourvoi accueilli, la juge en chef McLachlin et les juges Rothstein et Moldaver sont dissidents.</w:t>
      </w:r>
    </w:p>
    <w:p w:rsidR="004E1363" w:rsidRDefault="004E1363" w:rsidP="004E1363">
      <w:pPr>
        <w:pStyle w:val="SCCNormalDoubleSpacing"/>
        <w:spacing w:line="240" w:lineRule="auto"/>
        <w:rPr>
          <w:i/>
          <w:sz w:val="20"/>
          <w:lang w:val="fr-CA"/>
        </w:rPr>
      </w:pPr>
    </w:p>
    <w:p w:rsidR="004E1363" w:rsidRPr="00842C30" w:rsidRDefault="004E1363" w:rsidP="004E1363">
      <w:pPr>
        <w:pStyle w:val="SCCNormalDoubleSpacing"/>
        <w:spacing w:line="240" w:lineRule="auto"/>
        <w:rPr>
          <w:sz w:val="20"/>
          <w:lang w:val="fr-CA"/>
        </w:rPr>
      </w:pPr>
      <w:r w:rsidRPr="00842C30">
        <w:rPr>
          <w:i/>
          <w:sz w:val="20"/>
          <w:lang w:val="fr-CA"/>
        </w:rPr>
        <w:tab/>
        <w:t>Daniel Leger</w:t>
      </w:r>
      <w:r w:rsidRPr="00842C30">
        <w:rPr>
          <w:sz w:val="20"/>
          <w:lang w:val="fr-CA"/>
        </w:rPr>
        <w:t xml:space="preserve">, </w:t>
      </w:r>
      <w:r w:rsidRPr="00842C30">
        <w:rPr>
          <w:i/>
          <w:sz w:val="20"/>
          <w:lang w:val="fr-CA"/>
        </w:rPr>
        <w:t>David Mombourquette</w:t>
      </w:r>
      <w:r w:rsidRPr="00842C30">
        <w:rPr>
          <w:sz w:val="20"/>
          <w:lang w:val="fr-CA"/>
        </w:rPr>
        <w:t xml:space="preserve"> et </w:t>
      </w:r>
      <w:r w:rsidRPr="00842C30">
        <w:rPr>
          <w:i/>
          <w:sz w:val="20"/>
          <w:lang w:val="fr-CA"/>
        </w:rPr>
        <w:t>Joël Michaud</w:t>
      </w:r>
      <w:r w:rsidRPr="00842C30">
        <w:rPr>
          <w:sz w:val="20"/>
          <w:lang w:val="fr-CA"/>
        </w:rPr>
        <w:t>, pour l’appelant.</w:t>
      </w:r>
    </w:p>
    <w:p w:rsidR="004E1363" w:rsidRDefault="004E1363" w:rsidP="004E1363">
      <w:pPr>
        <w:pStyle w:val="SCCNormalDoubleSpacing"/>
        <w:spacing w:line="240" w:lineRule="auto"/>
        <w:rPr>
          <w:i/>
          <w:sz w:val="20"/>
          <w:lang w:val="fr-CA"/>
        </w:rPr>
      </w:pPr>
    </w:p>
    <w:p w:rsidR="004E1363" w:rsidRPr="00842C30" w:rsidRDefault="004E1363" w:rsidP="004E1363">
      <w:pPr>
        <w:pStyle w:val="SCCNormalDoubleSpacing"/>
        <w:spacing w:line="240" w:lineRule="auto"/>
        <w:rPr>
          <w:sz w:val="20"/>
        </w:rPr>
      </w:pPr>
      <w:r w:rsidRPr="00842C30">
        <w:rPr>
          <w:i/>
          <w:sz w:val="20"/>
          <w:lang w:val="fr-CA"/>
        </w:rPr>
        <w:tab/>
      </w:r>
      <w:r w:rsidRPr="00842C30">
        <w:rPr>
          <w:i/>
          <w:sz w:val="20"/>
        </w:rPr>
        <w:t>Neil Finkelstein</w:t>
      </w:r>
      <w:r w:rsidRPr="00842C30">
        <w:rPr>
          <w:sz w:val="20"/>
        </w:rPr>
        <w:t xml:space="preserve">, </w:t>
      </w:r>
      <w:r w:rsidRPr="00842C30">
        <w:rPr>
          <w:i/>
          <w:sz w:val="20"/>
        </w:rPr>
        <w:t>Steven Mason, Brandon Kain, Byron Shaw</w:t>
      </w:r>
      <w:r w:rsidRPr="00842C30">
        <w:rPr>
          <w:sz w:val="20"/>
        </w:rPr>
        <w:t xml:space="preserve"> et </w:t>
      </w:r>
      <w:r w:rsidRPr="00842C30">
        <w:rPr>
          <w:i/>
          <w:sz w:val="20"/>
        </w:rPr>
        <w:t>William Goss</w:t>
      </w:r>
      <w:r w:rsidRPr="00842C30">
        <w:rPr>
          <w:sz w:val="20"/>
        </w:rPr>
        <w:t xml:space="preserve">, </w:t>
      </w:r>
      <w:r w:rsidRPr="00842C30">
        <w:rPr>
          <w:i/>
          <w:sz w:val="20"/>
        </w:rPr>
        <w:t>c.r.</w:t>
      </w:r>
      <w:r w:rsidRPr="00842C30">
        <w:rPr>
          <w:sz w:val="20"/>
        </w:rPr>
        <w:t>, pour l’intimée.</w:t>
      </w:r>
    </w:p>
    <w:p w:rsidR="004E1363" w:rsidRDefault="004E1363" w:rsidP="004E1363">
      <w:pPr>
        <w:pStyle w:val="SCCNormalDoubleSpacing"/>
        <w:spacing w:line="240" w:lineRule="auto"/>
        <w:rPr>
          <w:i/>
          <w:sz w:val="20"/>
        </w:rPr>
      </w:pPr>
    </w:p>
    <w:p w:rsidR="004E1363" w:rsidRPr="00842C30" w:rsidRDefault="004E1363" w:rsidP="004E1363">
      <w:pPr>
        <w:pStyle w:val="SCCNormalDoubleSpacing"/>
        <w:spacing w:line="240" w:lineRule="auto"/>
        <w:rPr>
          <w:sz w:val="20"/>
        </w:rPr>
      </w:pPr>
      <w:r w:rsidRPr="00842C30">
        <w:rPr>
          <w:i/>
          <w:sz w:val="20"/>
        </w:rPr>
        <w:tab/>
        <w:t>Barbara B. Johnston</w:t>
      </w:r>
      <w:r w:rsidRPr="00842C30">
        <w:rPr>
          <w:sz w:val="20"/>
        </w:rPr>
        <w:t xml:space="preserve"> et </w:t>
      </w:r>
      <w:r w:rsidRPr="00842C30">
        <w:rPr>
          <w:i/>
          <w:sz w:val="20"/>
        </w:rPr>
        <w:t>April Kosten</w:t>
      </w:r>
      <w:r w:rsidRPr="00842C30">
        <w:rPr>
          <w:sz w:val="20"/>
        </w:rPr>
        <w:t>, pour les intervenantes Construction Owners Association of Alberta, Construction Labour Relations — an Alberta Association et Enform.</w:t>
      </w:r>
    </w:p>
    <w:p w:rsidR="004E1363" w:rsidRDefault="004E1363" w:rsidP="004E1363">
      <w:pPr>
        <w:pStyle w:val="SCCNormalDoubleSpacing"/>
        <w:spacing w:line="240" w:lineRule="auto"/>
        <w:rPr>
          <w:i/>
          <w:sz w:val="20"/>
        </w:rPr>
      </w:pPr>
    </w:p>
    <w:p w:rsidR="004E1363" w:rsidRPr="00842C30" w:rsidRDefault="004E1363" w:rsidP="004E1363">
      <w:pPr>
        <w:pStyle w:val="SCCNormalDoubleSpacing"/>
        <w:spacing w:line="240" w:lineRule="auto"/>
        <w:rPr>
          <w:sz w:val="20"/>
          <w:lang w:val="fr-CA"/>
        </w:rPr>
      </w:pPr>
      <w:r w:rsidRPr="00842C30">
        <w:rPr>
          <w:i/>
          <w:sz w:val="20"/>
        </w:rPr>
        <w:tab/>
      </w:r>
      <w:r w:rsidRPr="00842C30">
        <w:rPr>
          <w:i/>
          <w:sz w:val="20"/>
          <w:lang w:val="fr-CA"/>
        </w:rPr>
        <w:t>Robert Dupont</w:t>
      </w:r>
      <w:r w:rsidRPr="00842C30">
        <w:rPr>
          <w:sz w:val="20"/>
          <w:lang w:val="fr-CA"/>
        </w:rPr>
        <w:t xml:space="preserve">, </w:t>
      </w:r>
      <w:r w:rsidRPr="00842C30">
        <w:rPr>
          <w:i/>
          <w:sz w:val="20"/>
          <w:lang w:val="fr-CA"/>
        </w:rPr>
        <w:t>Simon</w:t>
      </w:r>
      <w:r w:rsidRPr="00842C30">
        <w:rPr>
          <w:i/>
          <w:sz w:val="20"/>
          <w:lang w:val="fr-CA"/>
        </w:rPr>
        <w:noBreakHyphen/>
        <w:t>Pierre Paquette</w:t>
      </w:r>
      <w:r w:rsidRPr="00842C30">
        <w:rPr>
          <w:sz w:val="20"/>
          <w:lang w:val="fr-CA"/>
        </w:rPr>
        <w:t xml:space="preserve"> et </w:t>
      </w:r>
      <w:r w:rsidRPr="00842C30">
        <w:rPr>
          <w:i/>
          <w:sz w:val="20"/>
          <w:lang w:val="fr-CA"/>
        </w:rPr>
        <w:t>Johanne Cavé</w:t>
      </w:r>
      <w:r w:rsidRPr="00842C30">
        <w:rPr>
          <w:sz w:val="20"/>
          <w:lang w:val="fr-CA"/>
        </w:rPr>
        <w:t>, pour les intervenantes la Compagnie des chemins de fer nationaux du Canada, Chemin de fer Canadien Pacifique Limitée et Via Rail Canada Inc.</w:t>
      </w:r>
    </w:p>
    <w:p w:rsidR="004E1363" w:rsidRDefault="004E1363" w:rsidP="004E1363">
      <w:pPr>
        <w:pStyle w:val="SCCNormalDoubleSpacing"/>
        <w:spacing w:line="240" w:lineRule="auto"/>
        <w:rPr>
          <w:i/>
          <w:sz w:val="20"/>
          <w:lang w:val="fr-CA"/>
        </w:rPr>
      </w:pPr>
    </w:p>
    <w:p w:rsidR="004E1363" w:rsidRPr="00842C30" w:rsidRDefault="004E1363" w:rsidP="004E1363">
      <w:pPr>
        <w:pStyle w:val="SCCNormalDoubleSpacing"/>
        <w:spacing w:line="240" w:lineRule="auto"/>
        <w:rPr>
          <w:sz w:val="20"/>
          <w:lang w:val="fr-CA"/>
        </w:rPr>
      </w:pPr>
      <w:r w:rsidRPr="00842C30">
        <w:rPr>
          <w:i/>
          <w:sz w:val="20"/>
          <w:lang w:val="fr-CA"/>
        </w:rPr>
        <w:tab/>
      </w:r>
      <w:r w:rsidRPr="00842C30">
        <w:rPr>
          <w:sz w:val="20"/>
          <w:lang w:val="fr-CA"/>
        </w:rPr>
        <w:t>Argumentation écrite seulement par</w:t>
      </w:r>
      <w:r w:rsidRPr="00842C30">
        <w:rPr>
          <w:i/>
          <w:sz w:val="20"/>
          <w:lang w:val="fr-CA"/>
        </w:rPr>
        <w:t xml:space="preserve"> Ritu Khullar </w:t>
      </w:r>
      <w:r w:rsidRPr="00842C30">
        <w:rPr>
          <w:sz w:val="20"/>
          <w:lang w:val="fr-CA"/>
        </w:rPr>
        <w:t>et</w:t>
      </w:r>
      <w:r w:rsidRPr="00842C30">
        <w:rPr>
          <w:i/>
          <w:sz w:val="20"/>
          <w:lang w:val="fr-CA"/>
        </w:rPr>
        <w:t xml:space="preserve"> John Carpenter</w:t>
      </w:r>
      <w:r w:rsidRPr="00842C30">
        <w:rPr>
          <w:sz w:val="20"/>
          <w:lang w:val="fr-CA"/>
        </w:rPr>
        <w:t>, pour l’intervenante Alberta Federation of Labour.</w:t>
      </w:r>
    </w:p>
    <w:p w:rsidR="004E1363" w:rsidRDefault="004E1363" w:rsidP="004E1363">
      <w:pPr>
        <w:pStyle w:val="SCCNormalDoubleSpacing"/>
        <w:spacing w:line="240" w:lineRule="auto"/>
        <w:rPr>
          <w:i/>
          <w:sz w:val="20"/>
          <w:lang w:val="fr-CA"/>
        </w:rPr>
      </w:pPr>
    </w:p>
    <w:p w:rsidR="004E1363" w:rsidRPr="00842C30" w:rsidRDefault="004E1363" w:rsidP="004E1363">
      <w:pPr>
        <w:pStyle w:val="SCCNormalDoubleSpacing"/>
        <w:spacing w:line="240" w:lineRule="auto"/>
        <w:rPr>
          <w:sz w:val="20"/>
          <w:lang w:val="fr-CA"/>
        </w:rPr>
      </w:pPr>
      <w:r w:rsidRPr="00842C30">
        <w:rPr>
          <w:i/>
          <w:sz w:val="20"/>
          <w:lang w:val="fr-CA"/>
        </w:rPr>
        <w:tab/>
        <w:t>Ritu Khullar</w:t>
      </w:r>
      <w:r w:rsidRPr="00842C30">
        <w:rPr>
          <w:sz w:val="20"/>
          <w:lang w:val="fr-CA"/>
        </w:rPr>
        <w:t>, pour l’intervenant le Syndicat canadien des communications, de l’énergie et du papier, section locale 707.</w:t>
      </w:r>
    </w:p>
    <w:p w:rsidR="004E1363" w:rsidRDefault="004E1363" w:rsidP="004E1363">
      <w:pPr>
        <w:pStyle w:val="SCCNormalDoubleSpacing"/>
        <w:spacing w:line="240" w:lineRule="auto"/>
        <w:rPr>
          <w:i/>
          <w:sz w:val="20"/>
          <w:lang w:val="fr-CA"/>
        </w:rPr>
      </w:pPr>
    </w:p>
    <w:p w:rsidR="004E1363" w:rsidRPr="00842C30" w:rsidRDefault="004E1363" w:rsidP="004E1363">
      <w:pPr>
        <w:pStyle w:val="SCCNormalDoubleSpacing"/>
        <w:spacing w:line="240" w:lineRule="auto"/>
        <w:rPr>
          <w:sz w:val="20"/>
          <w:lang w:val="fr-CA"/>
        </w:rPr>
      </w:pPr>
      <w:r w:rsidRPr="00842C30">
        <w:rPr>
          <w:i/>
          <w:sz w:val="20"/>
          <w:lang w:val="fr-CA"/>
        </w:rPr>
        <w:tab/>
        <w:t xml:space="preserve">Joshua S. Phillips </w:t>
      </w:r>
      <w:r w:rsidRPr="00842C30">
        <w:rPr>
          <w:sz w:val="20"/>
          <w:lang w:val="fr-CA"/>
        </w:rPr>
        <w:t>et</w:t>
      </w:r>
      <w:r w:rsidRPr="00842C30">
        <w:rPr>
          <w:i/>
          <w:sz w:val="20"/>
          <w:lang w:val="fr-CA"/>
        </w:rPr>
        <w:t xml:space="preserve"> Karen Ensslen</w:t>
      </w:r>
      <w:r w:rsidRPr="00842C30">
        <w:rPr>
          <w:sz w:val="20"/>
          <w:lang w:val="fr-CA"/>
        </w:rPr>
        <w:t>, pour l’intervenante l’Association canadienne des libertés civiles.</w:t>
      </w:r>
    </w:p>
    <w:p w:rsidR="004E1363" w:rsidRDefault="004E1363" w:rsidP="004E1363">
      <w:pPr>
        <w:pStyle w:val="SCCNormalDoubleSpacing"/>
        <w:spacing w:line="240" w:lineRule="auto"/>
        <w:rPr>
          <w:i/>
          <w:sz w:val="20"/>
          <w:lang w:val="fr-CA"/>
        </w:rPr>
      </w:pPr>
    </w:p>
    <w:p w:rsidR="004E1363" w:rsidRPr="00842C30" w:rsidRDefault="004E1363" w:rsidP="004E1363">
      <w:pPr>
        <w:pStyle w:val="SCCNormalDoubleSpacing"/>
        <w:spacing w:line="240" w:lineRule="auto"/>
        <w:rPr>
          <w:sz w:val="20"/>
          <w:lang w:val="fr-CA"/>
        </w:rPr>
      </w:pPr>
      <w:r w:rsidRPr="00842C30">
        <w:rPr>
          <w:i/>
          <w:sz w:val="20"/>
          <w:lang w:val="fr-CA"/>
        </w:rPr>
        <w:tab/>
        <w:t>Norman A. Keith</w:t>
      </w:r>
      <w:r w:rsidRPr="00842C30">
        <w:rPr>
          <w:sz w:val="20"/>
          <w:lang w:val="fr-CA"/>
        </w:rPr>
        <w:t xml:space="preserve">, </w:t>
      </w:r>
      <w:r w:rsidRPr="00842C30">
        <w:rPr>
          <w:i/>
          <w:sz w:val="20"/>
          <w:lang w:val="fr-CA"/>
        </w:rPr>
        <w:t>Ailsa Jane Wiggins</w:t>
      </w:r>
      <w:r w:rsidRPr="00842C30">
        <w:rPr>
          <w:sz w:val="20"/>
          <w:lang w:val="fr-CA"/>
        </w:rPr>
        <w:t xml:space="preserve"> et </w:t>
      </w:r>
      <w:r w:rsidRPr="00842C30">
        <w:rPr>
          <w:i/>
          <w:sz w:val="20"/>
          <w:lang w:val="fr-CA"/>
        </w:rPr>
        <w:t>Anna Abbott</w:t>
      </w:r>
      <w:r w:rsidRPr="00842C30">
        <w:rPr>
          <w:sz w:val="20"/>
          <w:lang w:val="fr-CA"/>
        </w:rPr>
        <w:t>, pour l’intervenante l’Alliance des Manufacturiers et Exportateurs du Canada, faisant affaire sous le nom de Manufacturiers et Exportateurs du Canada.</w:t>
      </w:r>
    </w:p>
    <w:p w:rsidR="004E1363" w:rsidRDefault="004E1363" w:rsidP="004E1363">
      <w:pPr>
        <w:pStyle w:val="SCCNormalDoubleSpacing"/>
        <w:spacing w:line="240" w:lineRule="auto"/>
        <w:rPr>
          <w:i/>
          <w:sz w:val="20"/>
          <w:lang w:val="fr-CA"/>
        </w:rPr>
      </w:pPr>
    </w:p>
    <w:p w:rsidR="004E1363" w:rsidRPr="00842C30" w:rsidRDefault="004E1363" w:rsidP="004E1363">
      <w:pPr>
        <w:pStyle w:val="SCCNormalDoubleSpacing"/>
        <w:spacing w:line="240" w:lineRule="auto"/>
        <w:rPr>
          <w:sz w:val="20"/>
          <w:lang w:val="fr-CA"/>
        </w:rPr>
      </w:pPr>
      <w:r w:rsidRPr="00842C30">
        <w:rPr>
          <w:i/>
          <w:sz w:val="20"/>
          <w:lang w:val="fr-CA"/>
        </w:rPr>
        <w:tab/>
        <w:t>Peter A. Gall, c.r.</w:t>
      </w:r>
      <w:r w:rsidRPr="00842C30">
        <w:rPr>
          <w:sz w:val="20"/>
          <w:lang w:val="fr-CA"/>
        </w:rPr>
        <w:t xml:space="preserve">, </w:t>
      </w:r>
      <w:r w:rsidRPr="00842C30">
        <w:rPr>
          <w:i/>
          <w:sz w:val="20"/>
          <w:lang w:val="fr-CA"/>
        </w:rPr>
        <w:t>Andrea Zwack</w:t>
      </w:r>
      <w:r w:rsidRPr="00842C30">
        <w:rPr>
          <w:sz w:val="20"/>
          <w:lang w:val="fr-CA"/>
        </w:rPr>
        <w:t xml:space="preserve"> et </w:t>
      </w:r>
      <w:r w:rsidRPr="00842C30">
        <w:rPr>
          <w:i/>
          <w:sz w:val="20"/>
          <w:lang w:val="fr-CA"/>
        </w:rPr>
        <w:t>Melanie Vipond</w:t>
      </w:r>
      <w:r w:rsidRPr="00842C30">
        <w:rPr>
          <w:sz w:val="20"/>
          <w:lang w:val="fr-CA"/>
        </w:rPr>
        <w:t>, pour les intervenantes l’Association minière du Canada, Mining Association of British Columbia, Mining Association of Manitoba Inc., l’Association minière du Québec, Ontario Mining Association et Saskatchewan Mining Association.</w:t>
      </w:r>
    </w:p>
    <w:p w:rsidR="004E1363" w:rsidRDefault="004E1363" w:rsidP="004E1363">
      <w:pPr>
        <w:pStyle w:val="SCCNormalDoubleSpacing"/>
        <w:spacing w:line="240" w:lineRule="auto"/>
        <w:rPr>
          <w:i/>
          <w:sz w:val="20"/>
          <w:lang w:val="fr-CA"/>
        </w:rPr>
      </w:pPr>
    </w:p>
    <w:p w:rsidR="004E1363" w:rsidRPr="00842C30" w:rsidRDefault="004E1363" w:rsidP="004E1363">
      <w:pPr>
        <w:pStyle w:val="SCCNormalDoubleSpacing"/>
        <w:spacing w:line="240" w:lineRule="auto"/>
        <w:rPr>
          <w:sz w:val="20"/>
        </w:rPr>
      </w:pPr>
      <w:r w:rsidRPr="00842C30">
        <w:rPr>
          <w:i/>
          <w:sz w:val="20"/>
          <w:lang w:val="fr-CA"/>
        </w:rPr>
        <w:tab/>
      </w:r>
      <w:r w:rsidRPr="00842C30">
        <w:rPr>
          <w:i/>
          <w:sz w:val="20"/>
        </w:rPr>
        <w:t>Andrew K. Lokan</w:t>
      </w:r>
      <w:r w:rsidRPr="00842C30">
        <w:rPr>
          <w:sz w:val="20"/>
        </w:rPr>
        <w:t xml:space="preserve">, </w:t>
      </w:r>
      <w:r w:rsidRPr="00842C30">
        <w:rPr>
          <w:i/>
          <w:sz w:val="20"/>
        </w:rPr>
        <w:t>Emily Lawrence</w:t>
      </w:r>
      <w:r w:rsidRPr="00842C30">
        <w:rPr>
          <w:sz w:val="20"/>
        </w:rPr>
        <w:t xml:space="preserve"> et </w:t>
      </w:r>
      <w:r w:rsidRPr="00842C30">
        <w:rPr>
          <w:i/>
          <w:sz w:val="20"/>
        </w:rPr>
        <w:t>Christopher M. Dassios</w:t>
      </w:r>
      <w:r w:rsidRPr="00842C30">
        <w:rPr>
          <w:sz w:val="20"/>
        </w:rPr>
        <w:t>, pour l’intervenant Power Workers’ Union.</w:t>
      </w:r>
    </w:p>
    <w:p w:rsidR="004E1363" w:rsidRDefault="004E1363" w:rsidP="004E1363">
      <w:pPr>
        <w:pStyle w:val="SCCLawFirm"/>
        <w:spacing w:line="240" w:lineRule="auto"/>
        <w:rPr>
          <w:sz w:val="20"/>
        </w:rPr>
      </w:pPr>
    </w:p>
    <w:p w:rsidR="004E1363" w:rsidRPr="00842C30" w:rsidRDefault="004E1363" w:rsidP="004E1363">
      <w:pPr>
        <w:pStyle w:val="SCCLawFirm"/>
        <w:spacing w:line="240" w:lineRule="auto"/>
        <w:rPr>
          <w:sz w:val="20"/>
          <w:lang w:val="fr-CA"/>
        </w:rPr>
      </w:pPr>
      <w:r w:rsidRPr="00842C30">
        <w:rPr>
          <w:sz w:val="20"/>
        </w:rPr>
        <w:tab/>
      </w:r>
      <w:r w:rsidRPr="00842C30">
        <w:rPr>
          <w:sz w:val="20"/>
          <w:lang w:val="fr-CA"/>
        </w:rPr>
        <w:t>Procureurs de l’appelant : Pink, Larkin, Fredericton.</w:t>
      </w:r>
    </w:p>
    <w:p w:rsidR="004E1363" w:rsidRDefault="004E1363" w:rsidP="004E1363">
      <w:pPr>
        <w:pStyle w:val="SCCLawFirm"/>
        <w:spacing w:line="240" w:lineRule="auto"/>
        <w:rPr>
          <w:sz w:val="20"/>
          <w:lang w:val="fr-CA"/>
        </w:rPr>
      </w:pPr>
    </w:p>
    <w:p w:rsidR="004E1363" w:rsidRPr="00842C30" w:rsidRDefault="004E1363" w:rsidP="004E1363">
      <w:pPr>
        <w:pStyle w:val="SCCLawFirm"/>
        <w:spacing w:line="240" w:lineRule="auto"/>
        <w:rPr>
          <w:sz w:val="20"/>
          <w:lang w:val="fr-CA"/>
        </w:rPr>
      </w:pPr>
      <w:r w:rsidRPr="00842C30">
        <w:rPr>
          <w:sz w:val="20"/>
          <w:lang w:val="fr-CA"/>
        </w:rPr>
        <w:tab/>
        <w:t>Procureurs de l’intimée : McCarthy Tétrault, Toronto.</w:t>
      </w:r>
    </w:p>
    <w:p w:rsidR="004E1363" w:rsidRDefault="004E1363" w:rsidP="004E1363">
      <w:pPr>
        <w:pStyle w:val="SCCLawFirm"/>
        <w:spacing w:line="240" w:lineRule="auto"/>
        <w:rPr>
          <w:sz w:val="20"/>
          <w:lang w:val="fr-CA"/>
        </w:rPr>
      </w:pPr>
    </w:p>
    <w:p w:rsidR="004E1363" w:rsidRPr="00842C30" w:rsidRDefault="004E1363" w:rsidP="004E1363">
      <w:pPr>
        <w:pStyle w:val="SCCLawFirm"/>
        <w:spacing w:line="240" w:lineRule="auto"/>
        <w:rPr>
          <w:sz w:val="20"/>
          <w:lang w:val="fr-CA"/>
        </w:rPr>
      </w:pPr>
      <w:r w:rsidRPr="00842C30">
        <w:rPr>
          <w:sz w:val="20"/>
          <w:lang w:val="fr-CA"/>
        </w:rPr>
        <w:tab/>
        <w:t>Procureurs des intervenantes Construction Owners Association of Alberta, Construction Labour Relations — an Alberta Association et Enform : Dentons Canada, Calgary.</w:t>
      </w:r>
    </w:p>
    <w:p w:rsidR="004E1363" w:rsidRDefault="004E1363" w:rsidP="004E1363">
      <w:pPr>
        <w:pStyle w:val="SCCLawFirm"/>
        <w:spacing w:line="240" w:lineRule="auto"/>
        <w:rPr>
          <w:sz w:val="20"/>
          <w:lang w:val="fr-CA"/>
        </w:rPr>
      </w:pPr>
    </w:p>
    <w:p w:rsidR="004E1363" w:rsidRPr="00842C30" w:rsidRDefault="004E1363" w:rsidP="004E1363">
      <w:pPr>
        <w:pStyle w:val="SCCLawFirm"/>
        <w:spacing w:line="240" w:lineRule="auto"/>
        <w:rPr>
          <w:sz w:val="20"/>
          <w:lang w:val="fr-CA"/>
        </w:rPr>
      </w:pPr>
      <w:r w:rsidRPr="00842C30">
        <w:rPr>
          <w:sz w:val="20"/>
          <w:lang w:val="fr-CA"/>
        </w:rPr>
        <w:tab/>
        <w:t>Procureurs des intervenantes la Compagnie des chemins de fer nationaux du Canada, Chemin de fer Canadien Pacifique Limitée et Via Rail Canada Inc. : Heenan Blaikie, Montréal; Compagnie des chemins de fer nationaux du Canada, Montréal.</w:t>
      </w:r>
    </w:p>
    <w:p w:rsidR="004E1363" w:rsidRDefault="004E1363" w:rsidP="004E1363">
      <w:pPr>
        <w:pStyle w:val="SCCLawFirm"/>
        <w:spacing w:line="240" w:lineRule="auto"/>
        <w:rPr>
          <w:sz w:val="20"/>
          <w:lang w:val="fr-CA"/>
        </w:rPr>
      </w:pPr>
    </w:p>
    <w:p w:rsidR="004E1363" w:rsidRPr="00842C30" w:rsidRDefault="004E1363" w:rsidP="004E1363">
      <w:pPr>
        <w:pStyle w:val="SCCLawFirm"/>
        <w:spacing w:line="240" w:lineRule="auto"/>
        <w:rPr>
          <w:sz w:val="20"/>
          <w:lang w:val="fr-CA"/>
        </w:rPr>
      </w:pPr>
      <w:r w:rsidRPr="00842C30">
        <w:rPr>
          <w:sz w:val="20"/>
          <w:lang w:val="fr-CA"/>
        </w:rPr>
        <w:tab/>
        <w:t>Procureurs des intervenants Alberta Federation of Labour et le Syndicat canadien des communications, de l’énergie et du papier, section locale 707 : Chivers Carpenter, Edmonton.</w:t>
      </w:r>
    </w:p>
    <w:p w:rsidR="004E1363" w:rsidRDefault="004E1363" w:rsidP="004E1363">
      <w:pPr>
        <w:pStyle w:val="SCCLawFirm"/>
        <w:spacing w:line="240" w:lineRule="auto"/>
        <w:rPr>
          <w:sz w:val="20"/>
          <w:lang w:val="fr-CA"/>
        </w:rPr>
      </w:pPr>
    </w:p>
    <w:p w:rsidR="004E1363" w:rsidRPr="00842C30" w:rsidRDefault="004E1363" w:rsidP="004E1363">
      <w:pPr>
        <w:pStyle w:val="SCCLawFirm"/>
        <w:spacing w:line="240" w:lineRule="auto"/>
        <w:rPr>
          <w:sz w:val="20"/>
          <w:lang w:val="fr-CA"/>
        </w:rPr>
      </w:pPr>
      <w:r w:rsidRPr="00842C30">
        <w:rPr>
          <w:sz w:val="20"/>
          <w:lang w:val="fr-CA"/>
        </w:rPr>
        <w:tab/>
        <w:t>Procureurs de l’intervenante l’Association canadienne des libertés civiles : Ursel Phillips Fellows Hopkinson, Toronto.</w:t>
      </w:r>
    </w:p>
    <w:p w:rsidR="004E1363" w:rsidRDefault="004E1363" w:rsidP="004E1363">
      <w:pPr>
        <w:pStyle w:val="SCCLawFirm"/>
        <w:spacing w:line="240" w:lineRule="auto"/>
        <w:rPr>
          <w:sz w:val="20"/>
          <w:lang w:val="fr-CA"/>
        </w:rPr>
      </w:pPr>
    </w:p>
    <w:p w:rsidR="004E1363" w:rsidRPr="00842C30" w:rsidRDefault="004E1363" w:rsidP="004E1363">
      <w:pPr>
        <w:pStyle w:val="SCCLawFirm"/>
        <w:spacing w:line="240" w:lineRule="auto"/>
        <w:rPr>
          <w:sz w:val="20"/>
          <w:lang w:val="fr-CA"/>
        </w:rPr>
      </w:pPr>
      <w:r w:rsidRPr="00842C30">
        <w:rPr>
          <w:sz w:val="20"/>
          <w:lang w:val="fr-CA"/>
        </w:rPr>
        <w:tab/>
        <w:t>Procureurs de l’intervenante l’Alliance des Manufacturiers et Exportateurs du Canada, faisant affaire sous le nom de Manufacturiers et Exportateurs du Canada : Gowling Lafleur Henderson, Toronto.</w:t>
      </w:r>
    </w:p>
    <w:p w:rsidR="004E1363" w:rsidRDefault="004E1363" w:rsidP="004E1363">
      <w:pPr>
        <w:pStyle w:val="SCCLawFirm"/>
        <w:spacing w:line="240" w:lineRule="auto"/>
        <w:rPr>
          <w:sz w:val="20"/>
          <w:lang w:val="fr-CA"/>
        </w:rPr>
      </w:pPr>
    </w:p>
    <w:p w:rsidR="004E1363" w:rsidRPr="00842C30" w:rsidRDefault="004E1363" w:rsidP="004E1363">
      <w:pPr>
        <w:pStyle w:val="SCCLawFirm"/>
        <w:spacing w:line="240" w:lineRule="auto"/>
        <w:rPr>
          <w:sz w:val="20"/>
          <w:lang w:val="fr-CA"/>
        </w:rPr>
      </w:pPr>
      <w:r w:rsidRPr="00842C30">
        <w:rPr>
          <w:sz w:val="20"/>
          <w:lang w:val="fr-CA"/>
        </w:rPr>
        <w:tab/>
        <w:t>Procureurs des intervenantes l’Association minière du Canada, Mining Association of British Columbia, Mining Association of Manitoba Inc., l’Association minière du Québec, Ontario Mining Association et Saskatchewan Mining Association : Heenan Blaikie, Vancouver.</w:t>
      </w:r>
    </w:p>
    <w:p w:rsidR="004E1363" w:rsidRDefault="004E1363" w:rsidP="004E1363">
      <w:pPr>
        <w:pStyle w:val="SCCLawFirm"/>
        <w:spacing w:line="240" w:lineRule="auto"/>
        <w:rPr>
          <w:sz w:val="20"/>
          <w:lang w:val="fr-CA"/>
        </w:rPr>
      </w:pPr>
    </w:p>
    <w:p w:rsidR="004E1363" w:rsidRDefault="004E1363" w:rsidP="004E1363">
      <w:pPr>
        <w:pStyle w:val="SCCLawFirm"/>
        <w:spacing w:line="240" w:lineRule="auto"/>
        <w:rPr>
          <w:sz w:val="20"/>
        </w:rPr>
      </w:pPr>
      <w:r w:rsidRPr="00842C30">
        <w:rPr>
          <w:sz w:val="20"/>
          <w:lang w:val="fr-CA"/>
        </w:rPr>
        <w:tab/>
      </w:r>
      <w:r w:rsidRPr="00842C30">
        <w:rPr>
          <w:sz w:val="20"/>
        </w:rPr>
        <w:t>Procureurs de l’intervenant Power Workers’ Union : Paliare Roland Rosenberg Rothstein, Toronto; Power Workers’ Union, Toronto.</w:t>
      </w:r>
    </w:p>
    <w:p w:rsidR="00902E51" w:rsidRPr="004E1363" w:rsidRDefault="00902E51" w:rsidP="00902E51">
      <w:pPr>
        <w:rPr>
          <w:sz w:val="20"/>
          <w:szCs w:val="20"/>
        </w:rPr>
      </w:pPr>
    </w:p>
    <w:p w:rsidR="00902E51" w:rsidRDefault="00B3404D" w:rsidP="00902E51">
      <w:pPr>
        <w:rPr>
          <w:rFonts w:cs="Times New Roman"/>
          <w:sz w:val="20"/>
          <w:szCs w:val="20"/>
          <w:lang w:val="fr-CA"/>
        </w:rPr>
      </w:pPr>
      <w:r w:rsidRPr="00B3404D">
        <w:rPr>
          <w:rFonts w:cs="Times New Roman"/>
          <w:sz w:val="20"/>
          <w:szCs w:val="20"/>
          <w:lang w:val="fr-CA"/>
        </w:rPr>
        <w:pict>
          <v:rect id="_x0000_i1118"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576" w:footer="960" w:gutter="0"/>
          <w:cols w:space="720"/>
          <w:titlePg/>
          <w:docGrid w:linePitch="272"/>
        </w:sectPr>
      </w:pPr>
    </w:p>
    <w:p w:rsidR="00091FA6" w:rsidRPr="002E0C7E" w:rsidRDefault="00B3404D"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C05792">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C05792">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C05792">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C05792">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C05792">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C05792">
            <w:pPr>
              <w:widowControl w:val="0"/>
              <w:jc w:val="center"/>
              <w:rPr>
                <w:rFonts w:ascii="Arial" w:hAnsi="Arial"/>
                <w:sz w:val="14"/>
              </w:rPr>
            </w:pPr>
            <w:r w:rsidRPr="002E0C7E">
              <w:rPr>
                <w:rFonts w:ascii="Arial" w:hAnsi="Arial"/>
                <w:b/>
                <w:sz w:val="14"/>
              </w:rPr>
              <w:t>DECEMBER - DÉCEMBRE</w:t>
            </w:r>
          </w:p>
        </w:tc>
      </w:tr>
      <w:tr w:rsidR="00091FA6" w:rsidRPr="002E0C7E" w:rsidTr="00C05792">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S</w:t>
            </w:r>
          </w:p>
          <w:p w:rsidR="00091FA6" w:rsidRPr="002E0C7E" w:rsidRDefault="00091FA6" w:rsidP="00C05792">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M</w:t>
            </w:r>
          </w:p>
          <w:p w:rsidR="00091FA6" w:rsidRPr="002E0C7E" w:rsidRDefault="00091FA6" w:rsidP="00C05792">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T</w:t>
            </w:r>
          </w:p>
          <w:p w:rsidR="00091FA6" w:rsidRPr="002E0C7E" w:rsidRDefault="00091FA6" w:rsidP="00C05792">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W</w:t>
            </w:r>
          </w:p>
          <w:p w:rsidR="00091FA6" w:rsidRPr="002E0C7E" w:rsidRDefault="00091FA6" w:rsidP="00C05792">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T</w:t>
            </w:r>
          </w:p>
          <w:p w:rsidR="00091FA6" w:rsidRPr="002E0C7E" w:rsidRDefault="00091FA6" w:rsidP="00C05792">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F</w:t>
            </w:r>
          </w:p>
          <w:p w:rsidR="00091FA6" w:rsidRPr="002E0C7E" w:rsidRDefault="00091FA6" w:rsidP="00C05792">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S</w:t>
            </w:r>
          </w:p>
          <w:p w:rsidR="00091FA6" w:rsidRPr="002E0C7E" w:rsidRDefault="00091FA6" w:rsidP="00C0579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S</w:t>
            </w:r>
          </w:p>
          <w:p w:rsidR="00091FA6" w:rsidRPr="002E0C7E" w:rsidRDefault="00091FA6" w:rsidP="00C05792">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M</w:t>
            </w:r>
          </w:p>
          <w:p w:rsidR="00091FA6" w:rsidRPr="002E0C7E" w:rsidRDefault="00091FA6" w:rsidP="00C05792">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T</w:t>
            </w:r>
          </w:p>
          <w:p w:rsidR="00091FA6" w:rsidRPr="002E0C7E" w:rsidRDefault="00091FA6" w:rsidP="00C05792">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W</w:t>
            </w:r>
          </w:p>
          <w:p w:rsidR="00091FA6" w:rsidRPr="002E0C7E" w:rsidRDefault="00091FA6" w:rsidP="00C05792">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T</w:t>
            </w:r>
          </w:p>
          <w:p w:rsidR="00091FA6" w:rsidRPr="002E0C7E" w:rsidRDefault="00091FA6" w:rsidP="00C05792">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F</w:t>
            </w:r>
          </w:p>
          <w:p w:rsidR="00091FA6" w:rsidRPr="002E0C7E" w:rsidRDefault="00091FA6" w:rsidP="00C05792">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S</w:t>
            </w:r>
          </w:p>
          <w:p w:rsidR="00091FA6" w:rsidRPr="002E0C7E" w:rsidRDefault="00091FA6" w:rsidP="00C0579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S</w:t>
            </w:r>
          </w:p>
          <w:p w:rsidR="00091FA6" w:rsidRPr="002E0C7E" w:rsidRDefault="00091FA6" w:rsidP="00C05792">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M</w:t>
            </w:r>
          </w:p>
          <w:p w:rsidR="00091FA6" w:rsidRPr="002E0C7E" w:rsidRDefault="00091FA6" w:rsidP="00C05792">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T</w:t>
            </w:r>
          </w:p>
          <w:p w:rsidR="00091FA6" w:rsidRPr="002E0C7E" w:rsidRDefault="00091FA6" w:rsidP="00C05792">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W</w:t>
            </w:r>
          </w:p>
          <w:p w:rsidR="00091FA6" w:rsidRPr="002E0C7E" w:rsidRDefault="00091FA6" w:rsidP="00C05792">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T</w:t>
            </w:r>
          </w:p>
          <w:p w:rsidR="00091FA6" w:rsidRPr="002E0C7E" w:rsidRDefault="00091FA6" w:rsidP="00C05792">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F</w:t>
            </w:r>
          </w:p>
          <w:p w:rsidR="00091FA6" w:rsidRPr="002E0C7E" w:rsidRDefault="00091FA6" w:rsidP="00C05792">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S</w:t>
            </w:r>
          </w:p>
          <w:p w:rsidR="00091FA6" w:rsidRPr="002E0C7E" w:rsidRDefault="00091FA6" w:rsidP="00C05792">
            <w:pPr>
              <w:widowControl w:val="0"/>
              <w:jc w:val="center"/>
              <w:rPr>
                <w:rFonts w:ascii="Arial" w:hAnsi="Arial"/>
                <w:sz w:val="14"/>
              </w:rPr>
            </w:pPr>
            <w:r w:rsidRPr="002E0C7E">
              <w:rPr>
                <w:rFonts w:ascii="Arial" w:hAnsi="Arial"/>
                <w:sz w:val="14"/>
              </w:rPr>
              <w:t>S</w:t>
            </w:r>
          </w:p>
        </w:tc>
      </w:tr>
      <w:tr w:rsidR="00091FA6" w:rsidRPr="002E0C7E" w:rsidTr="00C05792">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w:t>
            </w:r>
          </w:p>
        </w:tc>
      </w:tr>
      <w:tr w:rsidR="00091FA6" w:rsidRPr="002E0C7E" w:rsidTr="00C05792">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C05792">
            <w:pPr>
              <w:widowControl w:val="0"/>
              <w:jc w:val="center"/>
              <w:rPr>
                <w:rFonts w:ascii="Arial" w:hAnsi="Arial"/>
                <w:b/>
                <w:sz w:val="14"/>
              </w:rPr>
            </w:pPr>
            <w:r w:rsidRPr="000C583B">
              <w:rPr>
                <w:rFonts w:ascii="Arial" w:hAnsi="Arial"/>
                <w:b/>
                <w:sz w:val="14"/>
              </w:rPr>
              <w:t>H</w:t>
            </w:r>
          </w:p>
          <w:p w:rsidR="00091FA6" w:rsidRPr="002E0C7E" w:rsidRDefault="00091FA6" w:rsidP="00C05792">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C05792">
            <w:pPr>
              <w:widowControl w:val="0"/>
              <w:jc w:val="center"/>
              <w:rPr>
                <w:rFonts w:ascii="Arial" w:hAnsi="Arial"/>
                <w:b/>
                <w:sz w:val="14"/>
              </w:rPr>
            </w:pPr>
            <w:r w:rsidRPr="000C583B">
              <w:rPr>
                <w:rFonts w:ascii="Arial" w:hAnsi="Arial"/>
                <w:b/>
                <w:sz w:val="14"/>
              </w:rPr>
              <w:t>M</w:t>
            </w:r>
          </w:p>
          <w:p w:rsidR="00091FA6" w:rsidRPr="002E0C7E" w:rsidRDefault="00091FA6" w:rsidP="00C05792">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b/>
                <w:sz w:val="14"/>
              </w:rPr>
              <w:t>M</w:t>
            </w:r>
          </w:p>
          <w:p w:rsidR="00091FA6" w:rsidRPr="002E0C7E" w:rsidRDefault="00091FA6" w:rsidP="00C05792">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b/>
                <w:sz w:val="14"/>
              </w:rPr>
              <w:t>M</w:t>
            </w:r>
          </w:p>
          <w:p w:rsidR="00091FA6" w:rsidRPr="002E0C7E" w:rsidRDefault="00091FA6" w:rsidP="00C05792">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8</w:t>
            </w:r>
          </w:p>
        </w:tc>
      </w:tr>
      <w:tr w:rsidR="00091FA6" w:rsidRPr="002E0C7E" w:rsidTr="00C05792">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C05792">
            <w:pPr>
              <w:widowControl w:val="0"/>
              <w:jc w:val="center"/>
              <w:rPr>
                <w:rFonts w:ascii="Arial" w:hAnsi="Arial"/>
                <w:b/>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C05792">
            <w:pPr>
              <w:widowControl w:val="0"/>
              <w:jc w:val="center"/>
              <w:rPr>
                <w:rFonts w:ascii="Arial" w:hAnsi="Arial"/>
                <w:sz w:val="14"/>
              </w:rPr>
            </w:pPr>
            <w:r>
              <w:rPr>
                <w:rFonts w:ascii="Arial" w:hAnsi="Arial"/>
                <w:b/>
                <w:sz w:val="14"/>
              </w:rPr>
              <w:t>H</w:t>
            </w: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C05792">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C05792">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Pr>
                <w:rFonts w:ascii="Arial" w:hAnsi="Arial"/>
                <w:sz w:val="14"/>
              </w:rPr>
              <w:t>23</w:t>
            </w:r>
          </w:p>
          <w:p w:rsidR="00091FA6" w:rsidRPr="002E0C7E" w:rsidRDefault="00091FA6" w:rsidP="00C05792">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Pr>
                <w:rFonts w:ascii="Arial" w:hAnsi="Arial"/>
                <w:sz w:val="14"/>
              </w:rPr>
              <w:t>24</w:t>
            </w:r>
          </w:p>
          <w:p w:rsidR="00091FA6" w:rsidRPr="002E0C7E" w:rsidRDefault="00091FA6" w:rsidP="00C05792">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b/>
                <w:sz w:val="14"/>
              </w:rPr>
              <w:t>H</w:t>
            </w: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C05792">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C05792">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C05792">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C05792">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C05792">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C05792">
            <w:pPr>
              <w:widowControl w:val="0"/>
              <w:jc w:val="center"/>
              <w:rPr>
                <w:rFonts w:ascii="Arial" w:hAnsi="Arial"/>
                <w:sz w:val="14"/>
              </w:rPr>
            </w:pPr>
            <w:r w:rsidRPr="002E0C7E">
              <w:rPr>
                <w:rFonts w:ascii="Arial" w:hAnsi="Arial"/>
                <w:b/>
                <w:sz w:val="14"/>
              </w:rPr>
              <w:t>MARCH - MARS</w:t>
            </w:r>
          </w:p>
        </w:tc>
      </w:tr>
      <w:tr w:rsidR="00091FA6" w:rsidRPr="002E0C7E" w:rsidTr="00C05792">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S</w:t>
            </w:r>
          </w:p>
          <w:p w:rsidR="00091FA6" w:rsidRPr="002E0C7E" w:rsidRDefault="00091FA6" w:rsidP="00C05792">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M</w:t>
            </w:r>
          </w:p>
          <w:p w:rsidR="00091FA6" w:rsidRPr="002E0C7E" w:rsidRDefault="00091FA6" w:rsidP="00C05792">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T</w:t>
            </w:r>
          </w:p>
          <w:p w:rsidR="00091FA6" w:rsidRPr="002E0C7E" w:rsidRDefault="00091FA6" w:rsidP="00C05792">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W</w:t>
            </w:r>
          </w:p>
          <w:p w:rsidR="00091FA6" w:rsidRPr="002E0C7E" w:rsidRDefault="00091FA6" w:rsidP="00C0579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T</w:t>
            </w:r>
          </w:p>
          <w:p w:rsidR="00091FA6" w:rsidRPr="002E0C7E" w:rsidRDefault="00091FA6" w:rsidP="00C05792">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F</w:t>
            </w:r>
          </w:p>
          <w:p w:rsidR="00091FA6" w:rsidRPr="002E0C7E" w:rsidRDefault="00091FA6" w:rsidP="00C05792">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S</w:t>
            </w:r>
          </w:p>
          <w:p w:rsidR="00091FA6" w:rsidRPr="002E0C7E" w:rsidRDefault="00091FA6" w:rsidP="00C0579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S</w:t>
            </w:r>
          </w:p>
          <w:p w:rsidR="00091FA6" w:rsidRPr="002E0C7E" w:rsidRDefault="00091FA6" w:rsidP="00C05792">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M</w:t>
            </w:r>
          </w:p>
          <w:p w:rsidR="00091FA6" w:rsidRPr="002E0C7E" w:rsidRDefault="00091FA6" w:rsidP="00C05792">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T</w:t>
            </w:r>
          </w:p>
          <w:p w:rsidR="00091FA6" w:rsidRPr="002E0C7E" w:rsidRDefault="00091FA6" w:rsidP="00C0579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W</w:t>
            </w:r>
          </w:p>
          <w:p w:rsidR="00091FA6" w:rsidRPr="002E0C7E" w:rsidRDefault="00091FA6" w:rsidP="00C05792">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T</w:t>
            </w:r>
          </w:p>
          <w:p w:rsidR="00091FA6" w:rsidRPr="002E0C7E" w:rsidRDefault="00091FA6" w:rsidP="00C05792">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F</w:t>
            </w:r>
          </w:p>
          <w:p w:rsidR="00091FA6" w:rsidRPr="002E0C7E" w:rsidRDefault="00091FA6" w:rsidP="00C05792">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S</w:t>
            </w:r>
          </w:p>
          <w:p w:rsidR="00091FA6" w:rsidRPr="002E0C7E" w:rsidRDefault="00091FA6" w:rsidP="00C0579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S</w:t>
            </w:r>
          </w:p>
          <w:p w:rsidR="00091FA6" w:rsidRPr="002E0C7E" w:rsidRDefault="00091FA6" w:rsidP="00C05792">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M</w:t>
            </w:r>
          </w:p>
          <w:p w:rsidR="00091FA6" w:rsidRPr="002E0C7E" w:rsidRDefault="00091FA6" w:rsidP="00C05792">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T</w:t>
            </w:r>
          </w:p>
          <w:p w:rsidR="00091FA6" w:rsidRPr="002E0C7E" w:rsidRDefault="00091FA6" w:rsidP="00C05792">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W</w:t>
            </w:r>
          </w:p>
          <w:p w:rsidR="00091FA6" w:rsidRPr="002E0C7E" w:rsidRDefault="00091FA6" w:rsidP="00C05792">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T</w:t>
            </w:r>
          </w:p>
          <w:p w:rsidR="00091FA6" w:rsidRPr="002E0C7E" w:rsidRDefault="00091FA6" w:rsidP="00C05792">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F</w:t>
            </w:r>
          </w:p>
          <w:p w:rsidR="00091FA6" w:rsidRPr="002E0C7E" w:rsidRDefault="00091FA6" w:rsidP="00C05792">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S</w:t>
            </w:r>
          </w:p>
          <w:p w:rsidR="00091FA6" w:rsidRPr="002E0C7E" w:rsidRDefault="00091FA6" w:rsidP="00C05792">
            <w:pPr>
              <w:widowControl w:val="0"/>
              <w:jc w:val="center"/>
              <w:rPr>
                <w:rFonts w:ascii="Arial" w:hAnsi="Arial"/>
                <w:sz w:val="14"/>
              </w:rPr>
            </w:pPr>
            <w:r w:rsidRPr="002E0C7E">
              <w:rPr>
                <w:rFonts w:ascii="Arial" w:hAnsi="Arial"/>
                <w:sz w:val="14"/>
              </w:rPr>
              <w:t>S</w:t>
            </w:r>
          </w:p>
        </w:tc>
      </w:tr>
      <w:tr w:rsidR="00091FA6" w:rsidRPr="002E0C7E" w:rsidTr="00C05792">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C05792">
            <w:pPr>
              <w:widowControl w:val="0"/>
              <w:jc w:val="center"/>
              <w:rPr>
                <w:rFonts w:ascii="Arial" w:hAnsi="Arial"/>
                <w:b/>
                <w:sz w:val="14"/>
              </w:rPr>
            </w:pPr>
            <w:r>
              <w:rPr>
                <w:rFonts w:ascii="Arial" w:hAnsi="Arial"/>
                <w:b/>
                <w:sz w:val="14"/>
              </w:rPr>
              <w:t>H</w:t>
            </w:r>
          </w:p>
          <w:p w:rsidR="00091FA6" w:rsidRPr="002E0C7E" w:rsidRDefault="00091FA6" w:rsidP="00C05792">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w:t>
            </w:r>
          </w:p>
        </w:tc>
      </w:tr>
      <w:tr w:rsidR="00091FA6" w:rsidRPr="002E0C7E" w:rsidTr="00C05792">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9</w:t>
            </w:r>
          </w:p>
        </w:tc>
      </w:tr>
      <w:tr w:rsidR="00091FA6" w:rsidRPr="002E0C7E" w:rsidTr="00C05792">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C05792">
            <w:pPr>
              <w:widowControl w:val="0"/>
              <w:jc w:val="center"/>
              <w:rPr>
                <w:rFonts w:ascii="Arial" w:hAnsi="Arial"/>
                <w:b/>
                <w:sz w:val="14"/>
              </w:rPr>
            </w:pPr>
            <w:r>
              <w:rPr>
                <w:rFonts w:ascii="Arial" w:hAnsi="Arial"/>
                <w:b/>
                <w:sz w:val="14"/>
              </w:rPr>
              <w:t>M</w:t>
            </w: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C05792">
            <w:pPr>
              <w:widowControl w:val="0"/>
              <w:jc w:val="center"/>
              <w:rPr>
                <w:rFonts w:ascii="Arial" w:hAnsi="Arial"/>
                <w:b/>
                <w:sz w:val="14"/>
              </w:rPr>
            </w:pPr>
            <w:r>
              <w:rPr>
                <w:rFonts w:ascii="Arial" w:hAnsi="Arial"/>
                <w:b/>
                <w:sz w:val="14"/>
              </w:rPr>
              <w:t>M</w:t>
            </w: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C05792">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C05792">
            <w:pPr>
              <w:widowControl w:val="0"/>
              <w:jc w:val="center"/>
              <w:rPr>
                <w:rFonts w:ascii="Arial" w:hAnsi="Arial"/>
                <w:b/>
                <w:sz w:val="14"/>
              </w:rPr>
            </w:pPr>
            <w:r>
              <w:rPr>
                <w:rFonts w:ascii="Arial" w:hAnsi="Arial"/>
                <w:b/>
                <w:sz w:val="14"/>
              </w:rPr>
              <w:t>M</w:t>
            </w: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C05792">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Pr>
                <w:rFonts w:ascii="Arial" w:hAnsi="Arial"/>
                <w:sz w:val="14"/>
              </w:rPr>
              <w:t>24</w:t>
            </w:r>
          </w:p>
          <w:p w:rsidR="00091FA6" w:rsidRPr="002E0C7E" w:rsidRDefault="00091FA6" w:rsidP="00C05792">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C05792">
            <w:pPr>
              <w:widowControl w:val="0"/>
              <w:jc w:val="center"/>
              <w:rPr>
                <w:rFonts w:ascii="Arial" w:hAnsi="Arial"/>
                <w:b/>
                <w:sz w:val="14"/>
              </w:rPr>
            </w:pPr>
            <w:r w:rsidRPr="00261B35">
              <w:rPr>
                <w:rFonts w:ascii="Arial" w:hAnsi="Arial"/>
                <w:b/>
                <w:sz w:val="14"/>
              </w:rPr>
              <w:t>H</w:t>
            </w:r>
          </w:p>
          <w:p w:rsidR="00091FA6" w:rsidRPr="002E0C7E" w:rsidRDefault="00091FA6" w:rsidP="00C05792">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C05792">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C05792">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C05792">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C05792">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C05792">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C05792">
            <w:pPr>
              <w:widowControl w:val="0"/>
              <w:jc w:val="center"/>
              <w:rPr>
                <w:rFonts w:ascii="Arial" w:hAnsi="Arial"/>
                <w:sz w:val="14"/>
              </w:rPr>
            </w:pPr>
            <w:r w:rsidRPr="002E0C7E">
              <w:rPr>
                <w:rFonts w:ascii="Arial" w:hAnsi="Arial"/>
                <w:b/>
                <w:sz w:val="14"/>
              </w:rPr>
              <w:t>JUNE - JUIN</w:t>
            </w:r>
          </w:p>
        </w:tc>
      </w:tr>
      <w:tr w:rsidR="00091FA6" w:rsidRPr="002E0C7E" w:rsidTr="00C05792">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S</w:t>
            </w:r>
          </w:p>
          <w:p w:rsidR="00091FA6" w:rsidRPr="002E0C7E" w:rsidRDefault="00091FA6" w:rsidP="00C05792">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M</w:t>
            </w:r>
          </w:p>
          <w:p w:rsidR="00091FA6" w:rsidRPr="002E0C7E" w:rsidRDefault="00091FA6" w:rsidP="00C05792">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T</w:t>
            </w:r>
          </w:p>
          <w:p w:rsidR="00091FA6" w:rsidRPr="002E0C7E" w:rsidRDefault="00091FA6" w:rsidP="00C0579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W</w:t>
            </w:r>
          </w:p>
          <w:p w:rsidR="00091FA6" w:rsidRPr="002E0C7E" w:rsidRDefault="00091FA6" w:rsidP="00C0579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T</w:t>
            </w:r>
          </w:p>
          <w:p w:rsidR="00091FA6" w:rsidRPr="002E0C7E" w:rsidRDefault="00091FA6" w:rsidP="00C05792">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F</w:t>
            </w:r>
          </w:p>
          <w:p w:rsidR="00091FA6" w:rsidRPr="002E0C7E" w:rsidRDefault="00091FA6" w:rsidP="00C05792">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S</w:t>
            </w:r>
          </w:p>
          <w:p w:rsidR="00091FA6" w:rsidRPr="002E0C7E" w:rsidRDefault="00091FA6" w:rsidP="00C0579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S</w:t>
            </w:r>
          </w:p>
          <w:p w:rsidR="00091FA6" w:rsidRPr="002E0C7E" w:rsidRDefault="00091FA6" w:rsidP="00C05792">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M</w:t>
            </w:r>
          </w:p>
          <w:p w:rsidR="00091FA6" w:rsidRPr="002E0C7E" w:rsidRDefault="00091FA6" w:rsidP="00C05792">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T</w:t>
            </w:r>
          </w:p>
          <w:p w:rsidR="00091FA6" w:rsidRPr="002E0C7E" w:rsidRDefault="00091FA6" w:rsidP="00C0579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W</w:t>
            </w:r>
          </w:p>
          <w:p w:rsidR="00091FA6" w:rsidRPr="002E0C7E" w:rsidRDefault="00091FA6" w:rsidP="00C05792">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T</w:t>
            </w:r>
          </w:p>
          <w:p w:rsidR="00091FA6" w:rsidRPr="002E0C7E" w:rsidRDefault="00091FA6" w:rsidP="00C05792">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F</w:t>
            </w:r>
          </w:p>
          <w:p w:rsidR="00091FA6" w:rsidRPr="002E0C7E" w:rsidRDefault="00091FA6" w:rsidP="00C05792">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S</w:t>
            </w:r>
          </w:p>
          <w:p w:rsidR="00091FA6" w:rsidRPr="002E0C7E" w:rsidRDefault="00091FA6" w:rsidP="00C05792">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S</w:t>
            </w:r>
          </w:p>
          <w:p w:rsidR="00091FA6" w:rsidRPr="002E0C7E" w:rsidRDefault="00091FA6" w:rsidP="00C05792">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M</w:t>
            </w:r>
          </w:p>
          <w:p w:rsidR="00091FA6" w:rsidRPr="002E0C7E" w:rsidRDefault="00091FA6" w:rsidP="00C05792">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T</w:t>
            </w:r>
          </w:p>
          <w:p w:rsidR="00091FA6" w:rsidRPr="002E0C7E" w:rsidRDefault="00091FA6" w:rsidP="00C0579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W</w:t>
            </w:r>
          </w:p>
          <w:p w:rsidR="00091FA6" w:rsidRPr="002E0C7E" w:rsidRDefault="00091FA6" w:rsidP="00C0579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T</w:t>
            </w:r>
          </w:p>
          <w:p w:rsidR="00091FA6" w:rsidRPr="002E0C7E" w:rsidRDefault="00091FA6" w:rsidP="00C05792">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F</w:t>
            </w:r>
          </w:p>
          <w:p w:rsidR="00091FA6" w:rsidRPr="002E0C7E" w:rsidRDefault="00091FA6" w:rsidP="00C05792">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sidRPr="002E0C7E">
              <w:rPr>
                <w:rFonts w:ascii="Arial" w:hAnsi="Arial"/>
                <w:sz w:val="14"/>
              </w:rPr>
              <w:t>s</w:t>
            </w:r>
          </w:p>
          <w:p w:rsidR="00091FA6" w:rsidRPr="002E0C7E" w:rsidRDefault="00091FA6" w:rsidP="00C05792">
            <w:pPr>
              <w:widowControl w:val="0"/>
              <w:jc w:val="center"/>
              <w:rPr>
                <w:rFonts w:ascii="Arial" w:hAnsi="Arial"/>
                <w:sz w:val="14"/>
              </w:rPr>
            </w:pPr>
            <w:r w:rsidRPr="002E0C7E">
              <w:rPr>
                <w:rFonts w:ascii="Arial" w:hAnsi="Arial"/>
                <w:sz w:val="14"/>
              </w:rPr>
              <w:t>s</w:t>
            </w:r>
          </w:p>
        </w:tc>
      </w:tr>
      <w:tr w:rsidR="00091FA6" w:rsidRPr="002E0C7E" w:rsidTr="00C05792">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C05792">
            <w:pPr>
              <w:widowControl w:val="0"/>
              <w:jc w:val="center"/>
              <w:rPr>
                <w:rFonts w:ascii="Arial" w:hAnsi="Arial"/>
                <w:b/>
                <w:sz w:val="14"/>
              </w:rPr>
            </w:pPr>
            <w:r w:rsidRPr="002453E3">
              <w:rPr>
                <w:rFonts w:ascii="Arial" w:hAnsi="Arial"/>
                <w:b/>
                <w:sz w:val="14"/>
              </w:rPr>
              <w:t>H</w:t>
            </w:r>
          </w:p>
          <w:p w:rsidR="00091FA6" w:rsidRPr="002E0C7E" w:rsidRDefault="00091FA6" w:rsidP="00C05792">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b/>
                <w:sz w:val="14"/>
              </w:rPr>
            </w:pPr>
          </w:p>
          <w:p w:rsidR="00091FA6" w:rsidRPr="002E0C7E" w:rsidRDefault="00091FA6" w:rsidP="00C05792">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w:t>
            </w:r>
          </w:p>
        </w:tc>
      </w:tr>
      <w:tr w:rsidR="00091FA6" w:rsidRPr="002E0C7E" w:rsidTr="00C05792">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C05792">
            <w:pPr>
              <w:widowControl w:val="0"/>
              <w:jc w:val="center"/>
              <w:rPr>
                <w:rFonts w:ascii="Arial" w:hAnsi="Arial"/>
                <w:b/>
                <w:sz w:val="14"/>
              </w:rPr>
            </w:pPr>
          </w:p>
          <w:p w:rsidR="00091FA6" w:rsidRPr="002E0C7E" w:rsidRDefault="00091FA6" w:rsidP="00C0579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8</w:t>
            </w:r>
          </w:p>
        </w:tc>
      </w:tr>
      <w:tr w:rsidR="00091FA6" w:rsidRPr="002E0C7E" w:rsidTr="00C05792">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C05792">
            <w:pPr>
              <w:widowControl w:val="0"/>
              <w:jc w:val="center"/>
              <w:rPr>
                <w:rFonts w:ascii="Arial" w:hAnsi="Arial"/>
                <w:b/>
                <w:sz w:val="14"/>
              </w:rPr>
            </w:pPr>
            <w:r w:rsidRPr="00DB5777">
              <w:rPr>
                <w:rFonts w:ascii="Arial" w:hAnsi="Arial"/>
                <w:b/>
                <w:sz w:val="14"/>
              </w:rPr>
              <w:t>M</w:t>
            </w: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C05792">
            <w:pPr>
              <w:widowControl w:val="0"/>
              <w:jc w:val="center"/>
              <w:rPr>
                <w:rFonts w:ascii="Arial" w:hAnsi="Arial"/>
                <w:b/>
                <w:sz w:val="14"/>
              </w:rPr>
            </w:pPr>
            <w:r w:rsidRPr="002453E3">
              <w:rPr>
                <w:rFonts w:ascii="Arial" w:hAnsi="Arial"/>
                <w:b/>
                <w:sz w:val="14"/>
              </w:rPr>
              <w:t>M</w:t>
            </w: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C05792">
            <w:pPr>
              <w:widowControl w:val="0"/>
              <w:jc w:val="center"/>
              <w:rPr>
                <w:rFonts w:ascii="Arial" w:hAnsi="Arial"/>
                <w:b/>
                <w:sz w:val="14"/>
              </w:rPr>
            </w:pPr>
            <w:r w:rsidRPr="006A1E8D">
              <w:rPr>
                <w:rFonts w:ascii="Arial" w:hAnsi="Arial"/>
                <w:b/>
                <w:sz w:val="14"/>
              </w:rPr>
              <w:t>M</w:t>
            </w: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C05792">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C05792">
            <w:pPr>
              <w:widowControl w:val="0"/>
              <w:jc w:val="center"/>
              <w:rPr>
                <w:rFonts w:ascii="Arial" w:hAnsi="Arial"/>
                <w:b/>
                <w:sz w:val="14"/>
              </w:rPr>
            </w:pPr>
            <w:r>
              <w:rPr>
                <w:rFonts w:ascii="Arial" w:hAnsi="Arial"/>
                <w:b/>
                <w:sz w:val="14"/>
              </w:rPr>
              <w:t>H</w:t>
            </w: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C05792">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r>
              <w:rPr>
                <w:rFonts w:ascii="Arial" w:hAnsi="Arial"/>
                <w:sz w:val="14"/>
              </w:rPr>
              <w:t>23</w:t>
            </w:r>
          </w:p>
          <w:p w:rsidR="00091FA6" w:rsidRPr="002E0C7E" w:rsidRDefault="00091FA6" w:rsidP="00C05792">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C05792">
            <w:pPr>
              <w:widowControl w:val="0"/>
              <w:jc w:val="center"/>
              <w:rPr>
                <w:rFonts w:ascii="Arial" w:hAnsi="Arial"/>
                <w:sz w:val="14"/>
              </w:rPr>
            </w:pPr>
          </w:p>
          <w:p w:rsidR="00091FA6" w:rsidRPr="002E0C7E" w:rsidRDefault="00091FA6" w:rsidP="00C05792">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C05792">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C05792">
            <w:pPr>
              <w:widowControl w:val="0"/>
              <w:rPr>
                <w:rFonts w:ascii="Arial" w:hAnsi="Arial"/>
                <w:sz w:val="16"/>
              </w:rPr>
            </w:pPr>
            <w:r w:rsidRPr="002E0C7E">
              <w:rPr>
                <w:rFonts w:ascii="Arial" w:hAnsi="Arial"/>
                <w:sz w:val="16"/>
              </w:rPr>
              <w:t>Sittings of the court:</w:t>
            </w:r>
          </w:p>
          <w:p w:rsidR="00091FA6" w:rsidRPr="002E0C7E" w:rsidRDefault="00091FA6" w:rsidP="00C05792">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C05792">
            <w:pPr>
              <w:widowControl w:val="0"/>
              <w:rPr>
                <w:rFonts w:ascii="Arial" w:hAnsi="Arial"/>
                <w:sz w:val="16"/>
              </w:rPr>
            </w:pPr>
          </w:p>
          <w:p w:rsidR="00091FA6" w:rsidRPr="002E0C7E" w:rsidRDefault="00091FA6" w:rsidP="00C0579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C057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C057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C057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C057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C057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C05792">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C057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C057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C057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C057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C05792">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C057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C057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C05792">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C057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0"/>
      <w:footerReference w:type="default" r:id="rId61"/>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1D3" w:rsidRDefault="00AC41D3" w:rsidP="00A87207">
      <w:r>
        <w:separator/>
      </w:r>
    </w:p>
  </w:endnote>
  <w:endnote w:type="continuationSeparator" w:id="0">
    <w:p w:rsidR="00AC41D3" w:rsidRDefault="00AC41D3"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6F8" w:rsidRDefault="00F516F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B3404D">
    <w:pPr>
      <w:pStyle w:val="Footer"/>
    </w:pPr>
    <w:r>
      <w:pict>
        <v:rect id="_x0000_i1037" style="width:480.95pt;height:1pt" o:hralign="center" o:hrstd="t" o:hrnoshade="t" o:hr="t" fillcolor="black [3213]" stroked="f"/>
      </w:pict>
    </w:r>
  </w:p>
  <w:p w:rsidR="00AC41D3" w:rsidRPr="00D7601D" w:rsidRDefault="00AC41D3" w:rsidP="00432989">
    <w:pPr>
      <w:tabs>
        <w:tab w:val="center" w:pos="4680"/>
      </w:tabs>
    </w:pPr>
    <w:r>
      <w:tab/>
      <w:t xml:space="preserve">- </w:t>
    </w:r>
    <w:fldSimple w:instr=" PAGE   \* MERGEFORMAT ">
      <w:r w:rsidR="00916DDE">
        <w:rPr>
          <w:noProof/>
        </w:rPr>
        <w:t>1046</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AC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C41D3" w:rsidRDefault="00AC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C41D3" w:rsidRDefault="00AC41D3">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B34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3404D">
      <w:rPr>
        <w:lang w:val="fr-CA"/>
      </w:rPr>
      <w:pict>
        <v:rect id="_x0000_i1094" style="width:480.95pt;height:1pt" o:hralign="center" o:hrstd="t" o:hrnoshade="t" o:hr="t" fillcolor="black [3213]" stroked="f"/>
      </w:pict>
    </w:r>
  </w:p>
  <w:p w:rsidR="00AC41D3" w:rsidRPr="0009648D" w:rsidRDefault="00AC41D3" w:rsidP="00ED7E83">
    <w:pPr>
      <w:tabs>
        <w:tab w:val="center" w:pos="4680"/>
      </w:tabs>
    </w:pPr>
    <w:r>
      <w:tab/>
    </w:r>
    <w:r w:rsidRPr="0009648D">
      <w:t xml:space="preserve">- </w:t>
    </w:r>
    <w:fldSimple w:instr=" PAGE   \* MERGEFORMAT ">
      <w:r w:rsidR="00916DDE">
        <w:rPr>
          <w:noProof/>
        </w:rPr>
        <w:t>1097</w:t>
      </w:r>
    </w:fldSimple>
    <w:r w:rsidRPr="0009648D">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B3404D">
    <w:pPr>
      <w:pStyle w:val="Footer"/>
      <w:rPr>
        <w:lang w:val="fr-CA"/>
      </w:rPr>
    </w:pPr>
    <w:r w:rsidRPr="00B3404D">
      <w:rPr>
        <w:lang w:val="fr-CA"/>
      </w:rPr>
      <w:pict>
        <v:rect id="_x0000_i1095" style="width:480.95pt;height:1pt" o:hralign="center" o:hrstd="t" o:hrnoshade="t" o:hr="t" fillcolor="black [3213]" stroked="f"/>
      </w:pict>
    </w:r>
  </w:p>
  <w:p w:rsidR="00AC41D3" w:rsidRDefault="00AC41D3" w:rsidP="00245129">
    <w:pPr>
      <w:tabs>
        <w:tab w:val="center" w:pos="4680"/>
      </w:tabs>
    </w:pPr>
    <w:r>
      <w:tab/>
    </w:r>
    <w:r w:rsidRPr="0009648D">
      <w:t xml:space="preserve">- </w:t>
    </w:r>
    <w:fldSimple w:instr=" PAGE   \* MERGEFORMAT ">
      <w:r w:rsidR="00916DDE">
        <w:rPr>
          <w:noProof/>
        </w:rPr>
        <w:t>1047</w:t>
      </w:r>
    </w:fldSimple>
    <w:r w:rsidRPr="0009648D">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AC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C41D3" w:rsidRDefault="00AC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C41D3" w:rsidRDefault="00AC41D3">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B3404D" w:rsidP="00755F22">
    <w:pPr>
      <w:tabs>
        <w:tab w:val="left" w:pos="-1440"/>
        <w:tab w:val="left" w:pos="-720"/>
      </w:tabs>
    </w:pPr>
    <w:r>
      <w:pict>
        <v:rect id="_x0000_i1105" style="width:480.95pt;height:1pt" o:hralign="center" o:hrstd="t" o:hrnoshade="t" o:hr="t" fillcolor="black [3213]" stroked="f"/>
      </w:pict>
    </w:r>
  </w:p>
  <w:p w:rsidR="00AC41D3" w:rsidRDefault="00AC41D3" w:rsidP="00EB2B90">
    <w:pPr>
      <w:tabs>
        <w:tab w:val="center" w:pos="4680"/>
      </w:tabs>
    </w:pPr>
    <w:r>
      <w:tab/>
      <w:t xml:space="preserve">- </w:t>
    </w:r>
    <w:fldSimple w:instr=" PAGE   \* MERGEFORMAT ">
      <w:r w:rsidR="00916DDE">
        <w:rPr>
          <w:noProof/>
        </w:rPr>
        <w:t>1108</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B3404D" w:rsidP="00EB2B90">
    <w:pPr>
      <w:tabs>
        <w:tab w:val="center" w:pos="4680"/>
      </w:tabs>
    </w:pPr>
    <w:r>
      <w:pict>
        <v:rect id="_x0000_i1106" style="width:480.95pt;height:1pt" o:hralign="center" o:hrstd="t" o:hrnoshade="t" o:hr="t" fillcolor="black [3213]" stroked="f"/>
      </w:pict>
    </w:r>
  </w:p>
  <w:p w:rsidR="00AC41D3" w:rsidRPr="0031432F" w:rsidRDefault="00AC41D3" w:rsidP="00EB2B90">
    <w:pPr>
      <w:tabs>
        <w:tab w:val="center" w:pos="4680"/>
      </w:tabs>
    </w:pPr>
    <w:r>
      <w:tab/>
      <w:t xml:space="preserve">- </w:t>
    </w:r>
    <w:fldSimple w:instr=" PAGE   \* MERGEFORMAT ">
      <w:r w:rsidR="00916DDE">
        <w:rPr>
          <w:noProof/>
        </w:rPr>
        <w:t>1098</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AC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C41D3" w:rsidRDefault="00AC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C41D3" w:rsidRDefault="00AC41D3">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B3404D" w:rsidP="00732DB7">
    <w:r>
      <w:pict>
        <v:rect id="_x0000_i1109" style="width:480.95pt;height:1pt" o:hralign="center" o:hrstd="t" o:hrnoshade="t" o:hr="t" fillcolor="black" stroked="f"/>
      </w:pict>
    </w:r>
  </w:p>
  <w:p w:rsidR="00AC41D3" w:rsidRDefault="00AC41D3">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B3404D">
    <w:pPr>
      <w:pStyle w:val="Footer"/>
    </w:pPr>
    <w:r>
      <w:pict>
        <v:rect id="_x0000_i1110" style="width:480.95pt;height:1pt" o:hralign="center" o:hrstd="t" o:hrnoshade="t" o:hr="t" fillcolor="black" stroked="f"/>
      </w:pict>
    </w:r>
  </w:p>
  <w:p w:rsidR="00AC41D3" w:rsidRPr="00283C52" w:rsidRDefault="00AC41D3">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6F8" w:rsidRDefault="00F516F8">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AC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C41D3" w:rsidRDefault="00AC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C41D3" w:rsidRDefault="00AC41D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B3404D" w:rsidP="00732DB7">
    <w:r>
      <w:pict>
        <v:rect id="_x0000_i1113" style="width:480.95pt;height:1pt" o:hralign="center" o:hrstd="t" o:hrnoshade="t" o:hr="t" fillcolor="black" stroked="f"/>
      </w:pict>
    </w:r>
  </w:p>
  <w:p w:rsidR="00AC41D3" w:rsidRDefault="00AC41D3">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B3404D">
    <w:pPr>
      <w:pStyle w:val="Footer"/>
    </w:pPr>
    <w:r>
      <w:pict>
        <v:rect id="_x0000_i1114" style="width:480.95pt;height:1pt" o:hralign="center" o:hrstd="t" o:hrnoshade="t" o:hr="t" fillcolor="black [3213]" stroked="f"/>
      </w:pict>
    </w:r>
  </w:p>
  <w:p w:rsidR="00AC41D3" w:rsidRPr="003C2C0F" w:rsidRDefault="00AC41D3" w:rsidP="00697C62">
    <w:pPr>
      <w:tabs>
        <w:tab w:val="center" w:pos="4680"/>
      </w:tabs>
    </w:pPr>
    <w:r>
      <w:tab/>
      <w:t xml:space="preserve">- </w:t>
    </w:r>
    <w:fldSimple w:instr=" PAGE   \* MERGEFORMAT ">
      <w:r w:rsidR="00F516F8">
        <w:rPr>
          <w:noProof/>
        </w:rPr>
        <w:t>1113</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AC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C41D3" w:rsidRDefault="00AC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C41D3" w:rsidRDefault="00AC41D3">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AC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C41D3" w:rsidRDefault="00B34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19" style="width:480.95pt;height:1pt" o:hralign="center" o:hrstd="t" o:hrnoshade="t" o:hr="t" fillcolor="black [3213]" stroked="f"/>
      </w:pict>
    </w:r>
  </w:p>
  <w:p w:rsidR="00AC41D3" w:rsidRDefault="00AC41D3" w:rsidP="00782AE4">
    <w:pPr>
      <w:tabs>
        <w:tab w:val="center" w:pos="4680"/>
      </w:tabs>
    </w:pPr>
    <w:r>
      <w:tab/>
      <w:t xml:space="preserve">- </w:t>
    </w:r>
    <w:r w:rsidR="00B3404D" w:rsidRPr="001775C1">
      <w:rPr>
        <w:szCs w:val="24"/>
      </w:rPr>
      <w:fldChar w:fldCharType="begin"/>
    </w:r>
    <w:r w:rsidRPr="001775C1">
      <w:rPr>
        <w:szCs w:val="24"/>
      </w:rPr>
      <w:instrText xml:space="preserve"> PAGE   \* MERGEFORMAT </w:instrText>
    </w:r>
    <w:r w:rsidR="00B3404D" w:rsidRPr="001775C1">
      <w:rPr>
        <w:szCs w:val="24"/>
      </w:rPr>
      <w:fldChar w:fldCharType="separate"/>
    </w:r>
    <w:r w:rsidR="00F516F8">
      <w:rPr>
        <w:noProof/>
        <w:szCs w:val="24"/>
      </w:rPr>
      <w:t>1124</w:t>
    </w:r>
    <w:r w:rsidR="00B3404D"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B3404D" w:rsidP="00782AE4">
    <w:pPr>
      <w:tabs>
        <w:tab w:val="center" w:pos="4680"/>
      </w:tabs>
    </w:pPr>
    <w:r>
      <w:pict>
        <v:rect id="_x0000_i1120" style="width:480.95pt;height:1pt" o:hralign="center" o:hrstd="t" o:hrnoshade="t" o:hr="t" fillcolor="black [3213]" stroked="f"/>
      </w:pict>
    </w:r>
  </w:p>
  <w:p w:rsidR="00AC41D3" w:rsidRDefault="00AC41D3" w:rsidP="00782AE4">
    <w:pPr>
      <w:tabs>
        <w:tab w:val="center" w:pos="4680"/>
      </w:tabs>
    </w:pPr>
    <w:r>
      <w:tab/>
      <w:t xml:space="preserve">- </w:t>
    </w:r>
    <w:r w:rsidR="00B3404D" w:rsidRPr="001775C1">
      <w:rPr>
        <w:szCs w:val="24"/>
      </w:rPr>
      <w:fldChar w:fldCharType="begin"/>
    </w:r>
    <w:r w:rsidRPr="001775C1">
      <w:rPr>
        <w:szCs w:val="24"/>
      </w:rPr>
      <w:instrText xml:space="preserve"> PAGE   \* MERGEFORMAT </w:instrText>
    </w:r>
    <w:r w:rsidR="00B3404D" w:rsidRPr="001775C1">
      <w:rPr>
        <w:szCs w:val="24"/>
      </w:rPr>
      <w:fldChar w:fldCharType="separate"/>
    </w:r>
    <w:r w:rsidR="00F516F8">
      <w:rPr>
        <w:noProof/>
        <w:szCs w:val="24"/>
      </w:rPr>
      <w:t>1114</w:t>
    </w:r>
    <w:r w:rsidR="00B3404D"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Pr="00924065" w:rsidRDefault="00AC41D3"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6F8" w:rsidRDefault="00F516F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B3404D" w:rsidP="00A87207">
    <w:pPr>
      <w:pStyle w:val="Footer"/>
    </w:pPr>
    <w:r>
      <w:pict>
        <v:rect id="_x0000_i1030" style="width:480.95pt;height:1pt" o:hralign="center" o:hrstd="t" o:hrnoshade="t" o:hr="t" fillcolor="black [3213]" stroked="f"/>
      </w:pict>
    </w:r>
  </w:p>
  <w:p w:rsidR="00AC41D3" w:rsidRPr="00B7374B" w:rsidRDefault="00AC41D3" w:rsidP="00B7374B">
    <w:pPr>
      <w:tabs>
        <w:tab w:val="center" w:pos="4680"/>
      </w:tabs>
      <w:rPr>
        <w:szCs w:val="24"/>
      </w:rPr>
    </w:pPr>
    <w:r w:rsidRPr="00954D22">
      <w:rPr>
        <w:szCs w:val="24"/>
      </w:rPr>
      <w:tab/>
      <w:t xml:space="preserve">- </w:t>
    </w:r>
    <w:r w:rsidR="00B3404D" w:rsidRPr="00954D22">
      <w:rPr>
        <w:szCs w:val="24"/>
      </w:rPr>
      <w:fldChar w:fldCharType="begin"/>
    </w:r>
    <w:r w:rsidRPr="00954D22">
      <w:rPr>
        <w:szCs w:val="24"/>
      </w:rPr>
      <w:instrText xml:space="preserve"> PAGE   \* MERGEFORMAT </w:instrText>
    </w:r>
    <w:r w:rsidR="00B3404D" w:rsidRPr="00954D22">
      <w:rPr>
        <w:szCs w:val="24"/>
      </w:rPr>
      <w:fldChar w:fldCharType="separate"/>
    </w:r>
    <w:r>
      <w:rPr>
        <w:noProof/>
        <w:szCs w:val="24"/>
      </w:rPr>
      <w:t>1043</w:t>
    </w:r>
    <w:r w:rsidR="00B3404D"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B3404D" w:rsidP="00755F22">
    <w:pPr>
      <w:tabs>
        <w:tab w:val="left" w:pos="-1440"/>
        <w:tab w:val="left" w:pos="-720"/>
      </w:tabs>
    </w:pPr>
    <w:r>
      <w:pict>
        <v:rect id="_x0000_i1031" style="width:480.95pt;height:1pt" o:hralign="center" o:hrstd="t" o:hrnoshade="t" o:hr="t" fillcolor="black [3213]" stroked="f"/>
      </w:pict>
    </w:r>
  </w:p>
  <w:p w:rsidR="00AC41D3" w:rsidRPr="00954D22" w:rsidRDefault="00AC41D3" w:rsidP="00B7374B">
    <w:pPr>
      <w:tabs>
        <w:tab w:val="center" w:pos="4680"/>
      </w:tabs>
      <w:rPr>
        <w:szCs w:val="24"/>
      </w:rPr>
    </w:pPr>
    <w:r w:rsidRPr="00954D22">
      <w:rPr>
        <w:szCs w:val="24"/>
      </w:rPr>
      <w:tab/>
      <w:t xml:space="preserve">- </w:t>
    </w:r>
    <w:r w:rsidR="00B3404D">
      <w:rPr>
        <w:szCs w:val="24"/>
      </w:rPr>
      <w:fldChar w:fldCharType="begin"/>
    </w:r>
    <w:r>
      <w:rPr>
        <w:szCs w:val="24"/>
      </w:rPr>
      <w:instrText xml:space="preserve"> PAGE   \* MERGEFORMAT </w:instrText>
    </w:r>
    <w:r w:rsidR="00B3404D">
      <w:rPr>
        <w:szCs w:val="24"/>
      </w:rPr>
      <w:fldChar w:fldCharType="separate"/>
    </w:r>
    <w:r w:rsidR="00916DDE">
      <w:rPr>
        <w:noProof/>
        <w:szCs w:val="24"/>
      </w:rPr>
      <w:t>1044</w:t>
    </w:r>
    <w:r w:rsidR="00B3404D">
      <w:rPr>
        <w:szCs w:val="24"/>
      </w:rPr>
      <w:fldChar w:fldCharType="end"/>
    </w:r>
    <w:r w:rsidRPr="00954D22">
      <w:rPr>
        <w:szCs w:val="24"/>
      </w:rPr>
      <w:t xml:space="preserve"> -</w:t>
    </w:r>
  </w:p>
  <w:p w:rsidR="00AC41D3" w:rsidRDefault="00AC41D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B3404D" w:rsidP="00A87207">
    <w:pPr>
      <w:pStyle w:val="Footer"/>
    </w:pPr>
    <w:r>
      <w:pict>
        <v:rect id="_x0000_i1033" style="width:480.95pt;height:1pt" o:hralign="center" o:hrstd="t" o:hrnoshade="t" o:hr="t" fillcolor="black [3213]" stroked="f"/>
      </w:pict>
    </w:r>
  </w:p>
  <w:p w:rsidR="00AC41D3" w:rsidRPr="00B7374B" w:rsidRDefault="00AC41D3" w:rsidP="00B7374B">
    <w:pPr>
      <w:tabs>
        <w:tab w:val="center" w:pos="4680"/>
      </w:tabs>
      <w:rPr>
        <w:szCs w:val="24"/>
      </w:rPr>
    </w:pPr>
    <w:r w:rsidRPr="00954D22">
      <w:rPr>
        <w:szCs w:val="24"/>
      </w:rPr>
      <w:tab/>
      <w:t xml:space="preserve">- </w:t>
    </w:r>
    <w:r w:rsidR="00B3404D" w:rsidRPr="00954D22">
      <w:rPr>
        <w:szCs w:val="24"/>
      </w:rPr>
      <w:fldChar w:fldCharType="begin"/>
    </w:r>
    <w:r w:rsidRPr="00954D22">
      <w:rPr>
        <w:szCs w:val="24"/>
      </w:rPr>
      <w:instrText xml:space="preserve"> PAGE   \* MERGEFORMAT </w:instrText>
    </w:r>
    <w:r w:rsidR="00B3404D" w:rsidRPr="00954D22">
      <w:rPr>
        <w:szCs w:val="24"/>
      </w:rPr>
      <w:fldChar w:fldCharType="separate"/>
    </w:r>
    <w:r>
      <w:rPr>
        <w:noProof/>
        <w:szCs w:val="24"/>
      </w:rPr>
      <w:t>1044</w:t>
    </w:r>
    <w:r w:rsidR="00B3404D"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B3404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AC41D3" w:rsidRPr="00954D22" w:rsidRDefault="00AC41D3" w:rsidP="00B7374B">
    <w:pPr>
      <w:tabs>
        <w:tab w:val="center" w:pos="4680"/>
      </w:tabs>
      <w:rPr>
        <w:szCs w:val="24"/>
      </w:rPr>
    </w:pPr>
    <w:r w:rsidRPr="00954D22">
      <w:rPr>
        <w:szCs w:val="24"/>
      </w:rPr>
      <w:tab/>
      <w:t xml:space="preserve">- </w:t>
    </w:r>
    <w:r w:rsidR="00B3404D" w:rsidRPr="00954D22">
      <w:rPr>
        <w:szCs w:val="24"/>
      </w:rPr>
      <w:fldChar w:fldCharType="begin"/>
    </w:r>
    <w:r w:rsidRPr="00954D22">
      <w:rPr>
        <w:szCs w:val="24"/>
      </w:rPr>
      <w:instrText xml:space="preserve"> PAGE   \* MERGEFORMAT </w:instrText>
    </w:r>
    <w:r w:rsidR="00B3404D" w:rsidRPr="00954D22">
      <w:rPr>
        <w:szCs w:val="24"/>
      </w:rPr>
      <w:fldChar w:fldCharType="separate"/>
    </w:r>
    <w:r w:rsidR="00916DDE">
      <w:rPr>
        <w:noProof/>
        <w:szCs w:val="24"/>
      </w:rPr>
      <w:t>1045</w:t>
    </w:r>
    <w:r w:rsidR="00B3404D"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AC41D3">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AC41D3" w:rsidRDefault="00AC41D3">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pPr>
  </w:p>
  <w:p w:rsidR="00AC41D3" w:rsidRDefault="00AC41D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AC41D3">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AC41D3" w:rsidRDefault="00B3404D">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pPr>
    <w:r>
      <w:pict>
        <v:rect id="_x0000_i1036" style="width:480.95pt;height:1pt" o:hralign="center" o:hrstd="t" o:hrnoshade="t" o:hr="t" fillcolor="black [3213]" stroked="f"/>
      </w:pict>
    </w:r>
  </w:p>
  <w:p w:rsidR="00AC41D3" w:rsidRDefault="00AC41D3" w:rsidP="00432989">
    <w:pPr>
      <w:tabs>
        <w:tab w:val="center" w:pos="4680"/>
      </w:tabs>
    </w:pPr>
    <w:r>
      <w:tab/>
      <w:t xml:space="preserve">- </w:t>
    </w:r>
    <w:fldSimple w:instr=" PAGE   \* MERGEFORMAT ">
      <w:r w:rsidR="00B97980">
        <w:rPr>
          <w:noProof/>
        </w:rPr>
        <w:t>1045</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1D3" w:rsidRDefault="00AC41D3" w:rsidP="00A87207">
      <w:r>
        <w:separator/>
      </w:r>
    </w:p>
  </w:footnote>
  <w:footnote w:type="continuationSeparator" w:id="0">
    <w:p w:rsidR="00AC41D3" w:rsidRDefault="00AC41D3"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6F8" w:rsidRDefault="00F516F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AC41D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C41D3" w:rsidRPr="00D41BFD">
      <w:tc>
        <w:tcPr>
          <w:tcW w:w="4200" w:type="dxa"/>
          <w:tcMar>
            <w:left w:w="0" w:type="dxa"/>
            <w:right w:w="0" w:type="dxa"/>
          </w:tcMar>
        </w:tcPr>
        <w:p w:rsidR="00AC41D3" w:rsidRDefault="00AC41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C41D3" w:rsidRDefault="00AC41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C41D3" w:rsidRDefault="00AC41D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C41D3" w:rsidRPr="00FF6BA5" w:rsidRDefault="00AC41D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C41D3" w:rsidRPr="00FF6BA5" w:rsidRDefault="00AC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C41D3" w:rsidRPr="00FF6BA5" w:rsidRDefault="00AC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C41D3" w:rsidRPr="00FF6BA5" w:rsidRDefault="00AC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C41D3" w:rsidRPr="00D41BFD" w:rsidTr="00245129">
      <w:tc>
        <w:tcPr>
          <w:tcW w:w="4200" w:type="dxa"/>
          <w:tcMar>
            <w:left w:w="0" w:type="dxa"/>
            <w:right w:w="0" w:type="dxa"/>
          </w:tcMar>
        </w:tcPr>
        <w:p w:rsidR="00AC41D3" w:rsidRPr="00755F22" w:rsidRDefault="00AC41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C41D3" w:rsidRPr="00755F22" w:rsidRDefault="00AC41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C41D3" w:rsidRPr="00755F22" w:rsidRDefault="00AC41D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C41D3" w:rsidRPr="00755F22" w:rsidRDefault="00AC41D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C41D3" w:rsidRPr="00755F22" w:rsidRDefault="00AC41D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C41D3" w:rsidRPr="00755F22" w:rsidRDefault="00AC41D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C41D3" w:rsidRPr="00FF6BA5" w:rsidRDefault="00AC41D3" w:rsidP="00755F22">
    <w:pPr>
      <w:tabs>
        <w:tab w:val="left" w:pos="-1440"/>
        <w:tab w:val="left" w:pos="-720"/>
      </w:tabs>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AC41D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AC41D3">
      <w:tc>
        <w:tcPr>
          <w:tcW w:w="4230" w:type="dxa"/>
          <w:tcMar>
            <w:left w:w="0" w:type="dxa"/>
            <w:right w:w="0" w:type="dxa"/>
          </w:tcMar>
        </w:tcPr>
        <w:p w:rsidR="00AC41D3" w:rsidRDefault="00AC41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C41D3" w:rsidRDefault="00AC41D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C41D3" w:rsidRDefault="00AC41D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C41D3">
      <w:trPr>
        <w:gridAfter w:val="2"/>
        <w:wAfter w:w="5250" w:type="dxa"/>
      </w:trPr>
      <w:tc>
        <w:tcPr>
          <w:tcW w:w="4230" w:type="dxa"/>
          <w:tcMar>
            <w:left w:w="0" w:type="dxa"/>
            <w:right w:w="0" w:type="dxa"/>
          </w:tcMar>
        </w:tcPr>
        <w:p w:rsidR="00AC41D3" w:rsidRDefault="00AC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C41D3" w:rsidRDefault="00AC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AC41D3" w:rsidRPr="00755F22" w:rsidTr="00245129">
      <w:tc>
        <w:tcPr>
          <w:tcW w:w="4230" w:type="dxa"/>
          <w:tcMar>
            <w:left w:w="0" w:type="dxa"/>
            <w:right w:w="0" w:type="dxa"/>
          </w:tcMar>
        </w:tcPr>
        <w:p w:rsidR="00AC41D3" w:rsidRPr="00755F22" w:rsidRDefault="00AC41D3" w:rsidP="00831CA9">
          <w:pPr>
            <w:keepNext/>
            <w:keepLines/>
            <w:rPr>
              <w:sz w:val="20"/>
              <w:szCs w:val="20"/>
            </w:rPr>
          </w:pPr>
          <w:r w:rsidRPr="00755F22">
            <w:rPr>
              <w:sz w:val="20"/>
              <w:szCs w:val="20"/>
            </w:rPr>
            <w:t>MOTIONS</w:t>
          </w:r>
        </w:p>
      </w:tc>
      <w:tc>
        <w:tcPr>
          <w:tcW w:w="1170" w:type="dxa"/>
          <w:tcMar>
            <w:left w:w="0" w:type="dxa"/>
            <w:right w:w="0" w:type="dxa"/>
          </w:tcMar>
        </w:tcPr>
        <w:p w:rsidR="00AC41D3" w:rsidRPr="00755F22" w:rsidRDefault="00AC41D3" w:rsidP="00831CA9">
          <w:pPr>
            <w:keepLines/>
            <w:jc w:val="center"/>
            <w:rPr>
              <w:sz w:val="20"/>
              <w:szCs w:val="20"/>
            </w:rPr>
          </w:pPr>
        </w:p>
        <w:p w:rsidR="00AC41D3" w:rsidRPr="00755F22" w:rsidRDefault="00AC41D3" w:rsidP="00831CA9">
          <w:pPr>
            <w:keepLines/>
            <w:tabs>
              <w:tab w:val="left" w:pos="-1440"/>
              <w:tab w:val="left" w:pos="-720"/>
            </w:tabs>
            <w:jc w:val="center"/>
            <w:rPr>
              <w:sz w:val="20"/>
              <w:szCs w:val="20"/>
            </w:rPr>
          </w:pPr>
        </w:p>
      </w:tc>
      <w:tc>
        <w:tcPr>
          <w:tcW w:w="4080" w:type="dxa"/>
          <w:tcMar>
            <w:left w:w="0" w:type="dxa"/>
            <w:right w:w="0" w:type="dxa"/>
          </w:tcMar>
        </w:tcPr>
        <w:p w:rsidR="00AC41D3" w:rsidRPr="00BA6468" w:rsidRDefault="00AC41D3" w:rsidP="00BA6468">
          <w:pPr>
            <w:keepLines/>
            <w:rPr>
              <w:sz w:val="20"/>
              <w:szCs w:val="20"/>
              <w:lang w:val="fr-CA"/>
            </w:rPr>
          </w:pPr>
          <w:r w:rsidRPr="00BA6468">
            <w:rPr>
              <w:sz w:val="20"/>
              <w:szCs w:val="20"/>
              <w:lang w:val="fr-CA"/>
            </w:rPr>
            <w:t>REQUÊTES</w:t>
          </w:r>
        </w:p>
      </w:tc>
    </w:tr>
  </w:tbl>
  <w:p w:rsidR="00AC41D3" w:rsidRDefault="00AC41D3" w:rsidP="00831CA9">
    <w:pPr>
      <w:jc w:val="both"/>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AC41D3">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C41D3" w:rsidRPr="00D41BFD">
      <w:tc>
        <w:tcPr>
          <w:tcW w:w="4200" w:type="dxa"/>
          <w:tcMar>
            <w:left w:w="0" w:type="dxa"/>
            <w:right w:w="0" w:type="dxa"/>
          </w:tcMar>
        </w:tcPr>
        <w:p w:rsidR="00AC41D3" w:rsidRDefault="00AC41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AC41D3" w:rsidRDefault="00AC41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C41D3" w:rsidRPr="00283C52" w:rsidRDefault="00AC41D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AC41D3" w:rsidRPr="00283C52" w:rsidRDefault="00AC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C41D3" w:rsidRPr="00283C52" w:rsidRDefault="00AC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C41D3" w:rsidRPr="00D41BFD" w:rsidTr="00245129">
      <w:tc>
        <w:tcPr>
          <w:tcW w:w="4200" w:type="dxa"/>
          <w:tcMar>
            <w:left w:w="0" w:type="dxa"/>
            <w:right w:w="0" w:type="dxa"/>
          </w:tcMar>
        </w:tcPr>
        <w:p w:rsidR="00AC41D3" w:rsidRPr="00732DB7" w:rsidRDefault="00AC41D3"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AC41D3" w:rsidRPr="00732DB7" w:rsidRDefault="00AC41D3" w:rsidP="00732DB7">
          <w:pPr>
            <w:keepNext/>
            <w:keepLines/>
            <w:tabs>
              <w:tab w:val="left" w:pos="-1440"/>
              <w:tab w:val="left" w:pos="-720"/>
            </w:tabs>
            <w:jc w:val="center"/>
            <w:rPr>
              <w:sz w:val="20"/>
              <w:szCs w:val="20"/>
            </w:rPr>
          </w:pPr>
        </w:p>
        <w:p w:rsidR="00AC41D3" w:rsidRPr="00732DB7" w:rsidRDefault="00AC41D3" w:rsidP="00732DB7">
          <w:pPr>
            <w:keepNext/>
            <w:keepLines/>
            <w:tabs>
              <w:tab w:val="left" w:pos="-1440"/>
              <w:tab w:val="left" w:pos="-720"/>
            </w:tabs>
            <w:jc w:val="center"/>
            <w:rPr>
              <w:sz w:val="20"/>
              <w:szCs w:val="20"/>
            </w:rPr>
          </w:pPr>
        </w:p>
        <w:p w:rsidR="00AC41D3" w:rsidRPr="00732DB7" w:rsidRDefault="00AC41D3" w:rsidP="00732DB7">
          <w:pPr>
            <w:keepNext/>
            <w:keepLines/>
            <w:tabs>
              <w:tab w:val="left" w:pos="-1440"/>
              <w:tab w:val="left" w:pos="-720"/>
            </w:tabs>
            <w:jc w:val="center"/>
            <w:rPr>
              <w:sz w:val="20"/>
              <w:szCs w:val="20"/>
            </w:rPr>
          </w:pPr>
        </w:p>
      </w:tc>
      <w:tc>
        <w:tcPr>
          <w:tcW w:w="4080" w:type="dxa"/>
          <w:tcMar>
            <w:left w:w="0" w:type="dxa"/>
            <w:right w:w="0" w:type="dxa"/>
          </w:tcMar>
        </w:tcPr>
        <w:p w:rsidR="00AC41D3" w:rsidRPr="00732DB7" w:rsidRDefault="00AC41D3"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AC41D3" w:rsidRPr="00283C52" w:rsidRDefault="00AC41D3"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AC41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6F8" w:rsidRDefault="00F516F8">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C41D3" w:rsidRPr="00D41BFD">
      <w:tc>
        <w:tcPr>
          <w:tcW w:w="4200" w:type="dxa"/>
          <w:tcMar>
            <w:left w:w="0" w:type="dxa"/>
            <w:right w:w="0" w:type="dxa"/>
          </w:tcMar>
        </w:tcPr>
        <w:p w:rsidR="00AC41D3" w:rsidRDefault="00AC41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AC41D3" w:rsidRDefault="00AC41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AC41D3" w:rsidRDefault="00AC41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AC41D3" w:rsidRPr="003C2C0F" w:rsidRDefault="00AC41D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AC41D3" w:rsidRPr="003C2C0F" w:rsidRDefault="00AC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AC41D3" w:rsidRPr="003C2C0F" w:rsidRDefault="00AC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C41D3" w:rsidRPr="00D41BFD" w:rsidTr="00245129">
      <w:tc>
        <w:tcPr>
          <w:tcW w:w="4200" w:type="dxa"/>
          <w:tcMar>
            <w:left w:w="0" w:type="dxa"/>
            <w:right w:w="0" w:type="dxa"/>
          </w:tcMar>
        </w:tcPr>
        <w:p w:rsidR="00AC41D3" w:rsidRPr="00FF6EEC" w:rsidRDefault="00AC41D3" w:rsidP="00FF6EEC">
          <w:pPr>
            <w:rPr>
              <w:sz w:val="20"/>
              <w:szCs w:val="20"/>
            </w:rPr>
          </w:pPr>
          <w:r w:rsidRPr="00FF6EEC">
            <w:rPr>
              <w:sz w:val="20"/>
              <w:szCs w:val="20"/>
            </w:rPr>
            <w:t>PRONOUNCEMENTS OF APPEALS RESERVED</w:t>
          </w:r>
        </w:p>
      </w:tc>
      <w:tc>
        <w:tcPr>
          <w:tcW w:w="1200" w:type="dxa"/>
          <w:tcMar>
            <w:left w:w="0" w:type="dxa"/>
            <w:right w:w="0" w:type="dxa"/>
          </w:tcMar>
        </w:tcPr>
        <w:p w:rsidR="00AC41D3" w:rsidRPr="00FF6EEC" w:rsidRDefault="00AC41D3" w:rsidP="00FF6EEC">
          <w:pPr>
            <w:jc w:val="center"/>
            <w:rPr>
              <w:sz w:val="20"/>
              <w:szCs w:val="20"/>
            </w:rPr>
          </w:pPr>
        </w:p>
        <w:p w:rsidR="00AC41D3" w:rsidRPr="00FF6EEC" w:rsidRDefault="00AC41D3" w:rsidP="00FF6EEC">
          <w:pPr>
            <w:jc w:val="center"/>
            <w:rPr>
              <w:sz w:val="20"/>
              <w:szCs w:val="20"/>
            </w:rPr>
          </w:pPr>
        </w:p>
        <w:p w:rsidR="00AC41D3" w:rsidRPr="00FF6EEC" w:rsidRDefault="00AC41D3" w:rsidP="00FF6EEC">
          <w:pPr>
            <w:jc w:val="center"/>
            <w:rPr>
              <w:sz w:val="20"/>
              <w:szCs w:val="20"/>
            </w:rPr>
          </w:pPr>
        </w:p>
      </w:tc>
      <w:tc>
        <w:tcPr>
          <w:tcW w:w="4080" w:type="dxa"/>
          <w:tcMar>
            <w:left w:w="0" w:type="dxa"/>
            <w:right w:w="0" w:type="dxa"/>
          </w:tcMar>
        </w:tcPr>
        <w:p w:rsidR="00AC41D3" w:rsidRPr="00FF6EEC" w:rsidRDefault="00AC41D3" w:rsidP="00FF6EEC">
          <w:pPr>
            <w:rPr>
              <w:sz w:val="20"/>
              <w:szCs w:val="20"/>
              <w:lang w:val="fr-CA"/>
            </w:rPr>
          </w:pPr>
          <w:r w:rsidRPr="00FF6EEC">
            <w:rPr>
              <w:sz w:val="20"/>
              <w:szCs w:val="20"/>
              <w:lang w:val="fr-CA"/>
            </w:rPr>
            <w:t>JUGEMENTS RENDUS SUR LES APPELS EN DÉLIBÉRÉ</w:t>
          </w:r>
        </w:p>
      </w:tc>
    </w:tr>
  </w:tbl>
  <w:p w:rsidR="00AC41D3" w:rsidRPr="003C2C0F" w:rsidRDefault="00AC41D3"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AC41D3">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AC41D3">
      <w:tc>
        <w:tcPr>
          <w:tcW w:w="4230" w:type="dxa"/>
          <w:tcMar>
            <w:left w:w="0" w:type="dxa"/>
            <w:right w:w="0" w:type="dxa"/>
          </w:tcMar>
        </w:tcPr>
        <w:p w:rsidR="00AC41D3" w:rsidRDefault="00AC41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AC41D3" w:rsidRDefault="00AC41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AC41D3" w:rsidRDefault="00AC41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AC41D3" w:rsidRDefault="00AC41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C41D3" w:rsidRDefault="00AC41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AC41D3" w:rsidRDefault="00AC41D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AC41D3" w:rsidRDefault="00AC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C41D3" w:rsidRDefault="00AC4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AC41D3" w:rsidRPr="00782AE4" w:rsidTr="00245129">
      <w:tc>
        <w:tcPr>
          <w:tcW w:w="4230" w:type="dxa"/>
          <w:tcMar>
            <w:left w:w="0" w:type="dxa"/>
            <w:right w:w="0" w:type="dxa"/>
          </w:tcMar>
        </w:tcPr>
        <w:p w:rsidR="00AC41D3" w:rsidRPr="00782AE4" w:rsidRDefault="00AC41D3" w:rsidP="00102926">
          <w:pPr>
            <w:keepNext/>
            <w:keepLines/>
            <w:tabs>
              <w:tab w:val="left" w:pos="-1440"/>
              <w:tab w:val="left" w:pos="-720"/>
            </w:tabs>
            <w:rPr>
              <w:sz w:val="20"/>
              <w:szCs w:val="20"/>
            </w:rPr>
          </w:pPr>
          <w:r w:rsidRPr="00782AE4">
            <w:rPr>
              <w:sz w:val="20"/>
              <w:szCs w:val="20"/>
            </w:rPr>
            <w:t xml:space="preserve">HEADNOTES OF RECENT </w:t>
          </w:r>
        </w:p>
        <w:p w:rsidR="00AC41D3" w:rsidRPr="00782AE4" w:rsidRDefault="00AC41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AC41D3" w:rsidRDefault="00AC41D3" w:rsidP="00102926">
          <w:pPr>
            <w:keepNext/>
            <w:keepLines/>
            <w:tabs>
              <w:tab w:val="left" w:pos="-1440"/>
              <w:tab w:val="left" w:pos="-720"/>
            </w:tabs>
            <w:jc w:val="center"/>
            <w:rPr>
              <w:sz w:val="20"/>
              <w:szCs w:val="20"/>
            </w:rPr>
          </w:pPr>
        </w:p>
        <w:p w:rsidR="00AC41D3" w:rsidRDefault="00AC41D3" w:rsidP="00102926">
          <w:pPr>
            <w:keepNext/>
            <w:keepLines/>
            <w:tabs>
              <w:tab w:val="left" w:pos="-1440"/>
              <w:tab w:val="left" w:pos="-720"/>
            </w:tabs>
            <w:jc w:val="center"/>
            <w:rPr>
              <w:sz w:val="20"/>
              <w:szCs w:val="20"/>
            </w:rPr>
          </w:pPr>
        </w:p>
        <w:p w:rsidR="00AC41D3" w:rsidRPr="00782AE4" w:rsidRDefault="00AC41D3" w:rsidP="00102926">
          <w:pPr>
            <w:keepNext/>
            <w:keepLines/>
            <w:tabs>
              <w:tab w:val="left" w:pos="-1440"/>
              <w:tab w:val="left" w:pos="-720"/>
            </w:tabs>
            <w:jc w:val="center"/>
            <w:rPr>
              <w:sz w:val="20"/>
              <w:szCs w:val="20"/>
            </w:rPr>
          </w:pPr>
        </w:p>
      </w:tc>
      <w:tc>
        <w:tcPr>
          <w:tcW w:w="4080" w:type="dxa"/>
          <w:tcMar>
            <w:left w:w="0" w:type="dxa"/>
            <w:right w:w="0" w:type="dxa"/>
          </w:tcMar>
        </w:tcPr>
        <w:p w:rsidR="00AC41D3" w:rsidRPr="00102926" w:rsidRDefault="00AC41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AC41D3" w:rsidRPr="00782AE4" w:rsidRDefault="00AC41D3" w:rsidP="00102926">
          <w:pPr>
            <w:keepLines/>
            <w:tabs>
              <w:tab w:val="left" w:pos="-1440"/>
              <w:tab w:val="left" w:pos="-720"/>
            </w:tabs>
            <w:rPr>
              <w:sz w:val="20"/>
              <w:szCs w:val="20"/>
            </w:rPr>
          </w:pPr>
          <w:r w:rsidRPr="00102926">
            <w:rPr>
              <w:sz w:val="20"/>
              <w:szCs w:val="20"/>
              <w:lang w:val="fr-CA"/>
            </w:rPr>
            <w:t>RÉCENTS</w:t>
          </w:r>
        </w:p>
      </w:tc>
    </w:tr>
  </w:tbl>
  <w:p w:rsidR="00AC41D3" w:rsidRDefault="00AC41D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AC41D3">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AC41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6F8" w:rsidRDefault="00F516F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AC41D3" w:rsidRPr="0044776A" w:rsidTr="00245129">
      <w:tc>
        <w:tcPr>
          <w:tcW w:w="4290" w:type="dxa"/>
          <w:tcMar>
            <w:left w:w="0" w:type="dxa"/>
            <w:right w:w="0" w:type="dxa"/>
          </w:tcMar>
        </w:tcPr>
        <w:p w:rsidR="00AC41D3" w:rsidRPr="0044776A" w:rsidRDefault="00AC41D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C41D3" w:rsidRPr="0044776A" w:rsidRDefault="00AC41D3" w:rsidP="002E2327">
          <w:pPr>
            <w:keepNext/>
            <w:keepLines/>
            <w:tabs>
              <w:tab w:val="left" w:pos="-1440"/>
              <w:tab w:val="left" w:pos="-720"/>
            </w:tabs>
            <w:jc w:val="center"/>
            <w:rPr>
              <w:sz w:val="20"/>
              <w:szCs w:val="20"/>
            </w:rPr>
          </w:pPr>
        </w:p>
        <w:p w:rsidR="00AC41D3" w:rsidRPr="0044776A" w:rsidRDefault="00AC41D3" w:rsidP="002E2327">
          <w:pPr>
            <w:keepNext/>
            <w:keepLines/>
            <w:tabs>
              <w:tab w:val="left" w:pos="-1440"/>
              <w:tab w:val="left" w:pos="-720"/>
            </w:tabs>
            <w:jc w:val="center"/>
            <w:rPr>
              <w:sz w:val="20"/>
              <w:szCs w:val="20"/>
            </w:rPr>
          </w:pPr>
        </w:p>
        <w:p w:rsidR="00AC41D3" w:rsidRPr="0044776A" w:rsidRDefault="00AC41D3" w:rsidP="002E2327">
          <w:pPr>
            <w:keepNext/>
            <w:keepLines/>
            <w:tabs>
              <w:tab w:val="left" w:pos="-1440"/>
              <w:tab w:val="left" w:pos="-720"/>
            </w:tabs>
            <w:jc w:val="center"/>
            <w:rPr>
              <w:sz w:val="20"/>
              <w:szCs w:val="20"/>
            </w:rPr>
          </w:pPr>
        </w:p>
      </w:tc>
      <w:tc>
        <w:tcPr>
          <w:tcW w:w="4320" w:type="dxa"/>
          <w:tcMar>
            <w:left w:w="0" w:type="dxa"/>
            <w:right w:w="0" w:type="dxa"/>
          </w:tcMar>
        </w:tcPr>
        <w:p w:rsidR="00AC41D3" w:rsidRPr="0044776A" w:rsidRDefault="00AC41D3" w:rsidP="002E2327">
          <w:pPr>
            <w:keepLines/>
            <w:rPr>
              <w:sz w:val="20"/>
              <w:szCs w:val="20"/>
              <w:lang w:val="fr-CA"/>
            </w:rPr>
          </w:pPr>
          <w:r w:rsidRPr="0044776A">
            <w:rPr>
              <w:sz w:val="20"/>
              <w:szCs w:val="20"/>
              <w:lang w:val="fr-CA"/>
            </w:rPr>
            <w:t>DEMANDES D'AUTORISATION D'APPEL DÉPOSÉES</w:t>
          </w:r>
        </w:p>
      </w:tc>
    </w:tr>
  </w:tbl>
  <w:p w:rsidR="00AC41D3" w:rsidRDefault="00AC41D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AC41D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C41D3" w:rsidRPr="00D41BFD" w:rsidTr="00245129">
      <w:tc>
        <w:tcPr>
          <w:tcW w:w="4200" w:type="dxa"/>
          <w:tcMar>
            <w:left w:w="0" w:type="dxa"/>
            <w:right w:w="0" w:type="dxa"/>
          </w:tcMar>
        </w:tcPr>
        <w:p w:rsidR="00AC41D3" w:rsidRPr="0044776A" w:rsidRDefault="00AC41D3" w:rsidP="0044776A">
          <w:pPr>
            <w:keepNext/>
            <w:keepLines/>
            <w:widowControl w:val="0"/>
            <w:rPr>
              <w:sz w:val="20"/>
              <w:szCs w:val="20"/>
            </w:rPr>
          </w:pPr>
          <w:r>
            <w:rPr>
              <w:sz w:val="20"/>
              <w:szCs w:val="20"/>
            </w:rPr>
            <w:t>APPLICATIONS FOR LEAVE</w:t>
          </w:r>
        </w:p>
        <w:p w:rsidR="00AC41D3" w:rsidRPr="0044776A" w:rsidRDefault="00AC41D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C41D3" w:rsidRPr="0044776A" w:rsidRDefault="00AC41D3" w:rsidP="0044776A">
          <w:pPr>
            <w:keepNext/>
            <w:keepLines/>
            <w:widowControl w:val="0"/>
            <w:jc w:val="center"/>
            <w:rPr>
              <w:sz w:val="20"/>
              <w:szCs w:val="20"/>
            </w:rPr>
          </w:pPr>
        </w:p>
        <w:p w:rsidR="00AC41D3" w:rsidRPr="0044776A" w:rsidRDefault="00AC41D3" w:rsidP="0044776A">
          <w:pPr>
            <w:keepNext/>
            <w:keepLines/>
            <w:widowControl w:val="0"/>
            <w:jc w:val="center"/>
            <w:rPr>
              <w:sz w:val="20"/>
              <w:szCs w:val="20"/>
            </w:rPr>
          </w:pPr>
        </w:p>
        <w:p w:rsidR="00AC41D3" w:rsidRPr="0044776A" w:rsidRDefault="00AC41D3" w:rsidP="0044776A">
          <w:pPr>
            <w:keepNext/>
            <w:keepLines/>
            <w:widowControl w:val="0"/>
            <w:jc w:val="center"/>
            <w:rPr>
              <w:sz w:val="20"/>
              <w:szCs w:val="20"/>
            </w:rPr>
          </w:pPr>
        </w:p>
      </w:tc>
      <w:tc>
        <w:tcPr>
          <w:tcW w:w="4080" w:type="dxa"/>
          <w:tcMar>
            <w:left w:w="0" w:type="dxa"/>
            <w:right w:w="0" w:type="dxa"/>
          </w:tcMar>
        </w:tcPr>
        <w:p w:rsidR="00AC41D3" w:rsidRPr="0044776A" w:rsidRDefault="00AC41D3" w:rsidP="0044776A">
          <w:pPr>
            <w:keepLines/>
            <w:widowControl w:val="0"/>
            <w:rPr>
              <w:sz w:val="20"/>
              <w:szCs w:val="20"/>
              <w:lang w:val="fr-CA"/>
            </w:rPr>
          </w:pPr>
          <w:r w:rsidRPr="0044776A">
            <w:rPr>
              <w:sz w:val="20"/>
              <w:szCs w:val="20"/>
              <w:lang w:val="fr-CA"/>
            </w:rPr>
            <w:t>DEMANDES SOUMISES À LA COUR DEPUIS LA DERNIÈRE PARUTION</w:t>
          </w:r>
        </w:p>
        <w:p w:rsidR="00AC41D3" w:rsidRPr="0044776A" w:rsidRDefault="00AC41D3" w:rsidP="0044776A">
          <w:pPr>
            <w:widowControl w:val="0"/>
            <w:rPr>
              <w:sz w:val="20"/>
              <w:szCs w:val="20"/>
              <w:lang w:val="fr-CA"/>
            </w:rPr>
          </w:pPr>
        </w:p>
      </w:tc>
    </w:tr>
  </w:tbl>
  <w:p w:rsidR="00AC41D3" w:rsidRPr="002E2327" w:rsidRDefault="00AC41D3">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D3" w:rsidRDefault="00AC41D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C41D3" w:rsidRPr="00D41BFD">
      <w:tc>
        <w:tcPr>
          <w:tcW w:w="4200" w:type="dxa"/>
          <w:tcMar>
            <w:left w:w="0" w:type="dxa"/>
            <w:right w:w="0" w:type="dxa"/>
          </w:tcMar>
        </w:tcPr>
        <w:p w:rsidR="00AC41D3" w:rsidRDefault="00AC41D3">
          <w:pPr>
            <w:keepNext/>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r>
            <w:rPr>
              <w:rFonts w:ascii="Times New" w:hAnsi="Times New"/>
            </w:rPr>
            <w:t>ORAL HEARING ON APPLICATIONS FOR LEAVE</w:t>
          </w:r>
        </w:p>
      </w:tc>
      <w:tc>
        <w:tcPr>
          <w:tcW w:w="1200" w:type="dxa"/>
          <w:tcMar>
            <w:left w:w="0" w:type="dxa"/>
            <w:right w:w="0" w:type="dxa"/>
          </w:tcMar>
        </w:tcPr>
        <w:p w:rsidR="00AC41D3" w:rsidRDefault="00AC41D3">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p>
      </w:tc>
      <w:tc>
        <w:tcPr>
          <w:tcW w:w="4080" w:type="dxa"/>
          <w:tcMar>
            <w:left w:w="0" w:type="dxa"/>
            <w:right w:w="0" w:type="dxa"/>
          </w:tcMar>
        </w:tcPr>
        <w:p w:rsidR="00AC41D3" w:rsidRPr="008D6812" w:rsidRDefault="00AC41D3">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lang w:val="fr-CA"/>
            </w:rPr>
          </w:pPr>
          <w:r w:rsidRPr="008D6812">
            <w:rPr>
              <w:rFonts w:ascii="Times New" w:hAnsi="Times New"/>
              <w:lang w:val="fr-CA"/>
            </w:rPr>
            <w:t xml:space="preserve">AUDIENCE SUR LES DEMANDES D’AUTORISATION </w:t>
          </w:r>
        </w:p>
      </w:tc>
    </w:tr>
  </w:tbl>
  <w:p w:rsidR="00AC41D3" w:rsidRPr="008D6812" w:rsidRDefault="00AC41D3">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AC41D3" w:rsidRPr="008D6812" w:rsidRDefault="00AC41D3">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C41D3" w:rsidRPr="00D41BFD" w:rsidTr="00245129">
      <w:tc>
        <w:tcPr>
          <w:tcW w:w="4200" w:type="dxa"/>
          <w:tcMar>
            <w:left w:w="0" w:type="dxa"/>
            <w:right w:w="0" w:type="dxa"/>
          </w:tcMar>
        </w:tcPr>
        <w:p w:rsidR="00AC41D3" w:rsidRPr="00755F22" w:rsidRDefault="00AC41D3" w:rsidP="00432989">
          <w:pPr>
            <w:rPr>
              <w:sz w:val="20"/>
              <w:szCs w:val="20"/>
            </w:rPr>
          </w:pPr>
          <w:r w:rsidRPr="00755F22">
            <w:rPr>
              <w:sz w:val="20"/>
              <w:szCs w:val="20"/>
            </w:rPr>
            <w:t>ORAL HEARING ON APPLICATIONS FOR LEAVE</w:t>
          </w:r>
        </w:p>
      </w:tc>
      <w:tc>
        <w:tcPr>
          <w:tcW w:w="1200" w:type="dxa"/>
          <w:tcMar>
            <w:left w:w="0" w:type="dxa"/>
            <w:right w:w="0" w:type="dxa"/>
          </w:tcMar>
        </w:tcPr>
        <w:p w:rsidR="00AC41D3" w:rsidRDefault="00AC41D3" w:rsidP="008D292F">
          <w:pPr>
            <w:jc w:val="center"/>
            <w:rPr>
              <w:sz w:val="20"/>
              <w:szCs w:val="20"/>
            </w:rPr>
          </w:pPr>
        </w:p>
        <w:p w:rsidR="00AC41D3" w:rsidRDefault="00AC41D3" w:rsidP="008D292F">
          <w:pPr>
            <w:jc w:val="center"/>
            <w:rPr>
              <w:sz w:val="20"/>
              <w:szCs w:val="20"/>
            </w:rPr>
          </w:pPr>
        </w:p>
        <w:p w:rsidR="00AC41D3" w:rsidRPr="00755F22" w:rsidRDefault="00AC41D3" w:rsidP="008D292F">
          <w:pPr>
            <w:jc w:val="center"/>
            <w:rPr>
              <w:sz w:val="20"/>
              <w:szCs w:val="20"/>
            </w:rPr>
          </w:pPr>
        </w:p>
      </w:tc>
      <w:tc>
        <w:tcPr>
          <w:tcW w:w="4080" w:type="dxa"/>
          <w:tcMar>
            <w:left w:w="0" w:type="dxa"/>
            <w:right w:w="0" w:type="dxa"/>
          </w:tcMar>
        </w:tcPr>
        <w:p w:rsidR="00AC41D3" w:rsidRPr="00755F22" w:rsidRDefault="00AC41D3" w:rsidP="00432989">
          <w:pPr>
            <w:rPr>
              <w:sz w:val="20"/>
              <w:szCs w:val="20"/>
              <w:lang w:val="fr-CA"/>
            </w:rPr>
          </w:pPr>
          <w:r w:rsidRPr="00755F22">
            <w:rPr>
              <w:sz w:val="20"/>
              <w:szCs w:val="20"/>
              <w:lang w:val="fr-CA"/>
            </w:rPr>
            <w:t xml:space="preserve">AUDIENCE SUR LES DEMANDES D’AUTORISATION </w:t>
          </w:r>
        </w:p>
      </w:tc>
    </w:tr>
  </w:tbl>
  <w:p w:rsidR="00AC41D3" w:rsidRPr="008D6812" w:rsidRDefault="00AC41D3">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AC41D3" w:rsidRPr="008D6812" w:rsidRDefault="00AC41D3">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79F9"/>
    <w:multiLevelType w:val="hybridMultilevel"/>
    <w:tmpl w:val="40660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2023659"/>
    <w:multiLevelType w:val="hybridMultilevel"/>
    <w:tmpl w:val="BB8A13E8"/>
    <w:lvl w:ilvl="0" w:tplc="FCBED15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A5530"/>
    <w:multiLevelType w:val="hybridMultilevel"/>
    <w:tmpl w:val="BB8A13E8"/>
    <w:lvl w:ilvl="0" w:tplc="FCBED15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CA335BA"/>
    <w:multiLevelType w:val="hybridMultilevel"/>
    <w:tmpl w:val="AE9ABDC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60433"/>
  </w:hdrShapeDefaults>
  <w:footnotePr>
    <w:footnote w:id="-1"/>
    <w:footnote w:id="0"/>
  </w:footnotePr>
  <w:endnotePr>
    <w:endnote w:id="-1"/>
    <w:endnote w:id="0"/>
  </w:endnotePr>
  <w:compat/>
  <w:rsids>
    <w:rsidRoot w:val="00853739"/>
    <w:rsid w:val="000256C6"/>
    <w:rsid w:val="0003223B"/>
    <w:rsid w:val="000327B2"/>
    <w:rsid w:val="000627F4"/>
    <w:rsid w:val="00066C81"/>
    <w:rsid w:val="000902E8"/>
    <w:rsid w:val="00091FA6"/>
    <w:rsid w:val="00096BD9"/>
    <w:rsid w:val="000B3C9A"/>
    <w:rsid w:val="000B40A2"/>
    <w:rsid w:val="000B4624"/>
    <w:rsid w:val="000C0ACD"/>
    <w:rsid w:val="000C5CE8"/>
    <w:rsid w:val="000E2959"/>
    <w:rsid w:val="000F36E2"/>
    <w:rsid w:val="00102926"/>
    <w:rsid w:val="0010587F"/>
    <w:rsid w:val="00107C53"/>
    <w:rsid w:val="00111C6B"/>
    <w:rsid w:val="0012102B"/>
    <w:rsid w:val="00124F06"/>
    <w:rsid w:val="0013369E"/>
    <w:rsid w:val="001533B8"/>
    <w:rsid w:val="00164E6D"/>
    <w:rsid w:val="001721D6"/>
    <w:rsid w:val="001734E0"/>
    <w:rsid w:val="001B157C"/>
    <w:rsid w:val="001B5C23"/>
    <w:rsid w:val="001D0D5F"/>
    <w:rsid w:val="001D6B8C"/>
    <w:rsid w:val="001E1329"/>
    <w:rsid w:val="001F1F83"/>
    <w:rsid w:val="001F40DF"/>
    <w:rsid w:val="002021A9"/>
    <w:rsid w:val="002139A7"/>
    <w:rsid w:val="00215F7C"/>
    <w:rsid w:val="0022323B"/>
    <w:rsid w:val="002410B8"/>
    <w:rsid w:val="00242AEE"/>
    <w:rsid w:val="00245129"/>
    <w:rsid w:val="00245879"/>
    <w:rsid w:val="00267FD5"/>
    <w:rsid w:val="0027418D"/>
    <w:rsid w:val="00274D34"/>
    <w:rsid w:val="00283ED8"/>
    <w:rsid w:val="002868D0"/>
    <w:rsid w:val="002A008C"/>
    <w:rsid w:val="002A27D1"/>
    <w:rsid w:val="002A4AFA"/>
    <w:rsid w:val="002B39FE"/>
    <w:rsid w:val="002B516C"/>
    <w:rsid w:val="002D72EB"/>
    <w:rsid w:val="002E2327"/>
    <w:rsid w:val="002E3583"/>
    <w:rsid w:val="002E5576"/>
    <w:rsid w:val="00314B83"/>
    <w:rsid w:val="003205EA"/>
    <w:rsid w:val="00331B52"/>
    <w:rsid w:val="003359D3"/>
    <w:rsid w:val="003532A0"/>
    <w:rsid w:val="00355967"/>
    <w:rsid w:val="0035691B"/>
    <w:rsid w:val="003626E3"/>
    <w:rsid w:val="00382C47"/>
    <w:rsid w:val="00384384"/>
    <w:rsid w:val="003866AE"/>
    <w:rsid w:val="00396BF4"/>
    <w:rsid w:val="003B3294"/>
    <w:rsid w:val="003B3977"/>
    <w:rsid w:val="003C7A9A"/>
    <w:rsid w:val="00432989"/>
    <w:rsid w:val="00440E24"/>
    <w:rsid w:val="0044776A"/>
    <w:rsid w:val="00460AFC"/>
    <w:rsid w:val="0047471F"/>
    <w:rsid w:val="004B195E"/>
    <w:rsid w:val="004B66B4"/>
    <w:rsid w:val="004B7F60"/>
    <w:rsid w:val="004C1AAC"/>
    <w:rsid w:val="004C2854"/>
    <w:rsid w:val="004E1363"/>
    <w:rsid w:val="004E1E0A"/>
    <w:rsid w:val="004F090E"/>
    <w:rsid w:val="00527CC7"/>
    <w:rsid w:val="00571CA4"/>
    <w:rsid w:val="00582136"/>
    <w:rsid w:val="005A306F"/>
    <w:rsid w:val="005A52E0"/>
    <w:rsid w:val="005C6840"/>
    <w:rsid w:val="005C6D0B"/>
    <w:rsid w:val="005D5387"/>
    <w:rsid w:val="005F263E"/>
    <w:rsid w:val="00600252"/>
    <w:rsid w:val="00600FB0"/>
    <w:rsid w:val="00606CD5"/>
    <w:rsid w:val="00612A40"/>
    <w:rsid w:val="0062714A"/>
    <w:rsid w:val="006366B1"/>
    <w:rsid w:val="0064689C"/>
    <w:rsid w:val="00650EC8"/>
    <w:rsid w:val="00675479"/>
    <w:rsid w:val="00680709"/>
    <w:rsid w:val="00684A1C"/>
    <w:rsid w:val="00696BF9"/>
    <w:rsid w:val="00697C62"/>
    <w:rsid w:val="006A329B"/>
    <w:rsid w:val="006A7EB8"/>
    <w:rsid w:val="006B6926"/>
    <w:rsid w:val="006B6A3A"/>
    <w:rsid w:val="006C3F47"/>
    <w:rsid w:val="006C5F7A"/>
    <w:rsid w:val="006D5041"/>
    <w:rsid w:val="006D5ED5"/>
    <w:rsid w:val="006E06AF"/>
    <w:rsid w:val="006F350F"/>
    <w:rsid w:val="007048DA"/>
    <w:rsid w:val="0071735E"/>
    <w:rsid w:val="00723E96"/>
    <w:rsid w:val="00732DB7"/>
    <w:rsid w:val="0074238B"/>
    <w:rsid w:val="00745EF7"/>
    <w:rsid w:val="00755F22"/>
    <w:rsid w:val="00757AEB"/>
    <w:rsid w:val="00766E4A"/>
    <w:rsid w:val="007820CE"/>
    <w:rsid w:val="00782AE4"/>
    <w:rsid w:val="00787176"/>
    <w:rsid w:val="00793D9F"/>
    <w:rsid w:val="007967EE"/>
    <w:rsid w:val="0079724F"/>
    <w:rsid w:val="007A16C1"/>
    <w:rsid w:val="007A3EAE"/>
    <w:rsid w:val="007C04FC"/>
    <w:rsid w:val="007C1B35"/>
    <w:rsid w:val="007D3E0F"/>
    <w:rsid w:val="007E11FE"/>
    <w:rsid w:val="007E4282"/>
    <w:rsid w:val="007F387B"/>
    <w:rsid w:val="00802863"/>
    <w:rsid w:val="00815B3C"/>
    <w:rsid w:val="0082783A"/>
    <w:rsid w:val="00831CA9"/>
    <w:rsid w:val="00833148"/>
    <w:rsid w:val="00850E1F"/>
    <w:rsid w:val="00853739"/>
    <w:rsid w:val="0085476B"/>
    <w:rsid w:val="00867BA6"/>
    <w:rsid w:val="00890FEB"/>
    <w:rsid w:val="008A5C1A"/>
    <w:rsid w:val="008C1992"/>
    <w:rsid w:val="008D292F"/>
    <w:rsid w:val="008E03DC"/>
    <w:rsid w:val="00902E51"/>
    <w:rsid w:val="00916DDE"/>
    <w:rsid w:val="00924065"/>
    <w:rsid w:val="00926CD5"/>
    <w:rsid w:val="00930D68"/>
    <w:rsid w:val="00932DB4"/>
    <w:rsid w:val="0093437A"/>
    <w:rsid w:val="00941A4B"/>
    <w:rsid w:val="00946242"/>
    <w:rsid w:val="0095096B"/>
    <w:rsid w:val="00961E27"/>
    <w:rsid w:val="00970CD3"/>
    <w:rsid w:val="009723FA"/>
    <w:rsid w:val="00984546"/>
    <w:rsid w:val="00986103"/>
    <w:rsid w:val="00996510"/>
    <w:rsid w:val="009B6C32"/>
    <w:rsid w:val="009D1F15"/>
    <w:rsid w:val="009D555E"/>
    <w:rsid w:val="009F3024"/>
    <w:rsid w:val="00A004E1"/>
    <w:rsid w:val="00A0355E"/>
    <w:rsid w:val="00A0505A"/>
    <w:rsid w:val="00A375D1"/>
    <w:rsid w:val="00A426F6"/>
    <w:rsid w:val="00A51D10"/>
    <w:rsid w:val="00A52A83"/>
    <w:rsid w:val="00A61B52"/>
    <w:rsid w:val="00A646D3"/>
    <w:rsid w:val="00A6552C"/>
    <w:rsid w:val="00A66746"/>
    <w:rsid w:val="00A87207"/>
    <w:rsid w:val="00A935AA"/>
    <w:rsid w:val="00AA605C"/>
    <w:rsid w:val="00AB2201"/>
    <w:rsid w:val="00AB7673"/>
    <w:rsid w:val="00AC41D3"/>
    <w:rsid w:val="00AD3259"/>
    <w:rsid w:val="00AE0560"/>
    <w:rsid w:val="00AF1715"/>
    <w:rsid w:val="00AF3904"/>
    <w:rsid w:val="00AF409A"/>
    <w:rsid w:val="00B010C0"/>
    <w:rsid w:val="00B060B1"/>
    <w:rsid w:val="00B06A54"/>
    <w:rsid w:val="00B3404D"/>
    <w:rsid w:val="00B4740D"/>
    <w:rsid w:val="00B54E2F"/>
    <w:rsid w:val="00B61629"/>
    <w:rsid w:val="00B7374B"/>
    <w:rsid w:val="00B90DC0"/>
    <w:rsid w:val="00B97980"/>
    <w:rsid w:val="00BA116A"/>
    <w:rsid w:val="00BA5582"/>
    <w:rsid w:val="00BA6468"/>
    <w:rsid w:val="00BB1D44"/>
    <w:rsid w:val="00BD06DA"/>
    <w:rsid w:val="00BD3F72"/>
    <w:rsid w:val="00BD4217"/>
    <w:rsid w:val="00BF25F3"/>
    <w:rsid w:val="00BF434B"/>
    <w:rsid w:val="00C0100F"/>
    <w:rsid w:val="00C03293"/>
    <w:rsid w:val="00C05792"/>
    <w:rsid w:val="00C1697B"/>
    <w:rsid w:val="00C179BD"/>
    <w:rsid w:val="00C21CB5"/>
    <w:rsid w:val="00C3754C"/>
    <w:rsid w:val="00C415AB"/>
    <w:rsid w:val="00C50A5C"/>
    <w:rsid w:val="00C50FDF"/>
    <w:rsid w:val="00C56C3A"/>
    <w:rsid w:val="00C63381"/>
    <w:rsid w:val="00C73D06"/>
    <w:rsid w:val="00C73E1B"/>
    <w:rsid w:val="00C759B4"/>
    <w:rsid w:val="00C77713"/>
    <w:rsid w:val="00C85BB7"/>
    <w:rsid w:val="00C95D9E"/>
    <w:rsid w:val="00CA2DEA"/>
    <w:rsid w:val="00CB43D5"/>
    <w:rsid w:val="00CC4D84"/>
    <w:rsid w:val="00CC6132"/>
    <w:rsid w:val="00CE198A"/>
    <w:rsid w:val="00CF08C8"/>
    <w:rsid w:val="00D004FC"/>
    <w:rsid w:val="00D05A19"/>
    <w:rsid w:val="00D41BFD"/>
    <w:rsid w:val="00D50F3A"/>
    <w:rsid w:val="00D64901"/>
    <w:rsid w:val="00D76BDF"/>
    <w:rsid w:val="00D862C1"/>
    <w:rsid w:val="00D93B50"/>
    <w:rsid w:val="00D94028"/>
    <w:rsid w:val="00D94670"/>
    <w:rsid w:val="00DA46F6"/>
    <w:rsid w:val="00DB73D7"/>
    <w:rsid w:val="00DC57A6"/>
    <w:rsid w:val="00DC5C61"/>
    <w:rsid w:val="00DD0B49"/>
    <w:rsid w:val="00DE0502"/>
    <w:rsid w:val="00E06DFA"/>
    <w:rsid w:val="00E16126"/>
    <w:rsid w:val="00E2011A"/>
    <w:rsid w:val="00E20A0A"/>
    <w:rsid w:val="00E2673F"/>
    <w:rsid w:val="00E356C7"/>
    <w:rsid w:val="00E45FE4"/>
    <w:rsid w:val="00E52F75"/>
    <w:rsid w:val="00E64FA7"/>
    <w:rsid w:val="00E770CB"/>
    <w:rsid w:val="00E903A1"/>
    <w:rsid w:val="00E936C6"/>
    <w:rsid w:val="00E940EB"/>
    <w:rsid w:val="00E9703F"/>
    <w:rsid w:val="00E975F9"/>
    <w:rsid w:val="00EB2B90"/>
    <w:rsid w:val="00ED7E83"/>
    <w:rsid w:val="00EE091F"/>
    <w:rsid w:val="00EE4D3A"/>
    <w:rsid w:val="00EF4B63"/>
    <w:rsid w:val="00F0068D"/>
    <w:rsid w:val="00F05367"/>
    <w:rsid w:val="00F0576D"/>
    <w:rsid w:val="00F06188"/>
    <w:rsid w:val="00F0715A"/>
    <w:rsid w:val="00F14E6D"/>
    <w:rsid w:val="00F15EA8"/>
    <w:rsid w:val="00F16C8D"/>
    <w:rsid w:val="00F26C61"/>
    <w:rsid w:val="00F33CCE"/>
    <w:rsid w:val="00F40249"/>
    <w:rsid w:val="00F516F8"/>
    <w:rsid w:val="00F526C8"/>
    <w:rsid w:val="00F761A3"/>
    <w:rsid w:val="00F9272D"/>
    <w:rsid w:val="00F9518C"/>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0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066C81"/>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arty">
    <w:name w:val="SCC.Lsoc.Party"/>
    <w:basedOn w:val="Normal"/>
    <w:next w:val="Normal"/>
    <w:link w:val="SCCLsocPartyChar"/>
    <w:rsid w:val="00E936C6"/>
    <w:pPr>
      <w:jc w:val="center"/>
    </w:pPr>
    <w:rPr>
      <w:rFonts w:eastAsia="Calibri" w:cs="Times New Roman"/>
      <w:lang w:val="fr-CA"/>
    </w:rPr>
  </w:style>
  <w:style w:type="character" w:customStyle="1" w:styleId="SCCLsocPartyChar">
    <w:name w:val="SCC.Lsoc.Party Char"/>
    <w:basedOn w:val="DefaultParagraphFont"/>
    <w:link w:val="SCCLsocParty"/>
    <w:rsid w:val="00E936C6"/>
    <w:rPr>
      <w:rFonts w:eastAsia="Calibri" w:cs="Times New Roman"/>
      <w:lang w:val="fr-CA"/>
    </w:rPr>
  </w:style>
  <w:style w:type="table" w:customStyle="1" w:styleId="TableGrid2">
    <w:name w:val="Table Grid2"/>
    <w:basedOn w:val="TableNormal"/>
    <w:next w:val="TableGrid"/>
    <w:uiPriority w:val="59"/>
    <w:rsid w:val="00926CD5"/>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26CD5"/>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26CD5"/>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24F06"/>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50EC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50EC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50EC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50EC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650EC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61B5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61B5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A61B5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61B5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6B6A3A"/>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6B6A3A"/>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07C53"/>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07C53"/>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07C53"/>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107C53"/>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107C53"/>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A426F6"/>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A426F6"/>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426F6"/>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426F6"/>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426F6"/>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header" Target="header26.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3.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35982</Words>
  <Characters>205104</Characters>
  <Application>Microsoft Office Word</Application>
  <DocSecurity>0</DocSecurity>
  <Lines>1709</Lines>
  <Paragraphs>481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2013-06-19T18:26:00Z</dcterms:created>
  <dcterms:modified xsi:type="dcterms:W3CDTF">2013-06-19T18:26:00Z</dcterms:modified>
</cp:coreProperties>
</file>