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B61B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B61B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B61B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B61B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B61BC" w:rsidTr="002E5576">
        <w:tc>
          <w:tcPr>
            <w:tcW w:w="4518" w:type="dxa"/>
          </w:tcPr>
          <w:p w:rsidR="00BF25F3" w:rsidRPr="002E2327" w:rsidRDefault="00CC200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C200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B61B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B61B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42AEE" w:rsidP="00F0068D">
      <w:pPr>
        <w:pBdr>
          <w:bottom w:val="single" w:sz="6" w:space="1" w:color="auto"/>
        </w:pBdr>
        <w:tabs>
          <w:tab w:val="center" w:pos="4680"/>
          <w:tab w:val="right" w:pos="9360"/>
        </w:tabs>
        <w:rPr>
          <w:lang w:val="fr-CA"/>
        </w:rPr>
      </w:pPr>
      <w:r>
        <w:rPr>
          <w:lang w:val="fr-CA"/>
        </w:rPr>
        <w:t>October 25</w:t>
      </w:r>
      <w:r w:rsidR="00440E24" w:rsidRPr="00675479">
        <w:rPr>
          <w:lang w:val="fr-CA"/>
        </w:rPr>
        <w:t>, 201</w:t>
      </w:r>
      <w:r w:rsidR="00F761A3">
        <w:rPr>
          <w:lang w:val="fr-CA"/>
        </w:rPr>
        <w:t>3</w:t>
      </w:r>
      <w:r w:rsidR="00F0068D" w:rsidRPr="00675479">
        <w:rPr>
          <w:lang w:val="fr-CA"/>
        </w:rPr>
        <w:tab/>
        <w:t>1</w:t>
      </w:r>
      <w:r w:rsidR="00537582">
        <w:rPr>
          <w:lang w:val="fr-CA"/>
        </w:rPr>
        <w:t>708</w:t>
      </w:r>
      <w:r w:rsidR="00F0068D" w:rsidRPr="00675479">
        <w:rPr>
          <w:lang w:val="fr-CA"/>
        </w:rPr>
        <w:t xml:space="preserve"> - </w:t>
      </w:r>
      <w:r w:rsidR="00FB5D62">
        <w:rPr>
          <w:lang w:val="fr-CA"/>
        </w:rPr>
        <w:t>1757</w:t>
      </w:r>
      <w:r w:rsidR="00440E24" w:rsidRPr="00675479">
        <w:rPr>
          <w:lang w:val="fr-CA"/>
        </w:rPr>
        <w:tab/>
      </w:r>
      <w:r w:rsidR="00440E24" w:rsidRPr="002E2327">
        <w:rPr>
          <w:lang w:val="fr-CA"/>
        </w:rPr>
        <w:t>Le</w:t>
      </w:r>
      <w:r w:rsidR="00C73D06">
        <w:rPr>
          <w:lang w:val="fr-CA"/>
        </w:rPr>
        <w:t xml:space="preserve"> </w:t>
      </w:r>
      <w:r>
        <w:rPr>
          <w:lang w:val="fr-CA"/>
        </w:rPr>
        <w:t>25 octob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642AEE" w:rsidRDefault="00440E24" w:rsidP="00440E24">
      <w:pPr>
        <w:pBdr>
          <w:bottom w:val="single" w:sz="6" w:space="1" w:color="auto"/>
        </w:pBdr>
        <w:tabs>
          <w:tab w:val="right" w:pos="9360"/>
        </w:tabs>
        <w:rPr>
          <w:sz w:val="18"/>
          <w:szCs w:val="18"/>
          <w:lang w:val="fr-CA"/>
        </w:rPr>
      </w:pPr>
      <w:r w:rsidRPr="00642AEE">
        <w:rPr>
          <w:sz w:val="18"/>
          <w:szCs w:val="18"/>
          <w:lang w:val="fr-CA"/>
        </w:rPr>
        <w:lastRenderedPageBreak/>
        <w:t>© Supreme Court of Canada (201</w:t>
      </w:r>
      <w:r w:rsidR="00F761A3" w:rsidRPr="00642AEE">
        <w:rPr>
          <w:sz w:val="18"/>
          <w:szCs w:val="18"/>
          <w:lang w:val="fr-CA"/>
        </w:rPr>
        <w:t>3</w:t>
      </w:r>
      <w:r w:rsidRPr="00642AEE">
        <w:rPr>
          <w:sz w:val="18"/>
          <w:szCs w:val="18"/>
          <w:lang w:val="fr-CA"/>
        </w:rPr>
        <w:t>)</w:t>
      </w:r>
      <w:r w:rsidRPr="00642AEE">
        <w:rPr>
          <w:sz w:val="18"/>
          <w:szCs w:val="18"/>
          <w:lang w:val="fr-CA"/>
        </w:rPr>
        <w:tab/>
        <w:t>© Cour suprême du Canada (201</w:t>
      </w:r>
      <w:r w:rsidR="00F761A3" w:rsidRPr="00642AEE">
        <w:rPr>
          <w:sz w:val="18"/>
          <w:szCs w:val="18"/>
          <w:lang w:val="fr-CA"/>
        </w:rPr>
        <w:t>3</w:t>
      </w:r>
      <w:r w:rsidRPr="00642AEE">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8237B9">
            <w:pPr>
              <w:tabs>
                <w:tab w:val="right" w:pos="9360"/>
              </w:tabs>
              <w:rPr>
                <w:rFonts w:cs="Times New Roman"/>
                <w:sz w:val="20"/>
                <w:szCs w:val="20"/>
              </w:rPr>
            </w:pPr>
          </w:p>
        </w:tc>
        <w:tc>
          <w:tcPr>
            <w:tcW w:w="1980" w:type="dxa"/>
          </w:tcPr>
          <w:p w:rsidR="0095096B" w:rsidRPr="002E2327" w:rsidRDefault="00387F1D" w:rsidP="0095096B">
            <w:pPr>
              <w:jc w:val="center"/>
              <w:rPr>
                <w:rFonts w:cs="Times New Roman"/>
                <w:sz w:val="20"/>
                <w:szCs w:val="20"/>
              </w:rPr>
            </w:pPr>
            <w:r>
              <w:rPr>
                <w:rFonts w:cs="Times New Roman"/>
                <w:sz w:val="20"/>
                <w:szCs w:val="20"/>
              </w:rPr>
              <w:t xml:space="preserve">1708 </w:t>
            </w:r>
            <w:r w:rsidR="00CC2008" w:rsidRPr="002E2327">
              <w:rPr>
                <w:rFonts w:cs="Times New Roman"/>
                <w:sz w:val="20"/>
                <w:szCs w:val="20"/>
              </w:rPr>
              <w:fldChar w:fldCharType="begin"/>
            </w:r>
            <w:r w:rsidR="0095096B" w:rsidRPr="002E2327">
              <w:rPr>
                <w:rFonts w:cs="Times New Roman"/>
                <w:sz w:val="20"/>
                <w:szCs w:val="20"/>
              </w:rPr>
              <w:instrText xml:space="preserve"> SEQ CHAPTER \h \r 1</w:instrText>
            </w:r>
            <w:r w:rsidR="00CC2008" w:rsidRPr="002E2327">
              <w:rPr>
                <w:rFonts w:cs="Times New Roman"/>
                <w:sz w:val="20"/>
                <w:szCs w:val="20"/>
              </w:rPr>
              <w:fldChar w:fldCharType="end"/>
            </w:r>
            <w:r w:rsidR="0095096B" w:rsidRPr="002E2327">
              <w:rPr>
                <w:rFonts w:cs="Times New Roman"/>
                <w:sz w:val="20"/>
                <w:szCs w:val="20"/>
              </w:rPr>
              <w:t>-</w:t>
            </w:r>
            <w:r w:rsidR="005A33F8">
              <w:rPr>
                <w:rFonts w:cs="Times New Roman"/>
                <w:sz w:val="20"/>
                <w:szCs w:val="20"/>
              </w:rPr>
              <w:t xml:space="preserve"> 1709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A33F8" w:rsidP="0095096B">
            <w:pPr>
              <w:jc w:val="center"/>
              <w:rPr>
                <w:rFonts w:cs="Times New Roman"/>
                <w:sz w:val="20"/>
                <w:szCs w:val="20"/>
              </w:rPr>
            </w:pPr>
            <w:r>
              <w:rPr>
                <w:rFonts w:cs="Times New Roman"/>
                <w:sz w:val="20"/>
                <w:szCs w:val="20"/>
              </w:rPr>
              <w:t>1710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35B09" w:rsidP="0095096B">
            <w:pPr>
              <w:jc w:val="center"/>
              <w:rPr>
                <w:rFonts w:cs="Times New Roman"/>
                <w:sz w:val="20"/>
                <w:szCs w:val="20"/>
              </w:rPr>
            </w:pPr>
            <w:r>
              <w:rPr>
                <w:rFonts w:cs="Times New Roman"/>
                <w:sz w:val="20"/>
                <w:szCs w:val="20"/>
              </w:rPr>
              <w:t xml:space="preserve">1711 </w:t>
            </w:r>
            <w:r w:rsidR="0095096B" w:rsidRPr="002E2327">
              <w:rPr>
                <w:rFonts w:cs="Times New Roman"/>
                <w:sz w:val="20"/>
                <w:szCs w:val="20"/>
              </w:rPr>
              <w:t>-</w:t>
            </w:r>
            <w:r>
              <w:rPr>
                <w:rFonts w:cs="Times New Roman"/>
                <w:sz w:val="20"/>
                <w:szCs w:val="20"/>
              </w:rPr>
              <w:t xml:space="preserve"> 1725</w:t>
            </w:r>
          </w:p>
          <w:p w:rsidR="0095096B" w:rsidRPr="002E2327" w:rsidRDefault="0095096B" w:rsidP="0095096B">
            <w:pPr>
              <w:jc w:val="center"/>
              <w:rPr>
                <w:rFonts w:cs="Times New Roman"/>
                <w:sz w:val="20"/>
                <w:szCs w:val="20"/>
              </w:rPr>
            </w:pPr>
          </w:p>
          <w:p w:rsidR="00735B09" w:rsidRDefault="00735B09" w:rsidP="0095096B">
            <w:pPr>
              <w:jc w:val="center"/>
              <w:rPr>
                <w:rFonts w:cs="Times New Roman"/>
                <w:sz w:val="20"/>
                <w:szCs w:val="20"/>
              </w:rPr>
            </w:pPr>
          </w:p>
          <w:p w:rsidR="0095096B" w:rsidRPr="002E2327" w:rsidRDefault="00735B09" w:rsidP="0095096B">
            <w:pPr>
              <w:jc w:val="center"/>
              <w:rPr>
                <w:rFonts w:cs="Times New Roman"/>
                <w:sz w:val="20"/>
                <w:szCs w:val="20"/>
              </w:rPr>
            </w:pPr>
            <w:r>
              <w:rPr>
                <w:rFonts w:cs="Times New Roman"/>
                <w:sz w:val="20"/>
                <w:szCs w:val="20"/>
              </w:rPr>
              <w:t xml:space="preserve">1726 </w:t>
            </w:r>
            <w:r w:rsidR="0095096B" w:rsidRPr="002E2327">
              <w:rPr>
                <w:rFonts w:cs="Times New Roman"/>
                <w:sz w:val="20"/>
                <w:szCs w:val="20"/>
              </w:rPr>
              <w:t>-</w:t>
            </w:r>
            <w:r>
              <w:rPr>
                <w:rFonts w:cs="Times New Roman"/>
                <w:sz w:val="20"/>
                <w:szCs w:val="20"/>
              </w:rPr>
              <w:t xml:space="preserve"> 1727</w:t>
            </w:r>
          </w:p>
          <w:p w:rsidR="0095096B" w:rsidRPr="002E2327" w:rsidRDefault="0095096B" w:rsidP="0095096B">
            <w:pPr>
              <w:jc w:val="center"/>
              <w:rPr>
                <w:rFonts w:cs="Times New Roman"/>
                <w:sz w:val="20"/>
                <w:szCs w:val="20"/>
              </w:rPr>
            </w:pPr>
          </w:p>
          <w:p w:rsidR="0095096B" w:rsidRPr="002E2327" w:rsidRDefault="00735B09" w:rsidP="0095096B">
            <w:pPr>
              <w:jc w:val="center"/>
              <w:rPr>
                <w:rFonts w:cs="Times New Roman"/>
                <w:sz w:val="20"/>
                <w:szCs w:val="20"/>
              </w:rPr>
            </w:pPr>
            <w:r>
              <w:rPr>
                <w:rFonts w:cs="Times New Roman"/>
                <w:sz w:val="20"/>
                <w:szCs w:val="20"/>
              </w:rPr>
              <w:t>1728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35B09" w:rsidP="0095096B">
            <w:pPr>
              <w:jc w:val="center"/>
              <w:rPr>
                <w:rFonts w:cs="Times New Roman"/>
                <w:sz w:val="20"/>
                <w:szCs w:val="20"/>
              </w:rPr>
            </w:pPr>
            <w:r>
              <w:rPr>
                <w:rFonts w:cs="Times New Roman"/>
                <w:sz w:val="20"/>
                <w:szCs w:val="20"/>
              </w:rPr>
              <w:t xml:space="preserve">1729 </w:t>
            </w:r>
            <w:r w:rsidR="0095096B" w:rsidRPr="002E2327">
              <w:rPr>
                <w:rFonts w:cs="Times New Roman"/>
                <w:sz w:val="20"/>
                <w:szCs w:val="20"/>
              </w:rPr>
              <w:t>-</w:t>
            </w:r>
            <w:r>
              <w:rPr>
                <w:rFonts w:cs="Times New Roman"/>
                <w:sz w:val="20"/>
                <w:szCs w:val="20"/>
              </w:rPr>
              <w:t xml:space="preserve"> 1730</w:t>
            </w:r>
          </w:p>
          <w:p w:rsidR="0095096B" w:rsidRDefault="0095096B" w:rsidP="0095096B">
            <w:pPr>
              <w:jc w:val="center"/>
              <w:rPr>
                <w:rFonts w:cs="Times New Roman"/>
                <w:sz w:val="20"/>
                <w:szCs w:val="20"/>
              </w:rPr>
            </w:pPr>
          </w:p>
          <w:p w:rsidR="00735B09" w:rsidRPr="002E2327" w:rsidRDefault="00735B09" w:rsidP="0095096B">
            <w:pPr>
              <w:jc w:val="center"/>
              <w:rPr>
                <w:rFonts w:cs="Times New Roman"/>
                <w:sz w:val="20"/>
                <w:szCs w:val="20"/>
              </w:rPr>
            </w:pPr>
          </w:p>
          <w:p w:rsidR="0095096B" w:rsidRPr="002E2327" w:rsidRDefault="00735B09" w:rsidP="0095096B">
            <w:pPr>
              <w:jc w:val="center"/>
              <w:rPr>
                <w:rFonts w:cs="Times New Roman"/>
                <w:sz w:val="20"/>
                <w:szCs w:val="20"/>
              </w:rPr>
            </w:pPr>
            <w:r>
              <w:rPr>
                <w:rFonts w:cs="Times New Roman"/>
                <w:sz w:val="20"/>
                <w:szCs w:val="20"/>
              </w:rPr>
              <w:t>1731</w:t>
            </w:r>
          </w:p>
          <w:p w:rsidR="0095096B" w:rsidRDefault="0095096B" w:rsidP="0095096B">
            <w:pPr>
              <w:jc w:val="center"/>
              <w:rPr>
                <w:rFonts w:cs="Times New Roman"/>
                <w:sz w:val="20"/>
                <w:szCs w:val="20"/>
              </w:rPr>
            </w:pPr>
          </w:p>
          <w:p w:rsidR="00735B09" w:rsidRPr="002E2327" w:rsidRDefault="00735B09" w:rsidP="0095096B">
            <w:pPr>
              <w:jc w:val="center"/>
              <w:rPr>
                <w:rFonts w:cs="Times New Roman"/>
                <w:sz w:val="20"/>
                <w:szCs w:val="20"/>
              </w:rPr>
            </w:pPr>
          </w:p>
          <w:p w:rsidR="0095096B" w:rsidRPr="002E2327" w:rsidRDefault="00AB7CCA" w:rsidP="0095096B">
            <w:pPr>
              <w:jc w:val="center"/>
              <w:rPr>
                <w:rFonts w:cs="Times New Roman"/>
                <w:sz w:val="20"/>
                <w:szCs w:val="20"/>
              </w:rPr>
            </w:pPr>
            <w:r>
              <w:rPr>
                <w:rFonts w:cs="Times New Roman"/>
                <w:sz w:val="20"/>
                <w:szCs w:val="20"/>
              </w:rPr>
              <w:t xml:space="preserve">1732 </w:t>
            </w:r>
            <w:r w:rsidR="0095096B" w:rsidRPr="002E2327">
              <w:rPr>
                <w:rFonts w:cs="Times New Roman"/>
                <w:sz w:val="20"/>
                <w:szCs w:val="20"/>
              </w:rPr>
              <w:t>-</w:t>
            </w:r>
            <w:r>
              <w:rPr>
                <w:rFonts w:cs="Times New Roman"/>
                <w:sz w:val="20"/>
                <w:szCs w:val="20"/>
              </w:rPr>
              <w:t xml:space="preserve"> 1740</w:t>
            </w:r>
          </w:p>
          <w:p w:rsidR="0095096B" w:rsidRPr="002E2327" w:rsidRDefault="0095096B" w:rsidP="0095096B">
            <w:pPr>
              <w:jc w:val="center"/>
              <w:rPr>
                <w:rFonts w:cs="Times New Roman"/>
                <w:sz w:val="20"/>
                <w:szCs w:val="20"/>
              </w:rPr>
            </w:pPr>
          </w:p>
          <w:p w:rsidR="0095096B" w:rsidRPr="002E2327" w:rsidRDefault="00AB7CCA" w:rsidP="0095096B">
            <w:pPr>
              <w:jc w:val="center"/>
              <w:rPr>
                <w:rFonts w:cs="Times New Roman"/>
                <w:sz w:val="20"/>
                <w:szCs w:val="20"/>
              </w:rPr>
            </w:pPr>
            <w:r>
              <w:rPr>
                <w:rFonts w:cs="Times New Roman"/>
                <w:sz w:val="20"/>
                <w:szCs w:val="20"/>
              </w:rPr>
              <w:t>1741</w:t>
            </w:r>
          </w:p>
          <w:p w:rsidR="0095096B" w:rsidRPr="002E2327" w:rsidRDefault="0095096B" w:rsidP="0095096B">
            <w:pPr>
              <w:jc w:val="center"/>
              <w:rPr>
                <w:rFonts w:cs="Times New Roman"/>
                <w:sz w:val="20"/>
                <w:szCs w:val="20"/>
              </w:rPr>
            </w:pPr>
          </w:p>
          <w:p w:rsidR="0095096B" w:rsidRPr="002E2327" w:rsidRDefault="00AB7CCA" w:rsidP="0095096B">
            <w:pPr>
              <w:jc w:val="center"/>
              <w:rPr>
                <w:rFonts w:cs="Times New Roman"/>
                <w:sz w:val="20"/>
                <w:szCs w:val="20"/>
              </w:rPr>
            </w:pPr>
            <w:r>
              <w:rPr>
                <w:rFonts w:cs="Times New Roman"/>
                <w:sz w:val="20"/>
                <w:szCs w:val="20"/>
              </w:rPr>
              <w:t xml:space="preserve">1742 </w:t>
            </w:r>
            <w:r w:rsidR="0095096B" w:rsidRPr="002E2327">
              <w:rPr>
                <w:rFonts w:cs="Times New Roman"/>
                <w:sz w:val="20"/>
                <w:szCs w:val="20"/>
              </w:rPr>
              <w:t>-</w:t>
            </w:r>
            <w:r>
              <w:rPr>
                <w:rFonts w:cs="Times New Roman"/>
                <w:sz w:val="20"/>
                <w:szCs w:val="20"/>
              </w:rPr>
              <w:t xml:space="preserve"> 1757</w:t>
            </w:r>
          </w:p>
          <w:p w:rsidR="00A87207" w:rsidRPr="002E2327" w:rsidRDefault="00A87207" w:rsidP="0065196B">
            <w:pPr>
              <w:tabs>
                <w:tab w:val="right" w:pos="9360"/>
              </w:tabs>
              <w:jc w:val="center"/>
              <w:rPr>
                <w:rFonts w:cs="Times New Roman"/>
                <w:sz w:val="20"/>
                <w:szCs w:val="20"/>
              </w:rPr>
            </w:pPr>
          </w:p>
        </w:tc>
        <w:tc>
          <w:tcPr>
            <w:tcW w:w="3888" w:type="dxa"/>
          </w:tcPr>
          <w:p w:rsidR="0095096B" w:rsidRPr="002E2327" w:rsidRDefault="00CC200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8237B9">
            <w:pPr>
              <w:rPr>
                <w:rFonts w:cs="Times New Roman"/>
                <w:sz w:val="20"/>
                <w:szCs w:val="20"/>
                <w:lang w:val="fr-CA"/>
              </w:rPr>
            </w:pPr>
          </w:p>
        </w:tc>
      </w:tr>
    </w:tbl>
    <w:p w:rsidR="0095096B" w:rsidRDefault="0095096B" w:rsidP="0095096B">
      <w:pPr>
        <w:tabs>
          <w:tab w:val="right" w:pos="9360"/>
        </w:tabs>
      </w:pPr>
    </w:p>
    <w:p w:rsidR="0065196B" w:rsidRDefault="0065196B" w:rsidP="0095096B">
      <w:pPr>
        <w:tabs>
          <w:tab w:val="right" w:pos="9360"/>
        </w:tabs>
      </w:pPr>
    </w:p>
    <w:p w:rsidR="0065196B" w:rsidRDefault="0065196B" w:rsidP="0095096B">
      <w:pPr>
        <w:tabs>
          <w:tab w:val="right" w:pos="9360"/>
        </w:tabs>
      </w:pPr>
    </w:p>
    <w:p w:rsidR="0065196B" w:rsidRDefault="0065196B" w:rsidP="0095096B">
      <w:pPr>
        <w:tabs>
          <w:tab w:val="right" w:pos="9360"/>
        </w:tabs>
      </w:pPr>
    </w:p>
    <w:p w:rsidR="0065196B" w:rsidRPr="002E2327" w:rsidRDefault="0065196B" w:rsidP="0095096B">
      <w:pPr>
        <w:tabs>
          <w:tab w:val="right" w:pos="9360"/>
        </w:tabs>
      </w:pPr>
    </w:p>
    <w:tbl>
      <w:tblPr>
        <w:tblStyle w:val="TableGrid"/>
        <w:tblW w:w="0" w:type="auto"/>
        <w:tblLook w:val="04A0"/>
      </w:tblPr>
      <w:tblGrid>
        <w:gridCol w:w="9576"/>
      </w:tblGrid>
      <w:tr w:rsidR="0079724F" w:rsidRPr="008B61B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E20D31" w:rsidRDefault="005A2DFF" w:rsidP="003B3977">
            <w:pPr>
              <w:rPr>
                <w:b/>
                <w:sz w:val="20"/>
                <w:szCs w:val="20"/>
                <w:lang w:val="fr-CA"/>
              </w:rPr>
            </w:pPr>
            <w:r w:rsidRPr="00E20D31">
              <w:rPr>
                <w:b/>
                <w:sz w:val="20"/>
                <w:szCs w:val="20"/>
                <w:lang w:val="fr-CA"/>
              </w:rPr>
              <w:t>Martine Labossière</w:t>
            </w:r>
          </w:p>
          <w:p w:rsidR="00242AEE" w:rsidRPr="00E20D31" w:rsidRDefault="00242AEE" w:rsidP="003B3977">
            <w:pPr>
              <w:tabs>
                <w:tab w:val="left" w:pos="-1440"/>
                <w:tab w:val="left" w:pos="-720"/>
              </w:tabs>
              <w:rPr>
                <w:sz w:val="20"/>
                <w:szCs w:val="20"/>
                <w:lang w:val="fr-CA"/>
              </w:rPr>
            </w:pPr>
            <w:r w:rsidRPr="00E20D31">
              <w:rPr>
                <w:sz w:val="20"/>
                <w:szCs w:val="20"/>
                <w:lang w:val="fr-CA"/>
              </w:rPr>
              <w:tab/>
            </w:r>
            <w:r w:rsidR="005A2DFF" w:rsidRPr="00E20D31">
              <w:rPr>
                <w:sz w:val="20"/>
                <w:szCs w:val="20"/>
                <w:lang w:val="fr-CA"/>
              </w:rPr>
              <w:t>Martine Labossière</w:t>
            </w:r>
          </w:p>
          <w:p w:rsidR="00242AEE" w:rsidRPr="00E20D31" w:rsidRDefault="00242AEE" w:rsidP="003B3977">
            <w:pPr>
              <w:tabs>
                <w:tab w:val="left" w:pos="-1440"/>
                <w:tab w:val="left" w:pos="-720"/>
              </w:tabs>
              <w:rPr>
                <w:sz w:val="20"/>
                <w:szCs w:val="20"/>
                <w:lang w:val="fr-CA"/>
              </w:rPr>
            </w:pPr>
          </w:p>
          <w:p w:rsidR="00242AEE" w:rsidRPr="00E20D31" w:rsidRDefault="00242AEE" w:rsidP="003B3977">
            <w:pPr>
              <w:tabs>
                <w:tab w:val="left" w:pos="-1440"/>
                <w:tab w:val="left" w:pos="-720"/>
              </w:tabs>
              <w:rPr>
                <w:sz w:val="20"/>
                <w:szCs w:val="20"/>
                <w:lang w:val="fr-CA"/>
              </w:rPr>
            </w:pPr>
            <w:r w:rsidRPr="00E20D31">
              <w:rPr>
                <w:sz w:val="20"/>
                <w:szCs w:val="20"/>
                <w:lang w:val="fr-CA"/>
              </w:rPr>
              <w:tab/>
            </w:r>
            <w:r w:rsidR="005A2DFF" w:rsidRPr="00E20D31">
              <w:rPr>
                <w:sz w:val="20"/>
                <w:szCs w:val="20"/>
                <w:lang w:val="fr-CA"/>
              </w:rPr>
              <w:t>c</w:t>
            </w:r>
            <w:r w:rsidRPr="00E20D31">
              <w:rPr>
                <w:sz w:val="20"/>
                <w:szCs w:val="20"/>
                <w:lang w:val="fr-CA"/>
              </w:rPr>
              <w:t>. (3</w:t>
            </w:r>
            <w:r w:rsidR="00182BD0" w:rsidRPr="00E20D31">
              <w:rPr>
                <w:sz w:val="20"/>
                <w:szCs w:val="20"/>
                <w:lang w:val="fr-CA"/>
              </w:rPr>
              <w:t>55</w:t>
            </w:r>
            <w:r w:rsidR="005A2DFF" w:rsidRPr="00E20D31">
              <w:rPr>
                <w:sz w:val="20"/>
                <w:szCs w:val="20"/>
                <w:lang w:val="fr-CA"/>
              </w:rPr>
              <w:t>25</w:t>
            </w:r>
            <w:r w:rsidRPr="00E20D31">
              <w:rPr>
                <w:sz w:val="20"/>
                <w:szCs w:val="20"/>
                <w:lang w:val="fr-CA"/>
              </w:rPr>
              <w:t>)</w:t>
            </w:r>
          </w:p>
          <w:p w:rsidR="00242AEE" w:rsidRPr="00E20D31" w:rsidRDefault="00242AEE" w:rsidP="003B3977">
            <w:pPr>
              <w:tabs>
                <w:tab w:val="left" w:pos="-1440"/>
                <w:tab w:val="left" w:pos="-720"/>
              </w:tabs>
              <w:rPr>
                <w:sz w:val="20"/>
                <w:szCs w:val="20"/>
                <w:lang w:val="fr-CA"/>
              </w:rPr>
            </w:pPr>
          </w:p>
          <w:p w:rsidR="00242AEE" w:rsidRPr="005A2DFF" w:rsidRDefault="005A2DFF" w:rsidP="003B3977">
            <w:pPr>
              <w:tabs>
                <w:tab w:val="left" w:pos="-1440"/>
                <w:tab w:val="left" w:pos="-720"/>
              </w:tabs>
              <w:rPr>
                <w:b/>
                <w:sz w:val="20"/>
                <w:szCs w:val="20"/>
                <w:lang w:val="fr-CA"/>
              </w:rPr>
            </w:pPr>
            <w:r w:rsidRPr="005A2DFF">
              <w:rPr>
                <w:b/>
                <w:sz w:val="20"/>
                <w:szCs w:val="20"/>
                <w:lang w:val="fr-CA"/>
              </w:rPr>
              <w:t xml:space="preserve">Université de Montréal </w:t>
            </w:r>
            <w:r w:rsidR="00242AEE" w:rsidRPr="005A2DFF">
              <w:rPr>
                <w:b/>
                <w:sz w:val="20"/>
                <w:szCs w:val="20"/>
                <w:lang w:val="fr-CA"/>
              </w:rPr>
              <w:t>(</w:t>
            </w:r>
            <w:r w:rsidRPr="005A2DFF">
              <w:rPr>
                <w:b/>
                <w:sz w:val="20"/>
                <w:szCs w:val="20"/>
                <w:lang w:val="fr-CA"/>
              </w:rPr>
              <w:t>Qc</w:t>
            </w:r>
            <w:r w:rsidR="00242AEE" w:rsidRPr="005A2DFF">
              <w:rPr>
                <w:b/>
                <w:sz w:val="20"/>
                <w:szCs w:val="20"/>
                <w:lang w:val="fr-CA"/>
              </w:rPr>
              <w:t>)</w:t>
            </w:r>
          </w:p>
          <w:p w:rsidR="00242AEE" w:rsidRPr="005A2DFF" w:rsidRDefault="00242AEE" w:rsidP="003B3977">
            <w:pPr>
              <w:tabs>
                <w:tab w:val="left" w:pos="-1440"/>
                <w:tab w:val="left" w:pos="-720"/>
              </w:tabs>
              <w:rPr>
                <w:sz w:val="20"/>
                <w:szCs w:val="20"/>
                <w:lang w:val="fr-CA"/>
              </w:rPr>
            </w:pPr>
            <w:r w:rsidRPr="005A2DFF">
              <w:rPr>
                <w:sz w:val="20"/>
                <w:szCs w:val="20"/>
                <w:lang w:val="fr-CA"/>
              </w:rPr>
              <w:tab/>
            </w:r>
            <w:r w:rsidR="005A2DFF">
              <w:rPr>
                <w:sz w:val="20"/>
                <w:szCs w:val="20"/>
                <w:lang w:val="fr-CA"/>
              </w:rPr>
              <w:t>Antoine Aylwin</w:t>
            </w:r>
          </w:p>
          <w:p w:rsidR="00242AEE" w:rsidRPr="005A2DFF" w:rsidRDefault="00242AEE" w:rsidP="003B3977">
            <w:pPr>
              <w:tabs>
                <w:tab w:val="left" w:pos="-1440"/>
                <w:tab w:val="left" w:pos="-720"/>
              </w:tabs>
              <w:rPr>
                <w:sz w:val="20"/>
                <w:szCs w:val="20"/>
                <w:lang w:val="fr-CA"/>
              </w:rPr>
            </w:pPr>
            <w:r w:rsidRPr="005A2DFF">
              <w:rPr>
                <w:sz w:val="20"/>
                <w:szCs w:val="20"/>
                <w:lang w:val="fr-CA"/>
              </w:rPr>
              <w:tab/>
            </w:r>
            <w:r w:rsidR="005A2DFF">
              <w:rPr>
                <w:sz w:val="20"/>
                <w:szCs w:val="20"/>
                <w:lang w:val="fr-CA"/>
              </w:rPr>
              <w:t>Fasken Martineau DuMoulin LLP</w:t>
            </w:r>
          </w:p>
          <w:p w:rsidR="00242AEE" w:rsidRPr="005A2DFF" w:rsidRDefault="00242AEE" w:rsidP="003B3977">
            <w:pPr>
              <w:tabs>
                <w:tab w:val="left" w:pos="-1440"/>
                <w:tab w:val="left" w:pos="-720"/>
              </w:tabs>
              <w:rPr>
                <w:sz w:val="20"/>
                <w:szCs w:val="20"/>
                <w:lang w:val="fr-CA"/>
              </w:rPr>
            </w:pPr>
          </w:p>
          <w:p w:rsidR="00242AEE" w:rsidRPr="005A2DFF" w:rsidRDefault="00242AEE" w:rsidP="003B3977">
            <w:pPr>
              <w:rPr>
                <w:sz w:val="20"/>
                <w:szCs w:val="20"/>
                <w:lang w:val="fr-CA"/>
              </w:rPr>
            </w:pPr>
            <w:r w:rsidRPr="005A2DFF">
              <w:rPr>
                <w:sz w:val="20"/>
                <w:szCs w:val="20"/>
                <w:lang w:val="fr-CA"/>
              </w:rPr>
              <w:t>DATE</w:t>
            </w:r>
            <w:r w:rsidR="005A2DFF" w:rsidRPr="005A2DFF">
              <w:rPr>
                <w:sz w:val="20"/>
                <w:szCs w:val="20"/>
                <w:lang w:val="fr-CA"/>
              </w:rPr>
              <w:t xml:space="preserve"> DE PRODUCTION </w:t>
            </w:r>
            <w:r w:rsidRPr="005A2DFF">
              <w:rPr>
                <w:sz w:val="20"/>
                <w:szCs w:val="20"/>
                <w:lang w:val="fr-CA"/>
              </w:rPr>
              <w:t>: 2</w:t>
            </w:r>
            <w:r w:rsidR="005A2DFF" w:rsidRPr="005A2DFF">
              <w:rPr>
                <w:sz w:val="20"/>
                <w:szCs w:val="20"/>
                <w:lang w:val="fr-CA"/>
              </w:rPr>
              <w:t>9</w:t>
            </w:r>
            <w:r w:rsidRPr="005A2DFF">
              <w:rPr>
                <w:sz w:val="20"/>
                <w:szCs w:val="20"/>
                <w:lang w:val="fr-CA"/>
              </w:rPr>
              <w:t>.0</w:t>
            </w:r>
            <w:r w:rsidR="005A2DFF" w:rsidRPr="005A2DFF">
              <w:rPr>
                <w:sz w:val="20"/>
                <w:szCs w:val="20"/>
                <w:lang w:val="fr-CA"/>
              </w:rPr>
              <w:t>8</w:t>
            </w:r>
            <w:r w:rsidRPr="005A2DFF">
              <w:rPr>
                <w:sz w:val="20"/>
                <w:szCs w:val="20"/>
                <w:lang w:val="fr-CA"/>
              </w:rPr>
              <w:t>.201</w:t>
            </w:r>
            <w:r w:rsidR="00182BD0" w:rsidRPr="005A2DFF">
              <w:rPr>
                <w:sz w:val="20"/>
                <w:szCs w:val="20"/>
                <w:lang w:val="fr-CA"/>
              </w:rPr>
              <w:t>3</w:t>
            </w:r>
          </w:p>
          <w:p w:rsidR="00242AEE" w:rsidRPr="00A935AA" w:rsidRDefault="00CC2008" w:rsidP="003B3977">
            <w:pPr>
              <w:rPr>
                <w:sz w:val="20"/>
                <w:szCs w:val="20"/>
              </w:rPr>
            </w:pPr>
            <w:r w:rsidRPr="00CC200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5A2DFF" w:rsidP="003B3977">
            <w:pPr>
              <w:keepNext/>
              <w:keepLines/>
              <w:tabs>
                <w:tab w:val="left" w:pos="-1440"/>
                <w:tab w:val="left" w:pos="-720"/>
              </w:tabs>
              <w:rPr>
                <w:b/>
                <w:sz w:val="20"/>
                <w:szCs w:val="20"/>
              </w:rPr>
            </w:pPr>
            <w:r>
              <w:rPr>
                <w:b/>
                <w:sz w:val="20"/>
                <w:szCs w:val="20"/>
              </w:rPr>
              <w:t>Faris Hazim Abdul-Raheem Saiyegh</w:t>
            </w:r>
          </w:p>
          <w:p w:rsidR="00242AEE" w:rsidRPr="005A2DFF" w:rsidRDefault="00242AEE" w:rsidP="003B3977">
            <w:pPr>
              <w:keepNext/>
              <w:keepLines/>
              <w:tabs>
                <w:tab w:val="left" w:pos="-1440"/>
                <w:tab w:val="left" w:pos="-720"/>
              </w:tabs>
              <w:rPr>
                <w:sz w:val="20"/>
                <w:szCs w:val="20"/>
              </w:rPr>
            </w:pPr>
            <w:r w:rsidRPr="00A935AA">
              <w:rPr>
                <w:sz w:val="20"/>
                <w:szCs w:val="20"/>
              </w:rPr>
              <w:tab/>
            </w:r>
            <w:r w:rsidR="005A2DFF" w:rsidRPr="005A2DFF">
              <w:rPr>
                <w:sz w:val="20"/>
                <w:szCs w:val="20"/>
              </w:rPr>
              <w:t>Faris Hazim Abdul-Raheem Saiyegh</w:t>
            </w:r>
          </w:p>
          <w:p w:rsidR="00242AEE" w:rsidRPr="00A935AA" w:rsidRDefault="00242AEE" w:rsidP="003B3977">
            <w:pPr>
              <w:keepNext/>
              <w:keepLines/>
              <w:tabs>
                <w:tab w:val="left" w:pos="-1440"/>
                <w:tab w:val="left" w:pos="-720"/>
              </w:tabs>
              <w:rPr>
                <w:sz w:val="20"/>
                <w:szCs w:val="20"/>
              </w:rPr>
            </w:pPr>
          </w:p>
          <w:p w:rsidR="00242AEE" w:rsidRPr="005A2DFF" w:rsidRDefault="00242AEE" w:rsidP="003B3977">
            <w:pPr>
              <w:keepNext/>
              <w:keepLines/>
              <w:tabs>
                <w:tab w:val="left" w:pos="-1440"/>
                <w:tab w:val="left" w:pos="-720"/>
              </w:tabs>
              <w:rPr>
                <w:sz w:val="20"/>
                <w:szCs w:val="20"/>
                <w:lang w:val="fr-CA"/>
              </w:rPr>
            </w:pPr>
            <w:r w:rsidRPr="00A935AA">
              <w:rPr>
                <w:sz w:val="20"/>
                <w:szCs w:val="20"/>
              </w:rPr>
              <w:tab/>
            </w:r>
            <w:r w:rsidRPr="005A2DFF">
              <w:rPr>
                <w:sz w:val="20"/>
                <w:szCs w:val="20"/>
                <w:lang w:val="fr-CA"/>
              </w:rPr>
              <w:t>v. (3</w:t>
            </w:r>
            <w:r w:rsidR="00182BD0" w:rsidRPr="005A2DFF">
              <w:rPr>
                <w:sz w:val="20"/>
                <w:szCs w:val="20"/>
                <w:lang w:val="fr-CA"/>
              </w:rPr>
              <w:t>55</w:t>
            </w:r>
            <w:r w:rsidR="005A2DFF" w:rsidRPr="005A2DFF">
              <w:rPr>
                <w:sz w:val="20"/>
                <w:szCs w:val="20"/>
                <w:lang w:val="fr-CA"/>
              </w:rPr>
              <w:t>74</w:t>
            </w:r>
            <w:r w:rsidRPr="005A2DFF">
              <w:rPr>
                <w:sz w:val="20"/>
                <w:szCs w:val="20"/>
                <w:lang w:val="fr-CA"/>
              </w:rPr>
              <w:t>)</w:t>
            </w:r>
          </w:p>
          <w:p w:rsidR="00242AEE" w:rsidRPr="005A2DFF" w:rsidRDefault="00242AEE" w:rsidP="003B3977">
            <w:pPr>
              <w:keepNext/>
              <w:keepLines/>
              <w:tabs>
                <w:tab w:val="left" w:pos="-1440"/>
                <w:tab w:val="left" w:pos="-720"/>
              </w:tabs>
              <w:rPr>
                <w:sz w:val="20"/>
                <w:szCs w:val="20"/>
                <w:lang w:val="fr-CA"/>
              </w:rPr>
            </w:pPr>
          </w:p>
          <w:p w:rsidR="00242AEE" w:rsidRPr="005A2DFF" w:rsidRDefault="005A2DFF" w:rsidP="003B3977">
            <w:pPr>
              <w:keepNext/>
              <w:keepLines/>
              <w:tabs>
                <w:tab w:val="left" w:pos="-1440"/>
                <w:tab w:val="left" w:pos="-720"/>
              </w:tabs>
              <w:rPr>
                <w:b/>
                <w:sz w:val="20"/>
                <w:szCs w:val="20"/>
              </w:rPr>
            </w:pPr>
            <w:r w:rsidRPr="005A2DFF">
              <w:rPr>
                <w:b/>
                <w:sz w:val="20"/>
                <w:szCs w:val="20"/>
                <w:lang w:val="fr-CA"/>
              </w:rPr>
              <w:t xml:space="preserve">Ottawa Police Services Board et al. </w:t>
            </w:r>
            <w:r w:rsidR="00242AEE" w:rsidRPr="005A2DFF">
              <w:rPr>
                <w:b/>
                <w:sz w:val="20"/>
                <w:szCs w:val="20"/>
              </w:rPr>
              <w:t>(Ont.)</w:t>
            </w:r>
          </w:p>
          <w:p w:rsidR="00242AEE" w:rsidRPr="005A2DFF" w:rsidRDefault="00242AEE" w:rsidP="003B3977">
            <w:pPr>
              <w:keepNext/>
              <w:keepLines/>
              <w:tabs>
                <w:tab w:val="left" w:pos="-1440"/>
                <w:tab w:val="left" w:pos="-720"/>
              </w:tabs>
              <w:rPr>
                <w:sz w:val="20"/>
                <w:szCs w:val="20"/>
              </w:rPr>
            </w:pPr>
            <w:r w:rsidRPr="005A2DFF">
              <w:rPr>
                <w:sz w:val="20"/>
                <w:szCs w:val="20"/>
              </w:rPr>
              <w:tab/>
            </w:r>
            <w:r w:rsidR="005A2DFF">
              <w:rPr>
                <w:sz w:val="20"/>
                <w:szCs w:val="20"/>
              </w:rPr>
              <w:t>Beth Turner</w:t>
            </w:r>
          </w:p>
          <w:p w:rsidR="00242AEE" w:rsidRPr="005A2DFF" w:rsidRDefault="00242AEE" w:rsidP="003B3977">
            <w:pPr>
              <w:keepNext/>
              <w:keepLines/>
              <w:tabs>
                <w:tab w:val="left" w:pos="-1440"/>
                <w:tab w:val="left" w:pos="-720"/>
              </w:tabs>
              <w:rPr>
                <w:sz w:val="20"/>
                <w:szCs w:val="20"/>
              </w:rPr>
            </w:pPr>
            <w:r w:rsidRPr="005A2DFF">
              <w:rPr>
                <w:sz w:val="20"/>
                <w:szCs w:val="20"/>
              </w:rPr>
              <w:tab/>
            </w:r>
            <w:r w:rsidR="005A2DFF">
              <w:rPr>
                <w:sz w:val="20"/>
                <w:szCs w:val="20"/>
              </w:rPr>
              <w:t>City of Ottawa</w:t>
            </w:r>
          </w:p>
          <w:p w:rsidR="00242AEE" w:rsidRPr="005A2DFF" w:rsidRDefault="00242AEE" w:rsidP="003B3977">
            <w:pPr>
              <w:keepNext/>
              <w:keepLines/>
              <w:tabs>
                <w:tab w:val="left" w:pos="-1440"/>
                <w:tab w:val="left" w:pos="-720"/>
              </w:tabs>
              <w:rPr>
                <w:sz w:val="20"/>
                <w:szCs w:val="20"/>
              </w:rPr>
            </w:pPr>
          </w:p>
          <w:p w:rsidR="00242AEE" w:rsidRPr="00A935AA" w:rsidRDefault="00242AEE" w:rsidP="005A2DFF">
            <w:pPr>
              <w:rPr>
                <w:sz w:val="20"/>
                <w:szCs w:val="20"/>
              </w:rPr>
            </w:pPr>
            <w:r w:rsidRPr="00A935AA">
              <w:rPr>
                <w:sz w:val="20"/>
                <w:szCs w:val="20"/>
              </w:rPr>
              <w:t xml:space="preserve">FILING DATE: </w:t>
            </w:r>
            <w:r w:rsidR="005A2DFF">
              <w:rPr>
                <w:sz w:val="20"/>
                <w:szCs w:val="20"/>
              </w:rPr>
              <w:t>06</w:t>
            </w:r>
            <w:r w:rsidRPr="00A935AA">
              <w:rPr>
                <w:sz w:val="20"/>
                <w:szCs w:val="20"/>
              </w:rPr>
              <w:t>.09.201</w:t>
            </w:r>
            <w:r w:rsidR="00182BD0">
              <w:rPr>
                <w:sz w:val="20"/>
                <w:szCs w:val="20"/>
              </w:rPr>
              <w:t>3</w:t>
            </w:r>
            <w:r w:rsidR="00CC2008" w:rsidRPr="00CC2008">
              <w:rPr>
                <w:sz w:val="20"/>
                <w:szCs w:val="20"/>
                <w:lang w:val="fr-CA"/>
              </w:rPr>
              <w:pict>
                <v:rect id="_x0000_i1026" style="width:108pt;height:1pt" o:hrpct="0" o:hralign="center" o:hrstd="t" o:hrnoshade="t" o:hr="t" fillcolor="black [3213]" stroked="f"/>
              </w:pict>
            </w:r>
          </w:p>
        </w:tc>
      </w:tr>
      <w:tr w:rsidR="00182BD0" w:rsidRPr="005A2DFF" w:rsidTr="003B3977">
        <w:tc>
          <w:tcPr>
            <w:tcW w:w="4320" w:type="dxa"/>
            <w:shd w:val="clear" w:color="auto" w:fill="auto"/>
          </w:tcPr>
          <w:p w:rsidR="00182BD0" w:rsidRPr="005A2DFF" w:rsidRDefault="005A2DFF" w:rsidP="00D56166">
            <w:pPr>
              <w:rPr>
                <w:b/>
                <w:sz w:val="20"/>
                <w:szCs w:val="20"/>
                <w:lang w:val="fr-CA"/>
              </w:rPr>
            </w:pPr>
            <w:r>
              <w:rPr>
                <w:b/>
                <w:sz w:val="20"/>
                <w:szCs w:val="20"/>
                <w:lang w:val="fr-CA"/>
              </w:rPr>
              <w:t>Lafarge Canada inc. et autre</w:t>
            </w:r>
          </w:p>
          <w:p w:rsidR="00182BD0" w:rsidRPr="005A2DFF" w:rsidRDefault="00182BD0" w:rsidP="00D56166">
            <w:pPr>
              <w:tabs>
                <w:tab w:val="left" w:pos="-1440"/>
                <w:tab w:val="left" w:pos="-720"/>
              </w:tabs>
              <w:rPr>
                <w:sz w:val="20"/>
                <w:szCs w:val="20"/>
                <w:lang w:val="fr-CA"/>
              </w:rPr>
            </w:pPr>
            <w:r w:rsidRPr="005A2DFF">
              <w:rPr>
                <w:sz w:val="20"/>
                <w:szCs w:val="20"/>
                <w:lang w:val="fr-CA"/>
              </w:rPr>
              <w:tab/>
            </w:r>
            <w:r w:rsidR="005A2DFF">
              <w:rPr>
                <w:sz w:val="20"/>
                <w:szCs w:val="20"/>
                <w:lang w:val="fr-CA"/>
              </w:rPr>
              <w:t>Pierre Legault</w:t>
            </w:r>
          </w:p>
          <w:p w:rsidR="00182BD0" w:rsidRPr="00E20D31" w:rsidRDefault="00182BD0" w:rsidP="00D56166">
            <w:pPr>
              <w:tabs>
                <w:tab w:val="left" w:pos="-1440"/>
                <w:tab w:val="left" w:pos="-720"/>
              </w:tabs>
              <w:rPr>
                <w:sz w:val="20"/>
                <w:szCs w:val="20"/>
              </w:rPr>
            </w:pPr>
            <w:r w:rsidRPr="005A2DFF">
              <w:rPr>
                <w:sz w:val="20"/>
                <w:szCs w:val="20"/>
                <w:lang w:val="fr-CA"/>
              </w:rPr>
              <w:tab/>
            </w:r>
            <w:r w:rsidR="005A2DFF" w:rsidRPr="00E20D31">
              <w:rPr>
                <w:sz w:val="20"/>
                <w:szCs w:val="20"/>
              </w:rPr>
              <w:t>Gowling Lafleur Henderson LLP</w:t>
            </w:r>
          </w:p>
          <w:p w:rsidR="00182BD0" w:rsidRPr="00E20D31" w:rsidRDefault="00182BD0" w:rsidP="00D56166">
            <w:pPr>
              <w:tabs>
                <w:tab w:val="left" w:pos="-1440"/>
                <w:tab w:val="left" w:pos="-720"/>
              </w:tabs>
              <w:rPr>
                <w:sz w:val="20"/>
                <w:szCs w:val="20"/>
              </w:rPr>
            </w:pPr>
          </w:p>
          <w:p w:rsidR="00182BD0" w:rsidRPr="00E20D31" w:rsidRDefault="00182BD0" w:rsidP="00D56166">
            <w:pPr>
              <w:tabs>
                <w:tab w:val="left" w:pos="-1440"/>
                <w:tab w:val="left" w:pos="-720"/>
              </w:tabs>
              <w:rPr>
                <w:sz w:val="20"/>
                <w:szCs w:val="20"/>
              </w:rPr>
            </w:pPr>
            <w:r w:rsidRPr="00E20D31">
              <w:rPr>
                <w:sz w:val="20"/>
                <w:szCs w:val="20"/>
              </w:rPr>
              <w:tab/>
            </w:r>
            <w:r w:rsidR="005A2DFF" w:rsidRPr="00E20D31">
              <w:rPr>
                <w:sz w:val="20"/>
                <w:szCs w:val="20"/>
              </w:rPr>
              <w:t>c</w:t>
            </w:r>
            <w:r w:rsidRPr="00E20D31">
              <w:rPr>
                <w:sz w:val="20"/>
                <w:szCs w:val="20"/>
              </w:rPr>
              <w:t>. (355</w:t>
            </w:r>
            <w:r w:rsidR="005A2DFF" w:rsidRPr="00E20D31">
              <w:rPr>
                <w:sz w:val="20"/>
                <w:szCs w:val="20"/>
              </w:rPr>
              <w:t>34</w:t>
            </w:r>
            <w:r w:rsidRPr="00E20D31">
              <w:rPr>
                <w:sz w:val="20"/>
                <w:szCs w:val="20"/>
              </w:rPr>
              <w:t>)</w:t>
            </w:r>
          </w:p>
          <w:p w:rsidR="00182BD0" w:rsidRPr="00E20D31" w:rsidRDefault="00182BD0" w:rsidP="00D56166">
            <w:pPr>
              <w:tabs>
                <w:tab w:val="left" w:pos="-1440"/>
                <w:tab w:val="left" w:pos="-720"/>
              </w:tabs>
              <w:rPr>
                <w:sz w:val="20"/>
                <w:szCs w:val="20"/>
              </w:rPr>
            </w:pPr>
          </w:p>
          <w:p w:rsidR="00182BD0" w:rsidRPr="005A2DFF" w:rsidRDefault="005A2DFF" w:rsidP="00D56166">
            <w:pPr>
              <w:tabs>
                <w:tab w:val="left" w:pos="-1440"/>
                <w:tab w:val="left" w:pos="-720"/>
              </w:tabs>
              <w:rPr>
                <w:b/>
                <w:sz w:val="20"/>
                <w:szCs w:val="20"/>
                <w:lang w:val="fr-CA"/>
              </w:rPr>
            </w:pPr>
            <w:r>
              <w:rPr>
                <w:b/>
                <w:sz w:val="20"/>
                <w:szCs w:val="20"/>
                <w:lang w:val="fr-CA"/>
              </w:rPr>
              <w:t xml:space="preserve">SNC Lavalin </w:t>
            </w:r>
            <w:r w:rsidR="001D2E5A">
              <w:rPr>
                <w:b/>
                <w:sz w:val="20"/>
                <w:szCs w:val="20"/>
                <w:lang w:val="fr-CA"/>
              </w:rPr>
              <w:t>e</w:t>
            </w:r>
            <w:r>
              <w:rPr>
                <w:b/>
                <w:sz w:val="20"/>
                <w:szCs w:val="20"/>
                <w:lang w:val="fr-CA"/>
              </w:rPr>
              <w:t xml:space="preserve">nvironnement inc. et autre </w:t>
            </w:r>
            <w:r w:rsidR="00182BD0" w:rsidRPr="005A2DFF">
              <w:rPr>
                <w:b/>
                <w:sz w:val="20"/>
                <w:szCs w:val="20"/>
                <w:lang w:val="fr-CA"/>
              </w:rPr>
              <w:t>(</w:t>
            </w:r>
            <w:r>
              <w:rPr>
                <w:b/>
                <w:sz w:val="20"/>
                <w:szCs w:val="20"/>
                <w:lang w:val="fr-CA"/>
              </w:rPr>
              <w:t>Qc</w:t>
            </w:r>
            <w:r w:rsidR="00182BD0" w:rsidRPr="005A2DFF">
              <w:rPr>
                <w:b/>
                <w:sz w:val="20"/>
                <w:szCs w:val="20"/>
                <w:lang w:val="fr-CA"/>
              </w:rPr>
              <w:t>)</w:t>
            </w:r>
          </w:p>
          <w:p w:rsidR="00182BD0" w:rsidRPr="005A2DFF" w:rsidRDefault="00182BD0" w:rsidP="00D56166">
            <w:pPr>
              <w:tabs>
                <w:tab w:val="left" w:pos="-1440"/>
                <w:tab w:val="left" w:pos="-720"/>
              </w:tabs>
              <w:rPr>
                <w:sz w:val="20"/>
                <w:szCs w:val="20"/>
                <w:lang w:val="fr-CA"/>
              </w:rPr>
            </w:pPr>
            <w:r w:rsidRPr="005A2DFF">
              <w:rPr>
                <w:sz w:val="20"/>
                <w:szCs w:val="20"/>
                <w:lang w:val="fr-CA"/>
              </w:rPr>
              <w:tab/>
            </w:r>
            <w:r w:rsidR="005A2DFF">
              <w:rPr>
                <w:sz w:val="20"/>
                <w:szCs w:val="20"/>
                <w:lang w:val="fr-CA"/>
              </w:rPr>
              <w:t>Mario Welsh</w:t>
            </w:r>
          </w:p>
          <w:p w:rsidR="00182BD0" w:rsidRPr="005A2DFF" w:rsidRDefault="00182BD0" w:rsidP="00D56166">
            <w:pPr>
              <w:tabs>
                <w:tab w:val="left" w:pos="-1440"/>
                <w:tab w:val="left" w:pos="-720"/>
              </w:tabs>
              <w:rPr>
                <w:sz w:val="20"/>
                <w:szCs w:val="20"/>
                <w:lang w:val="fr-CA"/>
              </w:rPr>
            </w:pPr>
            <w:r w:rsidRPr="005A2DFF">
              <w:rPr>
                <w:sz w:val="20"/>
                <w:szCs w:val="20"/>
                <w:lang w:val="fr-CA"/>
              </w:rPr>
              <w:tab/>
            </w:r>
            <w:r w:rsidR="005A2DFF">
              <w:rPr>
                <w:sz w:val="20"/>
                <w:szCs w:val="20"/>
                <w:lang w:val="fr-CA"/>
              </w:rPr>
              <w:t>Heenan Blaikie LLP</w:t>
            </w:r>
          </w:p>
          <w:p w:rsidR="00182BD0" w:rsidRPr="005A2DFF" w:rsidRDefault="00182BD0" w:rsidP="00D56166">
            <w:pPr>
              <w:tabs>
                <w:tab w:val="left" w:pos="-1440"/>
                <w:tab w:val="left" w:pos="-720"/>
              </w:tabs>
              <w:rPr>
                <w:sz w:val="20"/>
                <w:szCs w:val="20"/>
                <w:lang w:val="fr-CA"/>
              </w:rPr>
            </w:pPr>
          </w:p>
          <w:p w:rsidR="00182BD0" w:rsidRPr="005A2DFF" w:rsidRDefault="005A2DFF" w:rsidP="00D56166">
            <w:pPr>
              <w:rPr>
                <w:sz w:val="20"/>
                <w:szCs w:val="20"/>
                <w:lang w:val="fr-CA"/>
              </w:rPr>
            </w:pPr>
            <w:r w:rsidRPr="005A2DFF">
              <w:rPr>
                <w:sz w:val="20"/>
                <w:szCs w:val="20"/>
                <w:lang w:val="fr-CA"/>
              </w:rPr>
              <w:t>DATE DE PRODUCTION</w:t>
            </w:r>
            <w:r>
              <w:rPr>
                <w:sz w:val="20"/>
                <w:szCs w:val="20"/>
                <w:lang w:val="fr-CA"/>
              </w:rPr>
              <w:t xml:space="preserve"> </w:t>
            </w:r>
            <w:r w:rsidR="00182BD0" w:rsidRPr="005A2DFF">
              <w:rPr>
                <w:sz w:val="20"/>
                <w:szCs w:val="20"/>
                <w:lang w:val="fr-CA"/>
              </w:rPr>
              <w:t>: 2</w:t>
            </w:r>
            <w:r>
              <w:rPr>
                <w:sz w:val="20"/>
                <w:szCs w:val="20"/>
                <w:lang w:val="fr-CA"/>
              </w:rPr>
              <w:t>3</w:t>
            </w:r>
            <w:r w:rsidR="00182BD0" w:rsidRPr="005A2DFF">
              <w:rPr>
                <w:sz w:val="20"/>
                <w:szCs w:val="20"/>
                <w:lang w:val="fr-CA"/>
              </w:rPr>
              <w:t>.09.2013</w:t>
            </w:r>
          </w:p>
          <w:p w:rsidR="00182BD0" w:rsidRPr="005A2DFF" w:rsidRDefault="00CC2008" w:rsidP="00D56166">
            <w:pPr>
              <w:rPr>
                <w:sz w:val="20"/>
                <w:szCs w:val="20"/>
                <w:lang w:val="fr-CA"/>
              </w:rPr>
            </w:pPr>
            <w:r w:rsidRPr="00CC200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p w:rsidR="00182BD0" w:rsidRPr="005A2DFF" w:rsidRDefault="00182BD0" w:rsidP="00242AEE">
            <w:pPr>
              <w:jc w:val="center"/>
              <w:rPr>
                <w:sz w:val="20"/>
                <w:szCs w:val="20"/>
                <w:lang w:val="fr-CA"/>
              </w:rPr>
            </w:pPr>
          </w:p>
        </w:tc>
        <w:tc>
          <w:tcPr>
            <w:tcW w:w="4320" w:type="dxa"/>
            <w:shd w:val="clear" w:color="auto" w:fill="auto"/>
          </w:tcPr>
          <w:p w:rsidR="00182BD0" w:rsidRPr="005A2DFF" w:rsidRDefault="005A2DFF" w:rsidP="00D56166">
            <w:pPr>
              <w:keepNext/>
              <w:keepLines/>
              <w:tabs>
                <w:tab w:val="left" w:pos="-1440"/>
                <w:tab w:val="left" w:pos="-720"/>
              </w:tabs>
              <w:rPr>
                <w:b/>
                <w:sz w:val="20"/>
                <w:szCs w:val="20"/>
              </w:rPr>
            </w:pPr>
            <w:r w:rsidRPr="005A2DFF">
              <w:rPr>
                <w:b/>
                <w:sz w:val="20"/>
                <w:szCs w:val="20"/>
              </w:rPr>
              <w:t>Harminder Walia</w:t>
            </w:r>
          </w:p>
          <w:p w:rsidR="00182BD0" w:rsidRPr="005A2DFF" w:rsidRDefault="00182BD0" w:rsidP="00D56166">
            <w:pPr>
              <w:keepNext/>
              <w:keepLines/>
              <w:tabs>
                <w:tab w:val="left" w:pos="-1440"/>
                <w:tab w:val="left" w:pos="-720"/>
              </w:tabs>
              <w:rPr>
                <w:sz w:val="20"/>
                <w:szCs w:val="20"/>
              </w:rPr>
            </w:pPr>
            <w:r w:rsidRPr="005A2DFF">
              <w:rPr>
                <w:sz w:val="20"/>
                <w:szCs w:val="20"/>
              </w:rPr>
              <w:tab/>
            </w:r>
            <w:r w:rsidR="005A2DFF" w:rsidRPr="005A2DFF">
              <w:rPr>
                <w:sz w:val="20"/>
                <w:szCs w:val="20"/>
              </w:rPr>
              <w:t>J.R. Norman Boudreau</w:t>
            </w:r>
          </w:p>
          <w:p w:rsidR="00182BD0" w:rsidRPr="005A2DFF" w:rsidRDefault="00182BD0" w:rsidP="00D56166">
            <w:pPr>
              <w:keepNext/>
              <w:keepLines/>
              <w:tabs>
                <w:tab w:val="left" w:pos="-1440"/>
                <w:tab w:val="left" w:pos="-720"/>
              </w:tabs>
              <w:rPr>
                <w:sz w:val="20"/>
                <w:szCs w:val="20"/>
              </w:rPr>
            </w:pPr>
            <w:r w:rsidRPr="005A2DFF">
              <w:rPr>
                <w:sz w:val="20"/>
                <w:szCs w:val="20"/>
              </w:rPr>
              <w:tab/>
            </w:r>
            <w:r w:rsidR="005A2DFF">
              <w:rPr>
                <w:sz w:val="20"/>
                <w:szCs w:val="20"/>
              </w:rPr>
              <w:t>Booth, Dennehy LLP</w:t>
            </w:r>
          </w:p>
          <w:p w:rsidR="00182BD0" w:rsidRPr="005A2DFF" w:rsidRDefault="00182BD0" w:rsidP="00D56166">
            <w:pPr>
              <w:keepNext/>
              <w:keepLines/>
              <w:tabs>
                <w:tab w:val="left" w:pos="-1440"/>
                <w:tab w:val="left" w:pos="-720"/>
              </w:tabs>
              <w:rPr>
                <w:sz w:val="20"/>
                <w:szCs w:val="20"/>
              </w:rPr>
            </w:pPr>
          </w:p>
          <w:p w:rsidR="00182BD0" w:rsidRPr="005A2DFF" w:rsidRDefault="00182BD0" w:rsidP="00D56166">
            <w:pPr>
              <w:keepNext/>
              <w:keepLines/>
              <w:tabs>
                <w:tab w:val="left" w:pos="-1440"/>
                <w:tab w:val="left" w:pos="-720"/>
              </w:tabs>
              <w:rPr>
                <w:sz w:val="20"/>
                <w:szCs w:val="20"/>
              </w:rPr>
            </w:pPr>
            <w:r w:rsidRPr="005A2DFF">
              <w:rPr>
                <w:sz w:val="20"/>
                <w:szCs w:val="20"/>
              </w:rPr>
              <w:tab/>
              <w:t>v. (355</w:t>
            </w:r>
            <w:r w:rsidR="005A2DFF" w:rsidRPr="005A2DFF">
              <w:rPr>
                <w:sz w:val="20"/>
                <w:szCs w:val="20"/>
              </w:rPr>
              <w:t>36</w:t>
            </w:r>
            <w:r w:rsidRPr="005A2DFF">
              <w:rPr>
                <w:sz w:val="20"/>
                <w:szCs w:val="20"/>
              </w:rPr>
              <w:t>)</w:t>
            </w:r>
          </w:p>
          <w:p w:rsidR="00182BD0" w:rsidRPr="005A2DFF" w:rsidRDefault="00182BD0" w:rsidP="00D56166">
            <w:pPr>
              <w:keepNext/>
              <w:keepLines/>
              <w:tabs>
                <w:tab w:val="left" w:pos="-1440"/>
                <w:tab w:val="left" w:pos="-720"/>
              </w:tabs>
              <w:rPr>
                <w:sz w:val="20"/>
                <w:szCs w:val="20"/>
              </w:rPr>
            </w:pPr>
          </w:p>
          <w:p w:rsidR="00182BD0" w:rsidRPr="005A2DFF" w:rsidRDefault="005A2DFF" w:rsidP="00D56166">
            <w:pPr>
              <w:keepNext/>
              <w:keepLines/>
              <w:tabs>
                <w:tab w:val="left" w:pos="-1440"/>
                <w:tab w:val="left" w:pos="-720"/>
              </w:tabs>
              <w:rPr>
                <w:b/>
                <w:sz w:val="20"/>
                <w:szCs w:val="20"/>
              </w:rPr>
            </w:pPr>
            <w:r w:rsidRPr="005A2DFF">
              <w:rPr>
                <w:b/>
                <w:sz w:val="20"/>
                <w:szCs w:val="20"/>
              </w:rPr>
              <w:t>University of Manitoba et al.</w:t>
            </w:r>
            <w:r>
              <w:rPr>
                <w:b/>
                <w:sz w:val="20"/>
                <w:szCs w:val="20"/>
              </w:rPr>
              <w:t xml:space="preserve"> </w:t>
            </w:r>
            <w:r w:rsidR="00182BD0" w:rsidRPr="005A2DFF">
              <w:rPr>
                <w:b/>
                <w:sz w:val="20"/>
                <w:szCs w:val="20"/>
              </w:rPr>
              <w:t>(</w:t>
            </w:r>
            <w:r>
              <w:rPr>
                <w:b/>
                <w:sz w:val="20"/>
                <w:szCs w:val="20"/>
              </w:rPr>
              <w:t>Ma</w:t>
            </w:r>
            <w:r w:rsidR="00182BD0" w:rsidRPr="005A2DFF">
              <w:rPr>
                <w:b/>
                <w:sz w:val="20"/>
                <w:szCs w:val="20"/>
              </w:rPr>
              <w:t>n.)</w:t>
            </w:r>
          </w:p>
          <w:p w:rsidR="00182BD0" w:rsidRPr="005A2DFF" w:rsidRDefault="00182BD0" w:rsidP="00D56166">
            <w:pPr>
              <w:keepNext/>
              <w:keepLines/>
              <w:tabs>
                <w:tab w:val="left" w:pos="-1440"/>
                <w:tab w:val="left" w:pos="-720"/>
              </w:tabs>
              <w:rPr>
                <w:sz w:val="20"/>
                <w:szCs w:val="20"/>
              </w:rPr>
            </w:pPr>
            <w:r w:rsidRPr="005A2DFF">
              <w:rPr>
                <w:sz w:val="20"/>
                <w:szCs w:val="20"/>
              </w:rPr>
              <w:tab/>
            </w:r>
            <w:r w:rsidR="005A2DFF">
              <w:rPr>
                <w:sz w:val="20"/>
                <w:szCs w:val="20"/>
              </w:rPr>
              <w:t>Bob P. Sokalski</w:t>
            </w:r>
          </w:p>
          <w:p w:rsidR="00182BD0" w:rsidRPr="005A2DFF" w:rsidRDefault="00182BD0" w:rsidP="00D56166">
            <w:pPr>
              <w:keepNext/>
              <w:keepLines/>
              <w:tabs>
                <w:tab w:val="left" w:pos="-1440"/>
                <w:tab w:val="left" w:pos="-720"/>
              </w:tabs>
              <w:rPr>
                <w:sz w:val="20"/>
                <w:szCs w:val="20"/>
              </w:rPr>
            </w:pPr>
            <w:r w:rsidRPr="005A2DFF">
              <w:rPr>
                <w:sz w:val="20"/>
                <w:szCs w:val="20"/>
              </w:rPr>
              <w:tab/>
            </w:r>
            <w:r w:rsidR="005A2DFF">
              <w:rPr>
                <w:sz w:val="20"/>
                <w:szCs w:val="20"/>
              </w:rPr>
              <w:t>Hill Sokalski Vincent Walsh Trippier</w:t>
            </w:r>
          </w:p>
          <w:p w:rsidR="00182BD0" w:rsidRPr="005A2DFF" w:rsidRDefault="00182BD0" w:rsidP="00D56166">
            <w:pPr>
              <w:keepNext/>
              <w:keepLines/>
              <w:tabs>
                <w:tab w:val="left" w:pos="-1440"/>
                <w:tab w:val="left" w:pos="-720"/>
              </w:tabs>
              <w:rPr>
                <w:sz w:val="20"/>
                <w:szCs w:val="20"/>
              </w:rPr>
            </w:pPr>
          </w:p>
          <w:p w:rsidR="00182BD0" w:rsidRPr="005A2DFF" w:rsidRDefault="00182BD0" w:rsidP="005A2DFF">
            <w:pPr>
              <w:rPr>
                <w:sz w:val="20"/>
                <w:szCs w:val="20"/>
              </w:rPr>
            </w:pPr>
            <w:r w:rsidRPr="005A2DFF">
              <w:rPr>
                <w:sz w:val="20"/>
                <w:szCs w:val="20"/>
              </w:rPr>
              <w:t>FILING DATE: 2</w:t>
            </w:r>
            <w:r w:rsidR="005A2DFF">
              <w:rPr>
                <w:sz w:val="20"/>
                <w:szCs w:val="20"/>
              </w:rPr>
              <w:t>3.</w:t>
            </w:r>
            <w:r w:rsidRPr="005A2DFF">
              <w:rPr>
                <w:sz w:val="20"/>
                <w:szCs w:val="20"/>
              </w:rPr>
              <w:t>09.2013</w:t>
            </w:r>
            <w:r w:rsidR="00CC2008" w:rsidRPr="00CC2008">
              <w:rPr>
                <w:sz w:val="20"/>
                <w:szCs w:val="20"/>
                <w:lang w:val="fr-CA"/>
              </w:rPr>
              <w:pict>
                <v:rect id="_x0000_i1028" style="width:108pt;height:1pt" o:hrpct="0" o:hralign="center" o:hrstd="t" o:hrnoshade="t" o:hr="t" fillcolor="black [3213]" stroked="f"/>
              </w:pict>
            </w:r>
          </w:p>
        </w:tc>
      </w:tr>
      <w:tr w:rsidR="00182BD0" w:rsidRPr="00A935AA" w:rsidTr="003B3977">
        <w:tc>
          <w:tcPr>
            <w:tcW w:w="4320" w:type="dxa"/>
            <w:shd w:val="clear" w:color="auto" w:fill="auto"/>
          </w:tcPr>
          <w:p w:rsidR="00182BD0" w:rsidRPr="005A2DFF" w:rsidRDefault="00D56166" w:rsidP="00D56166">
            <w:pPr>
              <w:rPr>
                <w:b/>
                <w:sz w:val="20"/>
                <w:szCs w:val="20"/>
              </w:rPr>
            </w:pPr>
            <w:r>
              <w:rPr>
                <w:b/>
                <w:sz w:val="20"/>
                <w:szCs w:val="20"/>
              </w:rPr>
              <w:t xml:space="preserve">Invesco Canada Ltd. et al. </w:t>
            </w:r>
          </w:p>
          <w:p w:rsidR="00182BD0" w:rsidRPr="005A2DFF" w:rsidRDefault="00182BD0" w:rsidP="00D56166">
            <w:pPr>
              <w:tabs>
                <w:tab w:val="left" w:pos="-1440"/>
                <w:tab w:val="left" w:pos="-720"/>
              </w:tabs>
              <w:rPr>
                <w:sz w:val="20"/>
                <w:szCs w:val="20"/>
              </w:rPr>
            </w:pPr>
            <w:r w:rsidRPr="005A2DFF">
              <w:rPr>
                <w:sz w:val="20"/>
                <w:szCs w:val="20"/>
              </w:rPr>
              <w:tab/>
            </w:r>
            <w:r w:rsidR="00D56166">
              <w:rPr>
                <w:sz w:val="20"/>
                <w:szCs w:val="20"/>
              </w:rPr>
              <w:t>Won J. Kim</w:t>
            </w:r>
          </w:p>
          <w:p w:rsidR="00182BD0" w:rsidRPr="005A2DFF" w:rsidRDefault="00182BD0" w:rsidP="00D56166">
            <w:pPr>
              <w:tabs>
                <w:tab w:val="left" w:pos="-1440"/>
                <w:tab w:val="left" w:pos="-720"/>
              </w:tabs>
              <w:rPr>
                <w:sz w:val="20"/>
                <w:szCs w:val="20"/>
              </w:rPr>
            </w:pPr>
            <w:r w:rsidRPr="005A2DFF">
              <w:rPr>
                <w:sz w:val="20"/>
                <w:szCs w:val="20"/>
              </w:rPr>
              <w:tab/>
            </w:r>
            <w:r w:rsidR="00D56166">
              <w:rPr>
                <w:sz w:val="20"/>
                <w:szCs w:val="20"/>
              </w:rPr>
              <w:t>Kim Orr Barristers P.C.</w:t>
            </w:r>
          </w:p>
          <w:p w:rsidR="00182BD0" w:rsidRPr="005A2DFF" w:rsidRDefault="00182BD0" w:rsidP="00D56166">
            <w:pPr>
              <w:tabs>
                <w:tab w:val="left" w:pos="-1440"/>
                <w:tab w:val="left" w:pos="-720"/>
              </w:tabs>
              <w:rPr>
                <w:sz w:val="20"/>
                <w:szCs w:val="20"/>
              </w:rPr>
            </w:pPr>
          </w:p>
          <w:p w:rsidR="00182BD0" w:rsidRPr="00D56166" w:rsidRDefault="00182BD0" w:rsidP="00D56166">
            <w:pPr>
              <w:tabs>
                <w:tab w:val="left" w:pos="-1440"/>
                <w:tab w:val="left" w:pos="-720"/>
              </w:tabs>
              <w:rPr>
                <w:sz w:val="20"/>
                <w:szCs w:val="20"/>
                <w:lang w:val="fr-CA"/>
              </w:rPr>
            </w:pPr>
            <w:r w:rsidRPr="005A2DFF">
              <w:rPr>
                <w:sz w:val="20"/>
                <w:szCs w:val="20"/>
              </w:rPr>
              <w:tab/>
            </w:r>
            <w:r w:rsidRPr="00D56166">
              <w:rPr>
                <w:sz w:val="20"/>
                <w:szCs w:val="20"/>
                <w:lang w:val="fr-CA"/>
              </w:rPr>
              <w:t>v. (355</w:t>
            </w:r>
            <w:r w:rsidR="00D56166" w:rsidRPr="00D56166">
              <w:rPr>
                <w:sz w:val="20"/>
                <w:szCs w:val="20"/>
                <w:lang w:val="fr-CA"/>
              </w:rPr>
              <w:t>41</w:t>
            </w:r>
            <w:r w:rsidRPr="00D56166">
              <w:rPr>
                <w:sz w:val="20"/>
                <w:szCs w:val="20"/>
                <w:lang w:val="fr-CA"/>
              </w:rPr>
              <w:t>)</w:t>
            </w:r>
          </w:p>
          <w:p w:rsidR="00182BD0" w:rsidRPr="00D56166" w:rsidRDefault="00182BD0" w:rsidP="00D56166">
            <w:pPr>
              <w:tabs>
                <w:tab w:val="left" w:pos="-1440"/>
                <w:tab w:val="left" w:pos="-720"/>
              </w:tabs>
              <w:rPr>
                <w:sz w:val="20"/>
                <w:szCs w:val="20"/>
                <w:lang w:val="fr-CA"/>
              </w:rPr>
            </w:pPr>
          </w:p>
          <w:p w:rsidR="00182BD0" w:rsidRPr="00D56166" w:rsidRDefault="00D56166" w:rsidP="00D56166">
            <w:pPr>
              <w:tabs>
                <w:tab w:val="left" w:pos="-1440"/>
                <w:tab w:val="left" w:pos="-720"/>
              </w:tabs>
              <w:rPr>
                <w:b/>
                <w:sz w:val="20"/>
                <w:szCs w:val="20"/>
                <w:lang w:val="fr-CA"/>
              </w:rPr>
            </w:pPr>
            <w:r w:rsidRPr="00D56166">
              <w:rPr>
                <w:b/>
                <w:sz w:val="20"/>
                <w:szCs w:val="20"/>
                <w:lang w:val="fr-CA"/>
              </w:rPr>
              <w:t>Sino-Forest Corporation et al</w:t>
            </w:r>
            <w:r w:rsidR="00F102CB">
              <w:rPr>
                <w:b/>
                <w:sz w:val="20"/>
                <w:szCs w:val="20"/>
                <w:lang w:val="fr-CA"/>
              </w:rPr>
              <w:t>.</w:t>
            </w:r>
            <w:r w:rsidRPr="00D56166">
              <w:rPr>
                <w:b/>
                <w:sz w:val="20"/>
                <w:szCs w:val="20"/>
                <w:lang w:val="fr-CA"/>
              </w:rPr>
              <w:t xml:space="preserve"> </w:t>
            </w:r>
            <w:r w:rsidR="00182BD0" w:rsidRPr="00D56166">
              <w:rPr>
                <w:b/>
                <w:sz w:val="20"/>
                <w:szCs w:val="20"/>
                <w:lang w:val="fr-CA"/>
              </w:rPr>
              <w:t>(</w:t>
            </w:r>
            <w:r w:rsidRPr="00D56166">
              <w:rPr>
                <w:b/>
                <w:sz w:val="20"/>
                <w:szCs w:val="20"/>
                <w:lang w:val="fr-CA"/>
              </w:rPr>
              <w:t>Ont</w:t>
            </w:r>
            <w:r w:rsidR="00182BD0" w:rsidRPr="00D56166">
              <w:rPr>
                <w:b/>
                <w:sz w:val="20"/>
                <w:szCs w:val="20"/>
                <w:lang w:val="fr-CA"/>
              </w:rPr>
              <w:t>.)</w:t>
            </w:r>
          </w:p>
          <w:p w:rsidR="00182BD0" w:rsidRPr="007D148E" w:rsidRDefault="00182BD0" w:rsidP="00D56166">
            <w:pPr>
              <w:tabs>
                <w:tab w:val="left" w:pos="-1440"/>
                <w:tab w:val="left" w:pos="-720"/>
              </w:tabs>
              <w:rPr>
                <w:sz w:val="20"/>
                <w:szCs w:val="20"/>
                <w:lang w:val="fr-CA"/>
              </w:rPr>
            </w:pPr>
            <w:r w:rsidRPr="00D56166">
              <w:rPr>
                <w:sz w:val="20"/>
                <w:szCs w:val="20"/>
                <w:lang w:val="fr-CA"/>
              </w:rPr>
              <w:tab/>
            </w:r>
            <w:r w:rsidR="00D56166" w:rsidRPr="007D148E">
              <w:rPr>
                <w:sz w:val="20"/>
                <w:szCs w:val="20"/>
                <w:lang w:val="fr-CA"/>
              </w:rPr>
              <w:t>Robert W. Staley</w:t>
            </w:r>
          </w:p>
          <w:p w:rsidR="00182BD0" w:rsidRPr="007D148E" w:rsidRDefault="00182BD0" w:rsidP="00D56166">
            <w:pPr>
              <w:tabs>
                <w:tab w:val="left" w:pos="-1440"/>
                <w:tab w:val="left" w:pos="-720"/>
              </w:tabs>
              <w:rPr>
                <w:sz w:val="20"/>
                <w:szCs w:val="20"/>
                <w:lang w:val="fr-CA"/>
              </w:rPr>
            </w:pPr>
            <w:r w:rsidRPr="007D148E">
              <w:rPr>
                <w:sz w:val="20"/>
                <w:szCs w:val="20"/>
                <w:lang w:val="fr-CA"/>
              </w:rPr>
              <w:tab/>
            </w:r>
            <w:r w:rsidR="00D56166" w:rsidRPr="007D148E">
              <w:rPr>
                <w:sz w:val="20"/>
                <w:szCs w:val="20"/>
                <w:lang w:val="fr-CA"/>
              </w:rPr>
              <w:t>Bennett Jones LLP</w:t>
            </w:r>
          </w:p>
          <w:p w:rsidR="00182BD0" w:rsidRPr="007D148E" w:rsidRDefault="00182BD0" w:rsidP="00D56166">
            <w:pPr>
              <w:tabs>
                <w:tab w:val="left" w:pos="-1440"/>
                <w:tab w:val="left" w:pos="-720"/>
              </w:tabs>
              <w:rPr>
                <w:sz w:val="20"/>
                <w:szCs w:val="20"/>
                <w:lang w:val="fr-CA"/>
              </w:rPr>
            </w:pPr>
          </w:p>
          <w:p w:rsidR="00182BD0" w:rsidRPr="00A935AA" w:rsidRDefault="00182BD0" w:rsidP="00D56166">
            <w:pPr>
              <w:rPr>
                <w:sz w:val="20"/>
                <w:szCs w:val="20"/>
              </w:rPr>
            </w:pPr>
            <w:r w:rsidRPr="005A2DFF">
              <w:rPr>
                <w:sz w:val="20"/>
                <w:szCs w:val="20"/>
              </w:rPr>
              <w:t>F</w:t>
            </w:r>
            <w:r w:rsidRPr="00A935AA">
              <w:rPr>
                <w:sz w:val="20"/>
                <w:szCs w:val="20"/>
              </w:rPr>
              <w:t>ILING DATE: 2</w:t>
            </w:r>
            <w:r w:rsidR="00D56166">
              <w:rPr>
                <w:sz w:val="20"/>
                <w:szCs w:val="20"/>
              </w:rPr>
              <w:t>4</w:t>
            </w:r>
            <w:r w:rsidRPr="00A935AA">
              <w:rPr>
                <w:sz w:val="20"/>
                <w:szCs w:val="20"/>
              </w:rPr>
              <w:t>.09.201</w:t>
            </w:r>
            <w:r>
              <w:rPr>
                <w:sz w:val="20"/>
                <w:szCs w:val="20"/>
              </w:rPr>
              <w:t>3</w:t>
            </w:r>
          </w:p>
          <w:p w:rsidR="00182BD0" w:rsidRPr="00A935AA" w:rsidRDefault="00CC2008" w:rsidP="00D56166">
            <w:pPr>
              <w:rPr>
                <w:sz w:val="20"/>
                <w:szCs w:val="20"/>
              </w:rPr>
            </w:pPr>
            <w:r w:rsidRPr="00CC200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Default="00182BD0" w:rsidP="00242AEE">
            <w:pPr>
              <w:jc w:val="center"/>
              <w:rPr>
                <w:sz w:val="20"/>
                <w:szCs w:val="20"/>
              </w:rPr>
            </w:pPr>
          </w:p>
          <w:p w:rsidR="00182BD0" w:rsidRPr="00A935AA" w:rsidRDefault="00182BD0" w:rsidP="00242AEE">
            <w:pPr>
              <w:jc w:val="center"/>
              <w:rPr>
                <w:sz w:val="20"/>
                <w:szCs w:val="20"/>
              </w:rPr>
            </w:pPr>
          </w:p>
        </w:tc>
        <w:tc>
          <w:tcPr>
            <w:tcW w:w="4320" w:type="dxa"/>
            <w:shd w:val="clear" w:color="auto" w:fill="auto"/>
          </w:tcPr>
          <w:p w:rsidR="00182BD0" w:rsidRPr="00A935AA" w:rsidRDefault="00D56166" w:rsidP="00D56166">
            <w:pPr>
              <w:keepNext/>
              <w:keepLines/>
              <w:tabs>
                <w:tab w:val="left" w:pos="-1440"/>
                <w:tab w:val="left" w:pos="-720"/>
              </w:tabs>
              <w:rPr>
                <w:b/>
                <w:sz w:val="20"/>
                <w:szCs w:val="20"/>
              </w:rPr>
            </w:pPr>
            <w:r>
              <w:rPr>
                <w:b/>
                <w:sz w:val="20"/>
                <w:szCs w:val="20"/>
              </w:rPr>
              <w:t>Bruce Clinton Joseph Ryder</w:t>
            </w:r>
          </w:p>
          <w:p w:rsidR="00182BD0" w:rsidRPr="00A935AA" w:rsidRDefault="00182BD0" w:rsidP="00D56166">
            <w:pPr>
              <w:keepNext/>
              <w:keepLines/>
              <w:tabs>
                <w:tab w:val="left" w:pos="-1440"/>
                <w:tab w:val="left" w:pos="-720"/>
              </w:tabs>
              <w:rPr>
                <w:sz w:val="20"/>
                <w:szCs w:val="20"/>
              </w:rPr>
            </w:pPr>
            <w:r w:rsidRPr="00A935AA">
              <w:rPr>
                <w:sz w:val="20"/>
                <w:szCs w:val="20"/>
              </w:rPr>
              <w:tab/>
            </w:r>
            <w:r w:rsidR="00D56166">
              <w:rPr>
                <w:sz w:val="20"/>
                <w:szCs w:val="20"/>
              </w:rPr>
              <w:t>Bruce Clinton Joseph Ryder</w:t>
            </w:r>
          </w:p>
          <w:p w:rsidR="00182BD0" w:rsidRPr="00A935AA" w:rsidRDefault="00182BD0" w:rsidP="00D56166">
            <w:pPr>
              <w:keepNext/>
              <w:keepLines/>
              <w:tabs>
                <w:tab w:val="left" w:pos="-1440"/>
                <w:tab w:val="left" w:pos="-720"/>
              </w:tabs>
              <w:rPr>
                <w:sz w:val="20"/>
                <w:szCs w:val="20"/>
              </w:rPr>
            </w:pPr>
          </w:p>
          <w:p w:rsidR="00182BD0" w:rsidRPr="005A2DFF" w:rsidRDefault="00182BD0" w:rsidP="00D56166">
            <w:pPr>
              <w:keepNext/>
              <w:keepLines/>
              <w:tabs>
                <w:tab w:val="left" w:pos="-1440"/>
                <w:tab w:val="left" w:pos="-720"/>
              </w:tabs>
              <w:rPr>
                <w:sz w:val="20"/>
                <w:szCs w:val="20"/>
              </w:rPr>
            </w:pPr>
            <w:r w:rsidRPr="00A935AA">
              <w:rPr>
                <w:sz w:val="20"/>
                <w:szCs w:val="20"/>
              </w:rPr>
              <w:tab/>
            </w:r>
            <w:r w:rsidRPr="005A2DFF">
              <w:rPr>
                <w:sz w:val="20"/>
                <w:szCs w:val="20"/>
              </w:rPr>
              <w:t>v. (355</w:t>
            </w:r>
            <w:r w:rsidR="00D56166">
              <w:rPr>
                <w:sz w:val="20"/>
                <w:szCs w:val="20"/>
              </w:rPr>
              <w:t>70</w:t>
            </w:r>
            <w:r w:rsidRPr="005A2DFF">
              <w:rPr>
                <w:sz w:val="20"/>
                <w:szCs w:val="20"/>
              </w:rPr>
              <w:t>)</w:t>
            </w:r>
          </w:p>
          <w:p w:rsidR="00182BD0" w:rsidRPr="005A2DFF" w:rsidRDefault="00182BD0" w:rsidP="00D56166">
            <w:pPr>
              <w:keepNext/>
              <w:keepLines/>
              <w:tabs>
                <w:tab w:val="left" w:pos="-1440"/>
                <w:tab w:val="left" w:pos="-720"/>
              </w:tabs>
              <w:rPr>
                <w:sz w:val="20"/>
                <w:szCs w:val="20"/>
              </w:rPr>
            </w:pPr>
          </w:p>
          <w:p w:rsidR="00182BD0" w:rsidRPr="005A2DFF" w:rsidRDefault="00D56166" w:rsidP="00D56166">
            <w:pPr>
              <w:keepNext/>
              <w:keepLines/>
              <w:tabs>
                <w:tab w:val="left" w:pos="-1440"/>
                <w:tab w:val="left" w:pos="-720"/>
              </w:tabs>
              <w:rPr>
                <w:b/>
                <w:sz w:val="20"/>
                <w:szCs w:val="20"/>
              </w:rPr>
            </w:pPr>
            <w:r>
              <w:rPr>
                <w:b/>
                <w:sz w:val="20"/>
                <w:szCs w:val="20"/>
              </w:rPr>
              <w:t xml:space="preserve">Minister of National Revenue </w:t>
            </w:r>
            <w:r w:rsidR="00182BD0" w:rsidRPr="005A2DFF">
              <w:rPr>
                <w:b/>
                <w:sz w:val="20"/>
                <w:szCs w:val="20"/>
              </w:rPr>
              <w:t>(</w:t>
            </w:r>
            <w:r>
              <w:rPr>
                <w:b/>
                <w:sz w:val="20"/>
                <w:szCs w:val="20"/>
              </w:rPr>
              <w:t>F.C</w:t>
            </w:r>
            <w:r w:rsidR="00182BD0" w:rsidRPr="005A2DFF">
              <w:rPr>
                <w:b/>
                <w:sz w:val="20"/>
                <w:szCs w:val="20"/>
              </w:rPr>
              <w:t>.)</w:t>
            </w:r>
          </w:p>
          <w:p w:rsidR="00182BD0" w:rsidRPr="005A2DFF" w:rsidRDefault="00182BD0" w:rsidP="00D56166">
            <w:pPr>
              <w:keepNext/>
              <w:keepLines/>
              <w:tabs>
                <w:tab w:val="left" w:pos="-1440"/>
                <w:tab w:val="left" w:pos="-720"/>
              </w:tabs>
              <w:rPr>
                <w:sz w:val="20"/>
                <w:szCs w:val="20"/>
              </w:rPr>
            </w:pPr>
            <w:r w:rsidRPr="005A2DFF">
              <w:rPr>
                <w:sz w:val="20"/>
                <w:szCs w:val="20"/>
              </w:rPr>
              <w:tab/>
            </w:r>
            <w:r w:rsidR="00D56166">
              <w:rPr>
                <w:sz w:val="20"/>
                <w:szCs w:val="20"/>
              </w:rPr>
              <w:t>Darren McLeod</w:t>
            </w:r>
          </w:p>
          <w:p w:rsidR="00182BD0" w:rsidRPr="005A2DFF" w:rsidRDefault="00182BD0" w:rsidP="00D56166">
            <w:pPr>
              <w:keepNext/>
              <w:keepLines/>
              <w:tabs>
                <w:tab w:val="left" w:pos="-1440"/>
                <w:tab w:val="left" w:pos="-720"/>
              </w:tabs>
              <w:rPr>
                <w:sz w:val="20"/>
                <w:szCs w:val="20"/>
              </w:rPr>
            </w:pPr>
            <w:r w:rsidRPr="005A2DFF">
              <w:rPr>
                <w:sz w:val="20"/>
                <w:szCs w:val="20"/>
              </w:rPr>
              <w:tab/>
            </w:r>
            <w:r w:rsidR="00D56166">
              <w:rPr>
                <w:sz w:val="20"/>
                <w:szCs w:val="20"/>
              </w:rPr>
              <w:t>Department of Justice</w:t>
            </w:r>
          </w:p>
          <w:p w:rsidR="00182BD0" w:rsidRPr="005A2DFF" w:rsidRDefault="00182BD0" w:rsidP="00D56166">
            <w:pPr>
              <w:keepNext/>
              <w:keepLines/>
              <w:tabs>
                <w:tab w:val="left" w:pos="-1440"/>
                <w:tab w:val="left" w:pos="-720"/>
              </w:tabs>
              <w:rPr>
                <w:sz w:val="20"/>
                <w:szCs w:val="20"/>
              </w:rPr>
            </w:pPr>
          </w:p>
          <w:p w:rsidR="00182BD0" w:rsidRPr="00A935AA" w:rsidRDefault="00182BD0" w:rsidP="00D56166">
            <w:pPr>
              <w:rPr>
                <w:sz w:val="20"/>
                <w:szCs w:val="20"/>
              </w:rPr>
            </w:pPr>
            <w:r w:rsidRPr="00A935AA">
              <w:rPr>
                <w:sz w:val="20"/>
                <w:szCs w:val="20"/>
              </w:rPr>
              <w:t>FILING DATE: 2</w:t>
            </w:r>
            <w:r w:rsidR="00D56166">
              <w:rPr>
                <w:sz w:val="20"/>
                <w:szCs w:val="20"/>
              </w:rPr>
              <w:t>4</w:t>
            </w:r>
            <w:r w:rsidRPr="00A935AA">
              <w:rPr>
                <w:sz w:val="20"/>
                <w:szCs w:val="20"/>
              </w:rPr>
              <w:t>.09.201</w:t>
            </w:r>
            <w:r>
              <w:rPr>
                <w:sz w:val="20"/>
                <w:szCs w:val="20"/>
              </w:rPr>
              <w:t>3</w:t>
            </w:r>
            <w:r w:rsidR="00CC2008" w:rsidRPr="00CC2008">
              <w:rPr>
                <w:sz w:val="20"/>
                <w:szCs w:val="20"/>
                <w:lang w:val="fr-CA"/>
              </w:rPr>
              <w:pict>
                <v:rect id="_x0000_i1030" style="width:108pt;height:1pt" o:hrpct="0" o:hralign="center" o:hrstd="t" o:hrnoshade="t" o:hr="t" fillcolor="black [3213]" stroked="f"/>
              </w:pict>
            </w:r>
          </w:p>
        </w:tc>
      </w:tr>
      <w:tr w:rsidR="00182BD0" w:rsidRPr="00A935AA" w:rsidTr="003B3977">
        <w:trPr>
          <w:cantSplit/>
        </w:trPr>
        <w:tc>
          <w:tcPr>
            <w:tcW w:w="4320" w:type="dxa"/>
            <w:shd w:val="clear" w:color="auto" w:fill="auto"/>
          </w:tcPr>
          <w:p w:rsidR="00182BD0" w:rsidRPr="00E20D31" w:rsidRDefault="00182BD0" w:rsidP="00D56166">
            <w:pPr>
              <w:rPr>
                <w:b/>
                <w:sz w:val="20"/>
                <w:szCs w:val="20"/>
                <w:lang w:val="fr-CA"/>
              </w:rPr>
            </w:pPr>
          </w:p>
          <w:p w:rsidR="00D56166" w:rsidRPr="00E20D31" w:rsidRDefault="00D56166" w:rsidP="00D56166">
            <w:pPr>
              <w:rPr>
                <w:b/>
                <w:sz w:val="20"/>
                <w:szCs w:val="20"/>
                <w:lang w:val="fr-CA"/>
              </w:rPr>
            </w:pPr>
            <w:r w:rsidRPr="00E20D31">
              <w:rPr>
                <w:b/>
                <w:sz w:val="20"/>
                <w:szCs w:val="20"/>
                <w:lang w:val="fr-CA"/>
              </w:rPr>
              <w:t>Sylvain Paquette</w:t>
            </w:r>
          </w:p>
          <w:p w:rsidR="00182BD0" w:rsidRPr="00E20D31" w:rsidRDefault="00D56166" w:rsidP="00D56166">
            <w:pPr>
              <w:tabs>
                <w:tab w:val="left" w:pos="-1440"/>
                <w:tab w:val="left" w:pos="-720"/>
              </w:tabs>
              <w:rPr>
                <w:sz w:val="20"/>
                <w:szCs w:val="20"/>
                <w:lang w:val="fr-CA"/>
              </w:rPr>
            </w:pPr>
            <w:r w:rsidRPr="00E20D31">
              <w:rPr>
                <w:sz w:val="20"/>
                <w:szCs w:val="20"/>
                <w:lang w:val="fr-CA"/>
              </w:rPr>
              <w:tab/>
              <w:t>Sylvain Paquette</w:t>
            </w:r>
          </w:p>
          <w:p w:rsidR="00D56166" w:rsidRPr="00E20D31" w:rsidRDefault="00D56166" w:rsidP="00D56166">
            <w:pPr>
              <w:tabs>
                <w:tab w:val="left" w:pos="-1440"/>
                <w:tab w:val="left" w:pos="-720"/>
              </w:tabs>
              <w:rPr>
                <w:sz w:val="20"/>
                <w:szCs w:val="20"/>
                <w:lang w:val="fr-CA"/>
              </w:rPr>
            </w:pPr>
          </w:p>
          <w:p w:rsidR="00182BD0" w:rsidRPr="00E20D31" w:rsidRDefault="00182BD0" w:rsidP="00D56166">
            <w:pPr>
              <w:tabs>
                <w:tab w:val="left" w:pos="-1440"/>
                <w:tab w:val="left" w:pos="-720"/>
              </w:tabs>
              <w:rPr>
                <w:sz w:val="20"/>
                <w:szCs w:val="20"/>
                <w:lang w:val="fr-CA"/>
              </w:rPr>
            </w:pPr>
            <w:r w:rsidRPr="00E20D31">
              <w:rPr>
                <w:sz w:val="20"/>
                <w:szCs w:val="20"/>
                <w:lang w:val="fr-CA"/>
              </w:rPr>
              <w:tab/>
            </w:r>
            <w:r w:rsidR="00D56166" w:rsidRPr="00E20D31">
              <w:rPr>
                <w:sz w:val="20"/>
                <w:szCs w:val="20"/>
                <w:lang w:val="fr-CA"/>
              </w:rPr>
              <w:t>c</w:t>
            </w:r>
            <w:r w:rsidRPr="00E20D31">
              <w:rPr>
                <w:sz w:val="20"/>
                <w:szCs w:val="20"/>
                <w:lang w:val="fr-CA"/>
              </w:rPr>
              <w:t>. (355</w:t>
            </w:r>
            <w:r w:rsidR="00D56166" w:rsidRPr="00E20D31">
              <w:rPr>
                <w:sz w:val="20"/>
                <w:szCs w:val="20"/>
                <w:lang w:val="fr-CA"/>
              </w:rPr>
              <w:t>51</w:t>
            </w:r>
            <w:r w:rsidRPr="00E20D31">
              <w:rPr>
                <w:sz w:val="20"/>
                <w:szCs w:val="20"/>
                <w:lang w:val="fr-CA"/>
              </w:rPr>
              <w:t>)</w:t>
            </w:r>
          </w:p>
          <w:p w:rsidR="00182BD0" w:rsidRPr="00E20D31" w:rsidRDefault="00182BD0" w:rsidP="00D56166">
            <w:pPr>
              <w:tabs>
                <w:tab w:val="left" w:pos="-1440"/>
                <w:tab w:val="left" w:pos="-720"/>
              </w:tabs>
              <w:rPr>
                <w:sz w:val="20"/>
                <w:szCs w:val="20"/>
                <w:lang w:val="fr-CA"/>
              </w:rPr>
            </w:pPr>
          </w:p>
          <w:p w:rsidR="00182BD0" w:rsidRPr="00A935AA" w:rsidRDefault="00D56166" w:rsidP="00D56166">
            <w:pPr>
              <w:tabs>
                <w:tab w:val="left" w:pos="-1440"/>
                <w:tab w:val="left" w:pos="-720"/>
              </w:tabs>
              <w:rPr>
                <w:b/>
                <w:sz w:val="20"/>
                <w:szCs w:val="20"/>
              </w:rPr>
            </w:pPr>
            <w:r>
              <w:rPr>
                <w:b/>
                <w:sz w:val="20"/>
                <w:szCs w:val="20"/>
              </w:rPr>
              <w:t xml:space="preserve">Nutrition Fitness Cardio inc. </w:t>
            </w:r>
            <w:r w:rsidR="00182BD0" w:rsidRPr="00A935AA">
              <w:rPr>
                <w:b/>
                <w:sz w:val="20"/>
                <w:szCs w:val="20"/>
              </w:rPr>
              <w:t>(</w:t>
            </w:r>
            <w:r>
              <w:rPr>
                <w:b/>
                <w:sz w:val="20"/>
                <w:szCs w:val="20"/>
              </w:rPr>
              <w:t>Qc</w:t>
            </w:r>
            <w:r w:rsidR="00182BD0" w:rsidRPr="00A935AA">
              <w:rPr>
                <w:b/>
                <w:sz w:val="20"/>
                <w:szCs w:val="20"/>
              </w:rPr>
              <w:t>)</w:t>
            </w:r>
          </w:p>
          <w:p w:rsidR="00182BD0" w:rsidRPr="00A935AA" w:rsidRDefault="00182BD0" w:rsidP="00D56166">
            <w:pPr>
              <w:tabs>
                <w:tab w:val="left" w:pos="-1440"/>
                <w:tab w:val="left" w:pos="-720"/>
              </w:tabs>
              <w:rPr>
                <w:sz w:val="20"/>
                <w:szCs w:val="20"/>
              </w:rPr>
            </w:pPr>
          </w:p>
          <w:p w:rsidR="00182BD0" w:rsidRPr="00A935AA" w:rsidRDefault="00182BD0" w:rsidP="00D56166">
            <w:pPr>
              <w:rPr>
                <w:sz w:val="20"/>
                <w:szCs w:val="20"/>
              </w:rPr>
            </w:pPr>
            <w:r w:rsidRPr="00A935AA">
              <w:rPr>
                <w:sz w:val="20"/>
                <w:szCs w:val="20"/>
              </w:rPr>
              <w:t>DATE</w:t>
            </w:r>
            <w:r w:rsidR="00D56166">
              <w:rPr>
                <w:sz w:val="20"/>
                <w:szCs w:val="20"/>
              </w:rPr>
              <w:t xml:space="preserve"> DE PRODUCTION </w:t>
            </w:r>
            <w:r w:rsidRPr="00A935AA">
              <w:rPr>
                <w:sz w:val="20"/>
                <w:szCs w:val="20"/>
              </w:rPr>
              <w:t>: 2</w:t>
            </w:r>
            <w:r w:rsidR="00D56166">
              <w:rPr>
                <w:sz w:val="20"/>
                <w:szCs w:val="20"/>
              </w:rPr>
              <w:t>6</w:t>
            </w:r>
            <w:r w:rsidRPr="00A935AA">
              <w:rPr>
                <w:sz w:val="20"/>
                <w:szCs w:val="20"/>
              </w:rPr>
              <w:t>.09.201</w:t>
            </w:r>
            <w:r>
              <w:rPr>
                <w:sz w:val="20"/>
                <w:szCs w:val="20"/>
              </w:rPr>
              <w:t>3</w:t>
            </w:r>
          </w:p>
          <w:p w:rsidR="00182BD0" w:rsidRPr="00A935AA" w:rsidRDefault="00CC2008" w:rsidP="00D56166">
            <w:pPr>
              <w:rPr>
                <w:sz w:val="20"/>
                <w:szCs w:val="20"/>
              </w:rPr>
            </w:pPr>
            <w:r w:rsidRPr="00CC200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tc>
        <w:tc>
          <w:tcPr>
            <w:tcW w:w="4320" w:type="dxa"/>
            <w:shd w:val="clear" w:color="auto" w:fill="auto"/>
          </w:tcPr>
          <w:p w:rsidR="00182BD0" w:rsidRPr="00281753" w:rsidRDefault="00281753" w:rsidP="00D56166">
            <w:pPr>
              <w:keepNext/>
              <w:keepLines/>
              <w:tabs>
                <w:tab w:val="left" w:pos="-1440"/>
                <w:tab w:val="left" w:pos="-720"/>
              </w:tabs>
              <w:rPr>
                <w:b/>
                <w:sz w:val="20"/>
                <w:szCs w:val="20"/>
                <w:lang w:val="fr-CA"/>
              </w:rPr>
            </w:pPr>
            <w:r w:rsidRPr="00281753">
              <w:rPr>
                <w:b/>
                <w:sz w:val="20"/>
                <w:szCs w:val="20"/>
                <w:lang w:val="fr-CA"/>
              </w:rPr>
              <w:t>Gary Ivan Hirsekorn</w:t>
            </w:r>
          </w:p>
          <w:p w:rsidR="00182BD0" w:rsidRPr="00281753" w:rsidRDefault="00182BD0" w:rsidP="00D56166">
            <w:pPr>
              <w:keepNext/>
              <w:keepLines/>
              <w:tabs>
                <w:tab w:val="left" w:pos="-1440"/>
                <w:tab w:val="left" w:pos="-720"/>
              </w:tabs>
              <w:rPr>
                <w:sz w:val="20"/>
                <w:szCs w:val="20"/>
                <w:lang w:val="fr-CA"/>
              </w:rPr>
            </w:pPr>
            <w:r w:rsidRPr="00281753">
              <w:rPr>
                <w:sz w:val="20"/>
                <w:szCs w:val="20"/>
                <w:lang w:val="fr-CA"/>
              </w:rPr>
              <w:tab/>
            </w:r>
            <w:r w:rsidR="00281753" w:rsidRPr="00281753">
              <w:rPr>
                <w:sz w:val="20"/>
                <w:szCs w:val="20"/>
                <w:lang w:val="fr-CA"/>
              </w:rPr>
              <w:t>Jean Teillet</w:t>
            </w:r>
          </w:p>
          <w:p w:rsidR="00182BD0" w:rsidRPr="00281753" w:rsidRDefault="00182BD0" w:rsidP="00D56166">
            <w:pPr>
              <w:keepNext/>
              <w:keepLines/>
              <w:tabs>
                <w:tab w:val="left" w:pos="-1440"/>
                <w:tab w:val="left" w:pos="-720"/>
              </w:tabs>
              <w:rPr>
                <w:sz w:val="20"/>
                <w:szCs w:val="20"/>
                <w:lang w:val="fr-CA"/>
              </w:rPr>
            </w:pPr>
            <w:r w:rsidRPr="00281753">
              <w:rPr>
                <w:sz w:val="20"/>
                <w:szCs w:val="20"/>
                <w:lang w:val="fr-CA"/>
              </w:rPr>
              <w:tab/>
            </w:r>
            <w:r w:rsidR="00281753" w:rsidRPr="00281753">
              <w:rPr>
                <w:sz w:val="20"/>
                <w:szCs w:val="20"/>
                <w:lang w:val="fr-CA"/>
              </w:rPr>
              <w:t>Pape Salter Teillet</w:t>
            </w:r>
          </w:p>
          <w:p w:rsidR="00182BD0" w:rsidRPr="00281753" w:rsidRDefault="00182BD0" w:rsidP="00D56166">
            <w:pPr>
              <w:keepNext/>
              <w:keepLines/>
              <w:tabs>
                <w:tab w:val="left" w:pos="-1440"/>
                <w:tab w:val="left" w:pos="-720"/>
              </w:tabs>
              <w:rPr>
                <w:sz w:val="20"/>
                <w:szCs w:val="20"/>
                <w:lang w:val="fr-CA"/>
              </w:rPr>
            </w:pPr>
          </w:p>
          <w:p w:rsidR="00182BD0" w:rsidRPr="00D56166" w:rsidRDefault="00182BD0" w:rsidP="00D56166">
            <w:pPr>
              <w:keepNext/>
              <w:keepLines/>
              <w:tabs>
                <w:tab w:val="left" w:pos="-1440"/>
                <w:tab w:val="left" w:pos="-720"/>
              </w:tabs>
              <w:rPr>
                <w:sz w:val="20"/>
                <w:szCs w:val="20"/>
              </w:rPr>
            </w:pPr>
            <w:r w:rsidRPr="00281753">
              <w:rPr>
                <w:sz w:val="20"/>
                <w:szCs w:val="20"/>
                <w:lang w:val="fr-CA"/>
              </w:rPr>
              <w:tab/>
            </w:r>
            <w:r w:rsidRPr="00D56166">
              <w:rPr>
                <w:sz w:val="20"/>
                <w:szCs w:val="20"/>
              </w:rPr>
              <w:t>v. (355</w:t>
            </w:r>
            <w:r w:rsidR="00281753">
              <w:rPr>
                <w:sz w:val="20"/>
                <w:szCs w:val="20"/>
              </w:rPr>
              <w:t>58</w:t>
            </w:r>
            <w:r w:rsidRPr="00D56166">
              <w:rPr>
                <w:sz w:val="20"/>
                <w:szCs w:val="20"/>
              </w:rPr>
              <w:t>)</w:t>
            </w:r>
          </w:p>
          <w:p w:rsidR="00182BD0" w:rsidRPr="00D56166" w:rsidRDefault="00182BD0" w:rsidP="00D56166">
            <w:pPr>
              <w:keepNext/>
              <w:keepLines/>
              <w:tabs>
                <w:tab w:val="left" w:pos="-1440"/>
                <w:tab w:val="left" w:pos="-720"/>
              </w:tabs>
              <w:rPr>
                <w:sz w:val="20"/>
                <w:szCs w:val="20"/>
              </w:rPr>
            </w:pPr>
          </w:p>
          <w:p w:rsidR="00182BD0" w:rsidRPr="00D56166" w:rsidRDefault="00281753" w:rsidP="00D56166">
            <w:pPr>
              <w:keepNext/>
              <w:keepLines/>
              <w:tabs>
                <w:tab w:val="left" w:pos="-1440"/>
                <w:tab w:val="left" w:pos="-720"/>
              </w:tabs>
              <w:rPr>
                <w:b/>
                <w:sz w:val="20"/>
                <w:szCs w:val="20"/>
              </w:rPr>
            </w:pPr>
            <w:r>
              <w:rPr>
                <w:b/>
                <w:sz w:val="20"/>
                <w:szCs w:val="20"/>
              </w:rPr>
              <w:t xml:space="preserve">Her Majesty the Queen </w:t>
            </w:r>
            <w:r w:rsidR="00182BD0" w:rsidRPr="00D56166">
              <w:rPr>
                <w:b/>
                <w:sz w:val="20"/>
                <w:szCs w:val="20"/>
              </w:rPr>
              <w:t>(</w:t>
            </w:r>
            <w:r>
              <w:rPr>
                <w:b/>
                <w:sz w:val="20"/>
                <w:szCs w:val="20"/>
              </w:rPr>
              <w:t>Al</w:t>
            </w:r>
            <w:r w:rsidR="00182BD0" w:rsidRPr="00D56166">
              <w:rPr>
                <w:b/>
                <w:sz w:val="20"/>
                <w:szCs w:val="20"/>
              </w:rPr>
              <w:t>t</w:t>
            </w:r>
            <w:r>
              <w:rPr>
                <w:b/>
                <w:sz w:val="20"/>
                <w:szCs w:val="20"/>
              </w:rPr>
              <w:t>a</w:t>
            </w:r>
            <w:r w:rsidR="00182BD0" w:rsidRPr="00D56166">
              <w:rPr>
                <w:b/>
                <w:sz w:val="20"/>
                <w:szCs w:val="20"/>
              </w:rPr>
              <w:t>.)</w:t>
            </w:r>
          </w:p>
          <w:p w:rsidR="00182BD0" w:rsidRPr="00D56166" w:rsidRDefault="00182BD0" w:rsidP="00D56166">
            <w:pPr>
              <w:keepNext/>
              <w:keepLines/>
              <w:tabs>
                <w:tab w:val="left" w:pos="-1440"/>
                <w:tab w:val="left" w:pos="-720"/>
              </w:tabs>
              <w:rPr>
                <w:sz w:val="20"/>
                <w:szCs w:val="20"/>
              </w:rPr>
            </w:pPr>
            <w:r w:rsidRPr="00D56166">
              <w:rPr>
                <w:sz w:val="20"/>
                <w:szCs w:val="20"/>
              </w:rPr>
              <w:tab/>
            </w:r>
            <w:r w:rsidR="00281753">
              <w:rPr>
                <w:sz w:val="20"/>
                <w:szCs w:val="20"/>
              </w:rPr>
              <w:t>Thomas G. Rothwell</w:t>
            </w:r>
          </w:p>
          <w:p w:rsidR="00182BD0" w:rsidRPr="00D56166" w:rsidRDefault="00182BD0" w:rsidP="00D56166">
            <w:pPr>
              <w:keepNext/>
              <w:keepLines/>
              <w:tabs>
                <w:tab w:val="left" w:pos="-1440"/>
                <w:tab w:val="left" w:pos="-720"/>
              </w:tabs>
              <w:rPr>
                <w:sz w:val="20"/>
                <w:szCs w:val="20"/>
              </w:rPr>
            </w:pPr>
            <w:r w:rsidRPr="00D56166">
              <w:rPr>
                <w:sz w:val="20"/>
                <w:szCs w:val="20"/>
              </w:rPr>
              <w:tab/>
            </w:r>
            <w:r w:rsidR="00281753">
              <w:rPr>
                <w:sz w:val="20"/>
                <w:szCs w:val="20"/>
              </w:rPr>
              <w:t>A.G. of Alberta</w:t>
            </w:r>
          </w:p>
          <w:p w:rsidR="00182BD0" w:rsidRPr="00D56166" w:rsidRDefault="00182BD0" w:rsidP="00D56166">
            <w:pPr>
              <w:keepNext/>
              <w:keepLines/>
              <w:tabs>
                <w:tab w:val="left" w:pos="-1440"/>
                <w:tab w:val="left" w:pos="-720"/>
              </w:tabs>
              <w:rPr>
                <w:sz w:val="20"/>
                <w:szCs w:val="20"/>
              </w:rPr>
            </w:pPr>
          </w:p>
          <w:p w:rsidR="00182BD0" w:rsidRPr="00A935AA" w:rsidRDefault="00182BD0" w:rsidP="00281753">
            <w:pPr>
              <w:rPr>
                <w:sz w:val="20"/>
                <w:szCs w:val="20"/>
              </w:rPr>
            </w:pPr>
            <w:r w:rsidRPr="00A935AA">
              <w:rPr>
                <w:sz w:val="20"/>
                <w:szCs w:val="20"/>
              </w:rPr>
              <w:t xml:space="preserve">FILING DATE: </w:t>
            </w:r>
            <w:r w:rsidR="00281753">
              <w:rPr>
                <w:sz w:val="20"/>
                <w:szCs w:val="20"/>
              </w:rPr>
              <w:t>30</w:t>
            </w:r>
            <w:r w:rsidRPr="00A935AA">
              <w:rPr>
                <w:sz w:val="20"/>
                <w:szCs w:val="20"/>
              </w:rPr>
              <w:t>.09.201</w:t>
            </w:r>
            <w:r>
              <w:rPr>
                <w:sz w:val="20"/>
                <w:szCs w:val="20"/>
              </w:rPr>
              <w:t>3</w:t>
            </w:r>
            <w:r w:rsidR="00CC2008" w:rsidRPr="00CC2008">
              <w:rPr>
                <w:sz w:val="20"/>
                <w:szCs w:val="20"/>
                <w:lang w:val="fr-CA"/>
              </w:rPr>
              <w:pict>
                <v:rect id="_x0000_i1032" style="width:108pt;height:1pt" o:hrpct="0" o:hralign="center" o:hrstd="t" o:hrnoshade="t" o:hr="t" fillcolor="black [3213]" stroked="f"/>
              </w:pict>
            </w:r>
          </w:p>
        </w:tc>
      </w:tr>
      <w:tr w:rsidR="00182BD0" w:rsidRPr="00A935AA" w:rsidTr="003B3977">
        <w:trPr>
          <w:cantSplit/>
        </w:trPr>
        <w:tc>
          <w:tcPr>
            <w:tcW w:w="4320" w:type="dxa"/>
            <w:shd w:val="clear" w:color="auto" w:fill="auto"/>
          </w:tcPr>
          <w:p w:rsidR="00182BD0" w:rsidRPr="00E20D31" w:rsidRDefault="001D53DE" w:rsidP="00D56166">
            <w:pPr>
              <w:rPr>
                <w:b/>
                <w:sz w:val="20"/>
                <w:szCs w:val="20"/>
                <w:lang w:val="fr-CA"/>
              </w:rPr>
            </w:pPr>
            <w:r w:rsidRPr="00E20D31">
              <w:rPr>
                <w:b/>
                <w:sz w:val="20"/>
                <w:szCs w:val="20"/>
                <w:lang w:val="fr-CA"/>
              </w:rPr>
              <w:t>1008485 Alberta Ltd. et al.</w:t>
            </w:r>
          </w:p>
          <w:p w:rsidR="00182BD0" w:rsidRPr="001D53DE" w:rsidRDefault="00182BD0" w:rsidP="00D56166">
            <w:pPr>
              <w:tabs>
                <w:tab w:val="left" w:pos="-1440"/>
                <w:tab w:val="left" w:pos="-720"/>
              </w:tabs>
              <w:rPr>
                <w:sz w:val="20"/>
                <w:szCs w:val="20"/>
                <w:lang w:val="fr-CA"/>
              </w:rPr>
            </w:pPr>
            <w:r w:rsidRPr="00E20D31">
              <w:rPr>
                <w:sz w:val="20"/>
                <w:szCs w:val="20"/>
                <w:lang w:val="fr-CA"/>
              </w:rPr>
              <w:tab/>
            </w:r>
            <w:r w:rsidR="001D53DE" w:rsidRPr="001D53DE">
              <w:rPr>
                <w:sz w:val="20"/>
                <w:szCs w:val="20"/>
                <w:lang w:val="fr-CA"/>
              </w:rPr>
              <w:t>James K. McFadyen, Q.C.</w:t>
            </w:r>
          </w:p>
          <w:p w:rsidR="00182BD0" w:rsidRPr="00E20D31" w:rsidRDefault="00182BD0" w:rsidP="00D56166">
            <w:pPr>
              <w:tabs>
                <w:tab w:val="left" w:pos="-1440"/>
                <w:tab w:val="left" w:pos="-720"/>
              </w:tabs>
              <w:rPr>
                <w:sz w:val="20"/>
                <w:szCs w:val="20"/>
              </w:rPr>
            </w:pPr>
            <w:r w:rsidRPr="001D53DE">
              <w:rPr>
                <w:sz w:val="20"/>
                <w:szCs w:val="20"/>
                <w:lang w:val="fr-CA"/>
              </w:rPr>
              <w:tab/>
            </w:r>
            <w:r w:rsidR="001D53DE" w:rsidRPr="00E20D31">
              <w:rPr>
                <w:sz w:val="20"/>
                <w:szCs w:val="20"/>
              </w:rPr>
              <w:t>Parlee McLaws LLP</w:t>
            </w:r>
          </w:p>
          <w:p w:rsidR="00182BD0" w:rsidRPr="00E20D31" w:rsidRDefault="00182BD0" w:rsidP="00D56166">
            <w:pPr>
              <w:tabs>
                <w:tab w:val="left" w:pos="-1440"/>
                <w:tab w:val="left" w:pos="-720"/>
              </w:tabs>
              <w:rPr>
                <w:sz w:val="20"/>
                <w:szCs w:val="20"/>
              </w:rPr>
            </w:pPr>
          </w:p>
          <w:p w:rsidR="00182BD0" w:rsidRPr="00A935AA" w:rsidRDefault="00182BD0" w:rsidP="00D56166">
            <w:pPr>
              <w:tabs>
                <w:tab w:val="left" w:pos="-1440"/>
                <w:tab w:val="left" w:pos="-720"/>
              </w:tabs>
              <w:rPr>
                <w:sz w:val="20"/>
                <w:szCs w:val="20"/>
              </w:rPr>
            </w:pPr>
            <w:r w:rsidRPr="00E20D31">
              <w:rPr>
                <w:sz w:val="20"/>
                <w:szCs w:val="20"/>
              </w:rPr>
              <w:tab/>
            </w:r>
            <w:r w:rsidRPr="00A935AA">
              <w:rPr>
                <w:sz w:val="20"/>
                <w:szCs w:val="20"/>
              </w:rPr>
              <w:t>v. (3</w:t>
            </w:r>
            <w:r>
              <w:rPr>
                <w:sz w:val="20"/>
                <w:szCs w:val="20"/>
              </w:rPr>
              <w:t>55</w:t>
            </w:r>
            <w:r w:rsidR="001D53DE">
              <w:rPr>
                <w:sz w:val="20"/>
                <w:szCs w:val="20"/>
              </w:rPr>
              <w:t>65</w:t>
            </w:r>
            <w:r w:rsidRPr="00A935AA">
              <w:rPr>
                <w:sz w:val="20"/>
                <w:szCs w:val="20"/>
              </w:rPr>
              <w:t>)</w:t>
            </w:r>
          </w:p>
          <w:p w:rsidR="00182BD0" w:rsidRPr="00A935AA" w:rsidRDefault="00182BD0" w:rsidP="00D56166">
            <w:pPr>
              <w:tabs>
                <w:tab w:val="left" w:pos="-1440"/>
                <w:tab w:val="left" w:pos="-720"/>
              </w:tabs>
              <w:rPr>
                <w:sz w:val="20"/>
                <w:szCs w:val="20"/>
              </w:rPr>
            </w:pPr>
          </w:p>
          <w:p w:rsidR="00182BD0" w:rsidRPr="00A935AA" w:rsidRDefault="001D53DE" w:rsidP="00D56166">
            <w:pPr>
              <w:tabs>
                <w:tab w:val="left" w:pos="-1440"/>
                <w:tab w:val="left" w:pos="-720"/>
              </w:tabs>
              <w:rPr>
                <w:b/>
                <w:sz w:val="20"/>
                <w:szCs w:val="20"/>
              </w:rPr>
            </w:pPr>
            <w:r>
              <w:rPr>
                <w:b/>
                <w:sz w:val="20"/>
                <w:szCs w:val="20"/>
              </w:rPr>
              <w:t xml:space="preserve">H. Craig Day </w:t>
            </w:r>
            <w:r w:rsidR="00182BD0" w:rsidRPr="00A935AA">
              <w:rPr>
                <w:b/>
                <w:sz w:val="20"/>
                <w:szCs w:val="20"/>
              </w:rPr>
              <w:t>(</w:t>
            </w:r>
            <w:r>
              <w:rPr>
                <w:b/>
                <w:sz w:val="20"/>
                <w:szCs w:val="20"/>
              </w:rPr>
              <w:t>Alta</w:t>
            </w:r>
            <w:r w:rsidR="00182BD0" w:rsidRPr="00A935AA">
              <w:rPr>
                <w:b/>
                <w:sz w:val="20"/>
                <w:szCs w:val="20"/>
              </w:rPr>
              <w:t>.)</w:t>
            </w:r>
          </w:p>
          <w:p w:rsidR="00182BD0" w:rsidRPr="00A935AA" w:rsidRDefault="00182BD0" w:rsidP="00D56166">
            <w:pPr>
              <w:tabs>
                <w:tab w:val="left" w:pos="-1440"/>
                <w:tab w:val="left" w:pos="-720"/>
              </w:tabs>
              <w:rPr>
                <w:sz w:val="20"/>
                <w:szCs w:val="20"/>
              </w:rPr>
            </w:pPr>
            <w:r w:rsidRPr="00A935AA">
              <w:rPr>
                <w:sz w:val="20"/>
                <w:szCs w:val="20"/>
              </w:rPr>
              <w:tab/>
            </w:r>
            <w:r w:rsidR="001D53DE">
              <w:rPr>
                <w:sz w:val="20"/>
                <w:szCs w:val="20"/>
              </w:rPr>
              <w:t>Paul R. Bennett</w:t>
            </w:r>
          </w:p>
          <w:p w:rsidR="00182BD0" w:rsidRPr="00A935AA" w:rsidRDefault="00182BD0" w:rsidP="00D56166">
            <w:pPr>
              <w:tabs>
                <w:tab w:val="left" w:pos="-1440"/>
                <w:tab w:val="left" w:pos="-720"/>
              </w:tabs>
              <w:rPr>
                <w:sz w:val="20"/>
                <w:szCs w:val="20"/>
              </w:rPr>
            </w:pPr>
            <w:r w:rsidRPr="00A935AA">
              <w:rPr>
                <w:sz w:val="20"/>
                <w:szCs w:val="20"/>
              </w:rPr>
              <w:tab/>
            </w:r>
            <w:r w:rsidR="001D53DE">
              <w:rPr>
                <w:sz w:val="20"/>
                <w:szCs w:val="20"/>
              </w:rPr>
              <w:t>Hordo &amp; Bennett</w:t>
            </w:r>
          </w:p>
          <w:p w:rsidR="00182BD0" w:rsidRPr="00A935AA" w:rsidRDefault="00182BD0" w:rsidP="00D56166">
            <w:pPr>
              <w:tabs>
                <w:tab w:val="left" w:pos="-1440"/>
                <w:tab w:val="left" w:pos="-720"/>
              </w:tabs>
              <w:rPr>
                <w:sz w:val="20"/>
                <w:szCs w:val="20"/>
              </w:rPr>
            </w:pPr>
          </w:p>
          <w:p w:rsidR="00182BD0" w:rsidRPr="00A935AA" w:rsidRDefault="00182BD0" w:rsidP="00D56166">
            <w:pPr>
              <w:rPr>
                <w:sz w:val="20"/>
                <w:szCs w:val="20"/>
              </w:rPr>
            </w:pPr>
            <w:r w:rsidRPr="00A935AA">
              <w:rPr>
                <w:sz w:val="20"/>
                <w:szCs w:val="20"/>
              </w:rPr>
              <w:t>FILING DATE:</w:t>
            </w:r>
            <w:r w:rsidR="001D53DE">
              <w:rPr>
                <w:sz w:val="20"/>
                <w:szCs w:val="20"/>
              </w:rPr>
              <w:t xml:space="preserve"> 30</w:t>
            </w:r>
            <w:r w:rsidRPr="00A935AA">
              <w:rPr>
                <w:sz w:val="20"/>
                <w:szCs w:val="20"/>
              </w:rPr>
              <w:t>.09.201</w:t>
            </w:r>
            <w:r>
              <w:rPr>
                <w:sz w:val="20"/>
                <w:szCs w:val="20"/>
              </w:rPr>
              <w:t>3</w:t>
            </w:r>
          </w:p>
          <w:p w:rsidR="00182BD0" w:rsidRPr="00A935AA" w:rsidRDefault="00CC2008" w:rsidP="00D56166">
            <w:pPr>
              <w:rPr>
                <w:sz w:val="20"/>
                <w:szCs w:val="20"/>
              </w:rPr>
            </w:pPr>
            <w:r w:rsidRPr="00CC200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tc>
        <w:tc>
          <w:tcPr>
            <w:tcW w:w="4320" w:type="dxa"/>
            <w:shd w:val="clear" w:color="auto" w:fill="auto"/>
          </w:tcPr>
          <w:p w:rsidR="00182BD0" w:rsidRPr="00A935AA" w:rsidRDefault="0029316A" w:rsidP="00D56166">
            <w:pPr>
              <w:keepNext/>
              <w:keepLines/>
              <w:tabs>
                <w:tab w:val="left" w:pos="-1440"/>
                <w:tab w:val="left" w:pos="-720"/>
              </w:tabs>
              <w:rPr>
                <w:b/>
                <w:sz w:val="20"/>
                <w:szCs w:val="20"/>
              </w:rPr>
            </w:pPr>
            <w:r>
              <w:rPr>
                <w:b/>
                <w:sz w:val="20"/>
                <w:szCs w:val="20"/>
              </w:rPr>
              <w:t>Vass Pipie and Steel Co. Inc.</w:t>
            </w:r>
          </w:p>
          <w:p w:rsidR="00182BD0" w:rsidRPr="00A935AA" w:rsidRDefault="00182BD0" w:rsidP="00D56166">
            <w:pPr>
              <w:keepNext/>
              <w:keepLines/>
              <w:tabs>
                <w:tab w:val="left" w:pos="-1440"/>
                <w:tab w:val="left" w:pos="-720"/>
              </w:tabs>
              <w:rPr>
                <w:sz w:val="20"/>
                <w:szCs w:val="20"/>
              </w:rPr>
            </w:pPr>
            <w:r w:rsidRPr="00A935AA">
              <w:rPr>
                <w:sz w:val="20"/>
                <w:szCs w:val="20"/>
              </w:rPr>
              <w:tab/>
            </w:r>
            <w:r w:rsidR="0029316A">
              <w:rPr>
                <w:sz w:val="20"/>
                <w:szCs w:val="20"/>
              </w:rPr>
              <w:t>James T. Eamon</w:t>
            </w:r>
          </w:p>
          <w:p w:rsidR="00182BD0" w:rsidRPr="00A935AA" w:rsidRDefault="00182BD0" w:rsidP="00D56166">
            <w:pPr>
              <w:keepNext/>
              <w:keepLines/>
              <w:tabs>
                <w:tab w:val="left" w:pos="-1440"/>
                <w:tab w:val="left" w:pos="-720"/>
              </w:tabs>
              <w:rPr>
                <w:sz w:val="20"/>
                <w:szCs w:val="20"/>
              </w:rPr>
            </w:pPr>
            <w:r w:rsidRPr="00A935AA">
              <w:rPr>
                <w:sz w:val="20"/>
                <w:szCs w:val="20"/>
              </w:rPr>
              <w:tab/>
            </w:r>
            <w:r w:rsidR="0029316A">
              <w:rPr>
                <w:sz w:val="20"/>
                <w:szCs w:val="20"/>
              </w:rPr>
              <w:t>Gowling Lafleur Henderson LLP</w:t>
            </w:r>
          </w:p>
          <w:p w:rsidR="00182BD0" w:rsidRPr="00A935AA" w:rsidRDefault="00182BD0" w:rsidP="00D56166">
            <w:pPr>
              <w:keepNext/>
              <w:keepLines/>
              <w:tabs>
                <w:tab w:val="left" w:pos="-1440"/>
                <w:tab w:val="left" w:pos="-720"/>
              </w:tabs>
              <w:rPr>
                <w:sz w:val="20"/>
                <w:szCs w:val="20"/>
              </w:rPr>
            </w:pPr>
          </w:p>
          <w:p w:rsidR="00182BD0" w:rsidRPr="0029316A" w:rsidRDefault="00182BD0" w:rsidP="00D56166">
            <w:pPr>
              <w:keepNext/>
              <w:keepLines/>
              <w:tabs>
                <w:tab w:val="left" w:pos="-1440"/>
                <w:tab w:val="left" w:pos="-720"/>
              </w:tabs>
              <w:rPr>
                <w:sz w:val="20"/>
                <w:szCs w:val="20"/>
              </w:rPr>
            </w:pPr>
            <w:r w:rsidRPr="00A935AA">
              <w:rPr>
                <w:sz w:val="20"/>
                <w:szCs w:val="20"/>
              </w:rPr>
              <w:tab/>
            </w:r>
            <w:r w:rsidRPr="0029316A">
              <w:rPr>
                <w:sz w:val="20"/>
                <w:szCs w:val="20"/>
              </w:rPr>
              <w:t>v. (355</w:t>
            </w:r>
            <w:r w:rsidR="0029316A">
              <w:rPr>
                <w:sz w:val="20"/>
                <w:szCs w:val="20"/>
              </w:rPr>
              <w:t>68</w:t>
            </w:r>
            <w:r w:rsidRPr="0029316A">
              <w:rPr>
                <w:sz w:val="20"/>
                <w:szCs w:val="20"/>
              </w:rPr>
              <w:t>)</w:t>
            </w:r>
          </w:p>
          <w:p w:rsidR="00182BD0" w:rsidRPr="0029316A" w:rsidRDefault="00182BD0" w:rsidP="00D56166">
            <w:pPr>
              <w:keepNext/>
              <w:keepLines/>
              <w:tabs>
                <w:tab w:val="left" w:pos="-1440"/>
                <w:tab w:val="left" w:pos="-720"/>
              </w:tabs>
              <w:rPr>
                <w:sz w:val="20"/>
                <w:szCs w:val="20"/>
              </w:rPr>
            </w:pPr>
          </w:p>
          <w:p w:rsidR="00182BD0" w:rsidRPr="0029316A" w:rsidRDefault="0029316A" w:rsidP="00D56166">
            <w:pPr>
              <w:keepNext/>
              <w:keepLines/>
              <w:tabs>
                <w:tab w:val="left" w:pos="-1440"/>
                <w:tab w:val="left" w:pos="-720"/>
              </w:tabs>
              <w:rPr>
                <w:b/>
                <w:sz w:val="20"/>
                <w:szCs w:val="20"/>
              </w:rPr>
            </w:pPr>
            <w:r w:rsidRPr="0029316A">
              <w:rPr>
                <w:b/>
                <w:sz w:val="20"/>
                <w:szCs w:val="20"/>
              </w:rPr>
              <w:t>Fluor Canada Ltd.</w:t>
            </w:r>
            <w:r>
              <w:rPr>
                <w:b/>
                <w:sz w:val="20"/>
                <w:szCs w:val="20"/>
              </w:rPr>
              <w:t xml:space="preserve"> </w:t>
            </w:r>
            <w:r w:rsidR="00182BD0" w:rsidRPr="0029316A">
              <w:rPr>
                <w:b/>
                <w:sz w:val="20"/>
                <w:szCs w:val="20"/>
              </w:rPr>
              <w:t>(</w:t>
            </w:r>
            <w:r>
              <w:rPr>
                <w:b/>
                <w:sz w:val="20"/>
                <w:szCs w:val="20"/>
              </w:rPr>
              <w:t>Al</w:t>
            </w:r>
            <w:r w:rsidR="00182BD0" w:rsidRPr="0029316A">
              <w:rPr>
                <w:b/>
                <w:sz w:val="20"/>
                <w:szCs w:val="20"/>
              </w:rPr>
              <w:t>t</w:t>
            </w:r>
            <w:r>
              <w:rPr>
                <w:b/>
                <w:sz w:val="20"/>
                <w:szCs w:val="20"/>
              </w:rPr>
              <w:t>a</w:t>
            </w:r>
            <w:r w:rsidR="00182BD0" w:rsidRPr="0029316A">
              <w:rPr>
                <w:b/>
                <w:sz w:val="20"/>
                <w:szCs w:val="20"/>
              </w:rPr>
              <w:t>.)</w:t>
            </w:r>
          </w:p>
          <w:p w:rsidR="00182BD0" w:rsidRPr="0029316A" w:rsidRDefault="00182BD0" w:rsidP="00D56166">
            <w:pPr>
              <w:keepNext/>
              <w:keepLines/>
              <w:tabs>
                <w:tab w:val="left" w:pos="-1440"/>
                <w:tab w:val="left" w:pos="-720"/>
              </w:tabs>
              <w:rPr>
                <w:sz w:val="20"/>
                <w:szCs w:val="20"/>
              </w:rPr>
            </w:pPr>
            <w:r w:rsidRPr="0029316A">
              <w:rPr>
                <w:sz w:val="20"/>
                <w:szCs w:val="20"/>
              </w:rPr>
              <w:tab/>
            </w:r>
            <w:r w:rsidR="0029316A">
              <w:rPr>
                <w:sz w:val="20"/>
                <w:szCs w:val="20"/>
              </w:rPr>
              <w:t>Lowell A. Westersund, Q.C.</w:t>
            </w:r>
          </w:p>
          <w:p w:rsidR="00182BD0" w:rsidRPr="0029316A" w:rsidRDefault="00182BD0" w:rsidP="00D56166">
            <w:pPr>
              <w:keepNext/>
              <w:keepLines/>
              <w:tabs>
                <w:tab w:val="left" w:pos="-1440"/>
                <w:tab w:val="left" w:pos="-720"/>
              </w:tabs>
              <w:rPr>
                <w:sz w:val="20"/>
                <w:szCs w:val="20"/>
              </w:rPr>
            </w:pPr>
            <w:r w:rsidRPr="0029316A">
              <w:rPr>
                <w:sz w:val="20"/>
                <w:szCs w:val="20"/>
              </w:rPr>
              <w:tab/>
            </w:r>
            <w:r w:rsidR="0029316A">
              <w:rPr>
                <w:sz w:val="20"/>
                <w:szCs w:val="20"/>
              </w:rPr>
              <w:t>Rose LLP</w:t>
            </w:r>
          </w:p>
          <w:p w:rsidR="00182BD0" w:rsidRPr="0029316A" w:rsidRDefault="00182BD0" w:rsidP="00D56166">
            <w:pPr>
              <w:keepNext/>
              <w:keepLines/>
              <w:tabs>
                <w:tab w:val="left" w:pos="-1440"/>
                <w:tab w:val="left" w:pos="-720"/>
              </w:tabs>
              <w:rPr>
                <w:sz w:val="20"/>
                <w:szCs w:val="20"/>
              </w:rPr>
            </w:pPr>
          </w:p>
          <w:p w:rsidR="0029316A" w:rsidRPr="00A935AA" w:rsidRDefault="0029316A" w:rsidP="0029316A">
            <w:pPr>
              <w:rPr>
                <w:sz w:val="20"/>
                <w:szCs w:val="20"/>
              </w:rPr>
            </w:pPr>
            <w:r>
              <w:rPr>
                <w:sz w:val="20"/>
                <w:szCs w:val="20"/>
                <w:lang w:val="fr-CA"/>
              </w:rPr>
              <w:t xml:space="preserve">and between </w:t>
            </w:r>
          </w:p>
        </w:tc>
      </w:tr>
      <w:tr w:rsidR="00182BD0" w:rsidRPr="00A935AA" w:rsidTr="003B3977">
        <w:trPr>
          <w:cantSplit/>
        </w:trPr>
        <w:tc>
          <w:tcPr>
            <w:tcW w:w="4320" w:type="dxa"/>
            <w:shd w:val="clear" w:color="auto" w:fill="auto"/>
          </w:tcPr>
          <w:p w:rsidR="00182BD0" w:rsidRDefault="00182BD0" w:rsidP="00D56166">
            <w:pPr>
              <w:rPr>
                <w:b/>
                <w:sz w:val="20"/>
                <w:szCs w:val="20"/>
              </w:rPr>
            </w:pPr>
          </w:p>
          <w:p w:rsidR="001D53DE" w:rsidRPr="00A935AA" w:rsidRDefault="001D53DE" w:rsidP="00D56166">
            <w:pPr>
              <w:rPr>
                <w:b/>
                <w:sz w:val="20"/>
                <w:szCs w:val="20"/>
              </w:rPr>
            </w:pPr>
            <w:r>
              <w:rPr>
                <w:b/>
                <w:sz w:val="20"/>
                <w:szCs w:val="20"/>
              </w:rPr>
              <w:t xml:space="preserve">National Money Mart Company carrying on business under the name and style </w:t>
            </w:r>
            <w:r>
              <w:rPr>
                <w:rFonts w:cs="Times New Roman"/>
                <w:b/>
                <w:sz w:val="20"/>
                <w:szCs w:val="20"/>
              </w:rPr>
              <w:t>"</w:t>
            </w:r>
            <w:r>
              <w:rPr>
                <w:b/>
                <w:sz w:val="20"/>
                <w:szCs w:val="20"/>
              </w:rPr>
              <w:t>Money Mart</w:t>
            </w:r>
            <w:r>
              <w:rPr>
                <w:rFonts w:cs="Times New Roman"/>
                <w:b/>
                <w:sz w:val="20"/>
                <w:szCs w:val="20"/>
              </w:rPr>
              <w:t>"</w:t>
            </w:r>
          </w:p>
          <w:p w:rsidR="00182BD0" w:rsidRPr="00A935AA" w:rsidRDefault="00182BD0" w:rsidP="00D56166">
            <w:pPr>
              <w:tabs>
                <w:tab w:val="left" w:pos="-1440"/>
                <w:tab w:val="left" w:pos="-720"/>
              </w:tabs>
              <w:rPr>
                <w:sz w:val="20"/>
                <w:szCs w:val="20"/>
              </w:rPr>
            </w:pPr>
            <w:r w:rsidRPr="00A935AA">
              <w:rPr>
                <w:sz w:val="20"/>
                <w:szCs w:val="20"/>
              </w:rPr>
              <w:tab/>
            </w:r>
            <w:r w:rsidR="001D53DE">
              <w:rPr>
                <w:sz w:val="20"/>
                <w:szCs w:val="20"/>
              </w:rPr>
              <w:t>John P. Brown</w:t>
            </w:r>
          </w:p>
          <w:p w:rsidR="00182BD0" w:rsidRPr="00A935AA" w:rsidRDefault="00182BD0" w:rsidP="00D56166">
            <w:pPr>
              <w:tabs>
                <w:tab w:val="left" w:pos="-1440"/>
                <w:tab w:val="left" w:pos="-720"/>
              </w:tabs>
              <w:rPr>
                <w:sz w:val="20"/>
                <w:szCs w:val="20"/>
              </w:rPr>
            </w:pPr>
            <w:r w:rsidRPr="00A935AA">
              <w:rPr>
                <w:sz w:val="20"/>
                <w:szCs w:val="20"/>
              </w:rPr>
              <w:tab/>
            </w:r>
            <w:r w:rsidR="001D53DE">
              <w:rPr>
                <w:sz w:val="20"/>
                <w:szCs w:val="20"/>
              </w:rPr>
              <w:t>McCarthy Tétrault LLP</w:t>
            </w:r>
          </w:p>
          <w:p w:rsidR="00182BD0" w:rsidRPr="00A935AA" w:rsidRDefault="00182BD0" w:rsidP="00D56166">
            <w:pPr>
              <w:tabs>
                <w:tab w:val="left" w:pos="-1440"/>
                <w:tab w:val="left" w:pos="-720"/>
              </w:tabs>
              <w:rPr>
                <w:sz w:val="20"/>
                <w:szCs w:val="20"/>
              </w:rPr>
            </w:pPr>
          </w:p>
          <w:p w:rsidR="00182BD0" w:rsidRPr="00A935AA" w:rsidRDefault="00182BD0" w:rsidP="00D56166">
            <w:pPr>
              <w:tabs>
                <w:tab w:val="left" w:pos="-1440"/>
                <w:tab w:val="left" w:pos="-720"/>
              </w:tabs>
              <w:rPr>
                <w:sz w:val="20"/>
                <w:szCs w:val="20"/>
              </w:rPr>
            </w:pPr>
            <w:r w:rsidRPr="00A935AA">
              <w:rPr>
                <w:sz w:val="20"/>
                <w:szCs w:val="20"/>
              </w:rPr>
              <w:tab/>
              <w:t>v. (3</w:t>
            </w:r>
            <w:r>
              <w:rPr>
                <w:sz w:val="20"/>
                <w:szCs w:val="20"/>
              </w:rPr>
              <w:t>55</w:t>
            </w:r>
            <w:r w:rsidR="001D53DE">
              <w:rPr>
                <w:sz w:val="20"/>
                <w:szCs w:val="20"/>
              </w:rPr>
              <w:t>64</w:t>
            </w:r>
            <w:r w:rsidRPr="00A935AA">
              <w:rPr>
                <w:sz w:val="20"/>
                <w:szCs w:val="20"/>
              </w:rPr>
              <w:t>)</w:t>
            </w:r>
          </w:p>
          <w:p w:rsidR="00182BD0" w:rsidRPr="00A935AA" w:rsidRDefault="00182BD0" w:rsidP="00D56166">
            <w:pPr>
              <w:tabs>
                <w:tab w:val="left" w:pos="-1440"/>
                <w:tab w:val="left" w:pos="-720"/>
              </w:tabs>
              <w:rPr>
                <w:sz w:val="20"/>
                <w:szCs w:val="20"/>
              </w:rPr>
            </w:pPr>
          </w:p>
          <w:p w:rsidR="00182BD0" w:rsidRPr="00A935AA" w:rsidRDefault="001D53DE" w:rsidP="00D56166">
            <w:pPr>
              <w:tabs>
                <w:tab w:val="left" w:pos="-1440"/>
                <w:tab w:val="left" w:pos="-720"/>
              </w:tabs>
              <w:rPr>
                <w:b/>
                <w:sz w:val="20"/>
                <w:szCs w:val="20"/>
              </w:rPr>
            </w:pPr>
            <w:r>
              <w:rPr>
                <w:b/>
                <w:sz w:val="20"/>
                <w:szCs w:val="20"/>
              </w:rPr>
              <w:t xml:space="preserve">Gareth Young, as representative Plaintiff et al. </w:t>
            </w:r>
            <w:r w:rsidR="00182BD0" w:rsidRPr="00A935AA">
              <w:rPr>
                <w:b/>
                <w:sz w:val="20"/>
                <w:szCs w:val="20"/>
              </w:rPr>
              <w:t>(</w:t>
            </w:r>
            <w:r>
              <w:rPr>
                <w:b/>
                <w:sz w:val="20"/>
                <w:szCs w:val="20"/>
              </w:rPr>
              <w:t>Alta</w:t>
            </w:r>
            <w:r w:rsidR="00182BD0" w:rsidRPr="00A935AA">
              <w:rPr>
                <w:b/>
                <w:sz w:val="20"/>
                <w:szCs w:val="20"/>
              </w:rPr>
              <w:t>.)</w:t>
            </w:r>
          </w:p>
          <w:p w:rsidR="000A69E9" w:rsidRPr="00A935AA" w:rsidRDefault="00182BD0" w:rsidP="000A69E9">
            <w:pPr>
              <w:tabs>
                <w:tab w:val="left" w:pos="-1440"/>
                <w:tab w:val="left" w:pos="-720"/>
              </w:tabs>
              <w:rPr>
                <w:sz w:val="20"/>
                <w:szCs w:val="20"/>
              </w:rPr>
            </w:pPr>
            <w:r w:rsidRPr="00A935AA">
              <w:rPr>
                <w:sz w:val="20"/>
                <w:szCs w:val="20"/>
              </w:rPr>
              <w:tab/>
            </w:r>
            <w:r w:rsidR="000A69E9">
              <w:rPr>
                <w:sz w:val="20"/>
                <w:szCs w:val="20"/>
              </w:rPr>
              <w:t>Paul R. Bennett</w:t>
            </w:r>
          </w:p>
          <w:p w:rsidR="000A69E9" w:rsidRPr="00A935AA" w:rsidRDefault="000A69E9" w:rsidP="000A69E9">
            <w:pPr>
              <w:tabs>
                <w:tab w:val="left" w:pos="-1440"/>
                <w:tab w:val="left" w:pos="-720"/>
              </w:tabs>
              <w:rPr>
                <w:sz w:val="20"/>
                <w:szCs w:val="20"/>
              </w:rPr>
            </w:pPr>
            <w:r w:rsidRPr="00A935AA">
              <w:rPr>
                <w:sz w:val="20"/>
                <w:szCs w:val="20"/>
              </w:rPr>
              <w:tab/>
            </w:r>
            <w:r>
              <w:rPr>
                <w:sz w:val="20"/>
                <w:szCs w:val="20"/>
              </w:rPr>
              <w:t>Hordo &amp; Bennett</w:t>
            </w:r>
          </w:p>
          <w:p w:rsidR="00182BD0" w:rsidRPr="00A935AA" w:rsidRDefault="00182BD0" w:rsidP="000A69E9">
            <w:pPr>
              <w:rPr>
                <w:sz w:val="20"/>
                <w:szCs w:val="20"/>
              </w:rPr>
            </w:pPr>
          </w:p>
        </w:tc>
        <w:tc>
          <w:tcPr>
            <w:tcW w:w="1181" w:type="dxa"/>
            <w:shd w:val="clear" w:color="auto" w:fill="auto"/>
          </w:tcPr>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Pr="00A935AA" w:rsidRDefault="00182BD0" w:rsidP="00242AEE">
            <w:pPr>
              <w:jc w:val="center"/>
              <w:rPr>
                <w:sz w:val="20"/>
                <w:szCs w:val="20"/>
              </w:rPr>
            </w:pPr>
          </w:p>
          <w:p w:rsidR="00182BD0" w:rsidRDefault="00182BD0" w:rsidP="00242AEE">
            <w:pPr>
              <w:jc w:val="center"/>
              <w:rPr>
                <w:sz w:val="20"/>
                <w:szCs w:val="20"/>
              </w:rPr>
            </w:pPr>
          </w:p>
          <w:p w:rsidR="00757385" w:rsidRPr="00A935AA" w:rsidRDefault="00757385" w:rsidP="00242AEE">
            <w:pPr>
              <w:jc w:val="center"/>
              <w:rPr>
                <w:sz w:val="20"/>
                <w:szCs w:val="20"/>
              </w:rPr>
            </w:pPr>
          </w:p>
          <w:p w:rsidR="00182BD0" w:rsidRPr="00A935AA" w:rsidRDefault="00182BD0" w:rsidP="00242AEE">
            <w:pPr>
              <w:jc w:val="center"/>
              <w:rPr>
                <w:sz w:val="20"/>
                <w:szCs w:val="20"/>
              </w:rPr>
            </w:pPr>
          </w:p>
        </w:tc>
        <w:tc>
          <w:tcPr>
            <w:tcW w:w="4320" w:type="dxa"/>
            <w:shd w:val="clear" w:color="auto" w:fill="auto"/>
          </w:tcPr>
          <w:p w:rsidR="0029316A" w:rsidRPr="00A935AA" w:rsidRDefault="0029316A" w:rsidP="00D56166">
            <w:pPr>
              <w:keepNext/>
              <w:keepLines/>
              <w:tabs>
                <w:tab w:val="left" w:pos="-1440"/>
                <w:tab w:val="left" w:pos="-720"/>
              </w:tabs>
              <w:rPr>
                <w:b/>
                <w:sz w:val="20"/>
                <w:szCs w:val="20"/>
              </w:rPr>
            </w:pPr>
            <w:r>
              <w:rPr>
                <w:b/>
                <w:sz w:val="20"/>
                <w:szCs w:val="20"/>
              </w:rPr>
              <w:t>EMCO Corporation carrying on business under the firm name and style WESTLUND</w:t>
            </w:r>
          </w:p>
          <w:p w:rsidR="00182BD0" w:rsidRPr="00A935AA" w:rsidRDefault="00182BD0" w:rsidP="00D56166">
            <w:pPr>
              <w:keepNext/>
              <w:keepLines/>
              <w:tabs>
                <w:tab w:val="left" w:pos="-1440"/>
                <w:tab w:val="left" w:pos="-720"/>
              </w:tabs>
              <w:rPr>
                <w:sz w:val="20"/>
                <w:szCs w:val="20"/>
              </w:rPr>
            </w:pPr>
            <w:r w:rsidRPr="00A935AA">
              <w:rPr>
                <w:sz w:val="20"/>
                <w:szCs w:val="20"/>
              </w:rPr>
              <w:tab/>
            </w:r>
            <w:r w:rsidR="0029316A">
              <w:rPr>
                <w:sz w:val="20"/>
                <w:szCs w:val="20"/>
              </w:rPr>
              <w:t>Michael A. Feder</w:t>
            </w:r>
          </w:p>
          <w:p w:rsidR="00182BD0" w:rsidRPr="00A935AA" w:rsidRDefault="00182BD0" w:rsidP="00D56166">
            <w:pPr>
              <w:keepNext/>
              <w:keepLines/>
              <w:tabs>
                <w:tab w:val="left" w:pos="-1440"/>
                <w:tab w:val="left" w:pos="-720"/>
              </w:tabs>
              <w:rPr>
                <w:sz w:val="20"/>
                <w:szCs w:val="20"/>
              </w:rPr>
            </w:pPr>
            <w:r w:rsidRPr="00A935AA">
              <w:rPr>
                <w:sz w:val="20"/>
                <w:szCs w:val="20"/>
              </w:rPr>
              <w:tab/>
            </w:r>
            <w:r w:rsidR="0029316A">
              <w:rPr>
                <w:sz w:val="20"/>
                <w:szCs w:val="20"/>
              </w:rPr>
              <w:t>McCarthy Tétrault LLP</w:t>
            </w:r>
          </w:p>
          <w:p w:rsidR="00182BD0" w:rsidRPr="00A935AA" w:rsidRDefault="00182BD0" w:rsidP="00D56166">
            <w:pPr>
              <w:keepNext/>
              <w:keepLines/>
              <w:tabs>
                <w:tab w:val="left" w:pos="-1440"/>
                <w:tab w:val="left" w:pos="-720"/>
              </w:tabs>
              <w:rPr>
                <w:sz w:val="20"/>
                <w:szCs w:val="20"/>
              </w:rPr>
            </w:pPr>
          </w:p>
          <w:p w:rsidR="00182BD0" w:rsidRPr="0029316A" w:rsidRDefault="00182BD0" w:rsidP="00D56166">
            <w:pPr>
              <w:keepNext/>
              <w:keepLines/>
              <w:tabs>
                <w:tab w:val="left" w:pos="-1440"/>
                <w:tab w:val="left" w:pos="-720"/>
              </w:tabs>
              <w:rPr>
                <w:sz w:val="20"/>
                <w:szCs w:val="20"/>
              </w:rPr>
            </w:pPr>
            <w:r w:rsidRPr="00A935AA">
              <w:rPr>
                <w:sz w:val="20"/>
                <w:szCs w:val="20"/>
              </w:rPr>
              <w:tab/>
            </w:r>
            <w:r w:rsidRPr="0029316A">
              <w:rPr>
                <w:sz w:val="20"/>
                <w:szCs w:val="20"/>
              </w:rPr>
              <w:t>v. (355</w:t>
            </w:r>
            <w:r w:rsidR="0029316A">
              <w:rPr>
                <w:sz w:val="20"/>
                <w:szCs w:val="20"/>
              </w:rPr>
              <w:t>68</w:t>
            </w:r>
            <w:r w:rsidRPr="0029316A">
              <w:rPr>
                <w:sz w:val="20"/>
                <w:szCs w:val="20"/>
              </w:rPr>
              <w:t>)</w:t>
            </w:r>
          </w:p>
          <w:p w:rsidR="00182BD0" w:rsidRPr="0029316A" w:rsidRDefault="00182BD0" w:rsidP="00D56166">
            <w:pPr>
              <w:keepNext/>
              <w:keepLines/>
              <w:tabs>
                <w:tab w:val="left" w:pos="-1440"/>
                <w:tab w:val="left" w:pos="-720"/>
              </w:tabs>
              <w:rPr>
                <w:sz w:val="20"/>
                <w:szCs w:val="20"/>
              </w:rPr>
            </w:pPr>
          </w:p>
          <w:p w:rsidR="0029316A" w:rsidRPr="0029316A" w:rsidRDefault="0029316A" w:rsidP="0029316A">
            <w:pPr>
              <w:keepNext/>
              <w:keepLines/>
              <w:tabs>
                <w:tab w:val="left" w:pos="-1440"/>
                <w:tab w:val="left" w:pos="-720"/>
              </w:tabs>
              <w:rPr>
                <w:b/>
                <w:sz w:val="20"/>
                <w:szCs w:val="20"/>
              </w:rPr>
            </w:pPr>
            <w:r w:rsidRPr="0029316A">
              <w:rPr>
                <w:b/>
                <w:sz w:val="20"/>
                <w:szCs w:val="20"/>
              </w:rPr>
              <w:t>Fluor Canada Ltd.</w:t>
            </w:r>
            <w:r>
              <w:rPr>
                <w:b/>
                <w:sz w:val="20"/>
                <w:szCs w:val="20"/>
              </w:rPr>
              <w:t xml:space="preserve"> </w:t>
            </w:r>
            <w:r w:rsidRPr="0029316A">
              <w:rPr>
                <w:b/>
                <w:sz w:val="20"/>
                <w:szCs w:val="20"/>
              </w:rPr>
              <w:t>(</w:t>
            </w:r>
            <w:r>
              <w:rPr>
                <w:b/>
                <w:sz w:val="20"/>
                <w:szCs w:val="20"/>
              </w:rPr>
              <w:t>Al</w:t>
            </w:r>
            <w:r w:rsidRPr="0029316A">
              <w:rPr>
                <w:b/>
                <w:sz w:val="20"/>
                <w:szCs w:val="20"/>
              </w:rPr>
              <w:t>t</w:t>
            </w:r>
            <w:r>
              <w:rPr>
                <w:b/>
                <w:sz w:val="20"/>
                <w:szCs w:val="20"/>
              </w:rPr>
              <w:t>a</w:t>
            </w:r>
            <w:r w:rsidRPr="0029316A">
              <w:rPr>
                <w:b/>
                <w:sz w:val="20"/>
                <w:szCs w:val="20"/>
              </w:rPr>
              <w:t>.)</w:t>
            </w:r>
          </w:p>
          <w:p w:rsidR="0029316A" w:rsidRPr="0029316A" w:rsidRDefault="0029316A" w:rsidP="0029316A">
            <w:pPr>
              <w:keepNext/>
              <w:keepLines/>
              <w:tabs>
                <w:tab w:val="left" w:pos="-1440"/>
                <w:tab w:val="left" w:pos="-720"/>
              </w:tabs>
              <w:rPr>
                <w:sz w:val="20"/>
                <w:szCs w:val="20"/>
              </w:rPr>
            </w:pPr>
            <w:r w:rsidRPr="0029316A">
              <w:rPr>
                <w:sz w:val="20"/>
                <w:szCs w:val="20"/>
              </w:rPr>
              <w:tab/>
            </w:r>
            <w:r>
              <w:rPr>
                <w:sz w:val="20"/>
                <w:szCs w:val="20"/>
              </w:rPr>
              <w:t>Lowell A. Westersund, Q.C.</w:t>
            </w:r>
          </w:p>
          <w:p w:rsidR="00182BD0" w:rsidRDefault="0029316A" w:rsidP="0029316A">
            <w:pPr>
              <w:keepNext/>
              <w:keepLines/>
              <w:tabs>
                <w:tab w:val="left" w:pos="-1440"/>
                <w:tab w:val="left" w:pos="-720"/>
              </w:tabs>
              <w:rPr>
                <w:sz w:val="20"/>
                <w:szCs w:val="20"/>
              </w:rPr>
            </w:pPr>
            <w:r w:rsidRPr="0029316A">
              <w:rPr>
                <w:sz w:val="20"/>
                <w:szCs w:val="20"/>
              </w:rPr>
              <w:tab/>
            </w:r>
            <w:r>
              <w:rPr>
                <w:sz w:val="20"/>
                <w:szCs w:val="20"/>
              </w:rPr>
              <w:t>Rose LLP</w:t>
            </w:r>
            <w:r w:rsidRPr="0029316A">
              <w:rPr>
                <w:sz w:val="20"/>
                <w:szCs w:val="20"/>
              </w:rPr>
              <w:t xml:space="preserve"> </w:t>
            </w:r>
          </w:p>
          <w:p w:rsidR="0029316A" w:rsidRPr="0029316A" w:rsidRDefault="0029316A" w:rsidP="0029316A">
            <w:pPr>
              <w:keepNext/>
              <w:keepLines/>
              <w:tabs>
                <w:tab w:val="left" w:pos="-1440"/>
                <w:tab w:val="left" w:pos="-720"/>
              </w:tabs>
              <w:rPr>
                <w:sz w:val="20"/>
                <w:szCs w:val="20"/>
              </w:rPr>
            </w:pPr>
          </w:p>
          <w:p w:rsidR="00182BD0" w:rsidRDefault="00182BD0" w:rsidP="0029316A">
            <w:pPr>
              <w:rPr>
                <w:sz w:val="20"/>
                <w:szCs w:val="20"/>
              </w:rPr>
            </w:pPr>
            <w:r w:rsidRPr="00A935AA">
              <w:rPr>
                <w:sz w:val="20"/>
                <w:szCs w:val="20"/>
              </w:rPr>
              <w:t xml:space="preserve">FILING DATE: </w:t>
            </w:r>
            <w:r w:rsidR="0029316A">
              <w:rPr>
                <w:sz w:val="20"/>
                <w:szCs w:val="20"/>
              </w:rPr>
              <w:t>03</w:t>
            </w:r>
            <w:r w:rsidRPr="00A935AA">
              <w:rPr>
                <w:sz w:val="20"/>
                <w:szCs w:val="20"/>
              </w:rPr>
              <w:t>.</w:t>
            </w:r>
            <w:r w:rsidR="0029316A">
              <w:rPr>
                <w:sz w:val="20"/>
                <w:szCs w:val="20"/>
              </w:rPr>
              <w:t>1</w:t>
            </w:r>
            <w:r w:rsidRPr="00A935AA">
              <w:rPr>
                <w:sz w:val="20"/>
                <w:szCs w:val="20"/>
              </w:rPr>
              <w:t>0.201</w:t>
            </w:r>
            <w:r>
              <w:rPr>
                <w:sz w:val="20"/>
                <w:szCs w:val="20"/>
              </w:rPr>
              <w:t>3</w:t>
            </w:r>
          </w:p>
          <w:p w:rsidR="000A69E9" w:rsidRDefault="000A69E9" w:rsidP="0029316A">
            <w:pPr>
              <w:rPr>
                <w:sz w:val="20"/>
                <w:szCs w:val="20"/>
              </w:rPr>
            </w:pPr>
          </w:p>
          <w:p w:rsidR="000A69E9" w:rsidRPr="00A935AA" w:rsidRDefault="000A69E9" w:rsidP="000A69E9">
            <w:pPr>
              <w:keepNext/>
              <w:keepLines/>
              <w:tabs>
                <w:tab w:val="left" w:pos="-1440"/>
                <w:tab w:val="left" w:pos="-720"/>
              </w:tabs>
              <w:rPr>
                <w:sz w:val="20"/>
                <w:szCs w:val="20"/>
              </w:rPr>
            </w:pPr>
            <w:r w:rsidRPr="00E20D31">
              <w:rPr>
                <w:sz w:val="20"/>
                <w:szCs w:val="20"/>
              </w:rPr>
              <w:t>and between</w:t>
            </w:r>
          </w:p>
        </w:tc>
      </w:tr>
      <w:tr w:rsidR="00182BD0" w:rsidRPr="00A935AA" w:rsidTr="003B3977">
        <w:trPr>
          <w:cantSplit/>
        </w:trPr>
        <w:tc>
          <w:tcPr>
            <w:tcW w:w="4320" w:type="dxa"/>
            <w:shd w:val="clear" w:color="auto" w:fill="auto"/>
          </w:tcPr>
          <w:p w:rsidR="00182BD0" w:rsidRPr="00E20D31" w:rsidRDefault="000A69E9" w:rsidP="00D56166">
            <w:pPr>
              <w:rPr>
                <w:sz w:val="20"/>
                <w:szCs w:val="20"/>
              </w:rPr>
            </w:pPr>
            <w:r w:rsidRPr="00A935AA">
              <w:rPr>
                <w:sz w:val="20"/>
                <w:szCs w:val="20"/>
              </w:rPr>
              <w:t>FILING DATE:</w:t>
            </w:r>
            <w:r>
              <w:rPr>
                <w:sz w:val="20"/>
                <w:szCs w:val="20"/>
              </w:rPr>
              <w:t xml:space="preserve"> 30</w:t>
            </w:r>
            <w:r w:rsidRPr="00A935AA">
              <w:rPr>
                <w:sz w:val="20"/>
                <w:szCs w:val="20"/>
              </w:rPr>
              <w:t>.09.201</w:t>
            </w:r>
            <w:r>
              <w:rPr>
                <w:sz w:val="20"/>
                <w:szCs w:val="20"/>
              </w:rPr>
              <w:t>3</w:t>
            </w:r>
            <w:r w:rsidR="00CC2008" w:rsidRPr="00CC2008">
              <w:rPr>
                <w:sz w:val="20"/>
                <w:szCs w:val="20"/>
                <w:lang w:val="fr-CA"/>
              </w:rPr>
              <w:pict>
                <v:rect id="_x0000_i1034" style="width:108pt;height:1pt" o:hrpct="0" o:hralign="center" o:hrstd="t" o:hrnoshade="t" o:hr="t" fillcolor="black [3213]" stroked="f"/>
              </w:pict>
            </w:r>
          </w:p>
          <w:p w:rsidR="000A69E9" w:rsidRPr="00E20D31" w:rsidRDefault="000A69E9" w:rsidP="00D56166">
            <w:pPr>
              <w:rPr>
                <w:sz w:val="20"/>
                <w:szCs w:val="20"/>
              </w:rPr>
            </w:pPr>
          </w:p>
          <w:p w:rsidR="000A69E9" w:rsidRPr="00A935AA" w:rsidRDefault="003722F2" w:rsidP="00D56166">
            <w:pPr>
              <w:rPr>
                <w:b/>
                <w:sz w:val="20"/>
                <w:szCs w:val="20"/>
              </w:rPr>
            </w:pPr>
            <w:r>
              <w:rPr>
                <w:b/>
                <w:sz w:val="20"/>
                <w:szCs w:val="20"/>
              </w:rPr>
              <w:t>Gordon Charles Twerd</w:t>
            </w:r>
          </w:p>
          <w:p w:rsidR="00182BD0" w:rsidRPr="00A935AA" w:rsidRDefault="00182BD0" w:rsidP="00D56166">
            <w:pPr>
              <w:tabs>
                <w:tab w:val="left" w:pos="-1440"/>
                <w:tab w:val="left" w:pos="-720"/>
              </w:tabs>
              <w:rPr>
                <w:sz w:val="20"/>
                <w:szCs w:val="20"/>
              </w:rPr>
            </w:pPr>
            <w:r w:rsidRPr="00A935AA">
              <w:rPr>
                <w:sz w:val="20"/>
                <w:szCs w:val="20"/>
              </w:rPr>
              <w:tab/>
            </w:r>
            <w:r w:rsidR="003722F2">
              <w:rPr>
                <w:sz w:val="20"/>
                <w:szCs w:val="20"/>
              </w:rPr>
              <w:t>Gordon Charles Twerd</w:t>
            </w:r>
          </w:p>
          <w:p w:rsidR="00182BD0" w:rsidRPr="00A935AA" w:rsidRDefault="00182BD0" w:rsidP="00D56166">
            <w:pPr>
              <w:tabs>
                <w:tab w:val="left" w:pos="-1440"/>
                <w:tab w:val="left" w:pos="-720"/>
              </w:tabs>
              <w:rPr>
                <w:sz w:val="20"/>
                <w:szCs w:val="20"/>
              </w:rPr>
            </w:pPr>
          </w:p>
          <w:p w:rsidR="00182BD0" w:rsidRPr="00A935AA" w:rsidRDefault="00182BD0" w:rsidP="00D56166">
            <w:pPr>
              <w:tabs>
                <w:tab w:val="left" w:pos="-1440"/>
                <w:tab w:val="left" w:pos="-720"/>
              </w:tabs>
              <w:rPr>
                <w:sz w:val="20"/>
                <w:szCs w:val="20"/>
              </w:rPr>
            </w:pPr>
            <w:r w:rsidRPr="00A935AA">
              <w:rPr>
                <w:sz w:val="20"/>
                <w:szCs w:val="20"/>
              </w:rPr>
              <w:tab/>
              <w:t>v. (3</w:t>
            </w:r>
            <w:r>
              <w:rPr>
                <w:sz w:val="20"/>
                <w:szCs w:val="20"/>
              </w:rPr>
              <w:t>55</w:t>
            </w:r>
            <w:r w:rsidR="003722F2">
              <w:rPr>
                <w:sz w:val="20"/>
                <w:szCs w:val="20"/>
              </w:rPr>
              <w:t>67</w:t>
            </w:r>
            <w:r w:rsidRPr="00A935AA">
              <w:rPr>
                <w:sz w:val="20"/>
                <w:szCs w:val="20"/>
              </w:rPr>
              <w:t>)</w:t>
            </w:r>
          </w:p>
          <w:p w:rsidR="00182BD0" w:rsidRPr="00A935AA" w:rsidRDefault="00182BD0" w:rsidP="00D56166">
            <w:pPr>
              <w:tabs>
                <w:tab w:val="left" w:pos="-1440"/>
                <w:tab w:val="left" w:pos="-720"/>
              </w:tabs>
              <w:rPr>
                <w:sz w:val="20"/>
                <w:szCs w:val="20"/>
              </w:rPr>
            </w:pPr>
          </w:p>
          <w:p w:rsidR="00182BD0" w:rsidRPr="00A935AA" w:rsidRDefault="003722F2" w:rsidP="00D56166">
            <w:pPr>
              <w:tabs>
                <w:tab w:val="left" w:pos="-1440"/>
                <w:tab w:val="left" w:pos="-720"/>
              </w:tabs>
              <w:rPr>
                <w:b/>
                <w:sz w:val="20"/>
                <w:szCs w:val="20"/>
              </w:rPr>
            </w:pPr>
            <w:r>
              <w:rPr>
                <w:b/>
                <w:sz w:val="20"/>
                <w:szCs w:val="20"/>
              </w:rPr>
              <w:t xml:space="preserve">Criminal Injuries Review Board </w:t>
            </w:r>
            <w:r w:rsidR="00182BD0" w:rsidRPr="00A935AA">
              <w:rPr>
                <w:b/>
                <w:sz w:val="20"/>
                <w:szCs w:val="20"/>
              </w:rPr>
              <w:t>(</w:t>
            </w:r>
            <w:r>
              <w:rPr>
                <w:b/>
                <w:sz w:val="20"/>
                <w:szCs w:val="20"/>
              </w:rPr>
              <w:t>Alta</w:t>
            </w:r>
            <w:r w:rsidR="00182BD0" w:rsidRPr="00A935AA">
              <w:rPr>
                <w:b/>
                <w:sz w:val="20"/>
                <w:szCs w:val="20"/>
              </w:rPr>
              <w:t>.)</w:t>
            </w:r>
          </w:p>
          <w:p w:rsidR="00182BD0" w:rsidRPr="00A935AA" w:rsidRDefault="00182BD0" w:rsidP="00D56166">
            <w:pPr>
              <w:tabs>
                <w:tab w:val="left" w:pos="-1440"/>
                <w:tab w:val="left" w:pos="-720"/>
              </w:tabs>
              <w:rPr>
                <w:sz w:val="20"/>
                <w:szCs w:val="20"/>
              </w:rPr>
            </w:pPr>
            <w:r w:rsidRPr="00A935AA">
              <w:rPr>
                <w:sz w:val="20"/>
                <w:szCs w:val="20"/>
              </w:rPr>
              <w:tab/>
            </w:r>
            <w:r w:rsidR="003722F2">
              <w:rPr>
                <w:sz w:val="20"/>
                <w:szCs w:val="20"/>
              </w:rPr>
              <w:t>David Jardine</w:t>
            </w:r>
          </w:p>
          <w:p w:rsidR="00182BD0" w:rsidRPr="00A935AA" w:rsidRDefault="00182BD0" w:rsidP="00D56166">
            <w:pPr>
              <w:tabs>
                <w:tab w:val="left" w:pos="-1440"/>
                <w:tab w:val="left" w:pos="-720"/>
              </w:tabs>
              <w:rPr>
                <w:sz w:val="20"/>
                <w:szCs w:val="20"/>
              </w:rPr>
            </w:pPr>
            <w:r w:rsidRPr="00A935AA">
              <w:rPr>
                <w:sz w:val="20"/>
                <w:szCs w:val="20"/>
              </w:rPr>
              <w:tab/>
            </w:r>
            <w:r w:rsidR="003722F2">
              <w:rPr>
                <w:sz w:val="20"/>
                <w:szCs w:val="20"/>
              </w:rPr>
              <w:t>Shores Jardine</w:t>
            </w:r>
          </w:p>
          <w:p w:rsidR="00182BD0" w:rsidRPr="00A935AA" w:rsidRDefault="00182BD0" w:rsidP="00D56166">
            <w:pPr>
              <w:tabs>
                <w:tab w:val="left" w:pos="-1440"/>
                <w:tab w:val="left" w:pos="-720"/>
              </w:tabs>
              <w:rPr>
                <w:sz w:val="20"/>
                <w:szCs w:val="20"/>
              </w:rPr>
            </w:pPr>
          </w:p>
          <w:p w:rsidR="00182BD0" w:rsidRPr="00A935AA" w:rsidRDefault="00182BD0" w:rsidP="00D56166">
            <w:pPr>
              <w:rPr>
                <w:sz w:val="20"/>
                <w:szCs w:val="20"/>
              </w:rPr>
            </w:pPr>
            <w:r w:rsidRPr="00A935AA">
              <w:rPr>
                <w:sz w:val="20"/>
                <w:szCs w:val="20"/>
              </w:rPr>
              <w:t xml:space="preserve">FILING DATE: </w:t>
            </w:r>
            <w:r w:rsidR="003722F2">
              <w:rPr>
                <w:sz w:val="20"/>
                <w:szCs w:val="20"/>
              </w:rPr>
              <w:t>30</w:t>
            </w:r>
            <w:r w:rsidRPr="00A935AA">
              <w:rPr>
                <w:sz w:val="20"/>
                <w:szCs w:val="20"/>
              </w:rPr>
              <w:t>.09.201</w:t>
            </w:r>
            <w:r>
              <w:rPr>
                <w:sz w:val="20"/>
                <w:szCs w:val="20"/>
              </w:rPr>
              <w:t>3</w:t>
            </w:r>
          </w:p>
          <w:p w:rsidR="00182BD0" w:rsidRPr="00A935AA" w:rsidRDefault="00CC2008" w:rsidP="00D56166">
            <w:pPr>
              <w:rPr>
                <w:sz w:val="20"/>
                <w:szCs w:val="20"/>
              </w:rPr>
            </w:pPr>
            <w:r w:rsidRPr="00CC2008">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D53DE" w:rsidRDefault="001D53DE" w:rsidP="00242AEE">
            <w:pPr>
              <w:jc w:val="center"/>
              <w:rPr>
                <w:sz w:val="20"/>
                <w:szCs w:val="20"/>
              </w:rPr>
            </w:pPr>
          </w:p>
          <w:p w:rsidR="0076293E" w:rsidRDefault="0076293E" w:rsidP="00242AEE">
            <w:pPr>
              <w:jc w:val="center"/>
              <w:rPr>
                <w:sz w:val="20"/>
                <w:szCs w:val="20"/>
              </w:rPr>
            </w:pPr>
          </w:p>
          <w:p w:rsidR="00182BD0" w:rsidRPr="00A935AA" w:rsidRDefault="00182BD0" w:rsidP="00242AEE">
            <w:pPr>
              <w:jc w:val="center"/>
              <w:rPr>
                <w:sz w:val="20"/>
                <w:szCs w:val="20"/>
              </w:rPr>
            </w:pPr>
          </w:p>
        </w:tc>
        <w:tc>
          <w:tcPr>
            <w:tcW w:w="4320" w:type="dxa"/>
            <w:shd w:val="clear" w:color="auto" w:fill="auto"/>
          </w:tcPr>
          <w:p w:rsidR="000A69E9" w:rsidRPr="000A69E9" w:rsidRDefault="000A69E9" w:rsidP="00D56166">
            <w:pPr>
              <w:keepNext/>
              <w:keepLines/>
              <w:tabs>
                <w:tab w:val="left" w:pos="-1440"/>
                <w:tab w:val="left" w:pos="-720"/>
              </w:tabs>
              <w:rPr>
                <w:sz w:val="20"/>
                <w:szCs w:val="20"/>
              </w:rPr>
            </w:pPr>
          </w:p>
          <w:p w:rsidR="0029316A" w:rsidRPr="0029316A" w:rsidRDefault="0029316A" w:rsidP="00D56166">
            <w:pPr>
              <w:keepNext/>
              <w:keepLines/>
              <w:tabs>
                <w:tab w:val="left" w:pos="-1440"/>
                <w:tab w:val="left" w:pos="-720"/>
              </w:tabs>
              <w:rPr>
                <w:b/>
                <w:sz w:val="20"/>
                <w:szCs w:val="20"/>
              </w:rPr>
            </w:pPr>
            <w:r w:rsidRPr="0029316A">
              <w:rPr>
                <w:b/>
                <w:sz w:val="20"/>
                <w:szCs w:val="20"/>
              </w:rPr>
              <w:t>Arcelormittal Tubular Products Roman S.A., formerly known as Mittal Steel Roman S.A. et</w:t>
            </w:r>
            <w:r>
              <w:rPr>
                <w:b/>
                <w:sz w:val="20"/>
                <w:szCs w:val="20"/>
              </w:rPr>
              <w:t> a</w:t>
            </w:r>
            <w:r w:rsidRPr="0029316A">
              <w:rPr>
                <w:b/>
                <w:sz w:val="20"/>
                <w:szCs w:val="20"/>
              </w:rPr>
              <w:t>l.</w:t>
            </w:r>
          </w:p>
          <w:p w:rsidR="00182BD0" w:rsidRPr="00A935AA" w:rsidRDefault="00182BD0" w:rsidP="00D56166">
            <w:pPr>
              <w:keepNext/>
              <w:keepLines/>
              <w:tabs>
                <w:tab w:val="left" w:pos="-1440"/>
                <w:tab w:val="left" w:pos="-720"/>
              </w:tabs>
              <w:rPr>
                <w:sz w:val="20"/>
                <w:szCs w:val="20"/>
              </w:rPr>
            </w:pPr>
            <w:r w:rsidRPr="00A935AA">
              <w:rPr>
                <w:sz w:val="20"/>
                <w:szCs w:val="20"/>
              </w:rPr>
              <w:tab/>
            </w:r>
            <w:r w:rsidR="0029316A">
              <w:rPr>
                <w:sz w:val="20"/>
                <w:szCs w:val="20"/>
              </w:rPr>
              <w:t>Stanley Carscallen, Q.C.</w:t>
            </w:r>
          </w:p>
          <w:p w:rsidR="00182BD0" w:rsidRPr="00A935AA" w:rsidRDefault="00182BD0" w:rsidP="00D56166">
            <w:pPr>
              <w:keepNext/>
              <w:keepLines/>
              <w:tabs>
                <w:tab w:val="left" w:pos="-1440"/>
                <w:tab w:val="left" w:pos="-720"/>
              </w:tabs>
              <w:rPr>
                <w:sz w:val="20"/>
                <w:szCs w:val="20"/>
              </w:rPr>
            </w:pPr>
            <w:r w:rsidRPr="00A935AA">
              <w:rPr>
                <w:sz w:val="20"/>
                <w:szCs w:val="20"/>
              </w:rPr>
              <w:tab/>
            </w:r>
            <w:r w:rsidR="0029316A">
              <w:rPr>
                <w:sz w:val="20"/>
                <w:szCs w:val="20"/>
              </w:rPr>
              <w:t>Carscallen Leitch LLP</w:t>
            </w:r>
          </w:p>
          <w:p w:rsidR="00182BD0" w:rsidRPr="00A935AA" w:rsidRDefault="00182BD0" w:rsidP="00D56166">
            <w:pPr>
              <w:keepNext/>
              <w:keepLines/>
              <w:tabs>
                <w:tab w:val="left" w:pos="-1440"/>
                <w:tab w:val="left" w:pos="-720"/>
              </w:tabs>
              <w:rPr>
                <w:sz w:val="20"/>
                <w:szCs w:val="20"/>
              </w:rPr>
            </w:pPr>
          </w:p>
          <w:p w:rsidR="00182BD0" w:rsidRPr="0029316A" w:rsidRDefault="00182BD0" w:rsidP="00D56166">
            <w:pPr>
              <w:keepNext/>
              <w:keepLines/>
              <w:tabs>
                <w:tab w:val="left" w:pos="-1440"/>
                <w:tab w:val="left" w:pos="-720"/>
              </w:tabs>
              <w:rPr>
                <w:sz w:val="20"/>
                <w:szCs w:val="20"/>
              </w:rPr>
            </w:pPr>
            <w:r w:rsidRPr="00A935AA">
              <w:rPr>
                <w:sz w:val="20"/>
                <w:szCs w:val="20"/>
              </w:rPr>
              <w:tab/>
            </w:r>
            <w:r w:rsidRPr="0029316A">
              <w:rPr>
                <w:sz w:val="20"/>
                <w:szCs w:val="20"/>
              </w:rPr>
              <w:t>v. (355</w:t>
            </w:r>
            <w:r w:rsidR="0029316A" w:rsidRPr="0029316A">
              <w:rPr>
                <w:sz w:val="20"/>
                <w:szCs w:val="20"/>
              </w:rPr>
              <w:t>68</w:t>
            </w:r>
            <w:r w:rsidRPr="0029316A">
              <w:rPr>
                <w:sz w:val="20"/>
                <w:szCs w:val="20"/>
              </w:rPr>
              <w:t>)</w:t>
            </w:r>
          </w:p>
          <w:p w:rsidR="00182BD0" w:rsidRPr="0029316A" w:rsidRDefault="00182BD0" w:rsidP="00D56166">
            <w:pPr>
              <w:keepNext/>
              <w:keepLines/>
              <w:tabs>
                <w:tab w:val="left" w:pos="-1440"/>
                <w:tab w:val="left" w:pos="-720"/>
              </w:tabs>
              <w:rPr>
                <w:sz w:val="20"/>
                <w:szCs w:val="20"/>
              </w:rPr>
            </w:pPr>
          </w:p>
          <w:p w:rsidR="0029316A" w:rsidRPr="0029316A" w:rsidRDefault="0029316A" w:rsidP="0029316A">
            <w:pPr>
              <w:keepNext/>
              <w:keepLines/>
              <w:tabs>
                <w:tab w:val="left" w:pos="-1440"/>
                <w:tab w:val="left" w:pos="-720"/>
              </w:tabs>
              <w:rPr>
                <w:b/>
                <w:sz w:val="20"/>
                <w:szCs w:val="20"/>
              </w:rPr>
            </w:pPr>
            <w:r w:rsidRPr="0029316A">
              <w:rPr>
                <w:b/>
                <w:sz w:val="20"/>
                <w:szCs w:val="20"/>
              </w:rPr>
              <w:t>Fluor Canada Ltd.</w:t>
            </w:r>
            <w:r>
              <w:rPr>
                <w:b/>
                <w:sz w:val="20"/>
                <w:szCs w:val="20"/>
              </w:rPr>
              <w:t xml:space="preserve"> </w:t>
            </w:r>
            <w:r w:rsidRPr="0029316A">
              <w:rPr>
                <w:b/>
                <w:sz w:val="20"/>
                <w:szCs w:val="20"/>
              </w:rPr>
              <w:t>(</w:t>
            </w:r>
            <w:r>
              <w:rPr>
                <w:b/>
                <w:sz w:val="20"/>
                <w:szCs w:val="20"/>
              </w:rPr>
              <w:t>Al</w:t>
            </w:r>
            <w:r w:rsidRPr="0029316A">
              <w:rPr>
                <w:b/>
                <w:sz w:val="20"/>
                <w:szCs w:val="20"/>
              </w:rPr>
              <w:t>t</w:t>
            </w:r>
            <w:r>
              <w:rPr>
                <w:b/>
                <w:sz w:val="20"/>
                <w:szCs w:val="20"/>
              </w:rPr>
              <w:t>a</w:t>
            </w:r>
            <w:r w:rsidRPr="0029316A">
              <w:rPr>
                <w:b/>
                <w:sz w:val="20"/>
                <w:szCs w:val="20"/>
              </w:rPr>
              <w:t>.)</w:t>
            </w:r>
          </w:p>
          <w:p w:rsidR="0029316A" w:rsidRPr="0029316A" w:rsidRDefault="0029316A" w:rsidP="0029316A">
            <w:pPr>
              <w:keepNext/>
              <w:keepLines/>
              <w:tabs>
                <w:tab w:val="left" w:pos="-1440"/>
                <w:tab w:val="left" w:pos="-720"/>
              </w:tabs>
              <w:rPr>
                <w:sz w:val="20"/>
                <w:szCs w:val="20"/>
              </w:rPr>
            </w:pPr>
            <w:r w:rsidRPr="0029316A">
              <w:rPr>
                <w:sz w:val="20"/>
                <w:szCs w:val="20"/>
              </w:rPr>
              <w:tab/>
            </w:r>
            <w:r>
              <w:rPr>
                <w:sz w:val="20"/>
                <w:szCs w:val="20"/>
              </w:rPr>
              <w:t>Lowell A. Westersund, Q.C.</w:t>
            </w:r>
          </w:p>
          <w:p w:rsidR="0029316A" w:rsidRDefault="0029316A" w:rsidP="0029316A">
            <w:pPr>
              <w:keepNext/>
              <w:keepLines/>
              <w:tabs>
                <w:tab w:val="left" w:pos="-1440"/>
                <w:tab w:val="left" w:pos="-720"/>
              </w:tabs>
              <w:rPr>
                <w:sz w:val="20"/>
                <w:szCs w:val="20"/>
              </w:rPr>
            </w:pPr>
            <w:r w:rsidRPr="0029316A">
              <w:rPr>
                <w:sz w:val="20"/>
                <w:szCs w:val="20"/>
              </w:rPr>
              <w:tab/>
            </w:r>
            <w:r>
              <w:rPr>
                <w:sz w:val="20"/>
                <w:szCs w:val="20"/>
              </w:rPr>
              <w:t>Rose LLP</w:t>
            </w:r>
            <w:r w:rsidRPr="0029316A">
              <w:rPr>
                <w:sz w:val="20"/>
                <w:szCs w:val="20"/>
              </w:rPr>
              <w:t xml:space="preserve"> </w:t>
            </w:r>
          </w:p>
          <w:p w:rsidR="0076293E" w:rsidRDefault="0076293E" w:rsidP="0029316A">
            <w:pPr>
              <w:keepNext/>
              <w:keepLines/>
              <w:tabs>
                <w:tab w:val="left" w:pos="-1440"/>
                <w:tab w:val="left" w:pos="-720"/>
              </w:tabs>
              <w:rPr>
                <w:sz w:val="20"/>
                <w:szCs w:val="20"/>
              </w:rPr>
            </w:pPr>
          </w:p>
          <w:p w:rsidR="000A69E9" w:rsidRDefault="0076293E" w:rsidP="000A69E9">
            <w:pPr>
              <w:keepNext/>
              <w:keepLines/>
              <w:tabs>
                <w:tab w:val="left" w:pos="-1440"/>
                <w:tab w:val="left" w:pos="-720"/>
              </w:tabs>
              <w:rPr>
                <w:sz w:val="20"/>
                <w:szCs w:val="20"/>
              </w:rPr>
            </w:pPr>
            <w:r w:rsidRPr="00A935AA">
              <w:rPr>
                <w:sz w:val="20"/>
                <w:szCs w:val="20"/>
              </w:rPr>
              <w:t xml:space="preserve">FILING DATE: </w:t>
            </w:r>
            <w:r>
              <w:rPr>
                <w:sz w:val="20"/>
                <w:szCs w:val="20"/>
              </w:rPr>
              <w:t>04</w:t>
            </w:r>
            <w:r w:rsidRPr="00A935AA">
              <w:rPr>
                <w:sz w:val="20"/>
                <w:szCs w:val="20"/>
              </w:rPr>
              <w:t>.</w:t>
            </w:r>
            <w:r>
              <w:rPr>
                <w:sz w:val="20"/>
                <w:szCs w:val="20"/>
              </w:rPr>
              <w:t>1</w:t>
            </w:r>
            <w:r w:rsidRPr="00A935AA">
              <w:rPr>
                <w:sz w:val="20"/>
                <w:szCs w:val="20"/>
              </w:rPr>
              <w:t>0.201</w:t>
            </w:r>
            <w:r>
              <w:rPr>
                <w:sz w:val="20"/>
                <w:szCs w:val="20"/>
              </w:rPr>
              <w:t>3</w:t>
            </w:r>
          </w:p>
          <w:p w:rsidR="00182BD0" w:rsidRPr="00A935AA" w:rsidRDefault="00182BD0" w:rsidP="0076293E">
            <w:pPr>
              <w:keepNext/>
              <w:keepLines/>
              <w:tabs>
                <w:tab w:val="left" w:pos="-1440"/>
                <w:tab w:val="left" w:pos="-720"/>
              </w:tabs>
              <w:rPr>
                <w:sz w:val="20"/>
                <w:szCs w:val="20"/>
              </w:rPr>
            </w:pPr>
          </w:p>
        </w:tc>
      </w:tr>
      <w:tr w:rsidR="00182BD0" w:rsidRPr="0029316A" w:rsidTr="003B3977">
        <w:trPr>
          <w:cantSplit/>
        </w:trPr>
        <w:tc>
          <w:tcPr>
            <w:tcW w:w="4320" w:type="dxa"/>
            <w:shd w:val="clear" w:color="auto" w:fill="auto"/>
          </w:tcPr>
          <w:p w:rsidR="00182BD0" w:rsidRPr="00A935AA" w:rsidRDefault="003722F2" w:rsidP="00D56166">
            <w:pPr>
              <w:rPr>
                <w:b/>
                <w:sz w:val="20"/>
                <w:szCs w:val="20"/>
              </w:rPr>
            </w:pPr>
            <w:r>
              <w:rPr>
                <w:b/>
                <w:sz w:val="20"/>
                <w:szCs w:val="20"/>
              </w:rPr>
              <w:t>Teal Cedar Products Ltd.</w:t>
            </w:r>
          </w:p>
          <w:p w:rsidR="00182BD0" w:rsidRPr="00A935AA" w:rsidRDefault="00182BD0" w:rsidP="00D56166">
            <w:pPr>
              <w:tabs>
                <w:tab w:val="left" w:pos="-1440"/>
                <w:tab w:val="left" w:pos="-720"/>
              </w:tabs>
              <w:rPr>
                <w:sz w:val="20"/>
                <w:szCs w:val="20"/>
              </w:rPr>
            </w:pPr>
            <w:r w:rsidRPr="00A935AA">
              <w:rPr>
                <w:sz w:val="20"/>
                <w:szCs w:val="20"/>
              </w:rPr>
              <w:tab/>
            </w:r>
            <w:r w:rsidR="003722F2">
              <w:rPr>
                <w:sz w:val="20"/>
                <w:szCs w:val="20"/>
              </w:rPr>
              <w:t>John J.L. Hunter, Q.C.</w:t>
            </w:r>
          </w:p>
          <w:p w:rsidR="00182BD0" w:rsidRPr="00A935AA" w:rsidRDefault="00182BD0" w:rsidP="00D56166">
            <w:pPr>
              <w:tabs>
                <w:tab w:val="left" w:pos="-1440"/>
                <w:tab w:val="left" w:pos="-720"/>
              </w:tabs>
              <w:rPr>
                <w:sz w:val="20"/>
                <w:szCs w:val="20"/>
              </w:rPr>
            </w:pPr>
            <w:r w:rsidRPr="00A935AA">
              <w:rPr>
                <w:sz w:val="20"/>
                <w:szCs w:val="20"/>
              </w:rPr>
              <w:tab/>
            </w:r>
            <w:r w:rsidR="003722F2">
              <w:rPr>
                <w:sz w:val="20"/>
                <w:szCs w:val="20"/>
              </w:rPr>
              <w:t xml:space="preserve">Hunter Litigation Chambers Law </w:t>
            </w:r>
            <w:r w:rsidR="003722F2">
              <w:rPr>
                <w:sz w:val="20"/>
                <w:szCs w:val="20"/>
              </w:rPr>
              <w:tab/>
              <w:t>Corporation</w:t>
            </w:r>
          </w:p>
          <w:p w:rsidR="00182BD0" w:rsidRPr="00A935AA" w:rsidRDefault="00182BD0" w:rsidP="00D56166">
            <w:pPr>
              <w:tabs>
                <w:tab w:val="left" w:pos="-1440"/>
                <w:tab w:val="left" w:pos="-720"/>
              </w:tabs>
              <w:rPr>
                <w:sz w:val="20"/>
                <w:szCs w:val="20"/>
              </w:rPr>
            </w:pPr>
          </w:p>
          <w:p w:rsidR="00182BD0" w:rsidRPr="00A935AA" w:rsidRDefault="00182BD0" w:rsidP="00D56166">
            <w:pPr>
              <w:tabs>
                <w:tab w:val="left" w:pos="-1440"/>
                <w:tab w:val="left" w:pos="-720"/>
              </w:tabs>
              <w:rPr>
                <w:sz w:val="20"/>
                <w:szCs w:val="20"/>
              </w:rPr>
            </w:pPr>
            <w:r w:rsidRPr="00A935AA">
              <w:rPr>
                <w:sz w:val="20"/>
                <w:szCs w:val="20"/>
              </w:rPr>
              <w:tab/>
              <w:t>v. (3</w:t>
            </w:r>
            <w:r>
              <w:rPr>
                <w:sz w:val="20"/>
                <w:szCs w:val="20"/>
              </w:rPr>
              <w:t>55</w:t>
            </w:r>
            <w:r w:rsidR="003722F2">
              <w:rPr>
                <w:sz w:val="20"/>
                <w:szCs w:val="20"/>
              </w:rPr>
              <w:t>63</w:t>
            </w:r>
            <w:r w:rsidRPr="00A935AA">
              <w:rPr>
                <w:sz w:val="20"/>
                <w:szCs w:val="20"/>
              </w:rPr>
              <w:t>)</w:t>
            </w:r>
          </w:p>
          <w:p w:rsidR="00182BD0" w:rsidRPr="00A935AA" w:rsidRDefault="00182BD0" w:rsidP="00D56166">
            <w:pPr>
              <w:tabs>
                <w:tab w:val="left" w:pos="-1440"/>
                <w:tab w:val="left" w:pos="-720"/>
              </w:tabs>
              <w:rPr>
                <w:sz w:val="20"/>
                <w:szCs w:val="20"/>
              </w:rPr>
            </w:pPr>
          </w:p>
          <w:p w:rsidR="00182BD0" w:rsidRPr="00A935AA" w:rsidRDefault="003722F2" w:rsidP="00D56166">
            <w:pPr>
              <w:tabs>
                <w:tab w:val="left" w:pos="-1440"/>
                <w:tab w:val="left" w:pos="-720"/>
              </w:tabs>
              <w:rPr>
                <w:b/>
                <w:sz w:val="20"/>
                <w:szCs w:val="20"/>
              </w:rPr>
            </w:pPr>
            <w:r>
              <w:rPr>
                <w:b/>
                <w:sz w:val="20"/>
                <w:szCs w:val="20"/>
              </w:rPr>
              <w:t xml:space="preserve">Her Majesty the Queen in Right of the Province of British Columbia </w:t>
            </w:r>
            <w:r w:rsidR="00182BD0" w:rsidRPr="00A935AA">
              <w:rPr>
                <w:b/>
                <w:sz w:val="20"/>
                <w:szCs w:val="20"/>
              </w:rPr>
              <w:t>(B.C.)</w:t>
            </w:r>
          </w:p>
          <w:p w:rsidR="00182BD0" w:rsidRPr="00A935AA" w:rsidRDefault="00182BD0" w:rsidP="00D56166">
            <w:pPr>
              <w:tabs>
                <w:tab w:val="left" w:pos="-1440"/>
                <w:tab w:val="left" w:pos="-720"/>
              </w:tabs>
              <w:rPr>
                <w:sz w:val="20"/>
                <w:szCs w:val="20"/>
              </w:rPr>
            </w:pPr>
            <w:r w:rsidRPr="00A935AA">
              <w:rPr>
                <w:sz w:val="20"/>
                <w:szCs w:val="20"/>
              </w:rPr>
              <w:tab/>
            </w:r>
            <w:r w:rsidR="003722F2">
              <w:rPr>
                <w:sz w:val="20"/>
                <w:szCs w:val="20"/>
              </w:rPr>
              <w:t>Karen A. Horsman</w:t>
            </w:r>
          </w:p>
          <w:p w:rsidR="00182BD0" w:rsidRPr="00A935AA" w:rsidRDefault="00182BD0" w:rsidP="00D56166">
            <w:pPr>
              <w:tabs>
                <w:tab w:val="left" w:pos="-1440"/>
                <w:tab w:val="left" w:pos="-720"/>
              </w:tabs>
              <w:rPr>
                <w:sz w:val="20"/>
                <w:szCs w:val="20"/>
              </w:rPr>
            </w:pPr>
            <w:r w:rsidRPr="00A935AA">
              <w:rPr>
                <w:sz w:val="20"/>
                <w:szCs w:val="20"/>
              </w:rPr>
              <w:tab/>
            </w:r>
            <w:r w:rsidR="003722F2">
              <w:rPr>
                <w:sz w:val="20"/>
                <w:szCs w:val="20"/>
              </w:rPr>
              <w:t>A.G. of British Columbia</w:t>
            </w:r>
          </w:p>
          <w:p w:rsidR="00182BD0" w:rsidRPr="00A935AA" w:rsidRDefault="00182BD0" w:rsidP="00D56166">
            <w:pPr>
              <w:tabs>
                <w:tab w:val="left" w:pos="-1440"/>
                <w:tab w:val="left" w:pos="-720"/>
              </w:tabs>
              <w:rPr>
                <w:sz w:val="20"/>
                <w:szCs w:val="20"/>
              </w:rPr>
            </w:pPr>
          </w:p>
          <w:p w:rsidR="00182BD0" w:rsidRPr="00A935AA" w:rsidRDefault="00182BD0" w:rsidP="00D56166">
            <w:pPr>
              <w:rPr>
                <w:sz w:val="20"/>
                <w:szCs w:val="20"/>
              </w:rPr>
            </w:pPr>
            <w:r w:rsidRPr="00A935AA">
              <w:rPr>
                <w:sz w:val="20"/>
                <w:szCs w:val="20"/>
              </w:rPr>
              <w:t xml:space="preserve">FILING DATE: </w:t>
            </w:r>
            <w:r w:rsidR="003722F2">
              <w:rPr>
                <w:sz w:val="20"/>
                <w:szCs w:val="20"/>
              </w:rPr>
              <w:t>30</w:t>
            </w:r>
            <w:r w:rsidRPr="00A935AA">
              <w:rPr>
                <w:sz w:val="20"/>
                <w:szCs w:val="20"/>
              </w:rPr>
              <w:t>.09.201</w:t>
            </w:r>
            <w:r>
              <w:rPr>
                <w:sz w:val="20"/>
                <w:szCs w:val="20"/>
              </w:rPr>
              <w:t>3</w:t>
            </w:r>
          </w:p>
          <w:p w:rsidR="00182BD0" w:rsidRPr="00A935AA" w:rsidRDefault="00CC2008" w:rsidP="00D56166">
            <w:pPr>
              <w:rPr>
                <w:sz w:val="20"/>
                <w:szCs w:val="20"/>
              </w:rPr>
            </w:pPr>
            <w:r w:rsidRPr="00CC2008">
              <w:rPr>
                <w:sz w:val="20"/>
                <w:szCs w:val="20"/>
                <w:lang w:val="fr-CA"/>
              </w:rPr>
              <w:pict>
                <v:rect id="_x0000_i1036" style="width:108pt;height:1pt" o:hrpct="0" o:hralign="center" o:hrstd="t" o:hrnoshade="t" o:hr="t" fillcolor="black [3213]" stroked="f"/>
              </w:pict>
            </w:r>
          </w:p>
        </w:tc>
        <w:tc>
          <w:tcPr>
            <w:tcW w:w="1181" w:type="dxa"/>
            <w:shd w:val="clear" w:color="auto" w:fill="auto"/>
          </w:tcPr>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182BD0" w:rsidRDefault="00182BD0" w:rsidP="00242AEE">
            <w:pPr>
              <w:jc w:val="center"/>
              <w:rPr>
                <w:sz w:val="20"/>
                <w:szCs w:val="20"/>
              </w:rPr>
            </w:pPr>
          </w:p>
          <w:p w:rsidR="00757385" w:rsidRDefault="00757385" w:rsidP="00242AEE">
            <w:pPr>
              <w:jc w:val="center"/>
              <w:rPr>
                <w:sz w:val="20"/>
                <w:szCs w:val="20"/>
              </w:rPr>
            </w:pPr>
          </w:p>
          <w:p w:rsidR="00182BD0" w:rsidRPr="00A935AA" w:rsidRDefault="00182BD0" w:rsidP="00242AEE">
            <w:pPr>
              <w:jc w:val="center"/>
              <w:rPr>
                <w:sz w:val="20"/>
                <w:szCs w:val="20"/>
              </w:rPr>
            </w:pPr>
          </w:p>
        </w:tc>
        <w:tc>
          <w:tcPr>
            <w:tcW w:w="4320" w:type="dxa"/>
            <w:shd w:val="clear" w:color="auto" w:fill="auto"/>
          </w:tcPr>
          <w:p w:rsidR="0076293E" w:rsidRDefault="0076293E" w:rsidP="0029316A">
            <w:pPr>
              <w:keepNext/>
              <w:keepLines/>
              <w:tabs>
                <w:tab w:val="left" w:pos="-1440"/>
                <w:tab w:val="left" w:pos="-720"/>
              </w:tabs>
              <w:rPr>
                <w:sz w:val="20"/>
                <w:szCs w:val="20"/>
              </w:rPr>
            </w:pPr>
            <w:r w:rsidRPr="0029316A">
              <w:rPr>
                <w:sz w:val="20"/>
                <w:szCs w:val="20"/>
              </w:rPr>
              <w:t>and between</w:t>
            </w:r>
          </w:p>
          <w:p w:rsidR="0076293E" w:rsidRPr="0076293E" w:rsidRDefault="0076293E" w:rsidP="0029316A">
            <w:pPr>
              <w:keepNext/>
              <w:keepLines/>
              <w:tabs>
                <w:tab w:val="left" w:pos="-1440"/>
                <w:tab w:val="left" w:pos="-720"/>
              </w:tabs>
              <w:rPr>
                <w:sz w:val="20"/>
                <w:szCs w:val="20"/>
              </w:rPr>
            </w:pPr>
          </w:p>
          <w:p w:rsidR="0029316A" w:rsidRPr="00E20D31" w:rsidRDefault="0029316A" w:rsidP="0029316A">
            <w:pPr>
              <w:keepNext/>
              <w:keepLines/>
              <w:tabs>
                <w:tab w:val="left" w:pos="-1440"/>
                <w:tab w:val="left" w:pos="-720"/>
              </w:tabs>
              <w:rPr>
                <w:b/>
                <w:sz w:val="20"/>
                <w:szCs w:val="20"/>
              </w:rPr>
            </w:pPr>
            <w:r w:rsidRPr="00E20D31">
              <w:rPr>
                <w:b/>
                <w:sz w:val="20"/>
                <w:szCs w:val="20"/>
              </w:rPr>
              <w:t>BHD Tubular Limited</w:t>
            </w:r>
          </w:p>
          <w:p w:rsidR="00182BD0" w:rsidRPr="0029316A" w:rsidRDefault="00182BD0" w:rsidP="00D56166">
            <w:pPr>
              <w:keepNext/>
              <w:keepLines/>
              <w:tabs>
                <w:tab w:val="left" w:pos="-1440"/>
                <w:tab w:val="left" w:pos="-720"/>
              </w:tabs>
              <w:rPr>
                <w:sz w:val="20"/>
                <w:szCs w:val="20"/>
              </w:rPr>
            </w:pPr>
            <w:r w:rsidRPr="00E20D31">
              <w:rPr>
                <w:sz w:val="20"/>
                <w:szCs w:val="20"/>
              </w:rPr>
              <w:tab/>
            </w:r>
            <w:r w:rsidR="0029316A" w:rsidRPr="0029316A">
              <w:rPr>
                <w:sz w:val="20"/>
                <w:szCs w:val="20"/>
              </w:rPr>
              <w:t>Peter D. Gibson</w:t>
            </w:r>
          </w:p>
          <w:p w:rsidR="00182BD0" w:rsidRPr="0029316A" w:rsidRDefault="00182BD0" w:rsidP="00D56166">
            <w:pPr>
              <w:keepNext/>
              <w:keepLines/>
              <w:tabs>
                <w:tab w:val="left" w:pos="-1440"/>
                <w:tab w:val="left" w:pos="-720"/>
              </w:tabs>
              <w:rPr>
                <w:sz w:val="20"/>
                <w:szCs w:val="20"/>
              </w:rPr>
            </w:pPr>
            <w:r w:rsidRPr="0029316A">
              <w:rPr>
                <w:sz w:val="20"/>
                <w:szCs w:val="20"/>
              </w:rPr>
              <w:tab/>
            </w:r>
            <w:r w:rsidR="0029316A" w:rsidRPr="0029316A">
              <w:rPr>
                <w:sz w:val="20"/>
                <w:szCs w:val="20"/>
              </w:rPr>
              <w:t>Field LLP</w:t>
            </w:r>
          </w:p>
          <w:p w:rsidR="00182BD0" w:rsidRPr="0029316A" w:rsidRDefault="00182BD0" w:rsidP="00D56166">
            <w:pPr>
              <w:keepNext/>
              <w:keepLines/>
              <w:tabs>
                <w:tab w:val="left" w:pos="-1440"/>
                <w:tab w:val="left" w:pos="-720"/>
              </w:tabs>
              <w:rPr>
                <w:sz w:val="20"/>
                <w:szCs w:val="20"/>
              </w:rPr>
            </w:pPr>
          </w:p>
          <w:p w:rsidR="00182BD0" w:rsidRPr="0029316A" w:rsidRDefault="00182BD0" w:rsidP="00D56166">
            <w:pPr>
              <w:keepNext/>
              <w:keepLines/>
              <w:tabs>
                <w:tab w:val="left" w:pos="-1440"/>
                <w:tab w:val="left" w:pos="-720"/>
              </w:tabs>
              <w:rPr>
                <w:sz w:val="20"/>
                <w:szCs w:val="20"/>
              </w:rPr>
            </w:pPr>
            <w:r w:rsidRPr="0029316A">
              <w:rPr>
                <w:sz w:val="20"/>
                <w:szCs w:val="20"/>
              </w:rPr>
              <w:tab/>
              <w:t>v. (355</w:t>
            </w:r>
            <w:r w:rsidR="0029316A" w:rsidRPr="0029316A">
              <w:rPr>
                <w:sz w:val="20"/>
                <w:szCs w:val="20"/>
              </w:rPr>
              <w:t>68</w:t>
            </w:r>
            <w:r w:rsidRPr="0029316A">
              <w:rPr>
                <w:sz w:val="20"/>
                <w:szCs w:val="20"/>
              </w:rPr>
              <w:t>)</w:t>
            </w:r>
          </w:p>
          <w:p w:rsidR="00182BD0" w:rsidRPr="0029316A" w:rsidRDefault="00182BD0" w:rsidP="00D56166">
            <w:pPr>
              <w:keepNext/>
              <w:keepLines/>
              <w:tabs>
                <w:tab w:val="left" w:pos="-1440"/>
                <w:tab w:val="left" w:pos="-720"/>
              </w:tabs>
              <w:rPr>
                <w:sz w:val="20"/>
                <w:szCs w:val="20"/>
              </w:rPr>
            </w:pPr>
          </w:p>
          <w:p w:rsidR="0029316A" w:rsidRPr="0029316A" w:rsidRDefault="0029316A" w:rsidP="0029316A">
            <w:pPr>
              <w:keepNext/>
              <w:keepLines/>
              <w:tabs>
                <w:tab w:val="left" w:pos="-1440"/>
                <w:tab w:val="left" w:pos="-720"/>
              </w:tabs>
              <w:rPr>
                <w:b/>
                <w:sz w:val="20"/>
                <w:szCs w:val="20"/>
              </w:rPr>
            </w:pPr>
            <w:r w:rsidRPr="0029316A">
              <w:rPr>
                <w:b/>
                <w:sz w:val="20"/>
                <w:szCs w:val="20"/>
              </w:rPr>
              <w:t>Fluor Canada Ltd.</w:t>
            </w:r>
            <w:r>
              <w:rPr>
                <w:b/>
                <w:sz w:val="20"/>
                <w:szCs w:val="20"/>
              </w:rPr>
              <w:t xml:space="preserve"> </w:t>
            </w:r>
            <w:r w:rsidRPr="0029316A">
              <w:rPr>
                <w:b/>
                <w:sz w:val="20"/>
                <w:szCs w:val="20"/>
              </w:rPr>
              <w:t>(</w:t>
            </w:r>
            <w:r>
              <w:rPr>
                <w:b/>
                <w:sz w:val="20"/>
                <w:szCs w:val="20"/>
              </w:rPr>
              <w:t>Al</w:t>
            </w:r>
            <w:r w:rsidRPr="0029316A">
              <w:rPr>
                <w:b/>
                <w:sz w:val="20"/>
                <w:szCs w:val="20"/>
              </w:rPr>
              <w:t>t</w:t>
            </w:r>
            <w:r>
              <w:rPr>
                <w:b/>
                <w:sz w:val="20"/>
                <w:szCs w:val="20"/>
              </w:rPr>
              <w:t>a</w:t>
            </w:r>
            <w:r w:rsidRPr="0029316A">
              <w:rPr>
                <w:b/>
                <w:sz w:val="20"/>
                <w:szCs w:val="20"/>
              </w:rPr>
              <w:t>.)</w:t>
            </w:r>
          </w:p>
          <w:p w:rsidR="0029316A" w:rsidRPr="0029316A" w:rsidRDefault="0029316A" w:rsidP="0029316A">
            <w:pPr>
              <w:keepNext/>
              <w:keepLines/>
              <w:tabs>
                <w:tab w:val="left" w:pos="-1440"/>
                <w:tab w:val="left" w:pos="-720"/>
              </w:tabs>
              <w:rPr>
                <w:sz w:val="20"/>
                <w:szCs w:val="20"/>
              </w:rPr>
            </w:pPr>
            <w:r w:rsidRPr="0029316A">
              <w:rPr>
                <w:sz w:val="20"/>
                <w:szCs w:val="20"/>
              </w:rPr>
              <w:tab/>
            </w:r>
            <w:r>
              <w:rPr>
                <w:sz w:val="20"/>
                <w:szCs w:val="20"/>
              </w:rPr>
              <w:t>Lowell A. Westersund, Q.C.</w:t>
            </w:r>
          </w:p>
          <w:p w:rsidR="0029316A" w:rsidRDefault="0029316A" w:rsidP="0029316A">
            <w:pPr>
              <w:keepNext/>
              <w:keepLines/>
              <w:tabs>
                <w:tab w:val="left" w:pos="-1440"/>
                <w:tab w:val="left" w:pos="-720"/>
              </w:tabs>
              <w:rPr>
                <w:sz w:val="20"/>
                <w:szCs w:val="20"/>
              </w:rPr>
            </w:pPr>
            <w:r w:rsidRPr="0029316A">
              <w:rPr>
                <w:sz w:val="20"/>
                <w:szCs w:val="20"/>
              </w:rPr>
              <w:tab/>
            </w:r>
            <w:r>
              <w:rPr>
                <w:sz w:val="20"/>
                <w:szCs w:val="20"/>
              </w:rPr>
              <w:t>Rose LLP</w:t>
            </w:r>
            <w:r w:rsidRPr="0029316A">
              <w:rPr>
                <w:sz w:val="20"/>
                <w:szCs w:val="20"/>
              </w:rPr>
              <w:t xml:space="preserve"> </w:t>
            </w:r>
          </w:p>
          <w:p w:rsidR="0029316A" w:rsidRPr="00A935AA" w:rsidRDefault="0029316A" w:rsidP="0029316A">
            <w:pPr>
              <w:keepNext/>
              <w:keepLines/>
              <w:tabs>
                <w:tab w:val="left" w:pos="-1440"/>
                <w:tab w:val="left" w:pos="-720"/>
              </w:tabs>
              <w:rPr>
                <w:sz w:val="20"/>
                <w:szCs w:val="20"/>
                <w:lang w:val="fr-CA"/>
              </w:rPr>
            </w:pPr>
          </w:p>
          <w:p w:rsidR="00182BD0" w:rsidRDefault="0029316A" w:rsidP="0029316A">
            <w:pPr>
              <w:rPr>
                <w:sz w:val="20"/>
                <w:szCs w:val="20"/>
              </w:rPr>
            </w:pPr>
            <w:r w:rsidRPr="00A935AA">
              <w:rPr>
                <w:sz w:val="20"/>
                <w:szCs w:val="20"/>
              </w:rPr>
              <w:t xml:space="preserve">FILING DATE: </w:t>
            </w:r>
            <w:r>
              <w:rPr>
                <w:sz w:val="20"/>
                <w:szCs w:val="20"/>
              </w:rPr>
              <w:t>0</w:t>
            </w:r>
            <w:r w:rsidR="0076293E">
              <w:rPr>
                <w:sz w:val="20"/>
                <w:szCs w:val="20"/>
              </w:rPr>
              <w:t>7</w:t>
            </w:r>
            <w:r w:rsidRPr="00A935AA">
              <w:rPr>
                <w:sz w:val="20"/>
                <w:szCs w:val="20"/>
              </w:rPr>
              <w:t>.</w:t>
            </w:r>
            <w:r>
              <w:rPr>
                <w:sz w:val="20"/>
                <w:szCs w:val="20"/>
              </w:rPr>
              <w:t>1</w:t>
            </w:r>
            <w:r w:rsidRPr="00A935AA">
              <w:rPr>
                <w:sz w:val="20"/>
                <w:szCs w:val="20"/>
              </w:rPr>
              <w:t>0.201</w:t>
            </w:r>
            <w:r>
              <w:rPr>
                <w:sz w:val="20"/>
                <w:szCs w:val="20"/>
              </w:rPr>
              <w:t>3</w:t>
            </w:r>
          </w:p>
          <w:p w:rsidR="0029316A" w:rsidRPr="0029316A" w:rsidRDefault="00CC2008" w:rsidP="0029316A">
            <w:pPr>
              <w:rPr>
                <w:sz w:val="20"/>
                <w:szCs w:val="20"/>
                <w:lang w:val="fr-CA"/>
              </w:rPr>
            </w:pPr>
            <w:r w:rsidRPr="00CC2008">
              <w:rPr>
                <w:sz w:val="20"/>
                <w:szCs w:val="20"/>
                <w:lang w:val="fr-CA"/>
              </w:rPr>
              <w:pict>
                <v:rect id="_x0000_i1037" style="width:108pt;height:1pt" o:hrpct="0" o:hralign="center" o:hrstd="t" o:hrnoshade="t" o:hr="t" fillcolor="black [3213]" stroked="f"/>
              </w:pict>
            </w:r>
          </w:p>
        </w:tc>
      </w:tr>
    </w:tbl>
    <w:p w:rsidR="00242AEE" w:rsidRPr="0029316A" w:rsidRDefault="00242AEE" w:rsidP="0095096B">
      <w:pPr>
        <w:tabs>
          <w:tab w:val="right" w:pos="9360"/>
        </w:tabs>
        <w:rPr>
          <w:sz w:val="20"/>
          <w:szCs w:val="20"/>
          <w:lang w:val="fr-CA"/>
        </w:rPr>
      </w:pPr>
    </w:p>
    <w:p w:rsidR="00242AEE" w:rsidRPr="0029316A" w:rsidRDefault="00242AEE" w:rsidP="0095096B">
      <w:pPr>
        <w:tabs>
          <w:tab w:val="right" w:pos="9360"/>
        </w:tabs>
        <w:rPr>
          <w:sz w:val="20"/>
          <w:szCs w:val="20"/>
          <w:lang w:val="fr-CA"/>
        </w:rPr>
        <w:sectPr w:rsidR="00242AEE" w:rsidRPr="0029316A" w:rsidSect="00537582">
          <w:headerReference w:type="default" r:id="rId17"/>
          <w:footerReference w:type="default" r:id="rId18"/>
          <w:headerReference w:type="first" r:id="rId19"/>
          <w:footerReference w:type="first" r:id="rId20"/>
          <w:pgSz w:w="12240" w:h="15840"/>
          <w:pgMar w:top="720" w:right="965" w:bottom="1080" w:left="1656" w:header="706" w:footer="706" w:gutter="0"/>
          <w:pgNumType w:start="170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8B61B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182BD0" w:rsidP="004B7F60">
      <w:pPr>
        <w:widowControl w:val="0"/>
        <w:rPr>
          <w:b/>
          <w:sz w:val="20"/>
          <w:szCs w:val="20"/>
        </w:rPr>
      </w:pPr>
      <w:r>
        <w:rPr>
          <w:b/>
          <w:sz w:val="20"/>
          <w:szCs w:val="20"/>
        </w:rPr>
        <w:t>OC</w:t>
      </w:r>
      <w:r w:rsidR="00DE349D">
        <w:rPr>
          <w:b/>
          <w:sz w:val="20"/>
          <w:szCs w:val="20"/>
        </w:rPr>
        <w:t>T</w:t>
      </w:r>
      <w:r>
        <w:rPr>
          <w:b/>
          <w:sz w:val="20"/>
          <w:szCs w:val="20"/>
        </w:rPr>
        <w:t>O</w:t>
      </w:r>
      <w:r w:rsidR="00DE349D">
        <w:rPr>
          <w:b/>
          <w:sz w:val="20"/>
          <w:szCs w:val="20"/>
        </w:rPr>
        <w:t>BER</w:t>
      </w:r>
      <w:r w:rsidR="00F761A3">
        <w:rPr>
          <w:b/>
          <w:sz w:val="20"/>
          <w:szCs w:val="20"/>
        </w:rPr>
        <w:t xml:space="preserve"> </w:t>
      </w:r>
      <w:r>
        <w:rPr>
          <w:b/>
          <w:sz w:val="20"/>
          <w:szCs w:val="20"/>
        </w:rPr>
        <w:t>21</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21 OC</w:t>
      </w:r>
      <w:r w:rsidR="00DE349D">
        <w:rPr>
          <w:b/>
          <w:sz w:val="20"/>
          <w:szCs w:val="20"/>
        </w:rPr>
        <w:t>T</w:t>
      </w:r>
      <w:r>
        <w:rPr>
          <w:b/>
          <w:sz w:val="20"/>
          <w:szCs w:val="20"/>
        </w:rPr>
        <w:t>O</w:t>
      </w:r>
      <w:r w:rsidR="00DE349D">
        <w:rPr>
          <w:b/>
          <w:sz w:val="20"/>
          <w:szCs w:val="20"/>
        </w:rPr>
        <w:t>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922460" w:rsidP="004B7F60">
      <w:pPr>
        <w:pStyle w:val="ListParagraph"/>
        <w:widowControl w:val="0"/>
        <w:numPr>
          <w:ilvl w:val="0"/>
          <w:numId w:val="1"/>
        </w:numPr>
        <w:ind w:hanging="720"/>
        <w:jc w:val="both"/>
        <w:rPr>
          <w:sz w:val="20"/>
          <w:szCs w:val="20"/>
        </w:rPr>
      </w:pPr>
      <w:r w:rsidRPr="00922460">
        <w:rPr>
          <w:i/>
          <w:sz w:val="20"/>
          <w:szCs w:val="20"/>
        </w:rPr>
        <w:t>Anthony Robert Willier v. Her Majesty the Queen</w:t>
      </w:r>
      <w:r w:rsidRPr="00922460">
        <w:rPr>
          <w:sz w:val="20"/>
          <w:szCs w:val="20"/>
        </w:rPr>
        <w:t xml:space="preserve"> (B.C.) (Crim.) (By Leave)</w:t>
      </w:r>
      <w:r w:rsidRPr="00C50A5C">
        <w:rPr>
          <w:sz w:val="20"/>
          <w:szCs w:val="20"/>
        </w:rPr>
        <w:t xml:space="preserve"> </w:t>
      </w:r>
      <w:r w:rsidR="004B7F60" w:rsidRPr="00C50A5C">
        <w:rPr>
          <w:sz w:val="20"/>
          <w:szCs w:val="20"/>
        </w:rPr>
        <w:t>(3</w:t>
      </w:r>
      <w:r>
        <w:rPr>
          <w:sz w:val="20"/>
          <w:szCs w:val="20"/>
        </w:rPr>
        <w:t>5502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22460" w:rsidP="004B7F60">
      <w:pPr>
        <w:pStyle w:val="ListParagraph"/>
        <w:widowControl w:val="0"/>
        <w:numPr>
          <w:ilvl w:val="0"/>
          <w:numId w:val="1"/>
        </w:numPr>
        <w:ind w:hanging="720"/>
        <w:jc w:val="both"/>
        <w:rPr>
          <w:sz w:val="20"/>
          <w:szCs w:val="20"/>
        </w:rPr>
      </w:pPr>
      <w:r w:rsidRPr="00922460">
        <w:rPr>
          <w:i/>
          <w:sz w:val="20"/>
          <w:szCs w:val="20"/>
        </w:rPr>
        <w:t>Q.J.K. v. Her Majesty the Queen</w:t>
      </w:r>
      <w:r w:rsidRPr="00922460">
        <w:rPr>
          <w:sz w:val="20"/>
          <w:szCs w:val="20"/>
        </w:rPr>
        <w:t xml:space="preserve"> (Alta.) </w:t>
      </w:r>
      <w:r w:rsidRPr="00922460">
        <w:rPr>
          <w:sz w:val="20"/>
          <w:szCs w:val="20"/>
          <w:lang w:val="fr-CA"/>
        </w:rPr>
        <w:t xml:space="preserve">(Crim.) </w:t>
      </w:r>
      <w:r w:rsidRPr="00922460">
        <w:rPr>
          <w:sz w:val="20"/>
          <w:szCs w:val="20"/>
        </w:rPr>
        <w:t>(By Leave)</w:t>
      </w:r>
      <w:r w:rsidRPr="00C612D0">
        <w:rPr>
          <w:sz w:val="20"/>
          <w:szCs w:val="20"/>
        </w:rPr>
        <w:t xml:space="preserve"> </w:t>
      </w:r>
      <w:r w:rsidR="004B7F60" w:rsidRPr="00C612D0">
        <w:rPr>
          <w:sz w:val="20"/>
          <w:szCs w:val="20"/>
        </w:rPr>
        <w:t>(3</w:t>
      </w:r>
      <w:r>
        <w:rPr>
          <w:sz w:val="20"/>
          <w:szCs w:val="20"/>
        </w:rPr>
        <w:t>55</w:t>
      </w:r>
      <w:r w:rsidR="004B7F60" w:rsidRPr="00C612D0">
        <w:rPr>
          <w:sz w:val="20"/>
          <w:szCs w:val="20"/>
        </w:rPr>
        <w:t>3</w:t>
      </w:r>
      <w:r>
        <w:rPr>
          <w:sz w:val="20"/>
          <w:szCs w:val="20"/>
        </w:rPr>
        <w:t>0</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922460" w:rsidP="004B7F60">
      <w:pPr>
        <w:pStyle w:val="ListParagraph"/>
        <w:widowControl w:val="0"/>
        <w:numPr>
          <w:ilvl w:val="0"/>
          <w:numId w:val="1"/>
        </w:numPr>
        <w:ind w:hanging="720"/>
        <w:jc w:val="both"/>
        <w:rPr>
          <w:sz w:val="20"/>
          <w:szCs w:val="20"/>
        </w:rPr>
      </w:pPr>
      <w:r w:rsidRPr="00922460">
        <w:rPr>
          <w:i/>
          <w:sz w:val="20"/>
          <w:szCs w:val="20"/>
        </w:rPr>
        <w:t>Karl Anthony Wilson v. Attorney General of Canada representing Correctional Services Canada</w:t>
      </w:r>
      <w:r w:rsidRPr="00922460">
        <w:rPr>
          <w:sz w:val="20"/>
          <w:szCs w:val="20"/>
        </w:rPr>
        <w:t xml:space="preserve"> (N.S.) (Civil) (By Leave)</w:t>
      </w:r>
      <w:r w:rsidRPr="00940CAD">
        <w:rPr>
          <w:sz w:val="20"/>
          <w:szCs w:val="20"/>
        </w:rPr>
        <w:t xml:space="preserve"> </w:t>
      </w:r>
      <w:r w:rsidR="004B7F60" w:rsidRPr="00940CAD">
        <w:rPr>
          <w:sz w:val="20"/>
          <w:szCs w:val="20"/>
        </w:rPr>
        <w:t>(3</w:t>
      </w:r>
      <w:r>
        <w:rPr>
          <w:sz w:val="20"/>
          <w:szCs w:val="20"/>
        </w:rPr>
        <w:t>5</w:t>
      </w:r>
      <w:r w:rsidR="004B7F60" w:rsidRPr="00940CAD">
        <w:rPr>
          <w:sz w:val="20"/>
          <w:szCs w:val="20"/>
        </w:rPr>
        <w:t>4</w:t>
      </w:r>
      <w:r>
        <w:rPr>
          <w:sz w:val="20"/>
          <w:szCs w:val="20"/>
        </w:rPr>
        <w:t>2</w:t>
      </w:r>
      <w:r w:rsidR="004B7F60" w:rsidRPr="00940CAD">
        <w:rPr>
          <w:sz w:val="20"/>
          <w:szCs w:val="20"/>
        </w:rPr>
        <w:t>6)</w:t>
      </w:r>
    </w:p>
    <w:p w:rsidR="004B7F60" w:rsidRDefault="004B7F60" w:rsidP="004B7F60">
      <w:pPr>
        <w:widowControl w:val="0"/>
        <w:rPr>
          <w:sz w:val="20"/>
          <w:szCs w:val="20"/>
        </w:rPr>
      </w:pPr>
    </w:p>
    <w:p w:rsidR="00182BD0" w:rsidRDefault="00182BD0" w:rsidP="004B7F60">
      <w:pPr>
        <w:widowControl w:val="0"/>
        <w:rPr>
          <w:sz w:val="20"/>
          <w:szCs w:val="20"/>
        </w:rPr>
      </w:pPr>
    </w:p>
    <w:p w:rsidR="00182BD0" w:rsidRPr="00C50A5C" w:rsidRDefault="00182BD0" w:rsidP="00182BD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182BD0" w:rsidRPr="00C50A5C" w:rsidRDefault="00182BD0" w:rsidP="00182BD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182BD0" w:rsidRPr="00182BD0" w:rsidRDefault="00182BD0" w:rsidP="004B7F60">
      <w:pPr>
        <w:widowControl w:val="0"/>
        <w:rPr>
          <w:sz w:val="20"/>
          <w:szCs w:val="20"/>
          <w:lang w:val="fr-CA"/>
        </w:rPr>
      </w:pPr>
    </w:p>
    <w:p w:rsidR="004B7F60" w:rsidRPr="00C50A5C" w:rsidRDefault="00922460" w:rsidP="004B7F60">
      <w:pPr>
        <w:pStyle w:val="ListParagraph"/>
        <w:widowControl w:val="0"/>
        <w:numPr>
          <w:ilvl w:val="0"/>
          <w:numId w:val="1"/>
        </w:numPr>
        <w:ind w:hanging="720"/>
        <w:jc w:val="both"/>
        <w:rPr>
          <w:sz w:val="20"/>
          <w:szCs w:val="20"/>
        </w:rPr>
      </w:pPr>
      <w:r w:rsidRPr="00922460">
        <w:rPr>
          <w:i/>
          <w:sz w:val="20"/>
          <w:szCs w:val="20"/>
          <w:lang w:val="fr-CA"/>
        </w:rPr>
        <w:t>Whoody Aristilde c. Sa Majesté la Reine</w:t>
      </w:r>
      <w:r w:rsidRPr="00922460">
        <w:rPr>
          <w:sz w:val="20"/>
          <w:szCs w:val="20"/>
          <w:lang w:val="fr-CA"/>
        </w:rPr>
        <w:t xml:space="preserve"> (Qc) (Crim.) </w:t>
      </w:r>
      <w:r w:rsidRPr="00922460">
        <w:rPr>
          <w:sz w:val="20"/>
          <w:szCs w:val="20"/>
        </w:rPr>
        <w:t>(Autorisation)</w:t>
      </w:r>
      <w:r w:rsidRPr="00C50A5C">
        <w:rPr>
          <w:sz w:val="20"/>
          <w:szCs w:val="20"/>
        </w:rPr>
        <w:t xml:space="preserve"> </w:t>
      </w:r>
      <w:r w:rsidR="004B7F60" w:rsidRPr="00C50A5C">
        <w:rPr>
          <w:sz w:val="20"/>
          <w:szCs w:val="20"/>
        </w:rPr>
        <w:t>(3</w:t>
      </w:r>
      <w:r>
        <w:rPr>
          <w:sz w:val="20"/>
          <w:szCs w:val="20"/>
        </w:rPr>
        <w:t>5</w:t>
      </w:r>
      <w:r w:rsidR="004B7F60">
        <w:rPr>
          <w:sz w:val="20"/>
          <w:szCs w:val="20"/>
        </w:rPr>
        <w:t>4</w:t>
      </w:r>
      <w:r>
        <w:rPr>
          <w:sz w:val="20"/>
          <w:szCs w:val="20"/>
        </w:rPr>
        <w:t>4</w:t>
      </w:r>
      <w:r w:rsidR="004B7F60">
        <w:rPr>
          <w:sz w:val="20"/>
          <w:szCs w:val="20"/>
        </w:rPr>
        <w:t>2</w:t>
      </w:r>
      <w:r w:rsidR="004B7F60" w:rsidRPr="00C50A5C">
        <w:rPr>
          <w:sz w:val="20"/>
          <w:szCs w:val="20"/>
        </w:rPr>
        <w:t>)</w:t>
      </w:r>
    </w:p>
    <w:p w:rsidR="004B7F60" w:rsidRPr="00922460" w:rsidRDefault="004B7F60" w:rsidP="004B7F60">
      <w:pPr>
        <w:widowControl w:val="0"/>
        <w:jc w:val="both"/>
        <w:rPr>
          <w:i/>
          <w:sz w:val="20"/>
          <w:szCs w:val="20"/>
        </w:rPr>
      </w:pPr>
    </w:p>
    <w:p w:rsidR="004B7F60" w:rsidRPr="00C612D0" w:rsidRDefault="00922460" w:rsidP="004B7F60">
      <w:pPr>
        <w:pStyle w:val="ListParagraph"/>
        <w:widowControl w:val="0"/>
        <w:numPr>
          <w:ilvl w:val="0"/>
          <w:numId w:val="1"/>
        </w:numPr>
        <w:ind w:hanging="720"/>
        <w:jc w:val="both"/>
        <w:rPr>
          <w:sz w:val="20"/>
          <w:szCs w:val="20"/>
          <w:lang w:val="fr-CA"/>
        </w:rPr>
      </w:pPr>
      <w:r w:rsidRPr="00922460">
        <w:rPr>
          <w:i/>
          <w:sz w:val="20"/>
          <w:szCs w:val="20"/>
        </w:rPr>
        <w:t>Victor Leonard Lavallée v. Her Majesty the Queen</w:t>
      </w:r>
      <w:r w:rsidRPr="00922460">
        <w:rPr>
          <w:sz w:val="20"/>
          <w:szCs w:val="20"/>
        </w:rPr>
        <w:t xml:space="preserve"> (Sask.) </w:t>
      </w:r>
      <w:r w:rsidRPr="00922460">
        <w:rPr>
          <w:sz w:val="20"/>
          <w:szCs w:val="20"/>
          <w:lang w:val="fr-CA"/>
        </w:rPr>
        <w:t xml:space="preserve">(Crim.) </w:t>
      </w:r>
      <w:r w:rsidRPr="00922460">
        <w:rPr>
          <w:sz w:val="20"/>
          <w:szCs w:val="20"/>
        </w:rPr>
        <w:t>(By Leave)</w:t>
      </w:r>
      <w:r w:rsidRPr="00C612D0">
        <w:rPr>
          <w:sz w:val="20"/>
          <w:szCs w:val="20"/>
          <w:lang w:val="fr-CA"/>
        </w:rPr>
        <w:t xml:space="preserve"> </w:t>
      </w:r>
      <w:r w:rsidR="004B7F60" w:rsidRPr="00C612D0">
        <w:rPr>
          <w:sz w:val="20"/>
          <w:szCs w:val="20"/>
          <w:lang w:val="fr-CA"/>
        </w:rPr>
        <w:t>(3</w:t>
      </w:r>
      <w:r>
        <w:rPr>
          <w:sz w:val="20"/>
          <w:szCs w:val="20"/>
          <w:lang w:val="fr-CA"/>
        </w:rPr>
        <w:t>5</w:t>
      </w:r>
      <w:r w:rsidR="004B7F60" w:rsidRPr="00C612D0">
        <w:rPr>
          <w:sz w:val="20"/>
          <w:szCs w:val="20"/>
          <w:lang w:val="fr-CA"/>
        </w:rPr>
        <w:t>4</w:t>
      </w:r>
      <w:r>
        <w:rPr>
          <w:sz w:val="20"/>
          <w:szCs w:val="20"/>
          <w:lang w:val="fr-CA"/>
        </w:rPr>
        <w:t>76</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922460" w:rsidP="004B7F60">
      <w:pPr>
        <w:pStyle w:val="ListParagraph"/>
        <w:widowControl w:val="0"/>
        <w:numPr>
          <w:ilvl w:val="0"/>
          <w:numId w:val="1"/>
        </w:numPr>
        <w:ind w:hanging="720"/>
        <w:jc w:val="both"/>
        <w:rPr>
          <w:sz w:val="20"/>
          <w:szCs w:val="20"/>
          <w:lang w:val="fr-CA"/>
        </w:rPr>
      </w:pPr>
      <w:r w:rsidRPr="00922460">
        <w:rPr>
          <w:i/>
          <w:sz w:val="20"/>
          <w:szCs w:val="20"/>
        </w:rPr>
        <w:t>White Burgess Langille Inman, carrying on business as WBLI Chartered Accountants et al. v. Abbott and Haliburton Company Limited et al.</w:t>
      </w:r>
      <w:r w:rsidRPr="00922460">
        <w:rPr>
          <w:sz w:val="20"/>
          <w:szCs w:val="20"/>
        </w:rPr>
        <w:t xml:space="preserve"> (N.S.) (Civil) (By Leave)</w:t>
      </w:r>
      <w:r w:rsidRPr="00115C9E">
        <w:rPr>
          <w:sz w:val="20"/>
          <w:szCs w:val="20"/>
          <w:lang w:val="fr-CA"/>
        </w:rPr>
        <w:t xml:space="preserve"> </w:t>
      </w:r>
      <w:r w:rsidR="004B7F60" w:rsidRPr="00115C9E">
        <w:rPr>
          <w:sz w:val="20"/>
          <w:szCs w:val="20"/>
          <w:lang w:val="fr-CA"/>
        </w:rPr>
        <w:t>(3</w:t>
      </w:r>
      <w:r w:rsidR="00E20D31">
        <w:rPr>
          <w:sz w:val="20"/>
          <w:szCs w:val="20"/>
          <w:lang w:val="fr-CA"/>
        </w:rPr>
        <w:t>5</w:t>
      </w:r>
      <w:r w:rsidR="004B7F60" w:rsidRPr="00115C9E">
        <w:rPr>
          <w:sz w:val="20"/>
          <w:szCs w:val="20"/>
          <w:lang w:val="fr-CA"/>
        </w:rPr>
        <w:t>4</w:t>
      </w:r>
      <w:r>
        <w:rPr>
          <w:sz w:val="20"/>
          <w:szCs w:val="20"/>
          <w:lang w:val="fr-CA"/>
        </w:rPr>
        <w:t>92</w:t>
      </w:r>
      <w:r w:rsidR="004B7F60" w:rsidRPr="00115C9E">
        <w:rPr>
          <w:sz w:val="20"/>
          <w:szCs w:val="20"/>
          <w:lang w:val="fr-CA"/>
        </w:rPr>
        <w:t>)</w:t>
      </w:r>
    </w:p>
    <w:p w:rsidR="004B7F60" w:rsidRDefault="004B7F60" w:rsidP="004B7F60">
      <w:pPr>
        <w:widowControl w:val="0"/>
        <w:jc w:val="both"/>
        <w:rPr>
          <w:sz w:val="20"/>
          <w:szCs w:val="20"/>
          <w:lang w:val="fr-CA"/>
        </w:rPr>
      </w:pPr>
    </w:p>
    <w:p w:rsidR="00182BD0" w:rsidRDefault="00182BD0" w:rsidP="004B7F60">
      <w:pPr>
        <w:widowControl w:val="0"/>
        <w:jc w:val="both"/>
        <w:rPr>
          <w:sz w:val="20"/>
          <w:szCs w:val="20"/>
          <w:lang w:val="fr-CA"/>
        </w:rPr>
      </w:pPr>
    </w:p>
    <w:p w:rsidR="00182BD0" w:rsidRPr="00C50A5C" w:rsidRDefault="00182BD0" w:rsidP="00182BD0">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82BD0" w:rsidRPr="00C50A5C" w:rsidRDefault="00182BD0" w:rsidP="00182BD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182BD0" w:rsidRPr="00115C9E" w:rsidRDefault="00182BD0" w:rsidP="004B7F60">
      <w:pPr>
        <w:widowControl w:val="0"/>
        <w:jc w:val="both"/>
        <w:rPr>
          <w:sz w:val="20"/>
          <w:szCs w:val="20"/>
          <w:lang w:val="fr-CA"/>
        </w:rPr>
      </w:pPr>
    </w:p>
    <w:p w:rsidR="004B7F60" w:rsidRPr="00115C9E" w:rsidRDefault="00922460" w:rsidP="004B7F60">
      <w:pPr>
        <w:pStyle w:val="ListParagraph"/>
        <w:widowControl w:val="0"/>
        <w:numPr>
          <w:ilvl w:val="0"/>
          <w:numId w:val="1"/>
        </w:numPr>
        <w:ind w:hanging="720"/>
        <w:jc w:val="both"/>
        <w:rPr>
          <w:sz w:val="20"/>
          <w:szCs w:val="20"/>
          <w:lang w:val="fr-CA"/>
        </w:rPr>
      </w:pPr>
      <w:r w:rsidRPr="00922460">
        <w:rPr>
          <w:i/>
          <w:sz w:val="20"/>
          <w:szCs w:val="20"/>
        </w:rPr>
        <w:t>Tera Leigh Frieburg v. Her Majesty the Queen</w:t>
      </w:r>
      <w:r w:rsidRPr="00922460">
        <w:rPr>
          <w:sz w:val="20"/>
          <w:szCs w:val="20"/>
        </w:rPr>
        <w:t xml:space="preserve"> (Man.) (Crim.) (By Leave)</w:t>
      </w:r>
      <w:r w:rsidRPr="00115C9E">
        <w:rPr>
          <w:sz w:val="20"/>
          <w:szCs w:val="20"/>
          <w:lang w:val="fr-CA"/>
        </w:rPr>
        <w:t xml:space="preserve"> </w:t>
      </w:r>
      <w:r w:rsidR="004B7F60" w:rsidRPr="00115C9E">
        <w:rPr>
          <w:sz w:val="20"/>
          <w:szCs w:val="20"/>
          <w:lang w:val="fr-CA"/>
        </w:rPr>
        <w:t>(354</w:t>
      </w:r>
      <w:r>
        <w:rPr>
          <w:sz w:val="20"/>
          <w:szCs w:val="20"/>
          <w:lang w:val="fr-CA"/>
        </w:rPr>
        <w:t>90</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922460" w:rsidRDefault="00922460" w:rsidP="004B7F60">
      <w:pPr>
        <w:pStyle w:val="ListParagraph"/>
        <w:widowControl w:val="0"/>
        <w:numPr>
          <w:ilvl w:val="0"/>
          <w:numId w:val="1"/>
        </w:numPr>
        <w:ind w:hanging="720"/>
        <w:jc w:val="both"/>
        <w:rPr>
          <w:sz w:val="20"/>
          <w:szCs w:val="20"/>
        </w:rPr>
      </w:pPr>
      <w:r w:rsidRPr="00922460">
        <w:rPr>
          <w:i/>
          <w:sz w:val="20"/>
          <w:szCs w:val="20"/>
        </w:rPr>
        <w:t>Ralph Boehme v. Her Majesty the Queen</w:t>
      </w:r>
      <w:r w:rsidRPr="00922460">
        <w:rPr>
          <w:sz w:val="20"/>
          <w:szCs w:val="20"/>
        </w:rPr>
        <w:t xml:space="preserve"> (Ont.) (Crim.) (By Leave) </w:t>
      </w:r>
      <w:r w:rsidR="004B7F60" w:rsidRPr="00922460">
        <w:rPr>
          <w:sz w:val="20"/>
          <w:szCs w:val="20"/>
        </w:rPr>
        <w:t>(3</w:t>
      </w:r>
      <w:r w:rsidRPr="00922460">
        <w:rPr>
          <w:sz w:val="20"/>
          <w:szCs w:val="20"/>
        </w:rPr>
        <w:t>552</w:t>
      </w:r>
      <w:r w:rsidR="004B7F60" w:rsidRPr="00922460">
        <w:rPr>
          <w:sz w:val="20"/>
          <w:szCs w:val="20"/>
        </w:rPr>
        <w:t>3)</w:t>
      </w:r>
    </w:p>
    <w:p w:rsidR="004B7F60" w:rsidRPr="00922460" w:rsidRDefault="004B7F60" w:rsidP="004B7F60">
      <w:pPr>
        <w:widowControl w:val="0"/>
        <w:rPr>
          <w:sz w:val="20"/>
          <w:szCs w:val="20"/>
        </w:rPr>
      </w:pPr>
    </w:p>
    <w:p w:rsidR="004B7F60" w:rsidRPr="00182BD0" w:rsidRDefault="00922460" w:rsidP="004B7F60">
      <w:pPr>
        <w:pStyle w:val="ListParagraph"/>
        <w:widowControl w:val="0"/>
        <w:numPr>
          <w:ilvl w:val="0"/>
          <w:numId w:val="1"/>
        </w:numPr>
        <w:ind w:hanging="720"/>
        <w:jc w:val="both"/>
        <w:rPr>
          <w:sz w:val="20"/>
          <w:szCs w:val="20"/>
        </w:rPr>
      </w:pPr>
      <w:r w:rsidRPr="00922460">
        <w:rPr>
          <w:i/>
          <w:sz w:val="20"/>
          <w:szCs w:val="20"/>
        </w:rPr>
        <w:t>Allen Dale Forsyth v. Coast Mountain Bus Company</w:t>
      </w:r>
      <w:r w:rsidRPr="00922460">
        <w:rPr>
          <w:sz w:val="20"/>
          <w:szCs w:val="20"/>
        </w:rPr>
        <w:t xml:space="preserve"> (B.C.) (Civil) (By Leave)</w:t>
      </w:r>
      <w:r w:rsidRPr="00182BD0">
        <w:rPr>
          <w:sz w:val="20"/>
          <w:szCs w:val="20"/>
        </w:rPr>
        <w:t xml:space="preserve"> </w:t>
      </w:r>
      <w:r w:rsidR="004B7F60" w:rsidRPr="00182BD0">
        <w:rPr>
          <w:sz w:val="20"/>
          <w:szCs w:val="20"/>
        </w:rPr>
        <w:t>(3</w:t>
      </w:r>
      <w:r>
        <w:rPr>
          <w:sz w:val="20"/>
          <w:szCs w:val="20"/>
        </w:rPr>
        <w:t>5501</w:t>
      </w:r>
      <w:r w:rsidR="004B7F60" w:rsidRPr="00182BD0">
        <w:rPr>
          <w:sz w:val="20"/>
          <w:szCs w:val="20"/>
        </w:rPr>
        <w:t>)</w:t>
      </w:r>
    </w:p>
    <w:p w:rsidR="002E2327" w:rsidRPr="00C50A5C" w:rsidRDefault="002E2327" w:rsidP="002E2327">
      <w:pPr>
        <w:widowControl w:val="0"/>
        <w:rPr>
          <w:sz w:val="20"/>
          <w:szCs w:val="20"/>
          <w:lang w:val="fr-CA"/>
        </w:rPr>
      </w:pPr>
    </w:p>
    <w:p w:rsidR="002E2327" w:rsidRDefault="00CC2008" w:rsidP="002E2327">
      <w:pPr>
        <w:widowControl w:val="0"/>
        <w:rPr>
          <w:sz w:val="20"/>
          <w:szCs w:val="20"/>
        </w:rPr>
      </w:pPr>
      <w:r w:rsidRPr="00CC2008">
        <w:rPr>
          <w:sz w:val="20"/>
          <w:szCs w:val="20"/>
        </w:rPr>
        <w:pict>
          <v:rect id="_x0000_i1040" style="width:2in;height:1pt" o:hrpct="0" o:hralign="center" o:hrstd="t" o:hrnoshade="t" o:hr="t" fillcolor="black [3213]" stroked="f"/>
        </w:pict>
      </w:r>
    </w:p>
    <w:p w:rsidR="00D94028" w:rsidRDefault="00D94028" w:rsidP="002E2327">
      <w:pPr>
        <w:widowControl w:val="0"/>
        <w:rPr>
          <w:sz w:val="20"/>
          <w:szCs w:val="20"/>
        </w:rPr>
      </w:pPr>
    </w:p>
    <w:p w:rsidR="00922460" w:rsidRPr="00922460" w:rsidRDefault="00922460" w:rsidP="00922460">
      <w:pPr>
        <w:widowControl w:val="0"/>
        <w:rPr>
          <w:sz w:val="20"/>
          <w:szCs w:val="20"/>
        </w:rPr>
      </w:pPr>
    </w:p>
    <w:p w:rsidR="00922460" w:rsidRPr="00922460" w:rsidRDefault="00922460" w:rsidP="00922460">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8B61BC"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5A33F8" w:rsidP="000E2959">
      <w:pPr>
        <w:rPr>
          <w:b/>
          <w:sz w:val="20"/>
          <w:szCs w:val="20"/>
        </w:rPr>
      </w:pPr>
      <w:r>
        <w:rPr>
          <w:b/>
          <w:sz w:val="20"/>
          <w:szCs w:val="20"/>
        </w:rPr>
        <w:t xml:space="preserve">OCTOBER </w:t>
      </w:r>
      <w:r w:rsidR="000E2959" w:rsidRPr="00C50A5C">
        <w:rPr>
          <w:b/>
          <w:sz w:val="20"/>
          <w:szCs w:val="20"/>
        </w:rPr>
        <w:t>2</w:t>
      </w:r>
      <w:r>
        <w:rPr>
          <w:b/>
          <w:sz w:val="20"/>
          <w:szCs w:val="20"/>
        </w:rPr>
        <w:t>4</w:t>
      </w:r>
      <w:r w:rsidR="000E2959" w:rsidRPr="00C50A5C">
        <w:rPr>
          <w:b/>
          <w:sz w:val="20"/>
          <w:szCs w:val="20"/>
        </w:rPr>
        <w:t>, 201</w:t>
      </w:r>
      <w:r w:rsidR="000E2959">
        <w:rPr>
          <w:b/>
          <w:sz w:val="20"/>
          <w:szCs w:val="20"/>
        </w:rPr>
        <w:t>3</w:t>
      </w:r>
      <w:r w:rsidR="000E2959" w:rsidRPr="00C50A5C">
        <w:rPr>
          <w:b/>
          <w:sz w:val="20"/>
          <w:szCs w:val="20"/>
        </w:rPr>
        <w:t xml:space="preserve"> / LE 2</w:t>
      </w:r>
      <w:r>
        <w:rPr>
          <w:b/>
          <w:sz w:val="20"/>
          <w:szCs w:val="20"/>
        </w:rPr>
        <w:t>4 OCTOBRE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0F18" w:rsidRPr="00750F18" w:rsidTr="006C1C3D">
        <w:trPr>
          <w:cantSplit/>
        </w:trPr>
        <w:tc>
          <w:tcPr>
            <w:tcW w:w="1458" w:type="dxa"/>
          </w:tcPr>
          <w:p w:rsidR="00750F18" w:rsidRPr="00750F18" w:rsidRDefault="00750F18" w:rsidP="00750F18">
            <w:pPr>
              <w:rPr>
                <w:sz w:val="20"/>
              </w:rPr>
            </w:pPr>
            <w:r w:rsidRPr="00750F18">
              <w:rPr>
                <w:b/>
                <w:sz w:val="20"/>
                <w:lang w:val="fr-CA"/>
              </w:rPr>
              <w:t>35406</w:t>
            </w:r>
          </w:p>
          <w:p w:rsidR="00750F18" w:rsidRPr="00750F18" w:rsidRDefault="00750F18" w:rsidP="00750F18">
            <w:pPr>
              <w:rPr>
                <w:b/>
                <w:sz w:val="20"/>
                <w:lang w:val="fr-CA"/>
              </w:rPr>
            </w:pPr>
          </w:p>
        </w:tc>
        <w:tc>
          <w:tcPr>
            <w:tcW w:w="8118" w:type="dxa"/>
          </w:tcPr>
          <w:p w:rsidR="00750F18" w:rsidRPr="00750F18" w:rsidRDefault="00750F18" w:rsidP="00750F18">
            <w:pPr>
              <w:rPr>
                <w:sz w:val="20"/>
              </w:rPr>
            </w:pPr>
            <w:r w:rsidRPr="00750F18">
              <w:rPr>
                <w:b/>
                <w:sz w:val="20"/>
                <w:u w:val="single"/>
              </w:rPr>
              <w:t>Her Majesty the Queen v. Louis Rich</w:t>
            </w:r>
            <w:r w:rsidRPr="00750F18">
              <w:rPr>
                <w:sz w:val="20"/>
              </w:rPr>
              <w:t xml:space="preserve"> (N.L.) (Civil) (By Leave)</w:t>
            </w:r>
          </w:p>
          <w:p w:rsidR="00750F18" w:rsidRPr="00750F18" w:rsidRDefault="00750F18" w:rsidP="00750F18">
            <w:pPr>
              <w:rPr>
                <w:sz w:val="20"/>
              </w:rPr>
            </w:pPr>
          </w:p>
        </w:tc>
      </w:tr>
      <w:tr w:rsidR="00750F18" w:rsidRPr="00750F18" w:rsidTr="006C1C3D">
        <w:trPr>
          <w:cantSplit/>
        </w:trPr>
        <w:tc>
          <w:tcPr>
            <w:tcW w:w="1458" w:type="dxa"/>
          </w:tcPr>
          <w:p w:rsidR="00750F18" w:rsidRPr="00750F18" w:rsidRDefault="00750F18" w:rsidP="00750F18">
            <w:pPr>
              <w:rPr>
                <w:sz w:val="20"/>
              </w:rPr>
            </w:pPr>
            <w:r w:rsidRPr="00750F18">
              <w:rPr>
                <w:sz w:val="20"/>
              </w:rPr>
              <w:t>Coram :</w:t>
            </w:r>
          </w:p>
        </w:tc>
        <w:tc>
          <w:tcPr>
            <w:tcW w:w="8118" w:type="dxa"/>
          </w:tcPr>
          <w:p w:rsidR="00750F18" w:rsidRPr="00750F18" w:rsidRDefault="00750F18" w:rsidP="00750F18">
            <w:pPr>
              <w:rPr>
                <w:sz w:val="20"/>
              </w:rPr>
            </w:pPr>
            <w:r w:rsidRPr="00750F18">
              <w:rPr>
                <w:sz w:val="20"/>
                <w:u w:val="single"/>
              </w:rPr>
              <w:t>Abella, Rothstein and Moldaver JJ.</w:t>
            </w:r>
          </w:p>
          <w:p w:rsidR="00750F18" w:rsidRPr="00750F18" w:rsidRDefault="00750F18" w:rsidP="00750F18">
            <w:pPr>
              <w:rPr>
                <w:sz w:val="20"/>
                <w:u w:val="single"/>
              </w:rPr>
            </w:pPr>
          </w:p>
        </w:tc>
      </w:tr>
      <w:tr w:rsidR="00750F18" w:rsidRPr="008B61BC" w:rsidTr="006C1C3D">
        <w:trPr>
          <w:cantSplit/>
        </w:trPr>
        <w:tc>
          <w:tcPr>
            <w:tcW w:w="9576" w:type="dxa"/>
            <w:gridSpan w:val="2"/>
          </w:tcPr>
          <w:p w:rsidR="00750F18" w:rsidRPr="00750F18" w:rsidRDefault="00750F18" w:rsidP="00750F18">
            <w:pPr>
              <w:ind w:firstLine="720"/>
              <w:jc w:val="both"/>
              <w:rPr>
                <w:sz w:val="20"/>
              </w:rPr>
            </w:pPr>
            <w:r w:rsidRPr="00750F18">
              <w:rPr>
                <w:sz w:val="20"/>
              </w:rPr>
              <w:t>The application for leave to appeal from the judgment of the Supreme Court of Newfoundland and Labrador - Court of Appeal, Number 11/29, 2013 NLCA 24,  dated April 9, 2013, is dismissed with costs.</w:t>
            </w:r>
          </w:p>
          <w:p w:rsidR="00750F18" w:rsidRPr="00750F18" w:rsidRDefault="00750F18" w:rsidP="00750F18">
            <w:pPr>
              <w:jc w:val="both"/>
              <w:rPr>
                <w:sz w:val="20"/>
              </w:rPr>
            </w:pPr>
          </w:p>
          <w:p w:rsidR="00750F18" w:rsidRPr="00750F18" w:rsidRDefault="00750F18" w:rsidP="00750F18">
            <w:pPr>
              <w:ind w:firstLine="720"/>
              <w:jc w:val="both"/>
              <w:rPr>
                <w:sz w:val="20"/>
                <w:lang w:val="fr-CA"/>
              </w:rPr>
            </w:pPr>
            <w:r w:rsidRPr="00750F18">
              <w:rPr>
                <w:sz w:val="20"/>
                <w:lang w:val="fr-CA"/>
              </w:rPr>
              <w:t>La demande d’autorisation d’appel de l’arrêt de la Cour suprême de Terre-Neuve-et-Labrador - Cour d'appel, numéro 11/29, 2013 NLCA 24, daté du 9 avril 2013, est rejetée avec dépens.</w:t>
            </w:r>
          </w:p>
        </w:tc>
      </w:tr>
    </w:tbl>
    <w:p w:rsidR="005A33F8" w:rsidRPr="00750F18" w:rsidRDefault="005A33F8" w:rsidP="000E2959">
      <w:pPr>
        <w:rPr>
          <w:sz w:val="20"/>
          <w:szCs w:val="20"/>
          <w:lang w:val="fr-CA"/>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Appeal — Standard of review — Palpable and overriding error — Torts — Vicarious liability — Non</w:t>
            </w:r>
            <w:r w:rsidRPr="000E63FA">
              <w:rPr>
                <w:rFonts w:eastAsia="Calibri"/>
                <w:sz w:val="20"/>
                <w:szCs w:val="20"/>
              </w:rPr>
              <w:noBreakHyphen/>
              <w:t xml:space="preserve">delegable duty of care — Whether the Court of Appeal erred in overruling the trial judge and substituting their conclusions on credibility, the weight to be ascribed to similar fact evidence and the Province’s vicarious liability — Whether the Court of Appeal erred in concluding that the Province has a general non-delegable duty notwithstanding counsel’s objections that the issue had not been raised at trial — Whether the record was incomplete and inadequate for determination of the issue — Whether the decision conflicts with </w:t>
            </w:r>
            <w:r w:rsidRPr="000E63FA">
              <w:rPr>
                <w:rFonts w:eastAsia="Calibri"/>
                <w:i/>
                <w:sz w:val="20"/>
                <w:szCs w:val="20"/>
              </w:rPr>
              <w:t>B.(K.L.) v. British Columbia</w:t>
            </w:r>
            <w:r w:rsidRPr="000E63FA">
              <w:rPr>
                <w:rFonts w:eastAsia="Calibri"/>
                <w:sz w:val="20"/>
                <w:szCs w:val="20"/>
              </w:rPr>
              <w:t xml:space="preserve"> [2003] 2 S.C.R. 403.</w:t>
            </w:r>
          </w:p>
        </w:tc>
      </w:tr>
      <w:tr w:rsidR="007D148E" w:rsidRPr="000E63FA" w:rsidTr="006C1C3D">
        <w:tc>
          <w:tcPr>
            <w:tcW w:w="5000" w:type="pct"/>
            <w:gridSpan w:val="3"/>
          </w:tcPr>
          <w:p w:rsidR="007D148E" w:rsidRPr="000E63FA" w:rsidRDefault="007D148E" w:rsidP="006C1C3D">
            <w:pPr>
              <w:jc w:val="both"/>
              <w:rPr>
                <w:rFonts w:eastAsia="Calibri"/>
                <w:sz w:val="20"/>
                <w:szCs w:val="20"/>
              </w:rPr>
            </w:pPr>
          </w:p>
        </w:tc>
      </w:tr>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At 12 years of age in 1976, Mr. Rich became a permanent ward of the Director of Child Welfare.  He was transferred to Whitbourne School for Boys (the “School”) and remained there intermittently until 1981.  While he was at the school, Mr. Bromley, a Roman Catholic priest who volunteered at the School, was given permission to organize overnight stays at his cabin as an incentive for good behaviour by the Superintendent and the Director of the provincial Department of Recreation and Rehabilitation.  Mr. Rich alleged that, when he was 13 and on his only visit to the cabin, Mr. Bromley twice sexually and physically assaulted him twice, first while Mr. Bromley arranged a swimming game with the boys, and again when Mr. Rich was changing in the cabin after swimming.  When he reported the incident to the School’s Superintendent, the Superintendent slapped him on the face and placed him in solitary confinement.  Mr. Rich adduced similar fact evidence from William Dunne.  They had known each other at the School, but had not been close friends.  Mr. Dunne testified that Mr. Bromley assaulted him on three outings, once during a swimming game and twice more in the cabin.</w:t>
            </w:r>
          </w:p>
          <w:p w:rsidR="007D148E" w:rsidRPr="000E63FA" w:rsidRDefault="007D148E" w:rsidP="006C1C3D">
            <w:pPr>
              <w:jc w:val="both"/>
              <w:rPr>
                <w:rFonts w:eastAsia="Calibri"/>
                <w:sz w:val="20"/>
                <w:szCs w:val="20"/>
              </w:rPr>
            </w:pPr>
          </w:p>
          <w:p w:rsidR="007D148E" w:rsidRPr="000E63FA" w:rsidRDefault="007D148E" w:rsidP="006C1C3D">
            <w:pPr>
              <w:jc w:val="both"/>
              <w:rPr>
                <w:rFonts w:eastAsia="Calibri"/>
                <w:sz w:val="20"/>
                <w:szCs w:val="20"/>
              </w:rPr>
            </w:pPr>
            <w:r w:rsidRPr="000E63FA">
              <w:rPr>
                <w:rFonts w:eastAsia="Calibri"/>
                <w:sz w:val="20"/>
                <w:szCs w:val="20"/>
              </w:rPr>
              <w:t>The trial judge found that Mr. Rich was not credible and had not proven the assaults.  He dismissed the negligence action against the Province.  Neither precedent nor policy would have made the Province liable based on vicarious or strict liability.  The Court of Appeal held that the trial judge had committed palpable and overriding errors in his assessment of Mr. Rich’s credibility and in his treatment of the similar fact evidence.  It also found that the School was vicariously liable for the harm Mr. Rich had suffered, and that it had had a non-delegable duty of care.  It granted the appeal and imposed liability on the Province.</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February 18, 2011</w:t>
            </w:r>
          </w:p>
          <w:p w:rsidR="007D148E" w:rsidRPr="000E63FA" w:rsidRDefault="007D148E" w:rsidP="006C1C3D">
            <w:pPr>
              <w:jc w:val="both"/>
              <w:rPr>
                <w:rFonts w:eastAsia="Calibri"/>
                <w:sz w:val="20"/>
                <w:szCs w:val="20"/>
              </w:rPr>
            </w:pPr>
            <w:r w:rsidRPr="000E63FA">
              <w:rPr>
                <w:rFonts w:eastAsia="Calibri"/>
                <w:sz w:val="20"/>
                <w:szCs w:val="20"/>
              </w:rPr>
              <w:t>Supreme Court of Newfoundland &amp; Labrador, Trial Division</w:t>
            </w:r>
          </w:p>
          <w:p w:rsidR="007D148E" w:rsidRPr="000E63FA" w:rsidRDefault="007D148E" w:rsidP="006C1C3D">
            <w:pPr>
              <w:jc w:val="both"/>
              <w:rPr>
                <w:rFonts w:eastAsia="Calibri"/>
                <w:sz w:val="20"/>
                <w:szCs w:val="20"/>
              </w:rPr>
            </w:pPr>
            <w:r w:rsidRPr="000E63FA">
              <w:rPr>
                <w:rFonts w:eastAsia="Calibri"/>
                <w:sz w:val="20"/>
                <w:szCs w:val="20"/>
              </w:rPr>
              <w:t>(Adams J.)</w:t>
            </w:r>
          </w:p>
          <w:p w:rsidR="007D148E" w:rsidRPr="000E63FA" w:rsidRDefault="00CC2008" w:rsidP="006C1C3D">
            <w:pPr>
              <w:jc w:val="both"/>
              <w:rPr>
                <w:rFonts w:eastAsia="Calibri"/>
                <w:sz w:val="20"/>
                <w:szCs w:val="20"/>
              </w:rPr>
            </w:pPr>
            <w:hyperlink r:id="rId25" w:history="1">
              <w:r w:rsidR="007D148E" w:rsidRPr="000E63FA">
                <w:rPr>
                  <w:rFonts w:eastAsia="Calibri"/>
                  <w:color w:val="0000FF"/>
                  <w:sz w:val="20"/>
                  <w:szCs w:val="20"/>
                  <w:u w:val="single"/>
                </w:rPr>
                <w:t>2011 NLTD 16</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Action dismissed</w:t>
            </w:r>
          </w:p>
          <w:p w:rsidR="007D148E" w:rsidRPr="000E63FA" w:rsidRDefault="007D148E" w:rsidP="006C1C3D">
            <w:pPr>
              <w:jc w:val="both"/>
              <w:rPr>
                <w:rFonts w:eastAsia="Calibri"/>
                <w:sz w:val="20"/>
                <w:szCs w:val="20"/>
              </w:rPr>
            </w:pPr>
          </w:p>
        </w:tc>
      </w:tr>
      <w:tr w:rsidR="007D148E" w:rsidRPr="000E63FA" w:rsidTr="00750F18">
        <w:trPr>
          <w:cantSplit/>
        </w:trPr>
        <w:tc>
          <w:tcPr>
            <w:tcW w:w="2427" w:type="pct"/>
          </w:tcPr>
          <w:p w:rsidR="007D148E" w:rsidRPr="000E63FA" w:rsidRDefault="007D148E" w:rsidP="006C1C3D">
            <w:pPr>
              <w:jc w:val="both"/>
              <w:rPr>
                <w:rFonts w:eastAsia="Calibri"/>
                <w:sz w:val="20"/>
                <w:szCs w:val="20"/>
              </w:rPr>
            </w:pPr>
            <w:r w:rsidRPr="000E63FA">
              <w:rPr>
                <w:rFonts w:eastAsia="Calibri"/>
                <w:sz w:val="20"/>
                <w:szCs w:val="20"/>
              </w:rPr>
              <w:t>April 9, 2013</w:t>
            </w:r>
          </w:p>
          <w:p w:rsidR="007D148E" w:rsidRPr="000E63FA" w:rsidRDefault="007D148E" w:rsidP="006C1C3D">
            <w:pPr>
              <w:jc w:val="both"/>
              <w:rPr>
                <w:rFonts w:eastAsia="Calibri"/>
                <w:sz w:val="20"/>
                <w:szCs w:val="20"/>
              </w:rPr>
            </w:pPr>
            <w:r w:rsidRPr="000E63FA">
              <w:rPr>
                <w:rFonts w:eastAsia="Calibri"/>
                <w:sz w:val="20"/>
                <w:szCs w:val="20"/>
              </w:rPr>
              <w:t xml:space="preserve">Supreme Court of Newfoundland and </w:t>
            </w:r>
          </w:p>
          <w:p w:rsidR="007D148E" w:rsidRPr="000E63FA" w:rsidRDefault="007D148E" w:rsidP="006C1C3D">
            <w:pPr>
              <w:jc w:val="both"/>
              <w:rPr>
                <w:rFonts w:eastAsia="Calibri"/>
                <w:sz w:val="20"/>
                <w:szCs w:val="20"/>
              </w:rPr>
            </w:pPr>
            <w:r w:rsidRPr="000E63FA">
              <w:rPr>
                <w:rFonts w:eastAsia="Calibri"/>
                <w:sz w:val="20"/>
                <w:szCs w:val="20"/>
              </w:rPr>
              <w:t>Labrador - Court of Appeal</w:t>
            </w:r>
          </w:p>
          <w:p w:rsidR="007D148E" w:rsidRPr="000E63FA" w:rsidRDefault="007D148E" w:rsidP="006C1C3D">
            <w:pPr>
              <w:jc w:val="both"/>
              <w:rPr>
                <w:rFonts w:eastAsia="Calibri"/>
                <w:sz w:val="20"/>
                <w:szCs w:val="20"/>
              </w:rPr>
            </w:pPr>
            <w:r w:rsidRPr="000E63FA">
              <w:rPr>
                <w:rFonts w:eastAsia="Calibri"/>
                <w:sz w:val="20"/>
                <w:szCs w:val="20"/>
              </w:rPr>
              <w:t>(Green C.J.N.L., Rowe, Harrington JJ.A.)</w:t>
            </w:r>
          </w:p>
          <w:p w:rsidR="007D148E" w:rsidRPr="000E63FA" w:rsidRDefault="00CC2008" w:rsidP="006C1C3D">
            <w:pPr>
              <w:jc w:val="both"/>
              <w:rPr>
                <w:rFonts w:eastAsia="Calibri"/>
                <w:sz w:val="20"/>
                <w:szCs w:val="20"/>
              </w:rPr>
            </w:pPr>
            <w:hyperlink r:id="rId26" w:history="1">
              <w:r w:rsidR="007D148E" w:rsidRPr="000E63FA">
                <w:rPr>
                  <w:rFonts w:eastAsia="Calibri"/>
                  <w:color w:val="0000FF"/>
                  <w:sz w:val="20"/>
                  <w:szCs w:val="20"/>
                  <w:u w:val="single"/>
                </w:rPr>
                <w:t>2013 NLCA 24</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Appeal allowed; liability imposed upon province; $45,000 in general and aggravated damages awarded</w:t>
            </w:r>
          </w:p>
          <w:p w:rsidR="007D148E" w:rsidRPr="000E63FA" w:rsidRDefault="007D148E" w:rsidP="006C1C3D">
            <w:pPr>
              <w:jc w:val="both"/>
              <w:rPr>
                <w:rFonts w:eastAsia="Calibri"/>
                <w:sz w:val="20"/>
                <w:szCs w:val="20"/>
              </w:rPr>
            </w:pPr>
          </w:p>
        </w:tc>
      </w:tr>
      <w:tr w:rsidR="007D148E" w:rsidRPr="000E63FA" w:rsidTr="00750F18">
        <w:trPr>
          <w:cantSplit/>
        </w:trPr>
        <w:tc>
          <w:tcPr>
            <w:tcW w:w="2427" w:type="pct"/>
          </w:tcPr>
          <w:p w:rsidR="007D148E" w:rsidRPr="000E63FA" w:rsidRDefault="007D148E" w:rsidP="006C1C3D">
            <w:pPr>
              <w:jc w:val="both"/>
              <w:rPr>
                <w:rFonts w:eastAsia="Calibri"/>
                <w:sz w:val="20"/>
                <w:szCs w:val="20"/>
              </w:rPr>
            </w:pPr>
            <w:r w:rsidRPr="000E63FA">
              <w:rPr>
                <w:rFonts w:eastAsia="Calibri"/>
                <w:sz w:val="20"/>
                <w:szCs w:val="20"/>
              </w:rPr>
              <w:t>June 10, 2013</w:t>
            </w:r>
          </w:p>
          <w:p w:rsidR="007D148E" w:rsidRPr="000E63FA" w:rsidRDefault="007D148E" w:rsidP="006C1C3D">
            <w:pPr>
              <w:jc w:val="both"/>
              <w:rPr>
                <w:rFonts w:eastAsia="Calibri"/>
                <w:sz w:val="20"/>
                <w:szCs w:val="20"/>
              </w:rPr>
            </w:pPr>
            <w:r w:rsidRPr="000E63FA">
              <w:rPr>
                <w:rFonts w:eastAsia="Calibri"/>
                <w:sz w:val="20"/>
                <w:szCs w:val="20"/>
              </w:rPr>
              <w:t>Supreme Court of Canada</w:t>
            </w: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Application for leave to appeal filed</w:t>
            </w:r>
          </w:p>
          <w:p w:rsidR="007D148E" w:rsidRPr="000E63FA" w:rsidRDefault="007D148E" w:rsidP="006C1C3D">
            <w:pPr>
              <w:jc w:val="both"/>
              <w:rPr>
                <w:rFonts w:eastAsia="Calibri"/>
                <w:sz w:val="20"/>
                <w:szCs w:val="20"/>
              </w:rPr>
            </w:pPr>
          </w:p>
        </w:tc>
      </w:tr>
    </w:tbl>
    <w:p w:rsidR="005A33F8" w:rsidRDefault="005A33F8" w:rsidP="005A33F8">
      <w:pPr>
        <w:rPr>
          <w:sz w:val="20"/>
          <w:szCs w:val="20"/>
        </w:rPr>
      </w:pPr>
    </w:p>
    <w:p w:rsidR="005A33F8" w:rsidRPr="00C50A5C" w:rsidRDefault="00CC2008" w:rsidP="005A33F8">
      <w:pPr>
        <w:rPr>
          <w:sz w:val="20"/>
          <w:szCs w:val="20"/>
        </w:rPr>
      </w:pPr>
      <w:r w:rsidRPr="00CC2008">
        <w:rPr>
          <w:sz w:val="20"/>
          <w:szCs w:val="20"/>
          <w:lang w:val="fr-CA"/>
        </w:rPr>
        <w:pict>
          <v:rect id="_x0000_i1043" style="width:2in;height:1pt" o:hrpct="0" o:hralign="center" o:hrstd="t" o:hrnoshade="t" o:hr="t" fillcolor="black [3213]" stroked="f"/>
        </w:pict>
      </w:r>
    </w:p>
    <w:p w:rsidR="005A33F8" w:rsidRDefault="005A33F8" w:rsidP="005A33F8">
      <w:pPr>
        <w:rPr>
          <w:sz w:val="20"/>
          <w:szCs w:val="20"/>
        </w:rPr>
      </w:pPr>
    </w:p>
    <w:p w:rsidR="005A33F8" w:rsidRPr="001B157C" w:rsidRDefault="005A33F8" w:rsidP="005A33F8">
      <w:pPr>
        <w:rPr>
          <w:sz w:val="20"/>
          <w:szCs w:val="20"/>
          <w:u w:val="single"/>
          <w:lang w:val="fr-CA"/>
        </w:rPr>
      </w:pPr>
      <w:r w:rsidRPr="001B157C">
        <w:rPr>
          <w:sz w:val="20"/>
          <w:szCs w:val="20"/>
          <w:u w:val="single"/>
          <w:lang w:val="fr-CA"/>
        </w:rPr>
        <w:t>RÉSUMÉ DE L’AFFAIRE</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8B61BC"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Appels — Norme de contrôle — Erreur manifeste et dominante — Responsabilité délictuelle — Responsabilité du fait d’autrui — Obligation de diligence intransmissible — La Cour d’appel a</w:t>
            </w:r>
            <w:r w:rsidRPr="000E63FA">
              <w:rPr>
                <w:rFonts w:eastAsia="Calibri"/>
                <w:sz w:val="20"/>
                <w:szCs w:val="20"/>
                <w:lang w:val="fr-CA"/>
              </w:rPr>
              <w:noBreakHyphen/>
              <w:t>t</w:t>
            </w:r>
            <w:r w:rsidRPr="000E63FA">
              <w:rPr>
                <w:rFonts w:eastAsia="Calibri"/>
                <w:sz w:val="20"/>
                <w:szCs w:val="20"/>
                <w:lang w:val="fr-CA"/>
              </w:rPr>
              <w:noBreakHyphen/>
              <w:t>elle commis une erreur en infirmant la décision du juge de première instance et en substituant ses conclusions à celles qu’il avait tirées relativement à la crédibilité, au poids à accorder à la preuve de faits similaires et à la responsabilité du fait d’autrui de la province? — La Cour d’appel a</w:t>
            </w:r>
            <w:r w:rsidRPr="000E63FA">
              <w:rPr>
                <w:rFonts w:eastAsia="Calibri"/>
                <w:sz w:val="20"/>
                <w:szCs w:val="20"/>
                <w:lang w:val="fr-CA"/>
              </w:rPr>
              <w:noBreakHyphen/>
              <w:t>t</w:t>
            </w:r>
            <w:r w:rsidRPr="000E63FA">
              <w:rPr>
                <w:rFonts w:eastAsia="Calibri"/>
                <w:sz w:val="20"/>
                <w:szCs w:val="20"/>
                <w:lang w:val="fr-CA"/>
              </w:rPr>
              <w:noBreakHyphen/>
              <w:t>elle commis une erreur en concluant que la province a une obligation générale intransmissible malgré les objections de l’avocat selon laquelle la question n’a pas été soulevée au procès? — Le dossier était</w:t>
            </w:r>
            <w:r w:rsidRPr="000E63FA">
              <w:rPr>
                <w:rFonts w:eastAsia="Calibri"/>
                <w:sz w:val="20"/>
                <w:szCs w:val="20"/>
                <w:lang w:val="fr-CA"/>
              </w:rPr>
              <w:noBreakHyphen/>
              <w:t>il insuffisant pour permettre de trancher la question? — La décision rendue entre</w:t>
            </w:r>
            <w:r w:rsidRPr="000E63FA">
              <w:rPr>
                <w:rFonts w:eastAsia="Calibri"/>
                <w:sz w:val="20"/>
                <w:szCs w:val="20"/>
                <w:lang w:val="fr-CA"/>
              </w:rPr>
              <w:noBreakHyphen/>
              <w:t>t</w:t>
            </w:r>
            <w:r w:rsidRPr="000E63FA">
              <w:rPr>
                <w:rFonts w:eastAsia="Calibri"/>
                <w:sz w:val="20"/>
                <w:szCs w:val="20"/>
                <w:lang w:val="fr-CA"/>
              </w:rPr>
              <w:noBreakHyphen/>
              <w:t xml:space="preserve">elle en conflit avec l’arrêt </w:t>
            </w:r>
            <w:r w:rsidRPr="000E63FA">
              <w:rPr>
                <w:rFonts w:eastAsia="Calibri"/>
                <w:i/>
                <w:sz w:val="20"/>
                <w:szCs w:val="20"/>
                <w:lang w:val="fr-CA"/>
              </w:rPr>
              <w:t>K.L.B. c. Colombie</w:t>
            </w:r>
            <w:r w:rsidRPr="000E63FA">
              <w:rPr>
                <w:rFonts w:eastAsia="Calibri"/>
                <w:i/>
                <w:sz w:val="20"/>
                <w:szCs w:val="20"/>
                <w:lang w:val="fr-CA"/>
              </w:rPr>
              <w:noBreakHyphen/>
              <w:t>Britannique</w:t>
            </w:r>
            <w:r w:rsidRPr="000E63FA">
              <w:rPr>
                <w:rFonts w:eastAsia="Calibri"/>
                <w:sz w:val="20"/>
                <w:szCs w:val="20"/>
                <w:lang w:val="fr-CA"/>
              </w:rPr>
              <w:t>, [2003] 2 R.C.S. 403?</w:t>
            </w:r>
          </w:p>
        </w:tc>
      </w:tr>
      <w:tr w:rsidR="007D148E" w:rsidRPr="008B61BC" w:rsidTr="006C1C3D">
        <w:tc>
          <w:tcPr>
            <w:tcW w:w="5000" w:type="pct"/>
            <w:gridSpan w:val="3"/>
          </w:tcPr>
          <w:p w:rsidR="007D148E" w:rsidRPr="000E63FA" w:rsidRDefault="007D148E" w:rsidP="006C1C3D">
            <w:pPr>
              <w:jc w:val="both"/>
              <w:rPr>
                <w:rFonts w:eastAsia="Calibri"/>
                <w:sz w:val="20"/>
                <w:szCs w:val="20"/>
                <w:lang w:val="fr-CA"/>
              </w:rPr>
            </w:pPr>
          </w:p>
        </w:tc>
      </w:tr>
      <w:tr w:rsidR="007D148E" w:rsidRPr="008B61BC"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En 1976, alors qu’il était âgé de 12 ans, M. Rich a été placé sous la tutelle permanente du directeur des services du bien</w:t>
            </w:r>
            <w:r w:rsidRPr="000E63FA">
              <w:rPr>
                <w:rFonts w:eastAsia="Calibri"/>
                <w:sz w:val="20"/>
                <w:szCs w:val="20"/>
                <w:lang w:val="fr-CA"/>
              </w:rPr>
              <w:noBreakHyphen/>
              <w:t>être à l’enfance.  Il a été transféré à la Whitbourne School for Boys (l’école) et y est resté par intermittence jusqu’en 1981.  Pendant qu’il fréquentait l’école, le surintendant scolaire et le directeur du service provincial des loisirs et de la réadaptation ont, pour encourager la bonne conduite des élèves, autorisé M. Bromley, un prêtre catholique romain qui faisait du bénévolat à l’école, à organiser des sorties où les élèves venaient passer une nuit à sa cabane.  M. Rich prétend que M. Bromley l’a agressé sexuellement et physiquement à deux reprises lors de son seul séjour à la cabane à l’âge de 13 ans, la première fois pendant M. Bromley organisait une activité de baignade avec les jeunes garçons, et une autre fois alors que M. Rich se changeait dans la cabane après la baignade.  Lorsqu’il a signalé l’incident au surintendant scolaire, celui</w:t>
            </w:r>
            <w:r w:rsidRPr="000E63FA">
              <w:rPr>
                <w:rFonts w:eastAsia="Calibri"/>
                <w:sz w:val="20"/>
                <w:szCs w:val="20"/>
                <w:lang w:val="fr-CA"/>
              </w:rPr>
              <w:noBreakHyphen/>
              <w:t>ci lui l’a giflé et l’a placé en isolement.  M.  Rich a présenté une preuve de faits similaires en faisant témoigner M. William Dunne.  Ils s’étaient connus à l’école, mais n’étaient pas des amis proches.  M. Dunne a témoigné que M. Bromley l’avait agressé lors de trois sorties, une fois pendant une activité de baignade et deux autres fois dans la cabane.</w:t>
            </w:r>
          </w:p>
          <w:p w:rsidR="007D148E" w:rsidRPr="000E63FA" w:rsidRDefault="007D148E" w:rsidP="006C1C3D">
            <w:pPr>
              <w:jc w:val="both"/>
              <w:rPr>
                <w:rFonts w:eastAsia="Calibri"/>
                <w:sz w:val="20"/>
                <w:szCs w:val="20"/>
                <w:lang w:val="fr-CA"/>
              </w:rPr>
            </w:pPr>
          </w:p>
          <w:p w:rsidR="007D148E" w:rsidRPr="000E63FA" w:rsidRDefault="007D148E" w:rsidP="006C1C3D">
            <w:pPr>
              <w:jc w:val="both"/>
              <w:rPr>
                <w:rFonts w:eastAsia="Calibri"/>
                <w:sz w:val="20"/>
                <w:szCs w:val="20"/>
                <w:lang w:val="fr-CA"/>
              </w:rPr>
            </w:pPr>
            <w:r w:rsidRPr="000E63FA">
              <w:rPr>
                <w:rFonts w:eastAsia="Calibri"/>
                <w:sz w:val="20"/>
                <w:szCs w:val="20"/>
                <w:lang w:val="fr-CA"/>
              </w:rPr>
              <w:t>Le juge du procès a conclu que M. Rich n’était pas crédible et qu’il n’avait pas fait la preuve des agressions.  Il a rejeté l’action pour négligence intentée contre la province.  Aucun précédent ni aucune considération de politique générale ne permettaient selon lui de conclure à la responsabilité du fait d’autrui ou à la responsabilité stricte de la province.  La Cour d’appel a conclu que le juge du procès avait commis des erreurs manifestes et dominantes dans son appréciation de la crédibilité de M. Rich et dans son traitement de la preuve de faits similaires.  Elle a également conclu que l’école était responsable du fait d’autrui à l’égard du préjudice subi par M. Rich et qu’elle avait une obligation de diligence intransmissible.  Elle a accueilli l’appel et conclu à la responsabilité de la province.</w:t>
            </w:r>
          </w:p>
          <w:p w:rsidR="007D148E" w:rsidRPr="000E63FA" w:rsidRDefault="007D148E" w:rsidP="006C1C3D">
            <w:pPr>
              <w:jc w:val="both"/>
              <w:rPr>
                <w:rFonts w:eastAsia="Calibri"/>
                <w:sz w:val="20"/>
                <w:szCs w:val="20"/>
                <w:lang w:val="fr-CA"/>
              </w:rPr>
            </w:pPr>
          </w:p>
        </w:tc>
      </w:tr>
      <w:tr w:rsidR="007D148E" w:rsidRPr="000E63FA"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18 février 2011</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de Terre</w:t>
            </w:r>
            <w:r w:rsidRPr="000E63FA">
              <w:rPr>
                <w:rFonts w:eastAsia="Calibri"/>
                <w:sz w:val="20"/>
                <w:szCs w:val="20"/>
                <w:lang w:val="fr-CA"/>
              </w:rPr>
              <w:noBreakHyphen/>
              <w:t>Neuve</w:t>
            </w:r>
            <w:r w:rsidRPr="000E63FA">
              <w:rPr>
                <w:rFonts w:eastAsia="Calibri"/>
                <w:sz w:val="20"/>
                <w:szCs w:val="20"/>
                <w:lang w:val="fr-CA"/>
              </w:rPr>
              <w:noBreakHyphen/>
              <w:t>et</w:t>
            </w:r>
            <w:r w:rsidRPr="000E63FA">
              <w:rPr>
                <w:rFonts w:eastAsia="Calibri"/>
                <w:sz w:val="20"/>
                <w:szCs w:val="20"/>
                <w:lang w:val="fr-CA"/>
              </w:rPr>
              <w:noBreakHyphen/>
              <w:t>Labrador, Section de première instance</w:t>
            </w:r>
          </w:p>
          <w:p w:rsidR="007D148E" w:rsidRPr="000E63FA" w:rsidRDefault="007D148E" w:rsidP="006C1C3D">
            <w:pPr>
              <w:jc w:val="both"/>
              <w:rPr>
                <w:rFonts w:eastAsia="Calibri"/>
                <w:sz w:val="20"/>
                <w:szCs w:val="20"/>
                <w:lang w:val="fr-CA"/>
              </w:rPr>
            </w:pPr>
            <w:r w:rsidRPr="000E63FA">
              <w:rPr>
                <w:rFonts w:eastAsia="Calibri"/>
                <w:sz w:val="20"/>
                <w:szCs w:val="20"/>
                <w:lang w:val="fr-CA"/>
              </w:rPr>
              <w:t>(Juge Adams )</w:t>
            </w:r>
          </w:p>
          <w:p w:rsidR="007D148E" w:rsidRPr="000E63FA" w:rsidRDefault="00CC2008" w:rsidP="006C1C3D">
            <w:pPr>
              <w:jc w:val="both"/>
              <w:rPr>
                <w:rFonts w:eastAsia="Calibri"/>
                <w:sz w:val="20"/>
                <w:szCs w:val="20"/>
                <w:lang w:val="fr-CA"/>
              </w:rPr>
            </w:pPr>
            <w:hyperlink r:id="rId27" w:history="1">
              <w:r w:rsidR="007D148E" w:rsidRPr="000E63FA">
                <w:rPr>
                  <w:rFonts w:eastAsia="Calibri"/>
                  <w:color w:val="0000FF"/>
                  <w:sz w:val="20"/>
                  <w:szCs w:val="20"/>
                  <w:u w:val="single"/>
                  <w:lang w:val="fr-CA"/>
                </w:rPr>
                <w:t>2011 NLTD 16</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Action rejetée</w:t>
            </w:r>
          </w:p>
          <w:p w:rsidR="007D148E" w:rsidRPr="000E63FA" w:rsidRDefault="007D148E" w:rsidP="006C1C3D">
            <w:pPr>
              <w:jc w:val="both"/>
              <w:rPr>
                <w:rFonts w:eastAsia="Calibri"/>
                <w:sz w:val="20"/>
                <w:szCs w:val="20"/>
                <w:lang w:val="fr-CA"/>
              </w:rPr>
            </w:pPr>
          </w:p>
        </w:tc>
      </w:tr>
      <w:tr w:rsidR="007D148E" w:rsidRPr="008B61BC" w:rsidTr="00750F18">
        <w:trPr>
          <w:cantSplit/>
        </w:trPr>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9 avril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de Terre</w:t>
            </w:r>
            <w:r w:rsidRPr="000E63FA">
              <w:rPr>
                <w:rFonts w:eastAsia="Calibri"/>
                <w:sz w:val="20"/>
                <w:szCs w:val="20"/>
                <w:lang w:val="fr-CA"/>
              </w:rPr>
              <w:noBreakHyphen/>
              <w:t>Neuve</w:t>
            </w:r>
            <w:r w:rsidRPr="000E63FA">
              <w:rPr>
                <w:rFonts w:eastAsia="Calibri"/>
                <w:sz w:val="20"/>
                <w:szCs w:val="20"/>
                <w:lang w:val="fr-CA"/>
              </w:rPr>
              <w:noBreakHyphen/>
              <w:t>et</w:t>
            </w:r>
            <w:r w:rsidRPr="000E63FA">
              <w:rPr>
                <w:rFonts w:eastAsia="Calibri"/>
                <w:sz w:val="20"/>
                <w:szCs w:val="20"/>
                <w:lang w:val="fr-CA"/>
              </w:rPr>
              <w:noBreakHyphen/>
              <w:t>Labrador</w:t>
            </w:r>
          </w:p>
          <w:p w:rsidR="007D148E" w:rsidRPr="000E63FA" w:rsidRDefault="007D148E" w:rsidP="006C1C3D">
            <w:pPr>
              <w:jc w:val="both"/>
              <w:rPr>
                <w:rFonts w:eastAsia="Calibri"/>
                <w:sz w:val="20"/>
                <w:szCs w:val="20"/>
                <w:lang w:val="fr-CA"/>
              </w:rPr>
            </w:pPr>
            <w:r w:rsidRPr="000E63FA">
              <w:rPr>
                <w:rFonts w:eastAsia="Calibri"/>
                <w:sz w:val="20"/>
                <w:szCs w:val="20"/>
                <w:lang w:val="fr-CA"/>
              </w:rPr>
              <w:t xml:space="preserve"> - Cour d’appel</w:t>
            </w:r>
          </w:p>
          <w:p w:rsidR="007D148E" w:rsidRPr="000E63FA" w:rsidRDefault="007D148E" w:rsidP="006C1C3D">
            <w:pPr>
              <w:jc w:val="both"/>
              <w:rPr>
                <w:rFonts w:eastAsia="Calibri"/>
                <w:sz w:val="20"/>
                <w:szCs w:val="20"/>
                <w:lang w:val="fr-CA"/>
              </w:rPr>
            </w:pPr>
            <w:r w:rsidRPr="000E63FA">
              <w:rPr>
                <w:rFonts w:eastAsia="Calibri"/>
                <w:sz w:val="20"/>
                <w:szCs w:val="20"/>
                <w:lang w:val="fr-CA"/>
              </w:rPr>
              <w:t>(Juge en chef Green, juges Rowe et Harrington)</w:t>
            </w:r>
          </w:p>
          <w:p w:rsidR="007D148E" w:rsidRPr="000E63FA" w:rsidRDefault="00CC2008" w:rsidP="006C1C3D">
            <w:pPr>
              <w:jc w:val="both"/>
              <w:rPr>
                <w:rFonts w:eastAsia="Calibri"/>
                <w:sz w:val="20"/>
                <w:szCs w:val="20"/>
                <w:lang w:val="fr-CA"/>
              </w:rPr>
            </w:pPr>
            <w:hyperlink r:id="rId28" w:history="1">
              <w:r w:rsidR="007D148E" w:rsidRPr="000E63FA">
                <w:rPr>
                  <w:rFonts w:eastAsia="Calibri"/>
                  <w:color w:val="0000FF"/>
                  <w:sz w:val="20"/>
                  <w:szCs w:val="20"/>
                  <w:u w:val="single"/>
                  <w:lang w:val="fr-CA"/>
                </w:rPr>
                <w:t>2013 NLCA 24</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Appel accueilli; la cour conclut à la responsabilité de la province; 45 000 $ de dommages</w:t>
            </w:r>
            <w:r w:rsidRPr="000E63FA">
              <w:rPr>
                <w:rFonts w:eastAsia="Calibri"/>
                <w:sz w:val="20"/>
                <w:szCs w:val="20"/>
                <w:lang w:val="fr-CA"/>
              </w:rPr>
              <w:noBreakHyphen/>
              <w:t>intérêts généraux et majorés accordés</w:t>
            </w:r>
          </w:p>
          <w:p w:rsidR="007D148E" w:rsidRPr="000E63FA" w:rsidRDefault="007D148E" w:rsidP="006C1C3D">
            <w:pPr>
              <w:jc w:val="both"/>
              <w:rPr>
                <w:rFonts w:eastAsia="Calibri"/>
                <w:sz w:val="20"/>
                <w:szCs w:val="20"/>
                <w:lang w:val="fr-CA"/>
              </w:rPr>
            </w:pPr>
          </w:p>
        </w:tc>
      </w:tr>
      <w:tr w:rsidR="007D148E" w:rsidRPr="000E63FA" w:rsidTr="00750F18">
        <w:trPr>
          <w:cantSplit/>
        </w:trPr>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10 juin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du Canada</w:t>
            </w: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Demande d’autorisation d’appel déposée</w:t>
            </w:r>
          </w:p>
        </w:tc>
      </w:tr>
    </w:tbl>
    <w:p w:rsidR="005A33F8" w:rsidRDefault="005A33F8" w:rsidP="000E2959">
      <w:pPr>
        <w:rPr>
          <w:sz w:val="20"/>
          <w:szCs w:val="20"/>
        </w:rPr>
      </w:pPr>
    </w:p>
    <w:p w:rsidR="005A33F8" w:rsidRDefault="00CC2008" w:rsidP="000E2959">
      <w:pPr>
        <w:rPr>
          <w:sz w:val="20"/>
          <w:szCs w:val="20"/>
        </w:rPr>
      </w:pPr>
      <w:r w:rsidRPr="00CC2008">
        <w:rPr>
          <w:sz w:val="20"/>
          <w:szCs w:val="20"/>
          <w:lang w:val="fr-CA"/>
        </w:rPr>
        <w:pict>
          <v:rect id="_x0000_i1044" style="width:2in;height:1pt" o:hrpct="0" o:hralign="center" o:hrstd="t" o:hrnoshade="t" o:hr="t" fillcolor="black [3213]" stroked="f"/>
        </w:pict>
      </w:r>
    </w:p>
    <w:p w:rsidR="005A33F8" w:rsidRDefault="005A33F8"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0F18" w:rsidRPr="008B61BC" w:rsidTr="006C1C3D">
        <w:trPr>
          <w:cantSplit/>
        </w:trPr>
        <w:tc>
          <w:tcPr>
            <w:tcW w:w="1458" w:type="dxa"/>
          </w:tcPr>
          <w:p w:rsidR="00750F18" w:rsidRPr="00750F18" w:rsidRDefault="00750F18" w:rsidP="00750F18">
            <w:pPr>
              <w:rPr>
                <w:sz w:val="20"/>
              </w:rPr>
            </w:pPr>
            <w:r w:rsidRPr="00750F18">
              <w:rPr>
                <w:b/>
                <w:sz w:val="20"/>
                <w:lang w:val="fr-CA"/>
              </w:rPr>
              <w:t>35420</w:t>
            </w:r>
          </w:p>
          <w:p w:rsidR="00750F18" w:rsidRPr="00750F18" w:rsidRDefault="00750F18" w:rsidP="00750F18">
            <w:pPr>
              <w:rPr>
                <w:b/>
                <w:sz w:val="20"/>
                <w:lang w:val="fr-CA"/>
              </w:rPr>
            </w:pPr>
          </w:p>
        </w:tc>
        <w:tc>
          <w:tcPr>
            <w:tcW w:w="8118" w:type="dxa"/>
          </w:tcPr>
          <w:p w:rsidR="00750F18" w:rsidRPr="00750F18" w:rsidRDefault="00750F18" w:rsidP="00750F18">
            <w:pPr>
              <w:rPr>
                <w:sz w:val="20"/>
                <w:lang w:val="fr-CA"/>
              </w:rPr>
            </w:pPr>
            <w:r w:rsidRPr="00750F18">
              <w:rPr>
                <w:b/>
                <w:sz w:val="20"/>
                <w:u w:val="single"/>
                <w:lang w:val="fr-CA"/>
              </w:rPr>
              <w:t>Jamie Ronald MacNeil c. Sa Majesté la Reine</w:t>
            </w:r>
            <w:r w:rsidRPr="00750F18">
              <w:rPr>
                <w:sz w:val="20"/>
                <w:lang w:val="fr-CA"/>
              </w:rPr>
              <w:t xml:space="preserve"> (Qc) (Criminelle) (Autorisation)</w:t>
            </w:r>
          </w:p>
          <w:p w:rsidR="00750F18" w:rsidRPr="00750F18" w:rsidRDefault="00750F18" w:rsidP="00750F18">
            <w:pPr>
              <w:rPr>
                <w:sz w:val="20"/>
                <w:lang w:val="fr-CA"/>
              </w:rPr>
            </w:pPr>
          </w:p>
        </w:tc>
      </w:tr>
      <w:tr w:rsidR="00750F18" w:rsidRPr="008B61BC" w:rsidTr="006C1C3D">
        <w:trPr>
          <w:cantSplit/>
        </w:trPr>
        <w:tc>
          <w:tcPr>
            <w:tcW w:w="1458" w:type="dxa"/>
          </w:tcPr>
          <w:p w:rsidR="00750F18" w:rsidRPr="00750F18" w:rsidRDefault="00750F18" w:rsidP="00750F18">
            <w:pPr>
              <w:rPr>
                <w:sz w:val="20"/>
              </w:rPr>
            </w:pPr>
            <w:r w:rsidRPr="00750F18">
              <w:rPr>
                <w:sz w:val="20"/>
              </w:rPr>
              <w:t>Coram :</w:t>
            </w:r>
          </w:p>
        </w:tc>
        <w:tc>
          <w:tcPr>
            <w:tcW w:w="8118" w:type="dxa"/>
          </w:tcPr>
          <w:p w:rsidR="00750F18" w:rsidRPr="00750F18" w:rsidRDefault="00750F18" w:rsidP="00750F18">
            <w:pPr>
              <w:rPr>
                <w:sz w:val="20"/>
                <w:lang w:val="fr-CA"/>
              </w:rPr>
            </w:pPr>
            <w:r w:rsidRPr="00750F18">
              <w:rPr>
                <w:sz w:val="20"/>
                <w:u w:val="single"/>
                <w:lang w:val="fr-CA"/>
              </w:rPr>
              <w:t>La juge en chef McLachlin et les juges Cromwell et Wagner</w:t>
            </w:r>
          </w:p>
          <w:p w:rsidR="00750F18" w:rsidRPr="00750F18" w:rsidRDefault="00750F18" w:rsidP="00750F18">
            <w:pPr>
              <w:rPr>
                <w:sz w:val="20"/>
                <w:u w:val="single"/>
                <w:lang w:val="fr-CA"/>
              </w:rPr>
            </w:pPr>
          </w:p>
        </w:tc>
      </w:tr>
      <w:tr w:rsidR="00750F18" w:rsidRPr="00750F18" w:rsidTr="006C1C3D">
        <w:trPr>
          <w:cantSplit/>
        </w:trPr>
        <w:tc>
          <w:tcPr>
            <w:tcW w:w="9576" w:type="dxa"/>
            <w:gridSpan w:val="2"/>
          </w:tcPr>
          <w:p w:rsidR="00750F18" w:rsidRPr="00750F18" w:rsidRDefault="00750F18" w:rsidP="00750F18">
            <w:pPr>
              <w:ind w:firstLine="720"/>
              <w:jc w:val="both"/>
              <w:rPr>
                <w:sz w:val="20"/>
                <w:lang w:val="fr-CA"/>
              </w:rPr>
            </w:pPr>
            <w:r w:rsidRPr="00750F18">
              <w:rPr>
                <w:sz w:val="20"/>
                <w:lang w:val="fr-CA"/>
              </w:rPr>
              <w:t>La requête en prorogation du délai de  signification et de dépôt de la demande d’autorisation d’appel est accueillie.  La demande d’autorisation d’appel de l’arrêt de la Cour d’appel du Québec (Montréal), numéro 500-10-004078-083, 2013 QCCA 562, daté du 28 mars 2013, est rejetée sans dépens.</w:t>
            </w:r>
          </w:p>
          <w:p w:rsidR="00750F18" w:rsidRPr="00750F18" w:rsidRDefault="00750F18" w:rsidP="00750F18">
            <w:pPr>
              <w:jc w:val="both"/>
              <w:rPr>
                <w:sz w:val="20"/>
                <w:lang w:val="fr-CA"/>
              </w:rPr>
            </w:pPr>
          </w:p>
          <w:p w:rsidR="00750F18" w:rsidRPr="00750F18" w:rsidRDefault="00750F18" w:rsidP="00750F18">
            <w:pPr>
              <w:ind w:firstLine="720"/>
              <w:jc w:val="both"/>
              <w:rPr>
                <w:sz w:val="20"/>
              </w:rPr>
            </w:pPr>
            <w:r w:rsidRPr="00750F18">
              <w:rPr>
                <w:sz w:val="20"/>
              </w:rPr>
              <w:t>The motion for an extension of time to serve and file the application for leave to appeal is granted.  The application for leave to appeal from the judgment of the Court of Appeal of Quebec (Montréal), Number 500-10-004078-083, 2013 QCCA 562, dated March 28, 2013, is dismissed without costs.</w:t>
            </w:r>
          </w:p>
        </w:tc>
      </w:tr>
    </w:tbl>
    <w:p w:rsidR="005A33F8" w:rsidRPr="00750F18" w:rsidRDefault="005A33F8" w:rsidP="005A33F8">
      <w:pPr>
        <w:rPr>
          <w:sz w:val="20"/>
          <w:szCs w:val="20"/>
        </w:rPr>
      </w:pPr>
    </w:p>
    <w:p w:rsidR="005A33F8" w:rsidRPr="001B157C" w:rsidRDefault="005A33F8" w:rsidP="005A33F8">
      <w:pPr>
        <w:rPr>
          <w:sz w:val="20"/>
          <w:szCs w:val="20"/>
          <w:u w:val="single"/>
        </w:rPr>
      </w:pPr>
      <w:r w:rsidRPr="001B157C">
        <w:rPr>
          <w:sz w:val="20"/>
          <w:szCs w:val="20"/>
          <w:u w:val="single"/>
        </w:rPr>
        <w:t>CASE SUMMARY</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0E63FA" w:rsidTr="006C1C3D">
        <w:tc>
          <w:tcPr>
            <w:tcW w:w="5000" w:type="pct"/>
            <w:gridSpan w:val="3"/>
          </w:tcPr>
          <w:p w:rsidR="007D148E" w:rsidRPr="000E63FA" w:rsidRDefault="007D148E" w:rsidP="006C1C3D">
            <w:pPr>
              <w:jc w:val="both"/>
              <w:rPr>
                <w:rFonts w:eastAsia="Calibri"/>
                <w:smallCaps/>
                <w:sz w:val="20"/>
                <w:szCs w:val="20"/>
              </w:rPr>
            </w:pPr>
            <w:r w:rsidRPr="000E63FA">
              <w:rPr>
                <w:rFonts w:eastAsia="Calibri"/>
                <w:sz w:val="20"/>
                <w:szCs w:val="20"/>
              </w:rPr>
              <w:t>Criminal law — Charge to jury — Applicant charged with first degree murder — Adequacy of charge concerning disparaging comments allegedly made by Crown about defence — Adequacy of charge concerning murderer’s identity — Whether Court of Appeal erred in holding that no stronger instruction should have been given by judge to jury concerning inflammatory argument of Crown counsel — Whether Court of Appeal erred in holding that judge’s instructions concerning essential elements of offence were appropriate given that identification of accused was presumed therein and that entire case turned on identification evidence.</w:t>
            </w:r>
          </w:p>
        </w:tc>
      </w:tr>
      <w:tr w:rsidR="007D148E" w:rsidRPr="000E63FA" w:rsidTr="006C1C3D">
        <w:tc>
          <w:tcPr>
            <w:tcW w:w="5000" w:type="pct"/>
            <w:gridSpan w:val="3"/>
          </w:tcPr>
          <w:p w:rsidR="007D148E" w:rsidRPr="000E63FA" w:rsidRDefault="007D148E" w:rsidP="006C1C3D">
            <w:pPr>
              <w:jc w:val="both"/>
              <w:rPr>
                <w:rFonts w:eastAsia="Calibri"/>
                <w:sz w:val="20"/>
                <w:szCs w:val="20"/>
              </w:rPr>
            </w:pPr>
          </w:p>
        </w:tc>
      </w:tr>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In 2005, Éric Lafrance was killed when he was shot in the head three times as he left a Montréal bar.  Eyewitnesses were able to provide a description of the shooter.  Video cameras at the scene also recorded some of what had transpired in the moments before the murder.  Two suspects could be seen on the recording.  A cigarette butt was also found at the scene of the crime and was subsequently used for DNA analysis.</w:t>
            </w:r>
          </w:p>
          <w:p w:rsidR="007D148E" w:rsidRPr="000E63FA" w:rsidRDefault="007D148E" w:rsidP="006C1C3D">
            <w:pPr>
              <w:jc w:val="both"/>
              <w:rPr>
                <w:rFonts w:eastAsia="Calibri"/>
                <w:sz w:val="20"/>
                <w:szCs w:val="20"/>
              </w:rPr>
            </w:pPr>
          </w:p>
          <w:p w:rsidR="007D148E" w:rsidRPr="000E63FA" w:rsidRDefault="007D148E" w:rsidP="006C1C3D">
            <w:pPr>
              <w:jc w:val="both"/>
              <w:rPr>
                <w:rFonts w:eastAsia="Calibri"/>
                <w:sz w:val="20"/>
                <w:szCs w:val="20"/>
              </w:rPr>
            </w:pPr>
            <w:r w:rsidRPr="000E63FA">
              <w:rPr>
                <w:rFonts w:eastAsia="Calibri"/>
                <w:sz w:val="20"/>
                <w:szCs w:val="20"/>
              </w:rPr>
              <w:t>In May 2006, the applicant was arrested in connection with offences unrelated to Mr. Lafrance’s murder.  Shortly thereafter, a warrant was issued authorizing the taking of samples of bodily substances from the applicant for forensic DNA analysis.  The results of the analysis identified the applicant’s DNA on the cigarette butt found at the murder scene.</w:t>
            </w:r>
          </w:p>
          <w:p w:rsidR="007D148E" w:rsidRPr="000E63FA" w:rsidRDefault="007D148E" w:rsidP="006C1C3D">
            <w:pPr>
              <w:jc w:val="both"/>
              <w:rPr>
                <w:rFonts w:eastAsia="Calibri"/>
                <w:sz w:val="20"/>
                <w:szCs w:val="20"/>
              </w:rPr>
            </w:pPr>
          </w:p>
          <w:p w:rsidR="007D148E" w:rsidRPr="000E63FA" w:rsidRDefault="007D148E" w:rsidP="006C1C3D">
            <w:pPr>
              <w:jc w:val="both"/>
              <w:rPr>
                <w:rFonts w:eastAsia="Calibri"/>
                <w:sz w:val="20"/>
                <w:szCs w:val="20"/>
              </w:rPr>
            </w:pPr>
            <w:r w:rsidRPr="000E63FA">
              <w:rPr>
                <w:rFonts w:eastAsia="Calibri"/>
                <w:sz w:val="20"/>
                <w:szCs w:val="20"/>
              </w:rPr>
              <w:t>The applicant was charged with first degree murder.</w:t>
            </w:r>
          </w:p>
          <w:p w:rsidR="007D148E" w:rsidRPr="000E63FA" w:rsidRDefault="007D148E" w:rsidP="006C1C3D">
            <w:pPr>
              <w:jc w:val="both"/>
              <w:rPr>
                <w:rFonts w:eastAsia="Calibri"/>
                <w:sz w:val="20"/>
                <w:szCs w:val="20"/>
              </w:rPr>
            </w:pPr>
          </w:p>
        </w:tc>
      </w:tr>
      <w:tr w:rsidR="007D148E" w:rsidRPr="000E63FA" w:rsidTr="006C1C3D">
        <w:trPr>
          <w:trHeight w:val="20"/>
        </w:trPr>
        <w:tc>
          <w:tcPr>
            <w:tcW w:w="2427" w:type="pct"/>
          </w:tcPr>
          <w:p w:rsidR="007D148E" w:rsidRPr="000E63FA" w:rsidRDefault="007D148E" w:rsidP="006C1C3D">
            <w:pPr>
              <w:jc w:val="both"/>
              <w:rPr>
                <w:rFonts w:eastAsia="Calibri"/>
                <w:sz w:val="20"/>
                <w:szCs w:val="20"/>
              </w:rPr>
            </w:pPr>
            <w:r w:rsidRPr="000E63FA">
              <w:rPr>
                <w:rFonts w:eastAsia="Calibri"/>
                <w:sz w:val="20"/>
                <w:szCs w:val="20"/>
              </w:rPr>
              <w:t>March 11, 2008</w:t>
            </w:r>
          </w:p>
          <w:p w:rsidR="007D148E" w:rsidRPr="000E63FA" w:rsidRDefault="007D148E" w:rsidP="006C1C3D">
            <w:pPr>
              <w:jc w:val="both"/>
              <w:rPr>
                <w:rFonts w:eastAsia="Calibri"/>
                <w:sz w:val="20"/>
                <w:szCs w:val="20"/>
              </w:rPr>
            </w:pPr>
            <w:r w:rsidRPr="000E63FA">
              <w:rPr>
                <w:rFonts w:eastAsia="Calibri"/>
                <w:sz w:val="20"/>
                <w:szCs w:val="20"/>
              </w:rPr>
              <w:t>Quebec Superior Court</w:t>
            </w:r>
          </w:p>
          <w:p w:rsidR="007D148E" w:rsidRPr="000E63FA" w:rsidRDefault="007D148E" w:rsidP="006C1C3D">
            <w:pPr>
              <w:jc w:val="both"/>
              <w:rPr>
                <w:rFonts w:eastAsia="Calibri"/>
                <w:sz w:val="20"/>
                <w:szCs w:val="20"/>
              </w:rPr>
            </w:pPr>
            <w:r w:rsidRPr="000E63FA">
              <w:rPr>
                <w:rFonts w:eastAsia="Calibri"/>
                <w:sz w:val="20"/>
                <w:szCs w:val="20"/>
              </w:rPr>
              <w:t>(Criminal Division)</w:t>
            </w:r>
          </w:p>
          <w:p w:rsidR="007D148E" w:rsidRPr="000E63FA" w:rsidRDefault="007D148E" w:rsidP="006C1C3D">
            <w:pPr>
              <w:jc w:val="both"/>
              <w:rPr>
                <w:rFonts w:eastAsia="Calibri"/>
                <w:sz w:val="20"/>
                <w:szCs w:val="20"/>
              </w:rPr>
            </w:pPr>
            <w:r w:rsidRPr="000E63FA">
              <w:rPr>
                <w:rFonts w:eastAsia="Calibri"/>
                <w:sz w:val="20"/>
                <w:szCs w:val="20"/>
              </w:rPr>
              <w:t>(David J.)</w:t>
            </w:r>
          </w:p>
          <w:p w:rsidR="007D148E" w:rsidRPr="000E63FA" w:rsidRDefault="007D148E" w:rsidP="006C1C3D">
            <w:pPr>
              <w:jc w:val="both"/>
              <w:rPr>
                <w:rFonts w:eastAsia="Calibri"/>
                <w:sz w:val="20"/>
                <w:szCs w:val="20"/>
              </w:rPr>
            </w:pPr>
            <w:r w:rsidRPr="000E63FA">
              <w:rPr>
                <w:rFonts w:eastAsia="Calibri"/>
                <w:sz w:val="20"/>
                <w:szCs w:val="20"/>
              </w:rPr>
              <w:t>File No. 500-01-007401-067</w:t>
            </w:r>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 xml:space="preserve">Accused convicted of first degree murder </w:t>
            </w: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March 28, 2013</w:t>
            </w:r>
          </w:p>
          <w:p w:rsidR="007D148E" w:rsidRPr="000E63FA" w:rsidRDefault="007D148E" w:rsidP="006C1C3D">
            <w:pPr>
              <w:jc w:val="both"/>
              <w:rPr>
                <w:rFonts w:eastAsia="Calibri"/>
                <w:sz w:val="20"/>
                <w:szCs w:val="20"/>
              </w:rPr>
            </w:pPr>
            <w:r w:rsidRPr="000E63FA">
              <w:rPr>
                <w:rFonts w:eastAsia="Calibri"/>
                <w:sz w:val="20"/>
                <w:szCs w:val="20"/>
              </w:rPr>
              <w:t>Quebec Court of Appeal (Montréal)</w:t>
            </w:r>
          </w:p>
          <w:p w:rsidR="007D148E" w:rsidRPr="000E63FA" w:rsidRDefault="007D148E" w:rsidP="006C1C3D">
            <w:pPr>
              <w:jc w:val="both"/>
              <w:rPr>
                <w:rFonts w:eastAsia="Calibri"/>
                <w:sz w:val="20"/>
                <w:szCs w:val="20"/>
              </w:rPr>
            </w:pPr>
            <w:r w:rsidRPr="000E63FA">
              <w:rPr>
                <w:rFonts w:eastAsia="Calibri"/>
                <w:sz w:val="20"/>
                <w:szCs w:val="20"/>
              </w:rPr>
              <w:t>(Doyon, Kasirer and Bouchard JJ.A.)</w:t>
            </w:r>
          </w:p>
          <w:p w:rsidR="007D148E" w:rsidRPr="000E63FA" w:rsidRDefault="007D148E" w:rsidP="006C1C3D">
            <w:pPr>
              <w:jc w:val="both"/>
              <w:rPr>
                <w:rFonts w:eastAsia="Calibri"/>
                <w:sz w:val="20"/>
                <w:szCs w:val="20"/>
              </w:rPr>
            </w:pPr>
            <w:r w:rsidRPr="000E63FA">
              <w:rPr>
                <w:rFonts w:eastAsia="Calibri"/>
                <w:sz w:val="20"/>
                <w:szCs w:val="20"/>
              </w:rPr>
              <w:t>2013 QCCA 562</w:t>
            </w:r>
          </w:p>
          <w:p w:rsidR="007D148E" w:rsidRPr="000E63FA" w:rsidRDefault="007D148E" w:rsidP="006C1C3D">
            <w:pPr>
              <w:jc w:val="both"/>
              <w:rPr>
                <w:rFonts w:eastAsia="Calibri"/>
                <w:sz w:val="20"/>
                <w:szCs w:val="20"/>
              </w:rPr>
            </w:pPr>
            <w:r w:rsidRPr="000E63FA">
              <w:rPr>
                <w:rFonts w:eastAsia="Calibri"/>
                <w:sz w:val="20"/>
                <w:szCs w:val="20"/>
              </w:rPr>
              <w:t>File No. 500-10-004078-083</w:t>
            </w:r>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Appeal dismissed</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June 18, 2013</w:t>
            </w:r>
          </w:p>
          <w:p w:rsidR="007D148E" w:rsidRPr="000E63FA" w:rsidRDefault="007D148E" w:rsidP="00750F18">
            <w:pPr>
              <w:jc w:val="both"/>
              <w:rPr>
                <w:rFonts w:eastAsia="Calibri"/>
                <w:sz w:val="20"/>
                <w:szCs w:val="20"/>
              </w:rPr>
            </w:pPr>
            <w:r w:rsidRPr="000E63FA">
              <w:rPr>
                <w:rFonts w:eastAsia="Calibri"/>
                <w:sz w:val="20"/>
                <w:szCs w:val="20"/>
              </w:rPr>
              <w:t>Supreme Court of Canada</w:t>
            </w: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Motion to extend time to serve and file application for leave to appeal and application for leave to appeal filed</w:t>
            </w:r>
          </w:p>
        </w:tc>
      </w:tr>
    </w:tbl>
    <w:p w:rsidR="005A33F8" w:rsidRDefault="005A33F8" w:rsidP="005A33F8">
      <w:pPr>
        <w:rPr>
          <w:sz w:val="20"/>
          <w:szCs w:val="20"/>
        </w:rPr>
      </w:pPr>
    </w:p>
    <w:p w:rsidR="005A33F8" w:rsidRPr="00C50A5C" w:rsidRDefault="00CC2008" w:rsidP="005A33F8">
      <w:pPr>
        <w:rPr>
          <w:sz w:val="20"/>
          <w:szCs w:val="20"/>
        </w:rPr>
      </w:pPr>
      <w:r w:rsidRPr="00CC2008">
        <w:rPr>
          <w:sz w:val="20"/>
          <w:szCs w:val="20"/>
          <w:lang w:val="fr-CA"/>
        </w:rPr>
        <w:pict>
          <v:rect id="_x0000_i1045" style="width:2in;height:1pt" o:hrpct="0" o:hralign="center" o:hrstd="t" o:hrnoshade="t" o:hr="t" fillcolor="black [3213]" stroked="f"/>
        </w:pict>
      </w:r>
    </w:p>
    <w:p w:rsidR="005A33F8" w:rsidRDefault="005A33F8" w:rsidP="005A33F8">
      <w:pPr>
        <w:rPr>
          <w:sz w:val="20"/>
          <w:szCs w:val="20"/>
        </w:rPr>
      </w:pPr>
    </w:p>
    <w:p w:rsidR="005A33F8" w:rsidRPr="001B157C" w:rsidRDefault="005A33F8" w:rsidP="005A33F8">
      <w:pPr>
        <w:rPr>
          <w:sz w:val="20"/>
          <w:szCs w:val="20"/>
          <w:u w:val="single"/>
          <w:lang w:val="fr-CA"/>
        </w:rPr>
      </w:pPr>
      <w:r w:rsidRPr="001B157C">
        <w:rPr>
          <w:sz w:val="20"/>
          <w:szCs w:val="20"/>
          <w:u w:val="single"/>
          <w:lang w:val="fr-CA"/>
        </w:rPr>
        <w:t>RÉSUMÉ DE L’AFFAIRE</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8B61BC" w:rsidTr="006C1C3D">
        <w:tc>
          <w:tcPr>
            <w:tcW w:w="5000" w:type="pct"/>
            <w:gridSpan w:val="3"/>
          </w:tcPr>
          <w:p w:rsidR="007D148E" w:rsidRPr="000E63FA" w:rsidRDefault="007D148E" w:rsidP="006C1C3D">
            <w:pPr>
              <w:jc w:val="both"/>
              <w:rPr>
                <w:rFonts w:eastAsia="Calibri"/>
                <w:smallCaps/>
                <w:sz w:val="20"/>
                <w:szCs w:val="20"/>
                <w:lang w:val="fr-CA"/>
              </w:rPr>
            </w:pPr>
            <w:r w:rsidRPr="000E63FA">
              <w:rPr>
                <w:rFonts w:eastAsia="Calibri"/>
                <w:sz w:val="20"/>
                <w:szCs w:val="20"/>
                <w:lang w:val="fr-CA"/>
              </w:rPr>
              <w:t>Droit criminel — Exposé au jury — Demandeur accusé de meurtre au premier degré — Suffisance de l’exposé relativement à commentaires désobligeants prétendument faits par la Couronne à l’égard de la défense — Suffisance de l’exposé relativement à l’identité du meurtrier — Cour d’appel a-t-elle erré en décidant qu’aucune directive plus ferme n’aurait dû être servie par le juge au jury concernant la plaidoirie incendiaire de la procureure de la Couronne — Cour d’appel a-t-elle erré en jugeant que les directives du juge sur les éléments essentiels de l’infraction étaient appropriées étant donné que l’identification de l’accusé y était présumée et que tout le litige reposait sur la preuve d’identification</w:t>
            </w:r>
          </w:p>
        </w:tc>
      </w:tr>
      <w:tr w:rsidR="007D148E" w:rsidRPr="008B61BC" w:rsidTr="006C1C3D">
        <w:tc>
          <w:tcPr>
            <w:tcW w:w="5000" w:type="pct"/>
            <w:gridSpan w:val="3"/>
          </w:tcPr>
          <w:p w:rsidR="007D148E" w:rsidRPr="000E63FA" w:rsidRDefault="007D148E" w:rsidP="006C1C3D">
            <w:pPr>
              <w:jc w:val="both"/>
              <w:rPr>
                <w:rFonts w:eastAsia="Calibri"/>
                <w:sz w:val="20"/>
                <w:szCs w:val="20"/>
                <w:lang w:val="fr-CA"/>
              </w:rPr>
            </w:pPr>
          </w:p>
        </w:tc>
      </w:tr>
      <w:tr w:rsidR="007D148E" w:rsidRPr="008B61BC"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En 2005, Éric Lafrance fut tué lorsqu’il fut atteint par trois balles à la tête alors qu’il quittait un bar de Montréal.  Des témoins oculaires ont pu fournir une description du tireur.  De plus, des caméras vidéo sur les lieux ont enregistré une partie des événements s’étant déroulés dans les moments avant le meurtre.  On peut y voir deux suspects. En outre, un mégot de cigarette fut trouvé sur les lieux du crime et a subséquemment fait l’objet d’une analyse d’ADN.</w:t>
            </w:r>
          </w:p>
          <w:p w:rsidR="007D148E" w:rsidRPr="000E63FA" w:rsidRDefault="007D148E" w:rsidP="006C1C3D">
            <w:pPr>
              <w:jc w:val="both"/>
              <w:rPr>
                <w:rFonts w:eastAsia="Calibri"/>
                <w:sz w:val="20"/>
                <w:szCs w:val="20"/>
                <w:lang w:val="fr-CA"/>
              </w:rPr>
            </w:pPr>
          </w:p>
          <w:p w:rsidR="007D148E" w:rsidRPr="000E63FA" w:rsidRDefault="007D148E" w:rsidP="006C1C3D">
            <w:pPr>
              <w:jc w:val="both"/>
              <w:rPr>
                <w:rFonts w:eastAsia="Calibri"/>
                <w:sz w:val="20"/>
                <w:szCs w:val="20"/>
                <w:lang w:val="fr-CA"/>
              </w:rPr>
            </w:pPr>
            <w:r w:rsidRPr="000E63FA">
              <w:rPr>
                <w:rFonts w:eastAsia="Calibri"/>
                <w:sz w:val="20"/>
                <w:szCs w:val="20"/>
                <w:lang w:val="fr-CA"/>
              </w:rPr>
              <w:t xml:space="preserve">En mai 2006, le demandeur fut arrêté en lien avec des infractions non reliées au meurtre de M. Lafrance.  Peu après, un mandat fut émis à l’égard du demandeur, autorisant le prélèvement d’échantillons de substances corporelles aux fins d’une analyse génétique.  Les résultats de cette analyse ont permis d’identifier l’ADN du demandeur sur le mégot de cigarette retrouvée sur les lieux du meurtre.  </w:t>
            </w:r>
          </w:p>
          <w:p w:rsidR="007D148E" w:rsidRPr="000E63FA" w:rsidRDefault="007D148E" w:rsidP="006C1C3D">
            <w:pPr>
              <w:jc w:val="both"/>
              <w:rPr>
                <w:rFonts w:eastAsia="Calibri"/>
                <w:sz w:val="20"/>
                <w:szCs w:val="20"/>
                <w:lang w:val="fr-CA"/>
              </w:rPr>
            </w:pPr>
          </w:p>
          <w:p w:rsidR="007D148E" w:rsidRPr="000E63FA" w:rsidRDefault="007D148E" w:rsidP="006C1C3D">
            <w:pPr>
              <w:jc w:val="both"/>
              <w:rPr>
                <w:rFonts w:eastAsia="Calibri"/>
                <w:sz w:val="20"/>
                <w:szCs w:val="20"/>
                <w:lang w:val="fr-CA"/>
              </w:rPr>
            </w:pPr>
            <w:r w:rsidRPr="000E63FA">
              <w:rPr>
                <w:rFonts w:eastAsia="Calibri"/>
                <w:sz w:val="20"/>
                <w:szCs w:val="20"/>
                <w:lang w:val="fr-CA"/>
              </w:rPr>
              <w:t xml:space="preserve">Le demandeur fut accusé de meurtre au premier degré. </w:t>
            </w:r>
          </w:p>
          <w:p w:rsidR="007D148E" w:rsidRPr="000E63FA" w:rsidRDefault="007D148E" w:rsidP="006C1C3D">
            <w:pPr>
              <w:jc w:val="both"/>
              <w:rPr>
                <w:rFonts w:eastAsia="Calibri"/>
                <w:sz w:val="20"/>
                <w:szCs w:val="20"/>
                <w:lang w:val="fr-CA"/>
              </w:rPr>
            </w:pPr>
          </w:p>
        </w:tc>
      </w:tr>
      <w:tr w:rsidR="007D148E" w:rsidRPr="008B61BC" w:rsidTr="006C1C3D">
        <w:trPr>
          <w:trHeight w:val="288"/>
        </w:trPr>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11 mars 2008</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supérieure du Québec</w:t>
            </w:r>
          </w:p>
          <w:p w:rsidR="007D148E" w:rsidRPr="000E63FA" w:rsidRDefault="007D148E" w:rsidP="006C1C3D">
            <w:pPr>
              <w:jc w:val="both"/>
              <w:rPr>
                <w:rFonts w:eastAsia="Calibri"/>
                <w:sz w:val="20"/>
                <w:szCs w:val="20"/>
                <w:lang w:val="fr-CA"/>
              </w:rPr>
            </w:pPr>
            <w:r w:rsidRPr="000E63FA">
              <w:rPr>
                <w:rFonts w:eastAsia="Calibri"/>
                <w:sz w:val="20"/>
                <w:szCs w:val="20"/>
                <w:lang w:val="fr-CA"/>
              </w:rPr>
              <w:t>(Chambre criminelle)</w:t>
            </w:r>
          </w:p>
          <w:p w:rsidR="007D148E" w:rsidRPr="000E63FA" w:rsidRDefault="007D148E" w:rsidP="006C1C3D">
            <w:pPr>
              <w:jc w:val="both"/>
              <w:rPr>
                <w:rFonts w:eastAsia="Calibri"/>
                <w:sz w:val="20"/>
                <w:szCs w:val="20"/>
                <w:lang w:val="fr-CA"/>
              </w:rPr>
            </w:pPr>
            <w:r w:rsidRPr="000E63FA">
              <w:rPr>
                <w:rFonts w:eastAsia="Calibri"/>
                <w:sz w:val="20"/>
                <w:szCs w:val="20"/>
                <w:lang w:val="fr-CA"/>
              </w:rPr>
              <w:t>(Le juge David)</w:t>
            </w:r>
          </w:p>
          <w:p w:rsidR="007D148E" w:rsidRPr="000E63FA" w:rsidRDefault="007D148E" w:rsidP="006C1C3D">
            <w:pPr>
              <w:jc w:val="both"/>
              <w:rPr>
                <w:rFonts w:eastAsia="Calibri"/>
                <w:sz w:val="20"/>
                <w:szCs w:val="20"/>
                <w:lang w:val="fr-CA"/>
              </w:rPr>
            </w:pPr>
            <w:r w:rsidRPr="000E63FA">
              <w:rPr>
                <w:rFonts w:eastAsia="Calibri"/>
                <w:sz w:val="20"/>
                <w:szCs w:val="20"/>
                <w:lang w:val="fr-CA"/>
              </w:rPr>
              <w:t>No. de dossier 500-01-007401-067</w:t>
            </w:r>
          </w:p>
          <w:p w:rsidR="007D148E" w:rsidRPr="000E63FA" w:rsidRDefault="007D148E" w:rsidP="006C1C3D">
            <w:pPr>
              <w:jc w:val="both"/>
              <w:rPr>
                <w:rFonts w:eastAsia="Calibri"/>
                <w:sz w:val="20"/>
                <w:szCs w:val="20"/>
                <w:lang w:val="fr-FR"/>
              </w:rPr>
            </w:pPr>
          </w:p>
        </w:tc>
        <w:tc>
          <w:tcPr>
            <w:tcW w:w="243" w:type="pct"/>
          </w:tcPr>
          <w:p w:rsidR="007D148E" w:rsidRPr="000E63FA" w:rsidRDefault="007D148E" w:rsidP="006C1C3D">
            <w:pPr>
              <w:jc w:val="both"/>
              <w:rPr>
                <w:rFonts w:eastAsia="Calibri"/>
                <w:sz w:val="20"/>
                <w:szCs w:val="20"/>
                <w:lang w:val="fr-FR"/>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FR"/>
              </w:rPr>
              <w:t>Accusé reconnu coupable de meurtre au premier degré</w:t>
            </w:r>
            <w:r w:rsidRPr="000E63FA">
              <w:rPr>
                <w:rFonts w:eastAsia="Calibri"/>
                <w:sz w:val="20"/>
                <w:szCs w:val="20"/>
                <w:lang w:val="fr-CA"/>
              </w:rPr>
              <w:t xml:space="preserve"> </w:t>
            </w:r>
          </w:p>
        </w:tc>
      </w:tr>
      <w:tr w:rsidR="007D148E" w:rsidRPr="000E63FA" w:rsidTr="006C1C3D">
        <w:tc>
          <w:tcPr>
            <w:tcW w:w="2427" w:type="pct"/>
          </w:tcPr>
          <w:p w:rsidR="007D148E" w:rsidRPr="000E63FA" w:rsidRDefault="007D148E" w:rsidP="006C1C3D">
            <w:pPr>
              <w:jc w:val="both"/>
              <w:rPr>
                <w:rFonts w:eastAsia="Calibri"/>
                <w:sz w:val="20"/>
                <w:szCs w:val="20"/>
                <w:lang w:val="fr-FR"/>
              </w:rPr>
            </w:pPr>
            <w:r w:rsidRPr="000E63FA">
              <w:rPr>
                <w:rFonts w:eastAsia="Calibri"/>
                <w:sz w:val="20"/>
                <w:szCs w:val="20"/>
                <w:lang w:val="fr-FR"/>
              </w:rPr>
              <w:t>Le 28 mars 2013</w:t>
            </w:r>
          </w:p>
          <w:p w:rsidR="007D148E" w:rsidRPr="000E63FA" w:rsidRDefault="007D148E" w:rsidP="006C1C3D">
            <w:pPr>
              <w:jc w:val="both"/>
              <w:rPr>
                <w:rFonts w:eastAsia="Calibri"/>
                <w:sz w:val="20"/>
                <w:szCs w:val="20"/>
                <w:lang w:val="fr-FR"/>
              </w:rPr>
            </w:pPr>
            <w:r w:rsidRPr="000E63FA">
              <w:rPr>
                <w:rFonts w:eastAsia="Calibri"/>
                <w:sz w:val="20"/>
                <w:szCs w:val="20"/>
                <w:lang w:val="fr-FR"/>
              </w:rPr>
              <w:t>Cour d’appel du Québec (Montréal)</w:t>
            </w:r>
          </w:p>
          <w:p w:rsidR="007D148E" w:rsidRPr="000E63FA" w:rsidRDefault="007D148E" w:rsidP="006C1C3D">
            <w:pPr>
              <w:jc w:val="both"/>
              <w:rPr>
                <w:rFonts w:eastAsia="Calibri"/>
                <w:sz w:val="20"/>
                <w:szCs w:val="20"/>
                <w:lang w:val="fr-FR"/>
              </w:rPr>
            </w:pPr>
            <w:r w:rsidRPr="000E63FA">
              <w:rPr>
                <w:rFonts w:eastAsia="Calibri"/>
                <w:sz w:val="20"/>
                <w:szCs w:val="20"/>
                <w:lang w:val="fr-FR"/>
              </w:rPr>
              <w:t>(Les juges Doyon, Kasirer et Bouchard)</w:t>
            </w:r>
          </w:p>
          <w:p w:rsidR="007D148E" w:rsidRPr="000E63FA" w:rsidRDefault="007D148E" w:rsidP="006C1C3D">
            <w:pPr>
              <w:jc w:val="both"/>
              <w:rPr>
                <w:rFonts w:eastAsia="Calibri"/>
                <w:sz w:val="20"/>
                <w:szCs w:val="20"/>
                <w:lang w:val="fr-FR"/>
              </w:rPr>
            </w:pPr>
            <w:r w:rsidRPr="000E63FA">
              <w:rPr>
                <w:rFonts w:eastAsia="Calibri"/>
                <w:sz w:val="20"/>
                <w:szCs w:val="20"/>
                <w:lang w:val="fr-FR"/>
              </w:rPr>
              <w:t>2013 QCCA 562</w:t>
            </w:r>
          </w:p>
          <w:p w:rsidR="007D148E" w:rsidRPr="000E63FA" w:rsidRDefault="007D148E" w:rsidP="006C1C3D">
            <w:pPr>
              <w:jc w:val="both"/>
              <w:rPr>
                <w:rFonts w:eastAsia="Calibri"/>
                <w:sz w:val="20"/>
                <w:szCs w:val="20"/>
                <w:lang w:val="fr-FR"/>
              </w:rPr>
            </w:pPr>
            <w:r w:rsidRPr="000E63FA">
              <w:rPr>
                <w:rFonts w:eastAsia="Calibri"/>
                <w:sz w:val="20"/>
                <w:szCs w:val="20"/>
                <w:lang w:val="fr-FR"/>
              </w:rPr>
              <w:t>No. de dossier 500-10-004078-083</w:t>
            </w:r>
          </w:p>
          <w:p w:rsidR="007D148E" w:rsidRPr="000E63FA" w:rsidRDefault="007D148E" w:rsidP="006C1C3D">
            <w:pPr>
              <w:jc w:val="both"/>
              <w:rPr>
                <w:rFonts w:eastAsia="Calibri"/>
                <w:sz w:val="20"/>
                <w:szCs w:val="20"/>
                <w:lang w:val="fr-FR"/>
              </w:rPr>
            </w:pPr>
          </w:p>
        </w:tc>
        <w:tc>
          <w:tcPr>
            <w:tcW w:w="243" w:type="pct"/>
          </w:tcPr>
          <w:p w:rsidR="007D148E" w:rsidRPr="000E63FA" w:rsidRDefault="007D148E" w:rsidP="006C1C3D">
            <w:pPr>
              <w:jc w:val="both"/>
              <w:rPr>
                <w:rFonts w:eastAsia="Calibri"/>
                <w:sz w:val="20"/>
                <w:szCs w:val="20"/>
                <w:lang w:val="fr-FR"/>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Appel rejeté</w:t>
            </w:r>
          </w:p>
          <w:p w:rsidR="007D148E" w:rsidRPr="000E63FA" w:rsidRDefault="007D148E" w:rsidP="006C1C3D">
            <w:pPr>
              <w:jc w:val="both"/>
              <w:rPr>
                <w:rFonts w:eastAsia="Calibri"/>
                <w:sz w:val="20"/>
                <w:szCs w:val="20"/>
                <w:lang w:val="fr-CA"/>
              </w:rPr>
            </w:pPr>
          </w:p>
        </w:tc>
      </w:tr>
      <w:tr w:rsidR="007D148E" w:rsidRPr="007C7F39"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18 juin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du Canada</w:t>
            </w:r>
          </w:p>
          <w:p w:rsidR="007D148E" w:rsidRPr="000E63FA" w:rsidRDefault="007D148E" w:rsidP="006C1C3D">
            <w:pPr>
              <w:jc w:val="both"/>
              <w:rPr>
                <w:rFonts w:eastAsia="Calibri"/>
                <w:sz w:val="20"/>
                <w:szCs w:val="20"/>
                <w:lang w:val="fr-FR"/>
              </w:rPr>
            </w:pPr>
          </w:p>
        </w:tc>
        <w:tc>
          <w:tcPr>
            <w:tcW w:w="243" w:type="pct"/>
          </w:tcPr>
          <w:p w:rsidR="007D148E" w:rsidRPr="000E63FA" w:rsidRDefault="007D148E" w:rsidP="006C1C3D">
            <w:pPr>
              <w:jc w:val="both"/>
              <w:rPr>
                <w:rFonts w:eastAsia="Calibri"/>
                <w:sz w:val="20"/>
                <w:szCs w:val="20"/>
                <w:lang w:val="fr-FR"/>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Requête en prorogation du délai pour déposer et signifier une demande d’autorisation d’appel et demande d'autorisation d'appel, déposées</w:t>
            </w:r>
          </w:p>
        </w:tc>
      </w:tr>
    </w:tbl>
    <w:p w:rsidR="005A33F8" w:rsidRPr="007D148E" w:rsidRDefault="005A33F8" w:rsidP="005A33F8">
      <w:pPr>
        <w:rPr>
          <w:sz w:val="20"/>
          <w:szCs w:val="20"/>
          <w:lang w:val="fr-CA"/>
        </w:rPr>
      </w:pPr>
    </w:p>
    <w:p w:rsidR="005A33F8" w:rsidRDefault="00CC2008" w:rsidP="005A33F8">
      <w:pPr>
        <w:rPr>
          <w:sz w:val="20"/>
          <w:szCs w:val="20"/>
        </w:rPr>
      </w:pPr>
      <w:r w:rsidRPr="00CC2008">
        <w:rPr>
          <w:sz w:val="20"/>
          <w:szCs w:val="20"/>
          <w:lang w:val="fr-CA"/>
        </w:rPr>
        <w:pict>
          <v:rect id="_x0000_i1046" style="width:2in;height:1pt" o:hrpct="0" o:hralign="center" o:hrstd="t" o:hrnoshade="t" o:hr="t" fillcolor="black [3213]" stroked="f"/>
        </w:pict>
      </w:r>
    </w:p>
    <w:p w:rsidR="005A33F8" w:rsidRDefault="005A33F8" w:rsidP="005A33F8">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0F18" w:rsidRPr="007C7F39" w:rsidTr="006C1C3D">
        <w:trPr>
          <w:cantSplit/>
        </w:trPr>
        <w:tc>
          <w:tcPr>
            <w:tcW w:w="1458" w:type="dxa"/>
          </w:tcPr>
          <w:p w:rsidR="00750F18" w:rsidRPr="00750F18" w:rsidRDefault="00750F18" w:rsidP="00750F18">
            <w:pPr>
              <w:rPr>
                <w:sz w:val="20"/>
              </w:rPr>
            </w:pPr>
            <w:r w:rsidRPr="00750F18">
              <w:rPr>
                <w:b/>
                <w:sz w:val="20"/>
                <w:lang w:val="fr-CA"/>
              </w:rPr>
              <w:t>35443</w:t>
            </w:r>
          </w:p>
          <w:p w:rsidR="00750F18" w:rsidRPr="00750F18" w:rsidRDefault="00750F18" w:rsidP="00750F18">
            <w:pPr>
              <w:rPr>
                <w:b/>
                <w:sz w:val="20"/>
                <w:lang w:val="fr-CA"/>
              </w:rPr>
            </w:pPr>
          </w:p>
        </w:tc>
        <w:tc>
          <w:tcPr>
            <w:tcW w:w="8118" w:type="dxa"/>
          </w:tcPr>
          <w:p w:rsidR="00750F18" w:rsidRPr="00750F18" w:rsidRDefault="00750F18" w:rsidP="00750F18">
            <w:pPr>
              <w:jc w:val="both"/>
              <w:rPr>
                <w:sz w:val="20"/>
                <w:lang w:val="fr-CA"/>
              </w:rPr>
            </w:pPr>
            <w:r w:rsidRPr="00750F18">
              <w:rPr>
                <w:b/>
                <w:sz w:val="20"/>
                <w:u w:val="single"/>
                <w:lang w:val="fr-CA"/>
              </w:rPr>
              <w:t>Tous les usagers de la Société de transport de Montréal (STM), utilisateurs du service d</w:t>
            </w:r>
            <w:r w:rsidR="006C1C3D">
              <w:rPr>
                <w:b/>
                <w:sz w:val="20"/>
                <w:u w:val="single"/>
                <w:lang w:val="fr-CA"/>
              </w:rPr>
              <w:t>’</w:t>
            </w:r>
            <w:r w:rsidRPr="00750F18">
              <w:rPr>
                <w:b/>
                <w:sz w:val="20"/>
                <w:u w:val="single"/>
                <w:lang w:val="fr-CA"/>
              </w:rPr>
              <w:t>autobus qui ont subi un dommage occasionné par les moyens de pression illégaux e</w:t>
            </w:r>
            <w:r w:rsidR="006C1C3D">
              <w:rPr>
                <w:b/>
                <w:sz w:val="20"/>
                <w:u w:val="single"/>
                <w:lang w:val="fr-CA"/>
              </w:rPr>
              <w:t>t</w:t>
            </w:r>
            <w:r w:rsidRPr="00750F18">
              <w:rPr>
                <w:b/>
                <w:sz w:val="20"/>
                <w:u w:val="single"/>
                <w:lang w:val="fr-CA"/>
              </w:rPr>
              <w:t>/ou activités illégales exercés du 4 septembre 2007 au 21 décembre 2007 inclusivement par l'intimé, Le Groupe</w:t>
            </w:r>
            <w:r w:rsidR="00B02F3F">
              <w:rPr>
                <w:b/>
                <w:sz w:val="20"/>
                <w:u w:val="single"/>
                <w:lang w:val="fr-CA"/>
              </w:rPr>
              <w:t xml:space="preserve"> et</w:t>
            </w:r>
            <w:r w:rsidRPr="00750F18">
              <w:rPr>
                <w:b/>
                <w:sz w:val="20"/>
                <w:u w:val="single"/>
                <w:lang w:val="fr-CA"/>
              </w:rPr>
              <w:t xml:space="preserve"> Sandrine Montpetit</w:t>
            </w:r>
            <w:r w:rsidR="00B02F3F">
              <w:rPr>
                <w:b/>
                <w:sz w:val="20"/>
                <w:u w:val="single"/>
                <w:lang w:val="fr-CA"/>
              </w:rPr>
              <w:t>,</w:t>
            </w:r>
            <w:r w:rsidRPr="00750F18">
              <w:rPr>
                <w:b/>
                <w:sz w:val="20"/>
                <w:u w:val="single"/>
                <w:lang w:val="fr-CA"/>
              </w:rPr>
              <w:t xml:space="preserve"> La Représentante c. Syndicat du transport de Montréal (employés des services d'entretien) CSN</w:t>
            </w:r>
            <w:r w:rsidRPr="00750F18">
              <w:rPr>
                <w:sz w:val="20"/>
                <w:lang w:val="fr-CA"/>
              </w:rPr>
              <w:t xml:space="preserve"> (Qc) (Civile) (Autorisation)</w:t>
            </w:r>
          </w:p>
          <w:p w:rsidR="00750F18" w:rsidRPr="00750F18" w:rsidRDefault="00750F18" w:rsidP="00750F18">
            <w:pPr>
              <w:jc w:val="both"/>
              <w:rPr>
                <w:sz w:val="20"/>
                <w:lang w:val="fr-CA"/>
              </w:rPr>
            </w:pPr>
          </w:p>
        </w:tc>
      </w:tr>
      <w:tr w:rsidR="00750F18" w:rsidRPr="007C7F39" w:rsidTr="006C1C3D">
        <w:trPr>
          <w:cantSplit/>
        </w:trPr>
        <w:tc>
          <w:tcPr>
            <w:tcW w:w="1458" w:type="dxa"/>
          </w:tcPr>
          <w:p w:rsidR="00750F18" w:rsidRPr="00750F18" w:rsidRDefault="00750F18" w:rsidP="00750F18">
            <w:pPr>
              <w:rPr>
                <w:sz w:val="20"/>
              </w:rPr>
            </w:pPr>
            <w:r w:rsidRPr="00750F18">
              <w:rPr>
                <w:sz w:val="20"/>
              </w:rPr>
              <w:t>Coram :</w:t>
            </w:r>
          </w:p>
        </w:tc>
        <w:tc>
          <w:tcPr>
            <w:tcW w:w="8118" w:type="dxa"/>
          </w:tcPr>
          <w:p w:rsidR="00750F18" w:rsidRPr="00750F18" w:rsidRDefault="00750F18" w:rsidP="00750F18">
            <w:pPr>
              <w:rPr>
                <w:sz w:val="20"/>
                <w:lang w:val="fr-CA"/>
              </w:rPr>
            </w:pPr>
            <w:r w:rsidRPr="00750F18">
              <w:rPr>
                <w:sz w:val="20"/>
                <w:u w:val="single"/>
                <w:lang w:val="fr-CA"/>
              </w:rPr>
              <w:t>La juge en chef McLachlin et les juges Cromwell et Wagner</w:t>
            </w:r>
          </w:p>
          <w:p w:rsidR="00750F18" w:rsidRPr="00750F18" w:rsidRDefault="00750F18" w:rsidP="00750F18">
            <w:pPr>
              <w:rPr>
                <w:sz w:val="20"/>
                <w:u w:val="single"/>
                <w:lang w:val="fr-CA"/>
              </w:rPr>
            </w:pPr>
          </w:p>
        </w:tc>
      </w:tr>
      <w:tr w:rsidR="00750F18" w:rsidRPr="00750F18" w:rsidTr="006C1C3D">
        <w:trPr>
          <w:cantSplit/>
        </w:trPr>
        <w:tc>
          <w:tcPr>
            <w:tcW w:w="9576" w:type="dxa"/>
            <w:gridSpan w:val="2"/>
          </w:tcPr>
          <w:p w:rsidR="00750F18" w:rsidRPr="00750F18" w:rsidRDefault="00750F18" w:rsidP="00750F18">
            <w:pPr>
              <w:ind w:firstLine="720"/>
              <w:jc w:val="both"/>
              <w:rPr>
                <w:sz w:val="20"/>
                <w:lang w:val="fr-CA"/>
              </w:rPr>
            </w:pPr>
            <w:r w:rsidRPr="00750F18">
              <w:rPr>
                <w:sz w:val="20"/>
                <w:lang w:val="fr-CA"/>
              </w:rPr>
              <w:t>La demande d’autorisation d’appel de l’arrêt de la Cour d’appel du Québec (Montréal), numéro 500-09-021513-114, 2013 QCCA 903, daté du 13 mai 2013, est rejetée avec dépens.</w:t>
            </w:r>
          </w:p>
          <w:p w:rsidR="00750F18" w:rsidRPr="00750F18" w:rsidRDefault="00750F18" w:rsidP="00750F18">
            <w:pPr>
              <w:jc w:val="both"/>
              <w:rPr>
                <w:sz w:val="20"/>
                <w:lang w:val="fr-CA"/>
              </w:rPr>
            </w:pPr>
          </w:p>
          <w:p w:rsidR="00750F18" w:rsidRPr="00750F18" w:rsidRDefault="00750F18" w:rsidP="00750F18">
            <w:pPr>
              <w:ind w:firstLine="720"/>
              <w:jc w:val="both"/>
              <w:rPr>
                <w:sz w:val="20"/>
              </w:rPr>
            </w:pPr>
            <w:r w:rsidRPr="00750F18">
              <w:rPr>
                <w:sz w:val="20"/>
              </w:rPr>
              <w:t>The application for leave to appeal from the judgment of the Court of Appeal of Quebec (Montréal), Number 500-09-021513-114, 2013 QCCA 903, dated May 13, 2013, is dismissed with costs.</w:t>
            </w:r>
          </w:p>
        </w:tc>
      </w:tr>
    </w:tbl>
    <w:p w:rsidR="005A33F8" w:rsidRPr="00750F18" w:rsidRDefault="005A33F8" w:rsidP="005A33F8">
      <w:pPr>
        <w:rPr>
          <w:sz w:val="20"/>
          <w:szCs w:val="20"/>
        </w:rPr>
      </w:pPr>
    </w:p>
    <w:p w:rsidR="005A33F8" w:rsidRPr="001B157C" w:rsidRDefault="005A33F8" w:rsidP="005A33F8">
      <w:pPr>
        <w:rPr>
          <w:sz w:val="20"/>
          <w:szCs w:val="20"/>
          <w:u w:val="single"/>
        </w:rPr>
      </w:pPr>
      <w:r w:rsidRPr="001B157C">
        <w:rPr>
          <w:sz w:val="20"/>
          <w:szCs w:val="20"/>
          <w:u w:val="single"/>
        </w:rPr>
        <w:t>CASE SUMMARY</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Civil liability – Causation – Class action – Evidence – Whether chain of causation between union’s illegal pressure tactics having effect of disrupting public service is broken where other causes may also have contributed to injury suffered by users – Whether illegal pressure tactics, other than work stoppage or limited or general actions of same type, used over extended period of time can make union liable to users of public service even if other causes may have contributed to overall injury – Whether Court of Appeal must address potential overriding error raised before it.</w:t>
            </w:r>
          </w:p>
        </w:tc>
      </w:tr>
      <w:tr w:rsidR="007D148E" w:rsidRPr="000E63FA" w:rsidTr="006C1C3D">
        <w:tc>
          <w:tcPr>
            <w:tcW w:w="5000" w:type="pct"/>
            <w:gridSpan w:val="3"/>
          </w:tcPr>
          <w:p w:rsidR="007D148E" w:rsidRPr="000E63FA" w:rsidRDefault="007D148E" w:rsidP="006C1C3D">
            <w:pPr>
              <w:jc w:val="both"/>
              <w:rPr>
                <w:rFonts w:eastAsia="Calibri"/>
                <w:sz w:val="20"/>
                <w:szCs w:val="20"/>
              </w:rPr>
            </w:pPr>
          </w:p>
        </w:tc>
      </w:tr>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Between September 4 and December 21, 2007, members of the Syndicat du transport de Montréal (employés des services d’entretien) CSN (“the union”) were in the process of negotiating the renewal of their collective agreement and therefore used various pressure tactics that allegedly had the effect of reducing the availability of buses at transportation centres.  The applicants instituted a class action against the union, alleging that it had supported and encouraged the use of illegal pressure tactics by its members and that it had substantially disrupted, slowed down and interrupted public transportation during the period in question.</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February 8, 2011</w:t>
            </w:r>
          </w:p>
          <w:p w:rsidR="007D148E" w:rsidRPr="000E63FA" w:rsidRDefault="007D148E" w:rsidP="006C1C3D">
            <w:pPr>
              <w:jc w:val="both"/>
              <w:rPr>
                <w:rFonts w:eastAsia="Calibri"/>
                <w:sz w:val="20"/>
                <w:szCs w:val="20"/>
              </w:rPr>
            </w:pPr>
            <w:r w:rsidRPr="000E63FA">
              <w:rPr>
                <w:rFonts w:eastAsia="Calibri"/>
                <w:sz w:val="20"/>
                <w:szCs w:val="20"/>
              </w:rPr>
              <w:t>Quebec Superior Court</w:t>
            </w:r>
          </w:p>
          <w:p w:rsidR="007D148E" w:rsidRPr="000E63FA" w:rsidRDefault="007D148E" w:rsidP="006C1C3D">
            <w:pPr>
              <w:jc w:val="both"/>
              <w:rPr>
                <w:rFonts w:eastAsia="Calibri"/>
                <w:sz w:val="20"/>
                <w:szCs w:val="20"/>
              </w:rPr>
            </w:pPr>
            <w:r w:rsidRPr="000E63FA">
              <w:rPr>
                <w:rFonts w:eastAsia="Calibri"/>
                <w:sz w:val="20"/>
                <w:szCs w:val="20"/>
              </w:rPr>
              <w:t>(Marcotte J.)</w:t>
            </w:r>
          </w:p>
          <w:p w:rsidR="007D148E" w:rsidRPr="000E63FA" w:rsidRDefault="007D148E" w:rsidP="006C1C3D">
            <w:pPr>
              <w:jc w:val="both"/>
              <w:rPr>
                <w:rFonts w:eastAsia="Calibri"/>
                <w:sz w:val="20"/>
                <w:szCs w:val="20"/>
              </w:rPr>
            </w:pPr>
            <w:r w:rsidRPr="000E63FA">
              <w:rPr>
                <w:rFonts w:eastAsia="Calibri"/>
                <w:sz w:val="20"/>
                <w:szCs w:val="20"/>
              </w:rPr>
              <w:t>No. 500-06-000427-084</w:t>
            </w:r>
          </w:p>
          <w:p w:rsidR="007D148E" w:rsidRPr="000E63FA" w:rsidRDefault="00CC2008" w:rsidP="006C1C3D">
            <w:pPr>
              <w:jc w:val="both"/>
              <w:rPr>
                <w:rFonts w:eastAsia="Calibri"/>
                <w:sz w:val="20"/>
                <w:szCs w:val="20"/>
              </w:rPr>
            </w:pPr>
            <w:hyperlink r:id="rId29" w:history="1">
              <w:r w:rsidR="007D148E" w:rsidRPr="000E63FA">
                <w:rPr>
                  <w:rFonts w:eastAsia="Calibri"/>
                  <w:color w:val="0000FF"/>
                  <w:sz w:val="20"/>
                  <w:szCs w:val="20"/>
                  <w:u w:val="single"/>
                </w:rPr>
                <w:t>2011 QCCS 474</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Action dismissed</w:t>
            </w: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May 13, 2013</w:t>
            </w:r>
          </w:p>
          <w:p w:rsidR="007D148E" w:rsidRPr="000E63FA" w:rsidRDefault="007D148E" w:rsidP="006C1C3D">
            <w:pPr>
              <w:jc w:val="both"/>
              <w:rPr>
                <w:rFonts w:eastAsia="Calibri"/>
                <w:sz w:val="20"/>
                <w:szCs w:val="20"/>
              </w:rPr>
            </w:pPr>
            <w:r w:rsidRPr="000E63FA">
              <w:rPr>
                <w:rFonts w:eastAsia="Calibri"/>
                <w:sz w:val="20"/>
                <w:szCs w:val="20"/>
              </w:rPr>
              <w:t>Quebec Court of Appeal (Montréal)</w:t>
            </w:r>
          </w:p>
          <w:p w:rsidR="007D148E" w:rsidRPr="000E63FA" w:rsidRDefault="007D148E" w:rsidP="006C1C3D">
            <w:pPr>
              <w:jc w:val="both"/>
              <w:rPr>
                <w:rFonts w:eastAsia="Calibri"/>
                <w:sz w:val="20"/>
                <w:szCs w:val="20"/>
              </w:rPr>
            </w:pPr>
            <w:r w:rsidRPr="000E63FA">
              <w:rPr>
                <w:rFonts w:eastAsia="Calibri"/>
                <w:sz w:val="20"/>
                <w:szCs w:val="20"/>
              </w:rPr>
              <w:t>(Thibault, Dalphond and Fournier JJ.A.)</w:t>
            </w:r>
          </w:p>
          <w:p w:rsidR="007D148E" w:rsidRPr="000E63FA" w:rsidRDefault="007D148E" w:rsidP="006C1C3D">
            <w:pPr>
              <w:jc w:val="both"/>
              <w:rPr>
                <w:rFonts w:eastAsia="Calibri"/>
                <w:sz w:val="20"/>
                <w:szCs w:val="20"/>
              </w:rPr>
            </w:pPr>
            <w:r w:rsidRPr="000E63FA">
              <w:rPr>
                <w:rFonts w:eastAsia="Calibri"/>
                <w:sz w:val="20"/>
                <w:szCs w:val="20"/>
              </w:rPr>
              <w:t>No. 500-09-021513-114</w:t>
            </w:r>
          </w:p>
          <w:p w:rsidR="007D148E" w:rsidRPr="000E63FA" w:rsidRDefault="00CC2008" w:rsidP="006C1C3D">
            <w:pPr>
              <w:jc w:val="both"/>
              <w:rPr>
                <w:rFonts w:eastAsia="Calibri"/>
                <w:sz w:val="20"/>
                <w:szCs w:val="20"/>
              </w:rPr>
            </w:pPr>
            <w:hyperlink r:id="rId30" w:history="1">
              <w:r w:rsidR="007D148E" w:rsidRPr="000E63FA">
                <w:rPr>
                  <w:rFonts w:eastAsia="Calibri"/>
                  <w:color w:val="0000FF"/>
                  <w:sz w:val="20"/>
                  <w:szCs w:val="20"/>
                  <w:u w:val="single"/>
                </w:rPr>
                <w:t>2013 QCCA 903</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Appeal dismissed</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July 12, 2013</w:t>
            </w:r>
          </w:p>
          <w:p w:rsidR="007D148E" w:rsidRPr="000E63FA" w:rsidRDefault="007D148E" w:rsidP="006C1C3D">
            <w:pPr>
              <w:jc w:val="both"/>
              <w:rPr>
                <w:rFonts w:eastAsia="Calibri"/>
                <w:sz w:val="20"/>
                <w:szCs w:val="20"/>
              </w:rPr>
            </w:pPr>
            <w:r w:rsidRPr="000E63FA">
              <w:rPr>
                <w:rFonts w:eastAsia="Calibri"/>
                <w:sz w:val="20"/>
                <w:szCs w:val="20"/>
              </w:rPr>
              <w:t>Supreme Court of Canada</w:t>
            </w: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Application for leave to appeal filed</w:t>
            </w:r>
          </w:p>
          <w:p w:rsidR="007D148E" w:rsidRPr="000E63FA" w:rsidRDefault="007D148E" w:rsidP="006C1C3D">
            <w:pPr>
              <w:jc w:val="both"/>
              <w:rPr>
                <w:rFonts w:eastAsia="Calibri"/>
                <w:sz w:val="20"/>
                <w:szCs w:val="20"/>
              </w:rPr>
            </w:pPr>
          </w:p>
        </w:tc>
      </w:tr>
    </w:tbl>
    <w:p w:rsidR="005A33F8" w:rsidRDefault="005A33F8" w:rsidP="005A33F8">
      <w:pPr>
        <w:rPr>
          <w:sz w:val="20"/>
          <w:szCs w:val="20"/>
        </w:rPr>
      </w:pPr>
    </w:p>
    <w:p w:rsidR="005A33F8" w:rsidRPr="00C50A5C" w:rsidRDefault="00CC2008" w:rsidP="005A33F8">
      <w:pPr>
        <w:rPr>
          <w:sz w:val="20"/>
          <w:szCs w:val="20"/>
        </w:rPr>
      </w:pPr>
      <w:r w:rsidRPr="00CC2008">
        <w:rPr>
          <w:sz w:val="20"/>
          <w:szCs w:val="20"/>
          <w:lang w:val="fr-CA"/>
        </w:rPr>
        <w:pict>
          <v:rect id="_x0000_i1047" style="width:2in;height:1pt" o:hrpct="0" o:hralign="center" o:hrstd="t" o:hrnoshade="t" o:hr="t" fillcolor="black [3213]" stroked="f"/>
        </w:pict>
      </w:r>
    </w:p>
    <w:p w:rsidR="005A33F8" w:rsidRDefault="005A33F8" w:rsidP="005A33F8">
      <w:pPr>
        <w:rPr>
          <w:sz w:val="20"/>
          <w:szCs w:val="20"/>
        </w:rPr>
      </w:pPr>
    </w:p>
    <w:p w:rsidR="005A33F8" w:rsidRPr="001B157C" w:rsidRDefault="005A33F8" w:rsidP="005A33F8">
      <w:pPr>
        <w:rPr>
          <w:sz w:val="20"/>
          <w:szCs w:val="20"/>
          <w:u w:val="single"/>
          <w:lang w:val="fr-CA"/>
        </w:rPr>
      </w:pPr>
      <w:r w:rsidRPr="001B157C">
        <w:rPr>
          <w:sz w:val="20"/>
          <w:szCs w:val="20"/>
          <w:u w:val="single"/>
          <w:lang w:val="fr-CA"/>
        </w:rPr>
        <w:t>RÉSUMÉ DE L’AFFAIRE</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7C7F39"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Responsabilité civile – Causalité – Recours collectif – Preuve – Est-ce que le lien de causalité entre des moyens de pression illégaux commis par un syndicat ayant eu pour effet de perturber un service public est rompu lorsque d’autres causes pouvaient également contribuer au préjudice subi par les usagers? – Est-ce que des moyens de pression illégaux, autres qu’un débrayage ou des actions circonscrites et généralisées du même type, commis sur une période prolongée peuvent entraîner la responsabilité d’un syndicat à l’égard des usagers d’un service public même si d’autres causes ont pu contribuer au préjudice global? – Est-ce qu’une Cour d’appel qui se voit pointer une erreur déterminante potentielle doit y répondre?</w:t>
            </w:r>
          </w:p>
        </w:tc>
      </w:tr>
      <w:tr w:rsidR="007D148E" w:rsidRPr="007C7F39" w:rsidTr="006C1C3D">
        <w:tc>
          <w:tcPr>
            <w:tcW w:w="5000" w:type="pct"/>
            <w:gridSpan w:val="3"/>
          </w:tcPr>
          <w:p w:rsidR="007D148E" w:rsidRPr="000E63FA" w:rsidRDefault="007D148E" w:rsidP="006C1C3D">
            <w:pPr>
              <w:jc w:val="both"/>
              <w:rPr>
                <w:rFonts w:eastAsia="Calibri"/>
                <w:sz w:val="20"/>
                <w:szCs w:val="20"/>
                <w:lang w:val="fr-CA"/>
              </w:rPr>
            </w:pPr>
          </w:p>
        </w:tc>
      </w:tr>
      <w:tr w:rsidR="007D148E" w:rsidRPr="007C7F39"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Entre le 4 septembre 2007 et le 21 décembre 2007, les membres du Syndicat du transport de Montréal (employés des services d’entretien) CSN (le « Syndicat ») étaient en processus de négociation du renouvellement de leur convention collective et ont alors usé de divers moyens de pression, lesquels auraient eu pour effet de réduire la disponibilité d’autobus dans les centres de transport.  Les demandeurs ont intenté un recours collectif contre le Syndicat en lui reprochant d’avoir soutenu, encouragé et incité ses membres à exercer des moyens de pression illégaux et d’avoir interrompu, ralenti et perturbé substantiellement le transport en commun pendant la période visée.</w:t>
            </w:r>
          </w:p>
          <w:p w:rsidR="007D148E" w:rsidRPr="000E63FA" w:rsidRDefault="007D148E" w:rsidP="006C1C3D">
            <w:pPr>
              <w:jc w:val="both"/>
              <w:rPr>
                <w:rFonts w:eastAsia="Calibri"/>
                <w:sz w:val="20"/>
                <w:szCs w:val="20"/>
                <w:lang w:val="fr-CA"/>
              </w:rPr>
            </w:pPr>
          </w:p>
        </w:tc>
      </w:tr>
      <w:tr w:rsidR="007D148E" w:rsidRPr="000E63FA"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8 février 2011</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supérieure du Québec</w:t>
            </w:r>
          </w:p>
          <w:p w:rsidR="007D148E" w:rsidRPr="000E63FA" w:rsidRDefault="007D148E" w:rsidP="006C1C3D">
            <w:pPr>
              <w:jc w:val="both"/>
              <w:rPr>
                <w:rFonts w:eastAsia="Calibri"/>
                <w:sz w:val="20"/>
                <w:szCs w:val="20"/>
                <w:lang w:val="fr-CA"/>
              </w:rPr>
            </w:pPr>
            <w:r w:rsidRPr="000E63FA">
              <w:rPr>
                <w:rFonts w:eastAsia="Calibri"/>
                <w:sz w:val="20"/>
                <w:szCs w:val="20"/>
                <w:lang w:val="fr-CA"/>
              </w:rPr>
              <w:t>(La juge Marcotte)</w:t>
            </w:r>
          </w:p>
          <w:p w:rsidR="007D148E" w:rsidRPr="000E63FA" w:rsidRDefault="007D148E" w:rsidP="006C1C3D">
            <w:pPr>
              <w:jc w:val="both"/>
              <w:rPr>
                <w:rFonts w:eastAsia="Calibri"/>
                <w:sz w:val="20"/>
                <w:szCs w:val="20"/>
                <w:lang w:val="fr-CA"/>
              </w:rPr>
            </w:pPr>
            <w:r w:rsidRPr="000E63FA">
              <w:rPr>
                <w:rFonts w:eastAsia="Calibri"/>
                <w:sz w:val="20"/>
                <w:szCs w:val="20"/>
                <w:lang w:val="fr-CA"/>
              </w:rPr>
              <w:t>No. 500-06-000427-084</w:t>
            </w:r>
          </w:p>
          <w:p w:rsidR="007D148E" w:rsidRPr="000E63FA" w:rsidRDefault="00CC2008" w:rsidP="006C1C3D">
            <w:pPr>
              <w:jc w:val="both"/>
              <w:rPr>
                <w:rFonts w:eastAsia="Calibri"/>
                <w:sz w:val="20"/>
                <w:szCs w:val="20"/>
                <w:lang w:val="fr-CA"/>
              </w:rPr>
            </w:pPr>
            <w:hyperlink r:id="rId31" w:history="1">
              <w:r w:rsidR="007D148E" w:rsidRPr="000E63FA">
                <w:rPr>
                  <w:rFonts w:eastAsia="Calibri"/>
                  <w:color w:val="0000FF"/>
                  <w:sz w:val="20"/>
                  <w:szCs w:val="20"/>
                  <w:u w:val="single"/>
                  <w:lang w:val="fr-CA"/>
                </w:rPr>
                <w:t>2011 QCCS 474</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Action rejetée.</w:t>
            </w:r>
          </w:p>
        </w:tc>
      </w:tr>
      <w:tr w:rsidR="007D148E" w:rsidRPr="000E63FA"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13 mai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d’appel du Québec (Montréal)</w:t>
            </w:r>
          </w:p>
          <w:p w:rsidR="007D148E" w:rsidRPr="000E63FA" w:rsidRDefault="007D148E" w:rsidP="006C1C3D">
            <w:pPr>
              <w:jc w:val="both"/>
              <w:rPr>
                <w:rFonts w:eastAsia="Calibri"/>
                <w:sz w:val="20"/>
                <w:szCs w:val="20"/>
                <w:lang w:val="fr-CA"/>
              </w:rPr>
            </w:pPr>
            <w:r w:rsidRPr="000E63FA">
              <w:rPr>
                <w:rFonts w:eastAsia="Calibri"/>
                <w:sz w:val="20"/>
                <w:szCs w:val="20"/>
                <w:lang w:val="fr-CA"/>
              </w:rPr>
              <w:t>(Les juges Thibault, Dalphond et Fournier)</w:t>
            </w:r>
          </w:p>
          <w:p w:rsidR="007D148E" w:rsidRPr="000E63FA" w:rsidRDefault="007D148E" w:rsidP="006C1C3D">
            <w:pPr>
              <w:jc w:val="both"/>
              <w:rPr>
                <w:rFonts w:eastAsia="Calibri"/>
                <w:sz w:val="20"/>
                <w:szCs w:val="20"/>
                <w:lang w:val="fr-CA"/>
              </w:rPr>
            </w:pPr>
            <w:r w:rsidRPr="000E63FA">
              <w:rPr>
                <w:rFonts w:eastAsia="Calibri"/>
                <w:sz w:val="20"/>
                <w:szCs w:val="20"/>
                <w:lang w:val="fr-CA"/>
              </w:rPr>
              <w:t>No. 500-09-021513-114</w:t>
            </w:r>
          </w:p>
          <w:p w:rsidR="007D148E" w:rsidRPr="000E63FA" w:rsidRDefault="00CC2008" w:rsidP="006C1C3D">
            <w:pPr>
              <w:jc w:val="both"/>
              <w:rPr>
                <w:rFonts w:eastAsia="Calibri"/>
                <w:sz w:val="20"/>
                <w:szCs w:val="20"/>
                <w:lang w:val="fr-CA"/>
              </w:rPr>
            </w:pPr>
            <w:hyperlink r:id="rId32" w:history="1">
              <w:r w:rsidR="007D148E" w:rsidRPr="000E63FA">
                <w:rPr>
                  <w:rFonts w:eastAsia="Calibri"/>
                  <w:color w:val="0000FF"/>
                  <w:sz w:val="20"/>
                  <w:szCs w:val="20"/>
                  <w:u w:val="single"/>
                  <w:lang w:val="fr-CA"/>
                </w:rPr>
                <w:t>2013 QCCA 903</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Appel rejeté.</w:t>
            </w:r>
          </w:p>
          <w:p w:rsidR="007D148E" w:rsidRPr="000E63FA" w:rsidRDefault="007D148E" w:rsidP="006C1C3D">
            <w:pPr>
              <w:jc w:val="both"/>
              <w:rPr>
                <w:rFonts w:eastAsia="Calibri"/>
                <w:sz w:val="20"/>
                <w:szCs w:val="20"/>
                <w:lang w:val="fr-CA"/>
              </w:rPr>
            </w:pPr>
          </w:p>
        </w:tc>
      </w:tr>
      <w:tr w:rsidR="007D148E" w:rsidRPr="000E63FA"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12 juillet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du Canada</w:t>
            </w: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Demande d’autorisation d’appel déposée.</w:t>
            </w:r>
          </w:p>
          <w:p w:rsidR="007D148E" w:rsidRPr="000E63FA" w:rsidRDefault="007D148E" w:rsidP="006C1C3D">
            <w:pPr>
              <w:jc w:val="both"/>
              <w:rPr>
                <w:rFonts w:eastAsia="Calibri"/>
                <w:sz w:val="20"/>
                <w:szCs w:val="20"/>
                <w:lang w:val="fr-CA"/>
              </w:rPr>
            </w:pPr>
          </w:p>
        </w:tc>
      </w:tr>
    </w:tbl>
    <w:p w:rsidR="005A33F8" w:rsidRDefault="005A33F8" w:rsidP="005A33F8">
      <w:pPr>
        <w:rPr>
          <w:sz w:val="20"/>
          <w:szCs w:val="20"/>
        </w:rPr>
      </w:pPr>
    </w:p>
    <w:p w:rsidR="005A33F8" w:rsidRDefault="00CC2008" w:rsidP="005A33F8">
      <w:pPr>
        <w:rPr>
          <w:sz w:val="20"/>
          <w:szCs w:val="20"/>
        </w:rPr>
      </w:pPr>
      <w:r w:rsidRPr="00CC2008">
        <w:rPr>
          <w:sz w:val="20"/>
          <w:szCs w:val="20"/>
          <w:lang w:val="fr-CA"/>
        </w:rPr>
        <w:pict>
          <v:rect id="_x0000_i1048" style="width:2in;height:1pt" o:hrpct="0" o:hralign="center" o:hrstd="t" o:hrnoshade="t" o:hr="t" fillcolor="black [3213]" stroked="f"/>
        </w:pict>
      </w:r>
    </w:p>
    <w:p w:rsidR="005A33F8" w:rsidRDefault="005A33F8" w:rsidP="005A33F8">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0F18" w:rsidRPr="007C7F39" w:rsidTr="006C1C3D">
        <w:trPr>
          <w:cantSplit/>
        </w:trPr>
        <w:tc>
          <w:tcPr>
            <w:tcW w:w="1458" w:type="dxa"/>
          </w:tcPr>
          <w:p w:rsidR="00750F18" w:rsidRPr="00750F18" w:rsidRDefault="00750F18" w:rsidP="00750F18">
            <w:pPr>
              <w:rPr>
                <w:sz w:val="20"/>
              </w:rPr>
            </w:pPr>
            <w:r w:rsidRPr="00750F18">
              <w:rPr>
                <w:b/>
                <w:sz w:val="20"/>
                <w:lang w:val="fr-CA"/>
              </w:rPr>
              <w:t>35449</w:t>
            </w:r>
          </w:p>
          <w:p w:rsidR="00750F18" w:rsidRPr="00750F18" w:rsidRDefault="00750F18" w:rsidP="00750F18">
            <w:pPr>
              <w:rPr>
                <w:b/>
                <w:sz w:val="20"/>
                <w:lang w:val="fr-CA"/>
              </w:rPr>
            </w:pPr>
          </w:p>
        </w:tc>
        <w:tc>
          <w:tcPr>
            <w:tcW w:w="8118" w:type="dxa"/>
          </w:tcPr>
          <w:p w:rsidR="00750F18" w:rsidRPr="00750F18" w:rsidRDefault="00750F18" w:rsidP="00750F18">
            <w:pPr>
              <w:jc w:val="both"/>
              <w:rPr>
                <w:sz w:val="20"/>
                <w:lang w:val="fr-CA"/>
              </w:rPr>
            </w:pPr>
            <w:r w:rsidRPr="00750F18">
              <w:rPr>
                <w:b/>
                <w:sz w:val="20"/>
                <w:u w:val="single"/>
                <w:lang w:val="fr-CA"/>
              </w:rPr>
              <w:t>Régent Millette c. Ville de Laval, Caroline Guay, Caroline Girouard, Éric Johnson, Bruno St</w:t>
            </w:r>
            <w:r w:rsidR="004C115F">
              <w:rPr>
                <w:b/>
                <w:sz w:val="20"/>
                <w:u w:val="single"/>
                <w:lang w:val="fr-CA"/>
              </w:rPr>
              <w:noBreakHyphen/>
            </w:r>
            <w:r w:rsidRPr="00750F18">
              <w:rPr>
                <w:b/>
                <w:sz w:val="20"/>
                <w:u w:val="single"/>
                <w:lang w:val="fr-CA"/>
              </w:rPr>
              <w:t>Jacques et Normand Sauvageau</w:t>
            </w:r>
            <w:r w:rsidRPr="00750F18">
              <w:rPr>
                <w:sz w:val="20"/>
                <w:lang w:val="fr-CA"/>
              </w:rPr>
              <w:t xml:space="preserve"> (Qc) (Civile) (Autorisation)</w:t>
            </w:r>
          </w:p>
          <w:p w:rsidR="00750F18" w:rsidRPr="00750F18" w:rsidRDefault="00750F18" w:rsidP="00750F18">
            <w:pPr>
              <w:jc w:val="both"/>
              <w:rPr>
                <w:sz w:val="20"/>
                <w:lang w:val="fr-CA"/>
              </w:rPr>
            </w:pPr>
          </w:p>
        </w:tc>
      </w:tr>
      <w:tr w:rsidR="00750F18" w:rsidRPr="007C7F39" w:rsidTr="006C1C3D">
        <w:trPr>
          <w:cantSplit/>
        </w:trPr>
        <w:tc>
          <w:tcPr>
            <w:tcW w:w="1458" w:type="dxa"/>
          </w:tcPr>
          <w:p w:rsidR="00750F18" w:rsidRPr="00750F18" w:rsidRDefault="00750F18" w:rsidP="00750F18">
            <w:pPr>
              <w:rPr>
                <w:sz w:val="20"/>
              </w:rPr>
            </w:pPr>
            <w:r w:rsidRPr="00750F18">
              <w:rPr>
                <w:sz w:val="20"/>
              </w:rPr>
              <w:t>Coram :</w:t>
            </w:r>
          </w:p>
        </w:tc>
        <w:tc>
          <w:tcPr>
            <w:tcW w:w="8118" w:type="dxa"/>
          </w:tcPr>
          <w:p w:rsidR="00750F18" w:rsidRPr="00750F18" w:rsidRDefault="00750F18" w:rsidP="00750F18">
            <w:pPr>
              <w:rPr>
                <w:sz w:val="20"/>
                <w:lang w:val="fr-CA"/>
              </w:rPr>
            </w:pPr>
            <w:r w:rsidRPr="00750F18">
              <w:rPr>
                <w:sz w:val="20"/>
                <w:u w:val="single"/>
                <w:lang w:val="fr-CA"/>
              </w:rPr>
              <w:t>La juge en chef McLachlin et les juges Cromwell et Wagner</w:t>
            </w:r>
          </w:p>
          <w:p w:rsidR="00750F18" w:rsidRPr="00750F18" w:rsidRDefault="00750F18" w:rsidP="00750F18">
            <w:pPr>
              <w:rPr>
                <w:sz w:val="20"/>
                <w:u w:val="single"/>
                <w:lang w:val="fr-CA"/>
              </w:rPr>
            </w:pPr>
          </w:p>
        </w:tc>
      </w:tr>
      <w:tr w:rsidR="00750F18" w:rsidRPr="00750F18" w:rsidTr="006C1C3D">
        <w:trPr>
          <w:cantSplit/>
        </w:trPr>
        <w:tc>
          <w:tcPr>
            <w:tcW w:w="9576" w:type="dxa"/>
            <w:gridSpan w:val="2"/>
          </w:tcPr>
          <w:p w:rsidR="00750F18" w:rsidRPr="00750F18" w:rsidRDefault="00750F18" w:rsidP="00750F18">
            <w:pPr>
              <w:ind w:firstLine="720"/>
              <w:jc w:val="both"/>
              <w:rPr>
                <w:sz w:val="20"/>
                <w:lang w:val="fr-CA"/>
              </w:rPr>
            </w:pPr>
            <w:r w:rsidRPr="00750F18">
              <w:rPr>
                <w:sz w:val="20"/>
                <w:lang w:val="fr-CA"/>
              </w:rPr>
              <w:t>La demande d’autorisation d’appel de l’arrêt de la Cour d’appel du Québec (Montréal), numéro 500-09-023425-135, 2013 QCCA 783, daté du 29 avril 2013, est rejetée avec dépens.</w:t>
            </w:r>
          </w:p>
          <w:p w:rsidR="00750F18" w:rsidRPr="00750F18" w:rsidRDefault="00750F18" w:rsidP="00750F18">
            <w:pPr>
              <w:jc w:val="both"/>
              <w:rPr>
                <w:sz w:val="20"/>
                <w:lang w:val="fr-CA"/>
              </w:rPr>
            </w:pPr>
          </w:p>
          <w:p w:rsidR="00750F18" w:rsidRPr="00750F18" w:rsidRDefault="00750F18" w:rsidP="00750F18">
            <w:pPr>
              <w:ind w:firstLine="720"/>
              <w:jc w:val="both"/>
              <w:rPr>
                <w:sz w:val="20"/>
              </w:rPr>
            </w:pPr>
            <w:r w:rsidRPr="00750F18">
              <w:rPr>
                <w:sz w:val="20"/>
              </w:rPr>
              <w:t>The application for leave to appeal from the judgment of the Court of Appeal of Quebec (Montréal), Number 500-09-023425-135, 2013 QCCA 783, dated April 29, 2013, is dismissed with costs.</w:t>
            </w:r>
          </w:p>
        </w:tc>
      </w:tr>
    </w:tbl>
    <w:p w:rsidR="005A33F8" w:rsidRPr="00750F18" w:rsidRDefault="005A33F8" w:rsidP="005A33F8">
      <w:pPr>
        <w:rPr>
          <w:sz w:val="20"/>
          <w:szCs w:val="20"/>
        </w:rPr>
      </w:pPr>
    </w:p>
    <w:p w:rsidR="005A33F8" w:rsidRPr="001B157C" w:rsidRDefault="005A33F8" w:rsidP="005A33F8">
      <w:pPr>
        <w:rPr>
          <w:sz w:val="20"/>
          <w:szCs w:val="20"/>
          <w:u w:val="single"/>
        </w:rPr>
      </w:pPr>
      <w:r w:rsidRPr="001B157C">
        <w:rPr>
          <w:sz w:val="20"/>
          <w:szCs w:val="20"/>
          <w:u w:val="single"/>
        </w:rPr>
        <w:t>CASE SUMMARY</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Civil liability – Proof of damages – Appeal – Whether Court of Appeal erred in dismissing first motion for leave to appeal out of time by not treating that proceeding as direct appeal – Whether Court of Appeal should have treated second motion for leave to appeal as direct appeal.</w:t>
            </w:r>
          </w:p>
        </w:tc>
      </w:tr>
      <w:tr w:rsidR="007D148E" w:rsidRPr="000E63FA" w:rsidTr="006C1C3D">
        <w:tc>
          <w:tcPr>
            <w:tcW w:w="5000" w:type="pct"/>
            <w:gridSpan w:val="3"/>
          </w:tcPr>
          <w:p w:rsidR="007D148E" w:rsidRPr="000E63FA" w:rsidRDefault="007D148E" w:rsidP="006C1C3D">
            <w:pPr>
              <w:jc w:val="both"/>
              <w:rPr>
                <w:rFonts w:eastAsia="Calibri"/>
                <w:sz w:val="20"/>
                <w:szCs w:val="20"/>
              </w:rPr>
            </w:pPr>
          </w:p>
        </w:tc>
      </w:tr>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The applicant brought an action in damages against the respondents on the ground that they had committed various faults and abused their authority as police officers and attorneys by arresting him and charging him with breaching the conditions of an order made by the Superior Court.  The applicant was acquitted of the charges in question, which was why he claimed compensation.</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November 26, 2012</w:t>
            </w:r>
          </w:p>
          <w:p w:rsidR="007D148E" w:rsidRPr="000E63FA" w:rsidRDefault="007D148E" w:rsidP="006C1C3D">
            <w:pPr>
              <w:jc w:val="both"/>
              <w:rPr>
                <w:rFonts w:eastAsia="Calibri"/>
                <w:sz w:val="20"/>
                <w:szCs w:val="20"/>
              </w:rPr>
            </w:pPr>
            <w:r w:rsidRPr="000E63FA">
              <w:rPr>
                <w:rFonts w:eastAsia="Calibri"/>
                <w:sz w:val="20"/>
                <w:szCs w:val="20"/>
              </w:rPr>
              <w:t>Quebec Superior Court</w:t>
            </w:r>
          </w:p>
          <w:p w:rsidR="007D148E" w:rsidRPr="000E63FA" w:rsidRDefault="007D148E" w:rsidP="006C1C3D">
            <w:pPr>
              <w:jc w:val="both"/>
              <w:rPr>
                <w:rFonts w:eastAsia="Calibri"/>
                <w:sz w:val="20"/>
                <w:szCs w:val="20"/>
              </w:rPr>
            </w:pPr>
            <w:r w:rsidRPr="000E63FA">
              <w:rPr>
                <w:rFonts w:eastAsia="Calibri"/>
                <w:sz w:val="20"/>
                <w:szCs w:val="20"/>
              </w:rPr>
              <w:t>(Gouin J.)</w:t>
            </w:r>
          </w:p>
          <w:p w:rsidR="007D148E" w:rsidRPr="000E63FA" w:rsidRDefault="007D148E" w:rsidP="006C1C3D">
            <w:pPr>
              <w:jc w:val="both"/>
              <w:rPr>
                <w:rFonts w:eastAsia="Calibri"/>
                <w:sz w:val="20"/>
                <w:szCs w:val="20"/>
              </w:rPr>
            </w:pPr>
            <w:r w:rsidRPr="000E63FA">
              <w:rPr>
                <w:rFonts w:eastAsia="Calibri"/>
                <w:sz w:val="20"/>
                <w:szCs w:val="20"/>
              </w:rPr>
              <w:t>No. 540-17-002466-075</w:t>
            </w:r>
          </w:p>
          <w:p w:rsidR="007D148E" w:rsidRPr="000E63FA" w:rsidRDefault="00CC2008" w:rsidP="006C1C3D">
            <w:pPr>
              <w:jc w:val="both"/>
              <w:rPr>
                <w:rFonts w:eastAsia="Calibri"/>
                <w:sz w:val="20"/>
                <w:szCs w:val="20"/>
              </w:rPr>
            </w:pPr>
            <w:hyperlink r:id="rId33" w:history="1">
              <w:r w:rsidR="007D148E" w:rsidRPr="000E63FA">
                <w:rPr>
                  <w:rFonts w:eastAsia="Calibri"/>
                  <w:color w:val="0000FF"/>
                  <w:sz w:val="20"/>
                  <w:szCs w:val="20"/>
                  <w:u w:val="single"/>
                </w:rPr>
                <w:t>2012 QCCS 5976</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Action dismissed</w:t>
            </w:r>
          </w:p>
          <w:p w:rsidR="007D148E" w:rsidRPr="000E63FA" w:rsidRDefault="007D148E" w:rsidP="006C1C3D">
            <w:pPr>
              <w:jc w:val="both"/>
              <w:rPr>
                <w:rFonts w:eastAsia="Calibri"/>
                <w:sz w:val="20"/>
                <w:szCs w:val="20"/>
              </w:rPr>
            </w:pP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February 28, 2013</w:t>
            </w:r>
          </w:p>
          <w:p w:rsidR="007D148E" w:rsidRPr="000E63FA" w:rsidRDefault="007D148E" w:rsidP="006C1C3D">
            <w:pPr>
              <w:jc w:val="both"/>
              <w:rPr>
                <w:rFonts w:eastAsia="Calibri"/>
                <w:sz w:val="20"/>
                <w:szCs w:val="20"/>
              </w:rPr>
            </w:pPr>
            <w:r w:rsidRPr="000E63FA">
              <w:rPr>
                <w:rFonts w:eastAsia="Calibri"/>
                <w:sz w:val="20"/>
                <w:szCs w:val="20"/>
              </w:rPr>
              <w:t>Quebec Court of Appeal (Montréal)</w:t>
            </w:r>
          </w:p>
          <w:p w:rsidR="007D148E" w:rsidRPr="000E63FA" w:rsidRDefault="007D148E" w:rsidP="006C1C3D">
            <w:pPr>
              <w:jc w:val="both"/>
              <w:rPr>
                <w:rFonts w:eastAsia="Calibri"/>
                <w:sz w:val="20"/>
                <w:szCs w:val="20"/>
              </w:rPr>
            </w:pPr>
            <w:r w:rsidRPr="000E63FA">
              <w:rPr>
                <w:rFonts w:eastAsia="Calibri"/>
                <w:sz w:val="20"/>
                <w:szCs w:val="20"/>
              </w:rPr>
              <w:t>(Clément J.A.)</w:t>
            </w:r>
          </w:p>
          <w:p w:rsidR="007D148E" w:rsidRPr="000E63FA" w:rsidRDefault="007D148E" w:rsidP="006C1C3D">
            <w:pPr>
              <w:jc w:val="both"/>
              <w:rPr>
                <w:rFonts w:eastAsia="Calibri"/>
                <w:sz w:val="20"/>
                <w:szCs w:val="20"/>
              </w:rPr>
            </w:pPr>
            <w:r w:rsidRPr="000E63FA">
              <w:rPr>
                <w:rFonts w:eastAsia="Calibri"/>
                <w:sz w:val="20"/>
                <w:szCs w:val="20"/>
              </w:rPr>
              <w:t>No. 500-09-023216-120</w:t>
            </w:r>
          </w:p>
          <w:p w:rsidR="007D148E" w:rsidRPr="000E63FA" w:rsidRDefault="00CC2008" w:rsidP="006C1C3D">
            <w:pPr>
              <w:jc w:val="both"/>
              <w:rPr>
                <w:rFonts w:eastAsia="Calibri"/>
                <w:sz w:val="20"/>
                <w:szCs w:val="20"/>
              </w:rPr>
            </w:pPr>
            <w:hyperlink r:id="rId34" w:history="1">
              <w:r w:rsidR="007D148E" w:rsidRPr="000E63FA">
                <w:rPr>
                  <w:rFonts w:eastAsia="Calibri"/>
                  <w:color w:val="0000FF"/>
                  <w:sz w:val="20"/>
                  <w:szCs w:val="20"/>
                  <w:u w:val="single"/>
                </w:rPr>
                <w:t>2013 QCCA 363</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Motion for leave to appeal dismissed</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April 29, 2013</w:t>
            </w:r>
          </w:p>
          <w:p w:rsidR="007D148E" w:rsidRPr="000E63FA" w:rsidRDefault="007D148E" w:rsidP="006C1C3D">
            <w:pPr>
              <w:jc w:val="both"/>
              <w:rPr>
                <w:rFonts w:eastAsia="Calibri"/>
                <w:sz w:val="20"/>
                <w:szCs w:val="20"/>
              </w:rPr>
            </w:pPr>
            <w:r w:rsidRPr="000E63FA">
              <w:rPr>
                <w:rFonts w:eastAsia="Calibri"/>
                <w:sz w:val="20"/>
                <w:szCs w:val="20"/>
              </w:rPr>
              <w:t>Quebec Court of Appeal (Montréal)</w:t>
            </w:r>
          </w:p>
          <w:p w:rsidR="007D148E" w:rsidRPr="000E63FA" w:rsidRDefault="007D148E" w:rsidP="006C1C3D">
            <w:pPr>
              <w:jc w:val="both"/>
              <w:rPr>
                <w:rFonts w:eastAsia="Calibri"/>
                <w:sz w:val="20"/>
                <w:szCs w:val="20"/>
              </w:rPr>
            </w:pPr>
            <w:r w:rsidRPr="000E63FA">
              <w:rPr>
                <w:rFonts w:eastAsia="Calibri"/>
                <w:sz w:val="20"/>
                <w:szCs w:val="20"/>
              </w:rPr>
              <w:t>(Dutil, Kasirer and Fournier JJ.A.)</w:t>
            </w:r>
          </w:p>
          <w:p w:rsidR="007D148E" w:rsidRPr="000E63FA" w:rsidRDefault="007D148E" w:rsidP="006C1C3D">
            <w:pPr>
              <w:jc w:val="both"/>
              <w:rPr>
                <w:rFonts w:eastAsia="Calibri"/>
                <w:sz w:val="20"/>
                <w:szCs w:val="20"/>
              </w:rPr>
            </w:pPr>
            <w:r w:rsidRPr="000E63FA">
              <w:rPr>
                <w:rFonts w:eastAsia="Calibri"/>
                <w:sz w:val="20"/>
                <w:szCs w:val="20"/>
              </w:rPr>
              <w:t>No. 500-09-023425-135</w:t>
            </w:r>
          </w:p>
          <w:p w:rsidR="007D148E" w:rsidRPr="000E63FA" w:rsidRDefault="00CC2008" w:rsidP="006C1C3D">
            <w:pPr>
              <w:jc w:val="both"/>
              <w:rPr>
                <w:rFonts w:eastAsia="Calibri"/>
                <w:sz w:val="20"/>
                <w:szCs w:val="20"/>
              </w:rPr>
            </w:pPr>
            <w:hyperlink r:id="rId35" w:history="1">
              <w:r w:rsidR="007D148E" w:rsidRPr="000E63FA">
                <w:rPr>
                  <w:rFonts w:eastAsia="Calibri"/>
                  <w:color w:val="0000FF"/>
                  <w:sz w:val="20"/>
                  <w:szCs w:val="20"/>
                  <w:u w:val="single"/>
                </w:rPr>
                <w:t>2013 QCCA 783</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Motion for leave to appeal out of time dismissed</w:t>
            </w: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June 26, 2013</w:t>
            </w:r>
          </w:p>
          <w:p w:rsidR="007D148E" w:rsidRPr="000E63FA" w:rsidRDefault="007D148E" w:rsidP="006C1C3D">
            <w:pPr>
              <w:jc w:val="both"/>
              <w:rPr>
                <w:rFonts w:eastAsia="Calibri"/>
                <w:sz w:val="20"/>
                <w:szCs w:val="20"/>
              </w:rPr>
            </w:pPr>
            <w:r w:rsidRPr="000E63FA">
              <w:rPr>
                <w:rFonts w:eastAsia="Calibri"/>
                <w:sz w:val="20"/>
                <w:szCs w:val="20"/>
              </w:rPr>
              <w:t>Supreme Court of Canada</w:t>
            </w: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Application for leave to appeal filed</w:t>
            </w:r>
          </w:p>
          <w:p w:rsidR="007D148E" w:rsidRPr="000E63FA" w:rsidRDefault="007D148E" w:rsidP="006C1C3D">
            <w:pPr>
              <w:jc w:val="both"/>
              <w:rPr>
                <w:rFonts w:eastAsia="Calibri"/>
                <w:sz w:val="20"/>
                <w:szCs w:val="20"/>
              </w:rPr>
            </w:pPr>
          </w:p>
        </w:tc>
      </w:tr>
    </w:tbl>
    <w:p w:rsidR="005A33F8" w:rsidRDefault="005A33F8" w:rsidP="005A33F8">
      <w:pPr>
        <w:rPr>
          <w:sz w:val="20"/>
          <w:szCs w:val="20"/>
        </w:rPr>
      </w:pPr>
    </w:p>
    <w:p w:rsidR="005A33F8" w:rsidRPr="00C50A5C" w:rsidRDefault="00CC2008" w:rsidP="005A33F8">
      <w:pPr>
        <w:rPr>
          <w:sz w:val="20"/>
          <w:szCs w:val="20"/>
        </w:rPr>
      </w:pPr>
      <w:r w:rsidRPr="00CC2008">
        <w:rPr>
          <w:sz w:val="20"/>
          <w:szCs w:val="20"/>
          <w:lang w:val="fr-CA"/>
        </w:rPr>
        <w:pict>
          <v:rect id="_x0000_i1049" style="width:2in;height:1pt" o:hrpct="0" o:hralign="center" o:hrstd="t" o:hrnoshade="t" o:hr="t" fillcolor="black [3213]" stroked="f"/>
        </w:pict>
      </w:r>
    </w:p>
    <w:p w:rsidR="005A33F8" w:rsidRDefault="005A33F8" w:rsidP="005A33F8">
      <w:pPr>
        <w:rPr>
          <w:sz w:val="20"/>
          <w:szCs w:val="20"/>
        </w:rPr>
      </w:pPr>
    </w:p>
    <w:p w:rsidR="005A33F8" w:rsidRPr="001B157C" w:rsidRDefault="005A33F8" w:rsidP="005A33F8">
      <w:pPr>
        <w:rPr>
          <w:sz w:val="20"/>
          <w:szCs w:val="20"/>
          <w:u w:val="single"/>
          <w:lang w:val="fr-CA"/>
        </w:rPr>
      </w:pPr>
      <w:r w:rsidRPr="001B157C">
        <w:rPr>
          <w:sz w:val="20"/>
          <w:szCs w:val="20"/>
          <w:u w:val="single"/>
          <w:lang w:val="fr-CA"/>
        </w:rPr>
        <w:t>RÉSUMÉ DE L’AFFAIRE</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7C7F39"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Responsabilité civile – Preuve de dommages – Appel – La Cour d’appel a-t-elle erré en rejetant la première requête pour permission d’appeler hors délai en ne considérant pas cette procédure comme un appel direct? – La Cour d’appel aurait-elle dû considérer la deuxième requête pour permission d’appeler comme un appel direct?</w:t>
            </w:r>
          </w:p>
        </w:tc>
      </w:tr>
      <w:tr w:rsidR="007D148E" w:rsidRPr="007C7F39" w:rsidTr="006C1C3D">
        <w:tc>
          <w:tcPr>
            <w:tcW w:w="5000" w:type="pct"/>
            <w:gridSpan w:val="3"/>
          </w:tcPr>
          <w:p w:rsidR="007D148E" w:rsidRPr="000E63FA" w:rsidRDefault="007D148E" w:rsidP="006C1C3D">
            <w:pPr>
              <w:jc w:val="both"/>
              <w:rPr>
                <w:rFonts w:eastAsia="Calibri"/>
                <w:sz w:val="20"/>
                <w:szCs w:val="20"/>
                <w:lang w:val="fr-CA"/>
              </w:rPr>
            </w:pPr>
          </w:p>
        </w:tc>
      </w:tr>
      <w:tr w:rsidR="007D148E" w:rsidRPr="007C7F39"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Le demandeur a intenté une action en dommages-intérêts contre les intimés au motif qu’ils auraient commis diverses fautes et abusé de leurs pouvoirs de policiers et de procureurs en procédant à son arrestation et à sa mise en accusation pour bris de conditions d’une ordonnance rendue par la Cour supérieure.  Le demandeur a été acquitté des accusations en cause, d’où sa demande d’indemnisation.</w:t>
            </w:r>
          </w:p>
          <w:p w:rsidR="007D148E" w:rsidRPr="000E63FA" w:rsidRDefault="007D148E" w:rsidP="006C1C3D">
            <w:pPr>
              <w:jc w:val="both"/>
              <w:rPr>
                <w:rFonts w:eastAsia="Calibri"/>
                <w:sz w:val="20"/>
                <w:szCs w:val="20"/>
                <w:lang w:val="fr-CA"/>
              </w:rPr>
            </w:pPr>
          </w:p>
        </w:tc>
      </w:tr>
      <w:tr w:rsidR="007D148E" w:rsidRPr="000E63FA"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26 novembre 2012</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supérieure du Québec</w:t>
            </w:r>
          </w:p>
          <w:p w:rsidR="007D148E" w:rsidRPr="000E63FA" w:rsidRDefault="007D148E" w:rsidP="006C1C3D">
            <w:pPr>
              <w:jc w:val="both"/>
              <w:rPr>
                <w:rFonts w:eastAsia="Calibri"/>
                <w:sz w:val="20"/>
                <w:szCs w:val="20"/>
                <w:lang w:val="fr-CA"/>
              </w:rPr>
            </w:pPr>
            <w:r w:rsidRPr="000E63FA">
              <w:rPr>
                <w:rFonts w:eastAsia="Calibri"/>
                <w:sz w:val="20"/>
                <w:szCs w:val="20"/>
                <w:lang w:val="fr-CA"/>
              </w:rPr>
              <w:t>(Le juge Gouin)</w:t>
            </w:r>
          </w:p>
          <w:p w:rsidR="007D148E" w:rsidRPr="000E63FA" w:rsidRDefault="007D148E" w:rsidP="006C1C3D">
            <w:pPr>
              <w:jc w:val="both"/>
              <w:rPr>
                <w:rFonts w:eastAsia="Calibri"/>
                <w:sz w:val="20"/>
                <w:szCs w:val="20"/>
                <w:lang w:val="fr-CA"/>
              </w:rPr>
            </w:pPr>
            <w:r w:rsidRPr="000E63FA">
              <w:rPr>
                <w:rFonts w:eastAsia="Calibri"/>
                <w:sz w:val="20"/>
                <w:szCs w:val="20"/>
                <w:lang w:val="fr-CA"/>
              </w:rPr>
              <w:t>No. 540-17-002466-075</w:t>
            </w:r>
          </w:p>
          <w:p w:rsidR="007D148E" w:rsidRPr="000E63FA" w:rsidRDefault="00CC2008" w:rsidP="006C1C3D">
            <w:pPr>
              <w:jc w:val="both"/>
              <w:rPr>
                <w:rFonts w:eastAsia="Calibri"/>
                <w:sz w:val="20"/>
                <w:szCs w:val="20"/>
                <w:lang w:val="fr-CA"/>
              </w:rPr>
            </w:pPr>
            <w:hyperlink r:id="rId36" w:history="1">
              <w:r w:rsidR="007D148E" w:rsidRPr="000E63FA">
                <w:rPr>
                  <w:rFonts w:eastAsia="Calibri"/>
                  <w:color w:val="0000FF"/>
                  <w:sz w:val="20"/>
                  <w:szCs w:val="20"/>
                  <w:u w:val="single"/>
                  <w:lang w:val="fr-CA"/>
                </w:rPr>
                <w:t>2012 QCCS 5976</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Action rejetée.</w:t>
            </w:r>
          </w:p>
          <w:p w:rsidR="007D148E" w:rsidRPr="000E63FA" w:rsidRDefault="007D148E" w:rsidP="006C1C3D">
            <w:pPr>
              <w:jc w:val="both"/>
              <w:rPr>
                <w:rFonts w:eastAsia="Calibri"/>
                <w:sz w:val="20"/>
                <w:szCs w:val="20"/>
                <w:lang w:val="fr-CA"/>
              </w:rPr>
            </w:pPr>
          </w:p>
          <w:p w:rsidR="007D148E" w:rsidRPr="000E63FA" w:rsidRDefault="007D148E" w:rsidP="006C1C3D">
            <w:pPr>
              <w:jc w:val="both"/>
              <w:rPr>
                <w:rFonts w:eastAsia="Calibri"/>
                <w:sz w:val="20"/>
                <w:szCs w:val="20"/>
                <w:lang w:val="fr-CA"/>
              </w:rPr>
            </w:pPr>
          </w:p>
        </w:tc>
      </w:tr>
      <w:tr w:rsidR="007D148E" w:rsidRPr="007C7F39"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28 février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d’appel du Québec (Montréal)</w:t>
            </w:r>
          </w:p>
          <w:p w:rsidR="007D148E" w:rsidRPr="000E63FA" w:rsidRDefault="007D148E" w:rsidP="006C1C3D">
            <w:pPr>
              <w:jc w:val="both"/>
              <w:rPr>
                <w:rFonts w:eastAsia="Calibri"/>
                <w:sz w:val="20"/>
                <w:szCs w:val="20"/>
                <w:lang w:val="fr-CA"/>
              </w:rPr>
            </w:pPr>
            <w:r w:rsidRPr="000E63FA">
              <w:rPr>
                <w:rFonts w:eastAsia="Calibri"/>
                <w:sz w:val="20"/>
                <w:szCs w:val="20"/>
                <w:lang w:val="fr-CA"/>
              </w:rPr>
              <w:t>(Le juge Clément)</w:t>
            </w:r>
          </w:p>
          <w:p w:rsidR="007D148E" w:rsidRPr="000E63FA" w:rsidRDefault="007D148E" w:rsidP="006C1C3D">
            <w:pPr>
              <w:jc w:val="both"/>
              <w:rPr>
                <w:rFonts w:eastAsia="Calibri"/>
                <w:sz w:val="20"/>
                <w:szCs w:val="20"/>
                <w:lang w:val="fr-CA"/>
              </w:rPr>
            </w:pPr>
            <w:r w:rsidRPr="000E63FA">
              <w:rPr>
                <w:rFonts w:eastAsia="Calibri"/>
                <w:sz w:val="20"/>
                <w:szCs w:val="20"/>
                <w:lang w:val="fr-CA"/>
              </w:rPr>
              <w:t>No. 500-09-023216-120</w:t>
            </w:r>
          </w:p>
          <w:p w:rsidR="007D148E" w:rsidRPr="000E63FA" w:rsidRDefault="00CC2008" w:rsidP="006C1C3D">
            <w:pPr>
              <w:jc w:val="both"/>
              <w:rPr>
                <w:rFonts w:eastAsia="Calibri"/>
                <w:sz w:val="20"/>
                <w:szCs w:val="20"/>
                <w:lang w:val="fr-CA"/>
              </w:rPr>
            </w:pPr>
            <w:hyperlink r:id="rId37" w:history="1">
              <w:r w:rsidR="007D148E" w:rsidRPr="000E63FA">
                <w:rPr>
                  <w:rFonts w:eastAsia="Calibri"/>
                  <w:color w:val="0000FF"/>
                  <w:sz w:val="20"/>
                  <w:szCs w:val="20"/>
                  <w:u w:val="single"/>
                  <w:lang w:val="fr-CA"/>
                </w:rPr>
                <w:t>2013 QCCA 363</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Requête pour permission d’appeler rejetée.</w:t>
            </w:r>
          </w:p>
          <w:p w:rsidR="007D148E" w:rsidRPr="000E63FA" w:rsidRDefault="007D148E" w:rsidP="006C1C3D">
            <w:pPr>
              <w:jc w:val="both"/>
              <w:rPr>
                <w:rFonts w:eastAsia="Calibri"/>
                <w:sz w:val="20"/>
                <w:szCs w:val="20"/>
                <w:lang w:val="fr-CA"/>
              </w:rPr>
            </w:pPr>
          </w:p>
        </w:tc>
      </w:tr>
      <w:tr w:rsidR="007D148E" w:rsidRPr="007C7F39" w:rsidTr="00750F18">
        <w:trPr>
          <w:cantSplit/>
        </w:trPr>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29 avril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d’appel du Québec (Montréal)</w:t>
            </w:r>
          </w:p>
          <w:p w:rsidR="007D148E" w:rsidRPr="000E63FA" w:rsidRDefault="007D148E" w:rsidP="006C1C3D">
            <w:pPr>
              <w:jc w:val="both"/>
              <w:rPr>
                <w:rFonts w:eastAsia="Calibri"/>
                <w:sz w:val="20"/>
                <w:szCs w:val="20"/>
                <w:lang w:val="fr-CA"/>
              </w:rPr>
            </w:pPr>
            <w:r w:rsidRPr="000E63FA">
              <w:rPr>
                <w:rFonts w:eastAsia="Calibri"/>
                <w:sz w:val="20"/>
                <w:szCs w:val="20"/>
                <w:lang w:val="fr-CA"/>
              </w:rPr>
              <w:t>(Les juges Dutil, Kasirer et Fournier)</w:t>
            </w:r>
          </w:p>
          <w:p w:rsidR="007D148E" w:rsidRPr="000E63FA" w:rsidRDefault="007D148E" w:rsidP="006C1C3D">
            <w:pPr>
              <w:jc w:val="both"/>
              <w:rPr>
                <w:rFonts w:eastAsia="Calibri"/>
                <w:sz w:val="20"/>
                <w:szCs w:val="20"/>
                <w:lang w:val="fr-CA"/>
              </w:rPr>
            </w:pPr>
            <w:r w:rsidRPr="000E63FA">
              <w:rPr>
                <w:rFonts w:eastAsia="Calibri"/>
                <w:sz w:val="20"/>
                <w:szCs w:val="20"/>
                <w:lang w:val="fr-CA"/>
              </w:rPr>
              <w:t>No. 500-09-023425-135</w:t>
            </w:r>
          </w:p>
          <w:p w:rsidR="007D148E" w:rsidRPr="000E63FA" w:rsidRDefault="00CC2008" w:rsidP="006C1C3D">
            <w:pPr>
              <w:jc w:val="both"/>
              <w:rPr>
                <w:rFonts w:eastAsia="Calibri"/>
                <w:sz w:val="20"/>
                <w:szCs w:val="20"/>
                <w:lang w:val="fr-CA"/>
              </w:rPr>
            </w:pPr>
            <w:hyperlink r:id="rId38" w:history="1">
              <w:r w:rsidR="007D148E" w:rsidRPr="000E63FA">
                <w:rPr>
                  <w:rFonts w:eastAsia="Calibri"/>
                  <w:color w:val="0000FF"/>
                  <w:sz w:val="20"/>
                  <w:szCs w:val="20"/>
                  <w:u w:val="single"/>
                  <w:lang w:val="fr-CA"/>
                </w:rPr>
                <w:t>2013 QCCA 783</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Requête pour permission d’appeler hors délai rejetée.</w:t>
            </w:r>
          </w:p>
        </w:tc>
      </w:tr>
      <w:tr w:rsidR="007D148E" w:rsidRPr="000E63FA" w:rsidTr="00750F18">
        <w:trPr>
          <w:cantSplit/>
        </w:trPr>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Le 26 juin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du Canada</w:t>
            </w: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Demande d'autorisation d'appel déposée.</w:t>
            </w:r>
          </w:p>
          <w:p w:rsidR="007D148E" w:rsidRPr="000E63FA" w:rsidRDefault="007D148E" w:rsidP="006C1C3D">
            <w:pPr>
              <w:jc w:val="both"/>
              <w:rPr>
                <w:rFonts w:eastAsia="Calibri"/>
                <w:sz w:val="20"/>
                <w:szCs w:val="20"/>
                <w:lang w:val="fr-CA"/>
              </w:rPr>
            </w:pPr>
          </w:p>
        </w:tc>
      </w:tr>
    </w:tbl>
    <w:p w:rsidR="005A33F8" w:rsidRDefault="005A33F8" w:rsidP="005A33F8">
      <w:pPr>
        <w:rPr>
          <w:sz w:val="20"/>
          <w:szCs w:val="20"/>
        </w:rPr>
      </w:pPr>
    </w:p>
    <w:p w:rsidR="005A33F8" w:rsidRDefault="00CC2008" w:rsidP="005A33F8">
      <w:pPr>
        <w:rPr>
          <w:sz w:val="20"/>
          <w:szCs w:val="20"/>
        </w:rPr>
      </w:pPr>
      <w:r w:rsidRPr="00CC2008">
        <w:rPr>
          <w:sz w:val="20"/>
          <w:szCs w:val="20"/>
          <w:lang w:val="fr-CA"/>
        </w:rPr>
        <w:pict>
          <v:rect id="_x0000_i1050" style="width:2in;height:1pt" o:hrpct="0" o:hralign="center" o:hrstd="t" o:hrnoshade="t" o:hr="t" fillcolor="black [3213]" stroked="f"/>
        </w:pict>
      </w:r>
    </w:p>
    <w:p w:rsidR="005A33F8" w:rsidRDefault="005A33F8" w:rsidP="005A33F8">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024E3" w:rsidRPr="006024E3" w:rsidTr="006C1C3D">
        <w:trPr>
          <w:cantSplit/>
        </w:trPr>
        <w:tc>
          <w:tcPr>
            <w:tcW w:w="1458" w:type="dxa"/>
          </w:tcPr>
          <w:p w:rsidR="006024E3" w:rsidRPr="006024E3" w:rsidRDefault="006024E3" w:rsidP="006024E3">
            <w:pPr>
              <w:rPr>
                <w:sz w:val="20"/>
              </w:rPr>
            </w:pPr>
            <w:r w:rsidRPr="006024E3">
              <w:rPr>
                <w:b/>
                <w:sz w:val="20"/>
                <w:lang w:val="fr-CA"/>
              </w:rPr>
              <w:t>35468</w:t>
            </w:r>
          </w:p>
          <w:p w:rsidR="006024E3" w:rsidRPr="006024E3" w:rsidRDefault="006024E3" w:rsidP="006024E3">
            <w:pPr>
              <w:rPr>
                <w:b/>
                <w:sz w:val="20"/>
                <w:lang w:val="fr-CA"/>
              </w:rPr>
            </w:pPr>
          </w:p>
        </w:tc>
        <w:tc>
          <w:tcPr>
            <w:tcW w:w="8118" w:type="dxa"/>
          </w:tcPr>
          <w:p w:rsidR="006024E3" w:rsidRPr="006024E3" w:rsidRDefault="006024E3" w:rsidP="006024E3">
            <w:pPr>
              <w:jc w:val="both"/>
              <w:rPr>
                <w:sz w:val="20"/>
              </w:rPr>
            </w:pPr>
            <w:r w:rsidRPr="006024E3">
              <w:rPr>
                <w:b/>
                <w:sz w:val="20"/>
                <w:u w:val="single"/>
              </w:rPr>
              <w:t>Stephen D. Halmo v. Steve Manary</w:t>
            </w:r>
            <w:r w:rsidR="004C115F">
              <w:rPr>
                <w:b/>
                <w:sz w:val="20"/>
                <w:u w:val="single"/>
              </w:rPr>
              <w:t xml:space="preserve"> and</w:t>
            </w:r>
            <w:r w:rsidRPr="006024E3">
              <w:rPr>
                <w:b/>
                <w:sz w:val="20"/>
                <w:u w:val="single"/>
              </w:rPr>
              <w:t xml:space="preserve"> Lauren Manary by Her Litigation Guardian</w:t>
            </w:r>
            <w:r w:rsidR="004C115F">
              <w:rPr>
                <w:b/>
                <w:sz w:val="20"/>
                <w:u w:val="single"/>
              </w:rPr>
              <w:t>,</w:t>
            </w:r>
            <w:r w:rsidRPr="006024E3">
              <w:rPr>
                <w:b/>
                <w:sz w:val="20"/>
                <w:u w:val="single"/>
              </w:rPr>
              <w:t xml:space="preserve"> Steve Manary</w:t>
            </w:r>
            <w:r w:rsidRPr="006024E3">
              <w:rPr>
                <w:sz w:val="20"/>
              </w:rPr>
              <w:t xml:space="preserve"> (Ont.) (Civil) (By Leave)</w:t>
            </w:r>
          </w:p>
          <w:p w:rsidR="006024E3" w:rsidRPr="006024E3" w:rsidRDefault="006024E3" w:rsidP="006024E3">
            <w:pPr>
              <w:jc w:val="both"/>
              <w:rPr>
                <w:sz w:val="20"/>
              </w:rPr>
            </w:pPr>
          </w:p>
        </w:tc>
      </w:tr>
      <w:tr w:rsidR="006024E3" w:rsidRPr="006024E3" w:rsidTr="006C1C3D">
        <w:trPr>
          <w:cantSplit/>
        </w:trPr>
        <w:tc>
          <w:tcPr>
            <w:tcW w:w="1458" w:type="dxa"/>
          </w:tcPr>
          <w:p w:rsidR="006024E3" w:rsidRPr="006024E3" w:rsidRDefault="006024E3" w:rsidP="006024E3">
            <w:pPr>
              <w:rPr>
                <w:sz w:val="20"/>
              </w:rPr>
            </w:pPr>
            <w:r w:rsidRPr="006024E3">
              <w:rPr>
                <w:sz w:val="20"/>
              </w:rPr>
              <w:t>Coram :</w:t>
            </w:r>
          </w:p>
        </w:tc>
        <w:tc>
          <w:tcPr>
            <w:tcW w:w="8118" w:type="dxa"/>
          </w:tcPr>
          <w:p w:rsidR="006024E3" w:rsidRPr="006024E3" w:rsidRDefault="006024E3" w:rsidP="006024E3">
            <w:pPr>
              <w:rPr>
                <w:sz w:val="20"/>
              </w:rPr>
            </w:pPr>
            <w:r w:rsidRPr="006024E3">
              <w:rPr>
                <w:sz w:val="20"/>
                <w:u w:val="single"/>
              </w:rPr>
              <w:t>Abella, Rothstein and Moldaver JJ.</w:t>
            </w:r>
          </w:p>
          <w:p w:rsidR="006024E3" w:rsidRPr="006024E3" w:rsidRDefault="006024E3" w:rsidP="006024E3">
            <w:pPr>
              <w:rPr>
                <w:sz w:val="20"/>
                <w:u w:val="single"/>
              </w:rPr>
            </w:pPr>
          </w:p>
        </w:tc>
      </w:tr>
      <w:tr w:rsidR="006024E3" w:rsidRPr="007C7F39" w:rsidTr="006C1C3D">
        <w:trPr>
          <w:cantSplit/>
        </w:trPr>
        <w:tc>
          <w:tcPr>
            <w:tcW w:w="9576" w:type="dxa"/>
            <w:gridSpan w:val="2"/>
          </w:tcPr>
          <w:p w:rsidR="006024E3" w:rsidRPr="006024E3" w:rsidRDefault="006024E3" w:rsidP="006024E3">
            <w:pPr>
              <w:ind w:firstLine="720"/>
              <w:jc w:val="both"/>
              <w:rPr>
                <w:sz w:val="20"/>
              </w:rPr>
            </w:pPr>
            <w:r w:rsidRPr="006024E3">
              <w:rPr>
                <w:sz w:val="20"/>
              </w:rPr>
              <w:t>The application for leave to appeal from the judgment of the Court of Appeal for Ontario, Number C53479, 2013 ONCA 319, dated May 14, 2013, is dismissed with costs.</w:t>
            </w:r>
          </w:p>
          <w:p w:rsidR="006024E3" w:rsidRPr="006024E3" w:rsidRDefault="006024E3" w:rsidP="006024E3">
            <w:pPr>
              <w:jc w:val="both"/>
              <w:rPr>
                <w:sz w:val="20"/>
              </w:rPr>
            </w:pPr>
          </w:p>
          <w:p w:rsidR="006024E3" w:rsidRPr="006024E3" w:rsidRDefault="006024E3" w:rsidP="006024E3">
            <w:pPr>
              <w:ind w:firstLine="720"/>
              <w:jc w:val="both"/>
              <w:rPr>
                <w:sz w:val="20"/>
                <w:lang w:val="fr-CA"/>
              </w:rPr>
            </w:pPr>
            <w:r w:rsidRPr="006024E3">
              <w:rPr>
                <w:sz w:val="20"/>
                <w:lang w:val="fr-CA"/>
              </w:rPr>
              <w:t>La demande d’autorisation d’appel de l’arrêt de la Cour d’appel de l’Ontario, numéro C53479, 2013 ONCA 319, daté du 14 mai 2013, est rejetée avec dépens.</w:t>
            </w:r>
          </w:p>
        </w:tc>
      </w:tr>
    </w:tbl>
    <w:p w:rsidR="005A33F8" w:rsidRPr="0016547E" w:rsidRDefault="005A33F8" w:rsidP="005A33F8">
      <w:pPr>
        <w:rPr>
          <w:sz w:val="20"/>
          <w:szCs w:val="20"/>
          <w:lang w:val="fr-CA"/>
        </w:rPr>
      </w:pPr>
    </w:p>
    <w:p w:rsidR="005A33F8" w:rsidRPr="001B157C" w:rsidRDefault="005A33F8" w:rsidP="005A33F8">
      <w:pPr>
        <w:rPr>
          <w:sz w:val="20"/>
          <w:szCs w:val="20"/>
          <w:u w:val="single"/>
        </w:rPr>
      </w:pPr>
      <w:r w:rsidRPr="001B157C">
        <w:rPr>
          <w:sz w:val="20"/>
          <w:szCs w:val="20"/>
          <w:u w:val="single"/>
        </w:rPr>
        <w:t>CASE SUMMARY</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Torts – Negligence – Standard of care – Medical malpractice – Pregnant woman dying in hospital following tests revealing aortic aneurysm – Does a Most Responsible Physician meet the standard of care by relying on a specialist physician? – Can a Most Responsible Physician who relies on a specialist be found negligent if the specialist is not?</w:t>
            </w:r>
          </w:p>
        </w:tc>
      </w:tr>
      <w:tr w:rsidR="007D148E" w:rsidRPr="000E63FA" w:rsidTr="006C1C3D">
        <w:tc>
          <w:tcPr>
            <w:tcW w:w="5000" w:type="pct"/>
            <w:gridSpan w:val="3"/>
          </w:tcPr>
          <w:p w:rsidR="007D148E" w:rsidRPr="000E63FA" w:rsidRDefault="007D148E" w:rsidP="006C1C3D">
            <w:pPr>
              <w:jc w:val="both"/>
              <w:rPr>
                <w:rFonts w:eastAsia="Calibri"/>
                <w:sz w:val="20"/>
                <w:szCs w:val="20"/>
              </w:rPr>
            </w:pPr>
          </w:p>
        </w:tc>
      </w:tr>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In August of 2003, Christine Manary was 28 years of age and 36 weeks pregnant when she went to the Grand River Hospital in Kitchener Ontario, experiencing severe sudden chest pain and shortness of breath.  The doctors suspected either a pulmonary embolism or an aortic dissection.  She was admitted to hospital and tests were ordered.  In accordance with hospital policy, her obstetrician, the applicant, Dr. Halmo, became the Most Responsible Physician for her care.  She remained in hospital for nine days during which time, other doctors and specialists became involved in her case.  Although a CT angiogram revealed a bulge or aneurism in her aorta, the doctors thought she could be discharged with a consultation with a cardiologist to be arranged within the next two weeks, before her expected delivery date.  On the morning she was to be discharged, her aorta ruptured and she died.  A trial was held to determine whether the doctors who had been caring for her met the required standard of care.</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February 23, 2011</w:t>
            </w:r>
          </w:p>
          <w:p w:rsidR="007D148E" w:rsidRPr="000E63FA" w:rsidRDefault="007D148E" w:rsidP="006C1C3D">
            <w:pPr>
              <w:jc w:val="both"/>
              <w:rPr>
                <w:rFonts w:eastAsia="Calibri"/>
                <w:sz w:val="20"/>
                <w:szCs w:val="20"/>
              </w:rPr>
            </w:pPr>
            <w:r w:rsidRPr="000E63FA">
              <w:rPr>
                <w:rFonts w:eastAsia="Calibri"/>
                <w:sz w:val="20"/>
                <w:szCs w:val="20"/>
              </w:rPr>
              <w:t>Ontario Superior Court of Justice</w:t>
            </w:r>
          </w:p>
          <w:p w:rsidR="007D148E" w:rsidRPr="000E63FA" w:rsidRDefault="007D148E" w:rsidP="006C1C3D">
            <w:pPr>
              <w:jc w:val="both"/>
              <w:rPr>
                <w:rFonts w:eastAsia="Calibri"/>
                <w:sz w:val="20"/>
                <w:szCs w:val="20"/>
              </w:rPr>
            </w:pPr>
            <w:r w:rsidRPr="000E63FA">
              <w:rPr>
                <w:rFonts w:eastAsia="Calibri"/>
                <w:sz w:val="20"/>
                <w:szCs w:val="20"/>
              </w:rPr>
              <w:t>(Kent J.)</w:t>
            </w:r>
          </w:p>
          <w:p w:rsidR="007D148E" w:rsidRPr="000E63FA" w:rsidRDefault="00CC2008" w:rsidP="006C1C3D">
            <w:pPr>
              <w:jc w:val="both"/>
              <w:rPr>
                <w:rFonts w:eastAsia="Calibri"/>
                <w:sz w:val="20"/>
                <w:szCs w:val="20"/>
              </w:rPr>
            </w:pPr>
            <w:hyperlink r:id="rId39" w:history="1">
              <w:r w:rsidR="007D148E" w:rsidRPr="000E63FA">
                <w:rPr>
                  <w:rFonts w:eastAsia="Calibri"/>
                  <w:color w:val="0000FF"/>
                  <w:sz w:val="20"/>
                  <w:szCs w:val="20"/>
                  <w:u w:val="single"/>
                </w:rPr>
                <w:t>2011 ONSC 176</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Most Responsible Physician found to be negligent in care of patient</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May 14, 2013</w:t>
            </w:r>
          </w:p>
          <w:p w:rsidR="007D148E" w:rsidRPr="000E63FA" w:rsidRDefault="007D148E" w:rsidP="006C1C3D">
            <w:pPr>
              <w:jc w:val="both"/>
              <w:rPr>
                <w:rFonts w:eastAsia="Calibri"/>
                <w:sz w:val="20"/>
                <w:szCs w:val="20"/>
              </w:rPr>
            </w:pPr>
            <w:r w:rsidRPr="000E63FA">
              <w:rPr>
                <w:rFonts w:eastAsia="Calibri"/>
                <w:sz w:val="20"/>
                <w:szCs w:val="20"/>
              </w:rPr>
              <w:t>Court of Appeal for Ontario</w:t>
            </w:r>
          </w:p>
          <w:p w:rsidR="007D148E" w:rsidRPr="000E63FA" w:rsidRDefault="007D148E" w:rsidP="006C1C3D">
            <w:pPr>
              <w:jc w:val="both"/>
              <w:rPr>
                <w:rFonts w:eastAsia="Calibri"/>
                <w:sz w:val="20"/>
                <w:szCs w:val="20"/>
              </w:rPr>
            </w:pPr>
            <w:r w:rsidRPr="000E63FA">
              <w:rPr>
                <w:rFonts w:eastAsia="Calibri"/>
                <w:sz w:val="20"/>
                <w:szCs w:val="20"/>
              </w:rPr>
              <w:t>(Doherty [dissenting], Juriansz and Hoy JJ.A.)</w:t>
            </w:r>
          </w:p>
          <w:p w:rsidR="007D148E" w:rsidRPr="000E63FA" w:rsidRDefault="00CC2008" w:rsidP="006C1C3D">
            <w:pPr>
              <w:jc w:val="both"/>
              <w:rPr>
                <w:rFonts w:eastAsia="Calibri"/>
                <w:sz w:val="20"/>
                <w:szCs w:val="20"/>
              </w:rPr>
            </w:pPr>
            <w:hyperlink r:id="rId40" w:history="1">
              <w:r w:rsidR="007D148E" w:rsidRPr="000E63FA">
                <w:rPr>
                  <w:rFonts w:eastAsia="Calibri"/>
                  <w:color w:val="0000FF"/>
                  <w:sz w:val="20"/>
                  <w:szCs w:val="20"/>
                  <w:u w:val="single"/>
                </w:rPr>
                <w:t>2013 ONCA 319</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Appeal dismissed</w:t>
            </w:r>
          </w:p>
          <w:p w:rsidR="007D148E" w:rsidRPr="000E63FA" w:rsidRDefault="007D148E" w:rsidP="006C1C3D">
            <w:pPr>
              <w:jc w:val="both"/>
              <w:rPr>
                <w:rFonts w:eastAsia="Calibri"/>
                <w:sz w:val="20"/>
                <w:szCs w:val="20"/>
              </w:rPr>
            </w:pPr>
          </w:p>
        </w:tc>
      </w:tr>
      <w:tr w:rsidR="007D148E" w:rsidRPr="000E63FA" w:rsidTr="006024E3">
        <w:trPr>
          <w:cantSplit/>
        </w:trPr>
        <w:tc>
          <w:tcPr>
            <w:tcW w:w="2427" w:type="pct"/>
          </w:tcPr>
          <w:p w:rsidR="007D148E" w:rsidRPr="000E63FA" w:rsidRDefault="007D148E" w:rsidP="006C1C3D">
            <w:pPr>
              <w:jc w:val="both"/>
              <w:rPr>
                <w:rFonts w:eastAsia="Calibri"/>
                <w:sz w:val="20"/>
                <w:szCs w:val="20"/>
              </w:rPr>
            </w:pPr>
            <w:r w:rsidRPr="000E63FA">
              <w:rPr>
                <w:rFonts w:eastAsia="Calibri"/>
                <w:sz w:val="20"/>
                <w:szCs w:val="20"/>
              </w:rPr>
              <w:t>August 8, 2013</w:t>
            </w:r>
          </w:p>
          <w:p w:rsidR="007D148E" w:rsidRPr="000E63FA" w:rsidRDefault="007D148E" w:rsidP="006C1C3D">
            <w:pPr>
              <w:jc w:val="both"/>
              <w:rPr>
                <w:rFonts w:eastAsia="Calibri"/>
                <w:sz w:val="20"/>
                <w:szCs w:val="20"/>
              </w:rPr>
            </w:pPr>
            <w:r w:rsidRPr="000E63FA">
              <w:rPr>
                <w:rFonts w:eastAsia="Calibri"/>
                <w:sz w:val="20"/>
                <w:szCs w:val="20"/>
              </w:rPr>
              <w:t>Supreme Court of Canada</w:t>
            </w: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Application for leave to appeal filed</w:t>
            </w:r>
          </w:p>
          <w:p w:rsidR="007D148E" w:rsidRPr="000E63FA" w:rsidRDefault="007D148E" w:rsidP="006C1C3D">
            <w:pPr>
              <w:jc w:val="both"/>
              <w:rPr>
                <w:rFonts w:eastAsia="Calibri"/>
                <w:sz w:val="20"/>
                <w:szCs w:val="20"/>
              </w:rPr>
            </w:pPr>
          </w:p>
        </w:tc>
      </w:tr>
    </w:tbl>
    <w:p w:rsidR="005A33F8" w:rsidRDefault="005A33F8" w:rsidP="005A33F8">
      <w:pPr>
        <w:rPr>
          <w:sz w:val="20"/>
          <w:szCs w:val="20"/>
        </w:rPr>
      </w:pPr>
    </w:p>
    <w:p w:rsidR="005A33F8" w:rsidRPr="00C50A5C" w:rsidRDefault="00CC2008" w:rsidP="005A33F8">
      <w:pPr>
        <w:rPr>
          <w:sz w:val="20"/>
          <w:szCs w:val="20"/>
        </w:rPr>
      </w:pPr>
      <w:r w:rsidRPr="00CC2008">
        <w:rPr>
          <w:sz w:val="20"/>
          <w:szCs w:val="20"/>
          <w:lang w:val="fr-CA"/>
        </w:rPr>
        <w:pict>
          <v:rect id="_x0000_i1051" style="width:2in;height:1pt" o:hrpct="0" o:hralign="center" o:hrstd="t" o:hrnoshade="t" o:hr="t" fillcolor="black [3213]" stroked="f"/>
        </w:pict>
      </w:r>
    </w:p>
    <w:p w:rsidR="005A33F8" w:rsidRDefault="005A33F8" w:rsidP="005A33F8">
      <w:pPr>
        <w:rPr>
          <w:sz w:val="20"/>
          <w:szCs w:val="20"/>
        </w:rPr>
      </w:pPr>
    </w:p>
    <w:p w:rsidR="005A33F8" w:rsidRPr="001B157C" w:rsidRDefault="005A33F8" w:rsidP="005A33F8">
      <w:pPr>
        <w:rPr>
          <w:sz w:val="20"/>
          <w:szCs w:val="20"/>
          <w:u w:val="single"/>
          <w:lang w:val="fr-CA"/>
        </w:rPr>
      </w:pPr>
      <w:r w:rsidRPr="001B157C">
        <w:rPr>
          <w:sz w:val="20"/>
          <w:szCs w:val="20"/>
          <w:u w:val="single"/>
          <w:lang w:val="fr-CA"/>
        </w:rPr>
        <w:t>RÉSUMÉ DE L’AFFAIRE</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7C7F39"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Responsabilité délictuelle – Négligence – Norme de diligence – Responsabilité médicale – Une femme enceinte meurt dans un hôpital à la suite de ce que les tests ont révélé être un anévrisme de l’aorte – Le principal médecin responsable satisfait</w:t>
            </w:r>
            <w:r w:rsidRPr="000E63FA">
              <w:rPr>
                <w:rFonts w:eastAsia="Calibri"/>
                <w:sz w:val="20"/>
                <w:szCs w:val="20"/>
                <w:lang w:val="fr-CA"/>
              </w:rPr>
              <w:noBreakHyphen/>
              <w:t>il à la norme de diligence en s’en remettant à l’avis d’un médecin spécialiste? – Le principal médecin responsable qui s’en remet à l’avis d’un médecin spécialiste peut</w:t>
            </w:r>
            <w:r w:rsidRPr="000E63FA">
              <w:rPr>
                <w:rFonts w:eastAsia="Calibri"/>
                <w:sz w:val="20"/>
                <w:szCs w:val="20"/>
                <w:lang w:val="fr-CA"/>
              </w:rPr>
              <w:noBreakHyphen/>
              <w:t>il être déclaré coupable de négligence si le spécialiste ne l’est pas?</w:t>
            </w:r>
          </w:p>
        </w:tc>
      </w:tr>
      <w:tr w:rsidR="007D148E" w:rsidRPr="007C7F39" w:rsidTr="006C1C3D">
        <w:tc>
          <w:tcPr>
            <w:tcW w:w="5000" w:type="pct"/>
            <w:gridSpan w:val="3"/>
          </w:tcPr>
          <w:p w:rsidR="007D148E" w:rsidRPr="000E63FA" w:rsidRDefault="007D148E" w:rsidP="006C1C3D">
            <w:pPr>
              <w:jc w:val="both"/>
              <w:rPr>
                <w:rFonts w:eastAsia="Calibri"/>
                <w:sz w:val="20"/>
                <w:szCs w:val="20"/>
                <w:lang w:val="fr-CA"/>
              </w:rPr>
            </w:pPr>
          </w:p>
        </w:tc>
      </w:tr>
      <w:tr w:rsidR="007D148E" w:rsidRPr="007C7F39"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En août 2003, Christine Manary, âgée de 28 ans et enceinte de 36 semaines, s’est rendue au Grand River Hospital à Kitchener, en Ontario, parce qu’elle avait soudainement ressenti une douleur thoracique aiguë et qu’elle avait le souffle court.  D’après les médecins, il s’agissait soit d’une embolie pulmonaire, soit d’un anévrisme disséquant.  Elle a été admise à l’hôpital et des tests ont été prescrits. Conformément à la politique de l’hôpital, son obstétricien, le D</w:t>
            </w:r>
            <w:r w:rsidRPr="000E63FA">
              <w:rPr>
                <w:rFonts w:eastAsia="Calibri"/>
                <w:sz w:val="20"/>
                <w:szCs w:val="20"/>
                <w:vertAlign w:val="superscript"/>
                <w:lang w:val="fr-CA"/>
              </w:rPr>
              <w:t>r</w:t>
            </w:r>
            <w:r w:rsidRPr="000E63FA">
              <w:rPr>
                <w:rFonts w:eastAsia="Calibri"/>
                <w:sz w:val="20"/>
                <w:szCs w:val="20"/>
                <w:lang w:val="fr-CA"/>
              </w:rPr>
              <w:t> Halmo, est devenu le principal médecin responsable de ses soins.  Elle est restée neuf jours à l’hôpital, période durant laquelle d’autres médecins et spécialistes ont pris part aux soins.  Bien qu’une angiographie CT ait révélé un gonflement ou anévrysme de l’aorte, les médecins étaient d’avis qu’elle pouvait obtenir son congé de l’hôpital si elle obtenait une consultation avec un cardiologue dans les deux semaines qui suivraient, avant la date prévue pour son accouchement. Le matin où elle devait obtenir son congé de l’hôpital, son aorte s’est rompue et elle est morte. Le procès visait à déterminer si les médecins qui s’étaient occupés d’elle avaient satisfait à la norme de diligence requise.</w:t>
            </w:r>
          </w:p>
          <w:p w:rsidR="007D148E" w:rsidRPr="000E63FA" w:rsidRDefault="007D148E" w:rsidP="006C1C3D">
            <w:pPr>
              <w:jc w:val="both"/>
              <w:rPr>
                <w:rFonts w:eastAsia="Calibri"/>
                <w:sz w:val="20"/>
                <w:szCs w:val="20"/>
                <w:lang w:val="fr-CA"/>
              </w:rPr>
            </w:pPr>
          </w:p>
        </w:tc>
      </w:tr>
      <w:tr w:rsidR="007D148E" w:rsidRPr="007C7F39"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23 février 2011</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supérieure de justice de l’Ontario</w:t>
            </w:r>
          </w:p>
          <w:p w:rsidR="007D148E" w:rsidRPr="000E63FA" w:rsidRDefault="007D148E" w:rsidP="006C1C3D">
            <w:pPr>
              <w:jc w:val="both"/>
              <w:rPr>
                <w:rFonts w:eastAsia="Calibri"/>
                <w:sz w:val="20"/>
                <w:szCs w:val="20"/>
                <w:lang w:val="fr-CA"/>
              </w:rPr>
            </w:pPr>
            <w:r w:rsidRPr="000E63FA">
              <w:rPr>
                <w:rFonts w:eastAsia="Calibri"/>
                <w:sz w:val="20"/>
                <w:szCs w:val="20"/>
                <w:lang w:val="fr-CA"/>
              </w:rPr>
              <w:t>(Juge Kent)</w:t>
            </w:r>
          </w:p>
          <w:p w:rsidR="007D148E" w:rsidRDefault="00CC2008" w:rsidP="006C1C3D">
            <w:pPr>
              <w:jc w:val="both"/>
            </w:pPr>
            <w:hyperlink r:id="rId41" w:history="1">
              <w:r w:rsidR="007D148E" w:rsidRPr="000E63FA">
                <w:rPr>
                  <w:rFonts w:eastAsia="Calibri"/>
                  <w:color w:val="0000FF"/>
                  <w:sz w:val="20"/>
                  <w:szCs w:val="20"/>
                  <w:u w:val="single"/>
                  <w:lang w:val="fr-CA"/>
                </w:rPr>
                <w:t>2011 ONSC 176</w:t>
              </w:r>
            </w:hyperlink>
          </w:p>
          <w:p w:rsidR="00B52A50" w:rsidRPr="000E63FA" w:rsidRDefault="00B52A50"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La cour conclut que le principal médecin responsable a fait preuve de négligence dans les soins prodigués à la patiente.</w:t>
            </w:r>
          </w:p>
          <w:p w:rsidR="007D148E" w:rsidRPr="000E63FA" w:rsidRDefault="007D148E" w:rsidP="006C1C3D">
            <w:pPr>
              <w:jc w:val="both"/>
              <w:rPr>
                <w:rFonts w:eastAsia="Calibri"/>
                <w:sz w:val="20"/>
                <w:szCs w:val="20"/>
                <w:lang w:val="fr-CA"/>
              </w:rPr>
            </w:pPr>
          </w:p>
        </w:tc>
      </w:tr>
      <w:tr w:rsidR="007D148E" w:rsidRPr="000E63FA"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14 mai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d’appel de l’Ontario</w:t>
            </w:r>
          </w:p>
          <w:p w:rsidR="007D148E" w:rsidRPr="000E63FA" w:rsidRDefault="007D148E" w:rsidP="006C1C3D">
            <w:pPr>
              <w:jc w:val="both"/>
              <w:rPr>
                <w:rFonts w:eastAsia="Calibri"/>
                <w:sz w:val="20"/>
                <w:szCs w:val="20"/>
                <w:lang w:val="fr-CA"/>
              </w:rPr>
            </w:pPr>
            <w:r w:rsidRPr="000E63FA">
              <w:rPr>
                <w:rFonts w:eastAsia="Calibri"/>
                <w:sz w:val="20"/>
                <w:szCs w:val="20"/>
                <w:lang w:val="fr-CA"/>
              </w:rPr>
              <w:t>(Juges Doherty [dissident], Juriansz et Hoy)</w:t>
            </w:r>
          </w:p>
          <w:p w:rsidR="007D148E" w:rsidRPr="000E63FA" w:rsidRDefault="00CC2008" w:rsidP="006C1C3D">
            <w:pPr>
              <w:jc w:val="both"/>
              <w:rPr>
                <w:rFonts w:eastAsia="Calibri"/>
                <w:sz w:val="20"/>
                <w:szCs w:val="20"/>
              </w:rPr>
            </w:pPr>
            <w:hyperlink r:id="rId42" w:history="1">
              <w:r w:rsidR="007D148E" w:rsidRPr="000E63FA">
                <w:rPr>
                  <w:rFonts w:eastAsia="Calibri"/>
                  <w:color w:val="0000FF"/>
                  <w:sz w:val="20"/>
                  <w:szCs w:val="20"/>
                  <w:u w:val="single"/>
                  <w:lang w:val="fr-CA"/>
                </w:rPr>
                <w:t>2013 ONCA 319</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Appel rejeté.</w:t>
            </w:r>
          </w:p>
          <w:p w:rsidR="007D148E" w:rsidRPr="000E63FA" w:rsidRDefault="007D148E" w:rsidP="006C1C3D">
            <w:pPr>
              <w:jc w:val="both"/>
              <w:rPr>
                <w:rFonts w:eastAsia="Calibri"/>
                <w:sz w:val="20"/>
                <w:szCs w:val="20"/>
                <w:lang w:val="fr-CA"/>
              </w:rPr>
            </w:pPr>
          </w:p>
          <w:p w:rsidR="007D148E" w:rsidRPr="000E63FA" w:rsidRDefault="007D148E" w:rsidP="006C1C3D">
            <w:pPr>
              <w:jc w:val="both"/>
              <w:rPr>
                <w:rFonts w:eastAsia="Calibri"/>
                <w:sz w:val="20"/>
                <w:szCs w:val="20"/>
                <w:lang w:val="fr-CA"/>
              </w:rPr>
            </w:pPr>
          </w:p>
        </w:tc>
      </w:tr>
      <w:tr w:rsidR="007D148E" w:rsidRPr="000E63FA"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8 août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du Canada</w:t>
            </w: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Demande d’autorisation d’appel déposée.</w:t>
            </w:r>
          </w:p>
        </w:tc>
      </w:tr>
    </w:tbl>
    <w:p w:rsidR="005A33F8" w:rsidRDefault="005A33F8" w:rsidP="005A33F8">
      <w:pPr>
        <w:rPr>
          <w:sz w:val="20"/>
          <w:szCs w:val="20"/>
        </w:rPr>
      </w:pPr>
    </w:p>
    <w:p w:rsidR="005A33F8" w:rsidRDefault="00CC2008" w:rsidP="005A33F8">
      <w:pPr>
        <w:rPr>
          <w:sz w:val="20"/>
          <w:szCs w:val="20"/>
        </w:rPr>
      </w:pPr>
      <w:r w:rsidRPr="00CC2008">
        <w:rPr>
          <w:sz w:val="20"/>
          <w:szCs w:val="20"/>
          <w:lang w:val="fr-CA"/>
        </w:rPr>
        <w:pict>
          <v:rect id="_x0000_i1052" style="width:2in;height:1pt" o:hrpct="0" o:hralign="center" o:hrstd="t" o:hrnoshade="t" o:hr="t" fillcolor="black [3213]" stroked="f"/>
        </w:pict>
      </w:r>
    </w:p>
    <w:p w:rsidR="005A33F8" w:rsidRDefault="005A33F8" w:rsidP="005A33F8">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024E3" w:rsidRPr="006024E3" w:rsidTr="006C1C3D">
        <w:trPr>
          <w:cantSplit/>
        </w:trPr>
        <w:tc>
          <w:tcPr>
            <w:tcW w:w="1458" w:type="dxa"/>
          </w:tcPr>
          <w:p w:rsidR="006024E3" w:rsidRPr="006024E3" w:rsidRDefault="006024E3" w:rsidP="006024E3">
            <w:pPr>
              <w:rPr>
                <w:sz w:val="20"/>
              </w:rPr>
            </w:pPr>
            <w:r w:rsidRPr="006024E3">
              <w:rPr>
                <w:b/>
                <w:sz w:val="20"/>
                <w:lang w:val="fr-CA"/>
              </w:rPr>
              <w:t>35474</w:t>
            </w:r>
          </w:p>
          <w:p w:rsidR="006024E3" w:rsidRPr="006024E3" w:rsidRDefault="006024E3" w:rsidP="006024E3">
            <w:pPr>
              <w:rPr>
                <w:b/>
                <w:sz w:val="20"/>
                <w:lang w:val="fr-CA"/>
              </w:rPr>
            </w:pPr>
          </w:p>
        </w:tc>
        <w:tc>
          <w:tcPr>
            <w:tcW w:w="8118" w:type="dxa"/>
          </w:tcPr>
          <w:p w:rsidR="006024E3" w:rsidRPr="006024E3" w:rsidRDefault="006024E3" w:rsidP="006024E3">
            <w:pPr>
              <w:jc w:val="both"/>
              <w:rPr>
                <w:sz w:val="20"/>
              </w:rPr>
            </w:pPr>
            <w:r w:rsidRPr="006024E3">
              <w:rPr>
                <w:b/>
                <w:sz w:val="20"/>
                <w:u w:val="single"/>
              </w:rPr>
              <w:t>Her Majesty the Queen v. Brian Allan Cockell AND BETWEEN Brian Allan Cockell v. Her Majesty the Queen</w:t>
            </w:r>
            <w:r w:rsidRPr="006024E3">
              <w:rPr>
                <w:sz w:val="20"/>
              </w:rPr>
              <w:t xml:space="preserve"> (Alta.) (Criminal) (By Leave)</w:t>
            </w:r>
          </w:p>
          <w:p w:rsidR="006024E3" w:rsidRPr="006024E3" w:rsidRDefault="006024E3" w:rsidP="006024E3">
            <w:pPr>
              <w:jc w:val="both"/>
              <w:rPr>
                <w:sz w:val="20"/>
              </w:rPr>
            </w:pPr>
          </w:p>
        </w:tc>
      </w:tr>
      <w:tr w:rsidR="006024E3" w:rsidRPr="006024E3" w:rsidTr="006C1C3D">
        <w:trPr>
          <w:cantSplit/>
        </w:trPr>
        <w:tc>
          <w:tcPr>
            <w:tcW w:w="1458" w:type="dxa"/>
          </w:tcPr>
          <w:p w:rsidR="006024E3" w:rsidRPr="006024E3" w:rsidRDefault="006024E3" w:rsidP="006024E3">
            <w:pPr>
              <w:rPr>
                <w:sz w:val="20"/>
              </w:rPr>
            </w:pPr>
            <w:r w:rsidRPr="006024E3">
              <w:rPr>
                <w:sz w:val="20"/>
              </w:rPr>
              <w:t>Coram :</w:t>
            </w:r>
          </w:p>
        </w:tc>
        <w:tc>
          <w:tcPr>
            <w:tcW w:w="8118" w:type="dxa"/>
          </w:tcPr>
          <w:p w:rsidR="006024E3" w:rsidRPr="006024E3" w:rsidRDefault="006024E3" w:rsidP="006024E3">
            <w:pPr>
              <w:rPr>
                <w:sz w:val="20"/>
              </w:rPr>
            </w:pPr>
            <w:r w:rsidRPr="006024E3">
              <w:rPr>
                <w:sz w:val="20"/>
                <w:u w:val="single"/>
              </w:rPr>
              <w:t>Abella, Rothstein and Moldaver JJ.</w:t>
            </w:r>
          </w:p>
          <w:p w:rsidR="006024E3" w:rsidRPr="006024E3" w:rsidRDefault="006024E3" w:rsidP="006024E3">
            <w:pPr>
              <w:rPr>
                <w:sz w:val="20"/>
                <w:u w:val="single"/>
              </w:rPr>
            </w:pPr>
          </w:p>
        </w:tc>
      </w:tr>
      <w:tr w:rsidR="006024E3" w:rsidRPr="007C7F39" w:rsidTr="006C1C3D">
        <w:trPr>
          <w:cantSplit/>
        </w:trPr>
        <w:tc>
          <w:tcPr>
            <w:tcW w:w="9576" w:type="dxa"/>
            <w:gridSpan w:val="2"/>
          </w:tcPr>
          <w:p w:rsidR="006024E3" w:rsidRPr="006024E3" w:rsidRDefault="006024E3" w:rsidP="006024E3">
            <w:pPr>
              <w:ind w:firstLine="720"/>
              <w:jc w:val="both"/>
              <w:rPr>
                <w:sz w:val="20"/>
              </w:rPr>
            </w:pPr>
            <w:r w:rsidRPr="006024E3">
              <w:rPr>
                <w:sz w:val="20"/>
              </w:rPr>
              <w:t>The applications for leave to appeal from the judgment of the Court of Appeal of Alberta (Edmonton), Number 1203-0127-A, 2013 ABCA 112, dated May 15, 2013, corrigendum dated July 9, 2013, are dismissed without costs.</w:t>
            </w:r>
          </w:p>
          <w:p w:rsidR="006024E3" w:rsidRPr="006024E3" w:rsidRDefault="006024E3" w:rsidP="006024E3">
            <w:pPr>
              <w:jc w:val="both"/>
              <w:rPr>
                <w:sz w:val="20"/>
              </w:rPr>
            </w:pPr>
          </w:p>
          <w:p w:rsidR="006024E3" w:rsidRPr="006024E3" w:rsidRDefault="006024E3" w:rsidP="006024E3">
            <w:pPr>
              <w:ind w:firstLine="720"/>
              <w:jc w:val="both"/>
              <w:rPr>
                <w:sz w:val="20"/>
                <w:lang w:val="fr-CA"/>
              </w:rPr>
            </w:pPr>
            <w:r w:rsidRPr="006024E3">
              <w:rPr>
                <w:sz w:val="20"/>
                <w:lang w:val="fr-CA"/>
              </w:rPr>
              <w:t>Les demandes d’autorisation d’appel de l’arrêt de la Cour d'appel de l’Alberta (Edmonton), numéro 1203-0127-A, 2013 ABCA 112, daté du 15 mai 2013, jugement rectificatif daté du 9 juillet 2013, sont rejetées sans dépens.</w:t>
            </w:r>
          </w:p>
        </w:tc>
      </w:tr>
    </w:tbl>
    <w:p w:rsidR="005A33F8" w:rsidRPr="0016547E" w:rsidRDefault="005A33F8" w:rsidP="005A33F8">
      <w:pPr>
        <w:rPr>
          <w:sz w:val="20"/>
          <w:szCs w:val="20"/>
          <w:lang w:val="fr-CA"/>
        </w:rPr>
      </w:pPr>
    </w:p>
    <w:p w:rsidR="005A33F8" w:rsidRPr="001B157C" w:rsidRDefault="005A33F8" w:rsidP="005A33F8">
      <w:pPr>
        <w:rPr>
          <w:sz w:val="20"/>
          <w:szCs w:val="20"/>
          <w:u w:val="single"/>
        </w:rPr>
      </w:pPr>
      <w:r w:rsidRPr="001B157C">
        <w:rPr>
          <w:sz w:val="20"/>
          <w:szCs w:val="20"/>
          <w:u w:val="single"/>
        </w:rPr>
        <w:t>CASE SUMMARY</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0E63FA" w:rsidTr="006C1C3D">
        <w:tc>
          <w:tcPr>
            <w:tcW w:w="5000" w:type="pct"/>
            <w:gridSpan w:val="3"/>
          </w:tcPr>
          <w:p w:rsidR="007D148E" w:rsidRPr="000E63FA" w:rsidRDefault="007D148E" w:rsidP="006C1C3D">
            <w:pPr>
              <w:jc w:val="both"/>
              <w:rPr>
                <w:rFonts w:eastAsia="Calibri"/>
                <w:smallCaps/>
                <w:sz w:val="20"/>
                <w:szCs w:val="20"/>
              </w:rPr>
            </w:pPr>
            <w:r w:rsidRPr="000E63FA">
              <w:rPr>
                <w:rFonts w:eastAsia="Calibri"/>
                <w:smallCaps/>
                <w:sz w:val="20"/>
                <w:szCs w:val="20"/>
              </w:rPr>
              <w:t xml:space="preserve">(Publication </w:t>
            </w:r>
            <w:r>
              <w:rPr>
                <w:rFonts w:eastAsia="Calibri"/>
                <w:smallCaps/>
                <w:sz w:val="20"/>
              </w:rPr>
              <w:t>B</w:t>
            </w:r>
            <w:r w:rsidRPr="000E63FA">
              <w:rPr>
                <w:rFonts w:eastAsia="Calibri"/>
                <w:smallCaps/>
                <w:sz w:val="20"/>
                <w:szCs w:val="20"/>
              </w:rPr>
              <w:t xml:space="preserve">an in </w:t>
            </w:r>
            <w:r>
              <w:rPr>
                <w:rFonts w:eastAsia="Calibri"/>
                <w:smallCaps/>
                <w:sz w:val="20"/>
              </w:rPr>
              <w:t>C</w:t>
            </w:r>
            <w:r w:rsidRPr="000E63FA">
              <w:rPr>
                <w:rFonts w:eastAsia="Calibri"/>
                <w:smallCaps/>
                <w:sz w:val="20"/>
                <w:szCs w:val="20"/>
              </w:rPr>
              <w:t>ase)</w:t>
            </w:r>
          </w:p>
          <w:p w:rsidR="007D148E" w:rsidRPr="000E63FA" w:rsidRDefault="007D148E" w:rsidP="006C1C3D">
            <w:pPr>
              <w:jc w:val="both"/>
              <w:rPr>
                <w:rFonts w:eastAsia="Calibri"/>
                <w:sz w:val="20"/>
                <w:szCs w:val="20"/>
              </w:rPr>
            </w:pPr>
          </w:p>
          <w:p w:rsidR="007D148E" w:rsidRPr="000E63FA" w:rsidRDefault="007D148E" w:rsidP="006C1C3D">
            <w:pPr>
              <w:jc w:val="both"/>
              <w:rPr>
                <w:rFonts w:eastAsia="Calibri"/>
                <w:sz w:val="20"/>
                <w:szCs w:val="20"/>
              </w:rPr>
            </w:pPr>
            <w:r w:rsidRPr="000E63FA">
              <w:rPr>
                <w:rFonts w:eastAsia="Calibri"/>
                <w:i/>
                <w:sz w:val="20"/>
                <w:szCs w:val="20"/>
              </w:rPr>
              <w:t>Charter of Rights and Freedoms</w:t>
            </w:r>
            <w:r w:rsidRPr="000E63FA">
              <w:rPr>
                <w:rFonts w:eastAsia="Calibri"/>
                <w:sz w:val="20"/>
                <w:szCs w:val="20"/>
              </w:rPr>
              <w:t xml:space="preserve"> – Freedom of expression – Criminal Law – Child luring, child abduction, making child pornography, possession of child pornography, sexual assault, sexual touching – Elements required to prove facilitation of child luring by means of a “computer system” – Requirements in law to establish facilitation – Application of curative proviso – Whether requiring proof of mutuality in private use defence for possession of child pornography creates an unreasonable limit on freedom of expression – Access to, knowledge of, and control over material sufficient to prove possession of child pornography – </w:t>
            </w:r>
            <w:r w:rsidRPr="000E63FA">
              <w:rPr>
                <w:rFonts w:eastAsia="Calibri"/>
                <w:i/>
                <w:sz w:val="20"/>
                <w:szCs w:val="20"/>
              </w:rPr>
              <w:t>Mens rea</w:t>
            </w:r>
            <w:r w:rsidRPr="000E63FA">
              <w:rPr>
                <w:rFonts w:eastAsia="Calibri"/>
                <w:sz w:val="20"/>
                <w:szCs w:val="20"/>
              </w:rPr>
              <w:t xml:space="preserve"> requirement of </w:t>
            </w:r>
            <w:r w:rsidRPr="000E63FA">
              <w:rPr>
                <w:rFonts w:eastAsia="Calibri"/>
                <w:i/>
                <w:sz w:val="20"/>
                <w:szCs w:val="20"/>
              </w:rPr>
              <w:t>“</w:t>
            </w:r>
            <w:r w:rsidRPr="000E63FA">
              <w:rPr>
                <w:rFonts w:eastAsia="Calibri"/>
                <w:sz w:val="20"/>
                <w:szCs w:val="20"/>
              </w:rPr>
              <w:t xml:space="preserve">knowingly” pursuant to s. 163.1 of the </w:t>
            </w:r>
            <w:r w:rsidRPr="000E63FA">
              <w:rPr>
                <w:rFonts w:eastAsia="Calibri"/>
                <w:i/>
                <w:sz w:val="20"/>
                <w:szCs w:val="20"/>
              </w:rPr>
              <w:t>Criminal Code</w:t>
            </w:r>
            <w:r w:rsidRPr="000E63FA">
              <w:rPr>
                <w:rFonts w:eastAsia="Calibri"/>
                <w:sz w:val="20"/>
                <w:szCs w:val="20"/>
              </w:rPr>
              <w:t xml:space="preserve"> (child pornography).</w:t>
            </w:r>
          </w:p>
        </w:tc>
      </w:tr>
      <w:tr w:rsidR="007D148E" w:rsidRPr="000E63FA" w:rsidTr="006C1C3D">
        <w:trPr>
          <w:trHeight w:val="261"/>
        </w:trPr>
        <w:tc>
          <w:tcPr>
            <w:tcW w:w="5000" w:type="pct"/>
            <w:gridSpan w:val="3"/>
          </w:tcPr>
          <w:p w:rsidR="007D148E" w:rsidRPr="000E63FA" w:rsidRDefault="007D148E" w:rsidP="006C1C3D">
            <w:pPr>
              <w:jc w:val="both"/>
              <w:rPr>
                <w:rFonts w:eastAsia="Calibri"/>
                <w:sz w:val="20"/>
                <w:szCs w:val="20"/>
              </w:rPr>
            </w:pPr>
          </w:p>
        </w:tc>
      </w:tr>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 xml:space="preserve">In respect to DP, a minor at the time of the offences, Brian Cockell was convicted on three counts of child luring, one count of sexual assault and one count of sexual touching.  In respect to DC, whose age at the time of the offences was in issue at trial, he was convicted of child abduction, making child pornography, possession of child pornography, sexual assault and sexual touching.  He was convicted on one count of possession of child pornography not involving DP or DC.  DP told the police that she began chatting on-line with him when she was 12 years old. The communications progressed to cell-phone text messages containing sexual discussions and plans to meet. They would meet and engage in sexual conduct.  DC told the police that she began chatting on-line with him when she was 13 years old.  They met and the respondent used his Blackberry to take naked photos and videos of her.  She sent pictures of herself to him as attachments to text messages. An issue at trial was whether the sexual conduct occurred before or after she turned 14 years of age. </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March 8, 2012</w:t>
            </w:r>
          </w:p>
          <w:p w:rsidR="007D148E" w:rsidRPr="000E63FA" w:rsidRDefault="007D148E" w:rsidP="006C1C3D">
            <w:pPr>
              <w:jc w:val="both"/>
              <w:rPr>
                <w:rFonts w:eastAsia="Calibri"/>
                <w:sz w:val="20"/>
                <w:szCs w:val="20"/>
              </w:rPr>
            </w:pPr>
            <w:r w:rsidRPr="000E63FA">
              <w:rPr>
                <w:rFonts w:eastAsia="Calibri"/>
                <w:sz w:val="20"/>
                <w:szCs w:val="20"/>
              </w:rPr>
              <w:t>Court of Queen’s Bench of Alberta</w:t>
            </w:r>
          </w:p>
          <w:p w:rsidR="007D148E" w:rsidRPr="000E63FA" w:rsidRDefault="007D148E" w:rsidP="006C1C3D">
            <w:pPr>
              <w:jc w:val="both"/>
              <w:rPr>
                <w:rFonts w:eastAsia="Calibri"/>
                <w:sz w:val="20"/>
                <w:szCs w:val="20"/>
              </w:rPr>
            </w:pPr>
            <w:r w:rsidRPr="000E63FA">
              <w:rPr>
                <w:rFonts w:eastAsia="Calibri"/>
                <w:sz w:val="20"/>
                <w:szCs w:val="20"/>
              </w:rPr>
              <w:t>(Belzil J.)</w:t>
            </w:r>
          </w:p>
          <w:p w:rsidR="007D148E" w:rsidRPr="000E63FA" w:rsidRDefault="00CC2008" w:rsidP="006C1C3D">
            <w:pPr>
              <w:jc w:val="both"/>
              <w:rPr>
                <w:rFonts w:eastAsia="Calibri"/>
                <w:sz w:val="20"/>
                <w:szCs w:val="20"/>
              </w:rPr>
            </w:pPr>
            <w:hyperlink r:id="rId43" w:history="1">
              <w:r w:rsidR="007D148E" w:rsidRPr="000E63FA">
                <w:rPr>
                  <w:rFonts w:eastAsia="Calibri"/>
                  <w:color w:val="0000FF"/>
                  <w:sz w:val="20"/>
                  <w:szCs w:val="20"/>
                  <w:u w:val="single"/>
                </w:rPr>
                <w:t>2012 ABQB 149</w:t>
              </w:r>
            </w:hyperlink>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Convictions on one count of child abduction, one count of making child pornography, two counts of possession of child pornography, two counts of sexual assault, two counts of sexual touching, three counts of child luring.  Acquittal on one count of child luring.</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May 15, 2013</w:t>
            </w:r>
          </w:p>
          <w:p w:rsidR="007D148E" w:rsidRPr="000E63FA" w:rsidRDefault="007D148E" w:rsidP="006C1C3D">
            <w:pPr>
              <w:jc w:val="both"/>
              <w:rPr>
                <w:rFonts w:eastAsia="Calibri"/>
                <w:sz w:val="20"/>
                <w:szCs w:val="20"/>
              </w:rPr>
            </w:pPr>
            <w:r w:rsidRPr="000E63FA">
              <w:rPr>
                <w:rFonts w:eastAsia="Calibri"/>
                <w:sz w:val="20"/>
                <w:szCs w:val="20"/>
              </w:rPr>
              <w:t>Court of Appeal of Alberta (Edmonton)</w:t>
            </w:r>
          </w:p>
          <w:p w:rsidR="007D148E" w:rsidRPr="000E63FA" w:rsidRDefault="007D148E" w:rsidP="006C1C3D">
            <w:pPr>
              <w:jc w:val="both"/>
              <w:rPr>
                <w:rFonts w:eastAsia="Calibri"/>
                <w:sz w:val="20"/>
                <w:szCs w:val="20"/>
                <w:lang w:val="fr-CA"/>
              </w:rPr>
            </w:pPr>
            <w:r w:rsidRPr="000E63FA">
              <w:rPr>
                <w:rFonts w:eastAsia="Calibri"/>
                <w:sz w:val="20"/>
                <w:szCs w:val="20"/>
                <w:lang w:val="fr-CA"/>
              </w:rPr>
              <w:t>(Côté, Conrad, Bielby JJ.A.)</w:t>
            </w:r>
          </w:p>
          <w:p w:rsidR="007D148E" w:rsidRPr="000E63FA" w:rsidRDefault="007D148E" w:rsidP="006C1C3D">
            <w:pPr>
              <w:jc w:val="both"/>
              <w:rPr>
                <w:rFonts w:eastAsia="Calibri"/>
                <w:sz w:val="20"/>
                <w:szCs w:val="20"/>
              </w:rPr>
            </w:pPr>
            <w:r w:rsidRPr="000E63FA">
              <w:rPr>
                <w:rFonts w:eastAsia="Calibri"/>
                <w:sz w:val="20"/>
                <w:szCs w:val="20"/>
              </w:rPr>
              <w:t xml:space="preserve">1203-0127-A; </w:t>
            </w:r>
            <w:hyperlink r:id="rId44" w:history="1">
              <w:r w:rsidRPr="000E63FA">
                <w:rPr>
                  <w:rFonts w:eastAsia="Calibri"/>
                  <w:color w:val="0000FF"/>
                  <w:sz w:val="20"/>
                  <w:szCs w:val="20"/>
                  <w:u w:val="single"/>
                </w:rPr>
                <w:t>2013 ABCA 112</w:t>
              </w:r>
            </w:hyperlink>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Appeal from convictions allowed in part. Convictions set aside and acquittals entered on three counts of child luring, one count of sexual assault, one count of sexual touching.</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August 13, 2013</w:t>
            </w:r>
          </w:p>
          <w:p w:rsidR="007D148E" w:rsidRPr="000E63FA" w:rsidRDefault="007D148E" w:rsidP="006C1C3D">
            <w:pPr>
              <w:jc w:val="both"/>
              <w:rPr>
                <w:rFonts w:eastAsia="Calibri"/>
                <w:sz w:val="20"/>
                <w:szCs w:val="20"/>
              </w:rPr>
            </w:pPr>
            <w:r w:rsidRPr="000E63FA">
              <w:rPr>
                <w:rFonts w:eastAsia="Calibri"/>
                <w:sz w:val="20"/>
                <w:szCs w:val="20"/>
              </w:rPr>
              <w:t>Supreme Court of Canada</w:t>
            </w:r>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Application for leave to appeal filed by Her Majesty the Queen.</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August 14, 2013</w:t>
            </w:r>
          </w:p>
          <w:p w:rsidR="007D148E" w:rsidRPr="000E63FA" w:rsidRDefault="007D148E" w:rsidP="006C1C3D">
            <w:pPr>
              <w:jc w:val="both"/>
              <w:rPr>
                <w:rFonts w:eastAsia="Calibri"/>
                <w:sz w:val="20"/>
                <w:szCs w:val="20"/>
              </w:rPr>
            </w:pPr>
            <w:r w:rsidRPr="000E63FA">
              <w:rPr>
                <w:rFonts w:eastAsia="Calibri"/>
                <w:sz w:val="20"/>
                <w:szCs w:val="20"/>
              </w:rPr>
              <w:t>Supreme Court of Canada</w:t>
            </w: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Application for leave to appeal filed by Brian Allan Cockell.</w:t>
            </w:r>
          </w:p>
        </w:tc>
      </w:tr>
    </w:tbl>
    <w:p w:rsidR="005A33F8" w:rsidRDefault="005A33F8" w:rsidP="005A33F8">
      <w:pPr>
        <w:rPr>
          <w:sz w:val="20"/>
          <w:szCs w:val="20"/>
        </w:rPr>
      </w:pPr>
    </w:p>
    <w:p w:rsidR="005A33F8" w:rsidRPr="00C50A5C" w:rsidRDefault="00CC2008" w:rsidP="005A33F8">
      <w:pPr>
        <w:rPr>
          <w:sz w:val="20"/>
          <w:szCs w:val="20"/>
        </w:rPr>
      </w:pPr>
      <w:r w:rsidRPr="00CC2008">
        <w:rPr>
          <w:sz w:val="20"/>
          <w:szCs w:val="20"/>
          <w:lang w:val="fr-CA"/>
        </w:rPr>
        <w:pict>
          <v:rect id="_x0000_i1053" style="width:2in;height:1pt" o:hrpct="0" o:hralign="center" o:hrstd="t" o:hrnoshade="t" o:hr="t" fillcolor="black [3213]" stroked="f"/>
        </w:pict>
      </w:r>
    </w:p>
    <w:p w:rsidR="005A33F8" w:rsidRDefault="005A33F8" w:rsidP="005A33F8">
      <w:pPr>
        <w:rPr>
          <w:sz w:val="20"/>
          <w:szCs w:val="20"/>
        </w:rPr>
      </w:pPr>
    </w:p>
    <w:p w:rsidR="005A33F8" w:rsidRPr="001B157C" w:rsidRDefault="005A33F8" w:rsidP="005A33F8">
      <w:pPr>
        <w:rPr>
          <w:sz w:val="20"/>
          <w:szCs w:val="20"/>
          <w:u w:val="single"/>
          <w:lang w:val="fr-CA"/>
        </w:rPr>
      </w:pPr>
      <w:r w:rsidRPr="001B157C">
        <w:rPr>
          <w:sz w:val="20"/>
          <w:szCs w:val="20"/>
          <w:u w:val="single"/>
          <w:lang w:val="fr-CA"/>
        </w:rPr>
        <w:t>RÉSUMÉ DE L’AFFAIRE</w:t>
      </w:r>
    </w:p>
    <w:p w:rsidR="005A33F8" w:rsidRDefault="005A33F8" w:rsidP="005A33F8">
      <w:pPr>
        <w:rPr>
          <w:sz w:val="20"/>
          <w:szCs w:val="20"/>
        </w:rPr>
      </w:pPr>
    </w:p>
    <w:tbl>
      <w:tblPr>
        <w:tblW w:w="4952" w:type="pct"/>
        <w:tblCellMar>
          <w:left w:w="0" w:type="dxa"/>
          <w:bottom w:w="99" w:type="dxa"/>
          <w:right w:w="0" w:type="dxa"/>
        </w:tblCellMar>
        <w:tblLook w:val="04A0"/>
      </w:tblPr>
      <w:tblGrid>
        <w:gridCol w:w="4624"/>
        <w:gridCol w:w="463"/>
        <w:gridCol w:w="4440"/>
      </w:tblGrid>
      <w:tr w:rsidR="007D148E" w:rsidRPr="007C7F39" w:rsidTr="006C1C3D">
        <w:tc>
          <w:tcPr>
            <w:tcW w:w="5000" w:type="pct"/>
            <w:gridSpan w:val="3"/>
          </w:tcPr>
          <w:p w:rsidR="007D148E" w:rsidRPr="000E63FA" w:rsidRDefault="007D148E" w:rsidP="006C1C3D">
            <w:pPr>
              <w:jc w:val="both"/>
              <w:rPr>
                <w:rFonts w:eastAsia="Calibri"/>
                <w:smallCaps/>
                <w:sz w:val="20"/>
                <w:szCs w:val="20"/>
                <w:lang w:val="fr-CA"/>
              </w:rPr>
            </w:pPr>
            <w:r w:rsidRPr="000E63FA">
              <w:rPr>
                <w:rFonts w:eastAsia="Calibri"/>
                <w:smallCaps/>
                <w:sz w:val="20"/>
                <w:szCs w:val="20"/>
                <w:lang w:val="fr-CA"/>
              </w:rPr>
              <w:t>(Ordonnance de non-publication dans le dossier)</w:t>
            </w:r>
          </w:p>
          <w:p w:rsidR="007D148E" w:rsidRPr="000E63FA" w:rsidRDefault="007D148E" w:rsidP="006C1C3D">
            <w:pPr>
              <w:jc w:val="both"/>
              <w:rPr>
                <w:rFonts w:eastAsia="Calibri"/>
                <w:sz w:val="20"/>
                <w:szCs w:val="20"/>
                <w:lang w:val="fr-CA"/>
              </w:rPr>
            </w:pPr>
          </w:p>
          <w:p w:rsidR="007D148E" w:rsidRPr="000E63FA" w:rsidRDefault="007D148E" w:rsidP="006C1C3D">
            <w:pPr>
              <w:jc w:val="both"/>
              <w:rPr>
                <w:rFonts w:eastAsia="Calibri"/>
                <w:sz w:val="20"/>
                <w:szCs w:val="20"/>
                <w:lang w:val="fr-CA"/>
              </w:rPr>
            </w:pPr>
            <w:r w:rsidRPr="000E63FA">
              <w:rPr>
                <w:rFonts w:eastAsia="Calibri"/>
                <w:i/>
                <w:sz w:val="20"/>
                <w:szCs w:val="20"/>
                <w:lang w:val="fr-CA"/>
              </w:rPr>
              <w:t>Charte des droits et libertés</w:t>
            </w:r>
            <w:r w:rsidRPr="000E63FA">
              <w:rPr>
                <w:rFonts w:eastAsia="Calibri"/>
                <w:sz w:val="20"/>
                <w:szCs w:val="20"/>
                <w:lang w:val="fr-CA"/>
              </w:rPr>
              <w:t xml:space="preserve"> – Liberté d’expression – Droit criminel – Leurre, enlèvement d’enfant,  production de pornographie juvénile, possession de pornographie juvénile, agression sexuelle, contacts sexuels – Éléments nécessaires pour établir la facilitation d’un leurre au moyen d’un « système informatique » – Exigences en droit pour établir la facilitation – Application d’une disposition réparatrice – Le fait d’exiger une preuve de réciprocité dans la défense d’usage privé en ce qui concerne la possession de pornographie juvénile crée-t-elle une limite déraisonnable à la liberté d’expression? – L’accès, la connaissance et le contrôle suffisent pour prouver la possession de pornographie juvénile – Exigence de </w:t>
            </w:r>
            <w:r w:rsidRPr="000E63FA">
              <w:rPr>
                <w:rFonts w:eastAsia="Calibri"/>
                <w:i/>
                <w:sz w:val="20"/>
                <w:szCs w:val="20"/>
                <w:lang w:val="fr-CA"/>
              </w:rPr>
              <w:t>mens rea</w:t>
            </w:r>
            <w:r w:rsidRPr="000E63FA">
              <w:rPr>
                <w:rFonts w:eastAsia="Calibri"/>
                <w:sz w:val="20"/>
                <w:szCs w:val="20"/>
                <w:lang w:val="fr-CA"/>
              </w:rPr>
              <w:t xml:space="preserve"> selon laquelle il faut agir « sciemment » prévue à l’art. 163.1 du </w:t>
            </w:r>
            <w:r w:rsidRPr="000E63FA">
              <w:rPr>
                <w:rFonts w:eastAsia="Calibri"/>
                <w:i/>
                <w:sz w:val="20"/>
                <w:szCs w:val="20"/>
                <w:lang w:val="fr-CA"/>
              </w:rPr>
              <w:t>Code criminel</w:t>
            </w:r>
            <w:r w:rsidRPr="000E63FA">
              <w:rPr>
                <w:rFonts w:eastAsia="Calibri"/>
                <w:sz w:val="20"/>
                <w:szCs w:val="20"/>
                <w:lang w:val="fr-CA"/>
              </w:rPr>
              <w:t xml:space="preserve"> (pornographie juvénile).</w:t>
            </w:r>
          </w:p>
        </w:tc>
      </w:tr>
      <w:tr w:rsidR="007D148E" w:rsidRPr="007C7F39" w:rsidTr="006C1C3D">
        <w:trPr>
          <w:trHeight w:val="261"/>
        </w:trPr>
        <w:tc>
          <w:tcPr>
            <w:tcW w:w="5000" w:type="pct"/>
            <w:gridSpan w:val="3"/>
          </w:tcPr>
          <w:p w:rsidR="007D148E" w:rsidRPr="000E63FA" w:rsidRDefault="007D148E" w:rsidP="006C1C3D">
            <w:pPr>
              <w:jc w:val="both"/>
              <w:rPr>
                <w:rFonts w:eastAsia="Calibri"/>
                <w:sz w:val="20"/>
                <w:szCs w:val="20"/>
                <w:lang w:val="fr-CA"/>
              </w:rPr>
            </w:pPr>
          </w:p>
        </w:tc>
      </w:tr>
      <w:tr w:rsidR="007D148E" w:rsidRPr="007C7F39"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 xml:space="preserve">En ce qui concerne DP, qui était mineure au moment des infractions, Brian Cockell a été déclaré coupable de trois chefs de leurre, d’un chef d’agression sexuelle et d’un chef de contacts sexuels.  Quant à DC, dont l’âge au moment des infractions était en cause au procès, il a été déclaré coupable d’enlèvement d’enfant, de production de pornographie juvénile, de possession de pornographie juvénile, d’agression sexuelle et de contacts sexuels.  Il a été déclaré coupable d’un chef de possession de pornographie juvénile ne mettant en cause ni DP ni DC.  DP a dit à la police qu’elle avait commencé à converser en ligne avec lui quand elle avait 12 ans.  Ils en sont venus à s’envoyer des messages textes sur téléphone cellulaire, messages faisant état de discussions à caractère sexuel et de projets de rencontre. Ils devaient se rencontrer et accomplir des actes sexuels.  DC a dit à la police qu’elle avait commencé à converser en ligne avec lui à l’âge de 13 ans.  Ils se sont rencontrés et l’intimé a utilisé son Blackberry pour prendre des photos et enregistrer des vidéos d’elle nue.  Elle a joint des photos d’elle à des messages textes qu’elle lui envoyait.  Une des questions soulevée au procès était de savoir si l’activité sexuelle avait eu lieu avant ou après que DC ait atteint l’âge de 14 ans. </w:t>
            </w:r>
          </w:p>
          <w:p w:rsidR="007D148E" w:rsidRPr="000E63FA" w:rsidRDefault="007D148E" w:rsidP="006C1C3D">
            <w:pPr>
              <w:jc w:val="both"/>
              <w:rPr>
                <w:rFonts w:eastAsia="Calibri"/>
                <w:sz w:val="20"/>
                <w:szCs w:val="20"/>
                <w:lang w:val="fr-CA"/>
              </w:rPr>
            </w:pPr>
          </w:p>
        </w:tc>
      </w:tr>
      <w:tr w:rsidR="007D148E" w:rsidRPr="000E63FA"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8 mars 2012</w:t>
            </w:r>
          </w:p>
          <w:p w:rsidR="007D148E" w:rsidRPr="000E63FA" w:rsidRDefault="007D148E" w:rsidP="006C1C3D">
            <w:pPr>
              <w:jc w:val="both"/>
              <w:rPr>
                <w:rFonts w:eastAsia="Calibri"/>
                <w:sz w:val="20"/>
                <w:szCs w:val="20"/>
                <w:lang w:val="fr-CA"/>
              </w:rPr>
            </w:pPr>
            <w:r w:rsidRPr="000E63FA">
              <w:rPr>
                <w:rFonts w:eastAsia="Calibri"/>
                <w:sz w:val="20"/>
                <w:szCs w:val="20"/>
                <w:lang w:val="fr-CA"/>
              </w:rPr>
              <w:t>Cour du Banc de la Reine de l’Alberta</w:t>
            </w:r>
          </w:p>
          <w:p w:rsidR="007D148E" w:rsidRPr="000E63FA" w:rsidRDefault="007D148E" w:rsidP="006C1C3D">
            <w:pPr>
              <w:jc w:val="both"/>
              <w:rPr>
                <w:rFonts w:eastAsia="Calibri"/>
                <w:sz w:val="20"/>
                <w:szCs w:val="20"/>
                <w:lang w:val="fr-CA"/>
              </w:rPr>
            </w:pPr>
            <w:r w:rsidRPr="000E63FA">
              <w:rPr>
                <w:rFonts w:eastAsia="Calibri"/>
                <w:sz w:val="20"/>
                <w:szCs w:val="20"/>
                <w:lang w:val="fr-CA"/>
              </w:rPr>
              <w:t>(Juge Belzil)</w:t>
            </w:r>
          </w:p>
          <w:p w:rsidR="007D148E" w:rsidRPr="000E63FA" w:rsidRDefault="00CC2008" w:rsidP="006C1C3D">
            <w:pPr>
              <w:jc w:val="both"/>
              <w:rPr>
                <w:rFonts w:eastAsia="Calibri"/>
                <w:sz w:val="20"/>
                <w:szCs w:val="20"/>
                <w:lang w:val="fr-CA"/>
              </w:rPr>
            </w:pPr>
            <w:hyperlink r:id="rId45" w:history="1">
              <w:r w:rsidR="007D148E" w:rsidRPr="000E63FA">
                <w:rPr>
                  <w:rFonts w:eastAsia="Calibri"/>
                  <w:color w:val="0000FF"/>
                  <w:sz w:val="20"/>
                  <w:szCs w:val="20"/>
                  <w:u w:val="single"/>
                  <w:lang w:val="fr-CA"/>
                </w:rPr>
                <w:t>2012 ABQB 149</w:t>
              </w:r>
            </w:hyperlink>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Déclaré coupable d’un chef d’enlèvement d’enfant, d’un chef de production de pornographie juvénile, de deux chefs de possession de pornographie juvénile, de deux chefs d’agression sexuelle, de deux chefs de contacts sexuels, de trois chefs de leurre. Acquittement d’un chef de leurre.</w:t>
            </w:r>
          </w:p>
          <w:p w:rsidR="007D148E" w:rsidRPr="000E63FA" w:rsidRDefault="007D148E" w:rsidP="006C1C3D">
            <w:pPr>
              <w:jc w:val="both"/>
              <w:rPr>
                <w:rFonts w:eastAsia="Calibri"/>
                <w:sz w:val="20"/>
                <w:szCs w:val="20"/>
                <w:lang w:val="fr-CA"/>
              </w:rPr>
            </w:pPr>
          </w:p>
        </w:tc>
      </w:tr>
      <w:tr w:rsidR="007D148E" w:rsidRPr="007C7F39"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15 mai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d’appel de l’Alberta (Edmonton)</w:t>
            </w:r>
          </w:p>
          <w:p w:rsidR="007D148E" w:rsidRPr="000E63FA" w:rsidRDefault="007D148E" w:rsidP="006C1C3D">
            <w:pPr>
              <w:jc w:val="both"/>
              <w:rPr>
                <w:rFonts w:eastAsia="Calibri"/>
                <w:sz w:val="20"/>
                <w:szCs w:val="20"/>
                <w:lang w:val="fr-CA"/>
              </w:rPr>
            </w:pPr>
            <w:r w:rsidRPr="000E63FA">
              <w:rPr>
                <w:rFonts w:eastAsia="Calibri"/>
                <w:sz w:val="20"/>
                <w:szCs w:val="20"/>
                <w:lang w:val="fr-CA"/>
              </w:rPr>
              <w:t>(Juges Côté, Conrad et Bielby)</w:t>
            </w:r>
          </w:p>
          <w:p w:rsidR="007D148E" w:rsidRPr="000E63FA" w:rsidRDefault="007D148E" w:rsidP="006C1C3D">
            <w:pPr>
              <w:jc w:val="both"/>
              <w:rPr>
                <w:rFonts w:eastAsia="Calibri"/>
                <w:sz w:val="20"/>
                <w:szCs w:val="20"/>
              </w:rPr>
            </w:pPr>
            <w:r w:rsidRPr="000E63FA">
              <w:rPr>
                <w:rFonts w:eastAsia="Calibri"/>
                <w:sz w:val="20"/>
                <w:szCs w:val="20"/>
              </w:rPr>
              <w:t xml:space="preserve">1203-0127-A; </w:t>
            </w:r>
            <w:hyperlink r:id="rId46" w:history="1">
              <w:r w:rsidRPr="000E63FA">
                <w:rPr>
                  <w:rFonts w:eastAsia="Calibri"/>
                  <w:color w:val="0000FF"/>
                  <w:sz w:val="20"/>
                  <w:szCs w:val="20"/>
                  <w:u w:val="single"/>
                </w:rPr>
                <w:t>2013 ABCA 112</w:t>
              </w:r>
            </w:hyperlink>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Appel des déclarations de culpabilité accueilli en partie.  Déclarations de culpabilité annulées et inscription de verdicts d’acquittement à l’égard de trois chefs de leurre, d’un chef d’agression sexuelle et d’un chef de contacts sexuels.</w:t>
            </w:r>
          </w:p>
          <w:p w:rsidR="007D148E" w:rsidRPr="000E63FA" w:rsidRDefault="007D148E" w:rsidP="006C1C3D">
            <w:pPr>
              <w:jc w:val="both"/>
              <w:rPr>
                <w:rFonts w:eastAsia="Calibri"/>
                <w:sz w:val="20"/>
                <w:szCs w:val="20"/>
                <w:lang w:val="fr-CA"/>
              </w:rPr>
            </w:pPr>
          </w:p>
        </w:tc>
      </w:tr>
      <w:tr w:rsidR="007D148E" w:rsidRPr="007C7F39"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13 août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du Canada</w:t>
            </w:r>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Demande d’autorisation d’appel déposée par Sa Majesté la Reine.</w:t>
            </w:r>
          </w:p>
          <w:p w:rsidR="007D148E" w:rsidRPr="000E63FA" w:rsidRDefault="007D148E" w:rsidP="006C1C3D">
            <w:pPr>
              <w:jc w:val="both"/>
              <w:rPr>
                <w:rFonts w:eastAsia="Calibri"/>
                <w:sz w:val="20"/>
                <w:szCs w:val="20"/>
                <w:lang w:val="fr-CA"/>
              </w:rPr>
            </w:pPr>
          </w:p>
        </w:tc>
      </w:tr>
      <w:tr w:rsidR="007D148E" w:rsidRPr="007C7F39" w:rsidTr="006C1C3D">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14 août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du Canada</w:t>
            </w: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Demande d’autorisation d’appel déposée par Brian Allan Cockell.</w:t>
            </w:r>
          </w:p>
        </w:tc>
      </w:tr>
    </w:tbl>
    <w:p w:rsidR="005A33F8" w:rsidRPr="007D148E" w:rsidRDefault="005A33F8" w:rsidP="005A33F8">
      <w:pPr>
        <w:rPr>
          <w:sz w:val="20"/>
          <w:szCs w:val="20"/>
          <w:lang w:val="fr-CA"/>
        </w:rPr>
      </w:pPr>
    </w:p>
    <w:p w:rsidR="005A33F8" w:rsidRDefault="00CC2008" w:rsidP="005A33F8">
      <w:pPr>
        <w:rPr>
          <w:sz w:val="20"/>
          <w:szCs w:val="20"/>
        </w:rPr>
      </w:pPr>
      <w:r w:rsidRPr="00CC2008">
        <w:rPr>
          <w:sz w:val="20"/>
          <w:szCs w:val="20"/>
          <w:lang w:val="fr-CA"/>
        </w:rPr>
        <w:pict>
          <v:rect id="_x0000_i1054" style="width:2in;height:1pt" o:hrpct="0" o:hralign="center" o:hrstd="t" o:hrnoshade="t" o:hr="t" fillcolor="black [3213]" stroked="f"/>
        </w:pict>
      </w:r>
    </w:p>
    <w:p w:rsidR="005A33F8" w:rsidRDefault="005A33F8" w:rsidP="005A33F8">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024E3" w:rsidRPr="006024E3" w:rsidTr="006C1C3D">
        <w:trPr>
          <w:cantSplit/>
        </w:trPr>
        <w:tc>
          <w:tcPr>
            <w:tcW w:w="1458" w:type="dxa"/>
          </w:tcPr>
          <w:p w:rsidR="006024E3" w:rsidRPr="006024E3" w:rsidRDefault="006024E3" w:rsidP="006024E3">
            <w:pPr>
              <w:rPr>
                <w:sz w:val="20"/>
              </w:rPr>
            </w:pPr>
            <w:r w:rsidRPr="006024E3">
              <w:rPr>
                <w:b/>
                <w:sz w:val="20"/>
                <w:lang w:val="fr-CA"/>
              </w:rPr>
              <w:t>35477</w:t>
            </w:r>
          </w:p>
          <w:p w:rsidR="006024E3" w:rsidRPr="006024E3" w:rsidRDefault="006024E3" w:rsidP="006024E3">
            <w:pPr>
              <w:rPr>
                <w:b/>
                <w:sz w:val="20"/>
                <w:lang w:val="fr-CA"/>
              </w:rPr>
            </w:pPr>
          </w:p>
        </w:tc>
        <w:tc>
          <w:tcPr>
            <w:tcW w:w="8118" w:type="dxa"/>
          </w:tcPr>
          <w:p w:rsidR="006024E3" w:rsidRPr="006024E3" w:rsidRDefault="006024E3" w:rsidP="006024E3">
            <w:pPr>
              <w:jc w:val="both"/>
              <w:rPr>
                <w:sz w:val="20"/>
              </w:rPr>
            </w:pPr>
            <w:r w:rsidRPr="006024E3">
              <w:rPr>
                <w:b/>
                <w:sz w:val="20"/>
                <w:u w:val="single"/>
              </w:rPr>
              <w:t>J.C. Akin Architect Ltd.</w:t>
            </w:r>
            <w:r w:rsidR="005B6EC6">
              <w:rPr>
                <w:b/>
                <w:sz w:val="20"/>
                <w:u w:val="single"/>
              </w:rPr>
              <w:t xml:space="preserve"> and</w:t>
            </w:r>
            <w:r w:rsidRPr="006024E3">
              <w:rPr>
                <w:b/>
                <w:sz w:val="20"/>
                <w:u w:val="single"/>
              </w:rPr>
              <w:t xml:space="preserve"> Jim Cemil Akin v. Todd Michael Rosenberg</w:t>
            </w:r>
            <w:r w:rsidR="005B6EC6">
              <w:rPr>
                <w:b/>
                <w:sz w:val="20"/>
                <w:u w:val="single"/>
              </w:rPr>
              <w:t xml:space="preserve"> and</w:t>
            </w:r>
            <w:r w:rsidRPr="006024E3">
              <w:rPr>
                <w:b/>
                <w:sz w:val="20"/>
                <w:u w:val="single"/>
              </w:rPr>
              <w:t xml:space="preserve"> MacPherson Leslie Tyerman LLP</w:t>
            </w:r>
            <w:r w:rsidRPr="006024E3">
              <w:rPr>
                <w:sz w:val="20"/>
              </w:rPr>
              <w:t xml:space="preserve"> (Sask.) (Civil) (By Leave)</w:t>
            </w:r>
          </w:p>
          <w:p w:rsidR="006024E3" w:rsidRPr="006024E3" w:rsidRDefault="006024E3" w:rsidP="006024E3">
            <w:pPr>
              <w:jc w:val="both"/>
              <w:rPr>
                <w:sz w:val="20"/>
              </w:rPr>
            </w:pPr>
          </w:p>
        </w:tc>
      </w:tr>
      <w:tr w:rsidR="006024E3" w:rsidRPr="006024E3" w:rsidTr="006C1C3D">
        <w:trPr>
          <w:cantSplit/>
        </w:trPr>
        <w:tc>
          <w:tcPr>
            <w:tcW w:w="1458" w:type="dxa"/>
          </w:tcPr>
          <w:p w:rsidR="006024E3" w:rsidRPr="006024E3" w:rsidRDefault="006024E3" w:rsidP="006024E3">
            <w:pPr>
              <w:rPr>
                <w:sz w:val="20"/>
              </w:rPr>
            </w:pPr>
            <w:r w:rsidRPr="006024E3">
              <w:rPr>
                <w:sz w:val="20"/>
              </w:rPr>
              <w:t>Coram :</w:t>
            </w:r>
          </w:p>
        </w:tc>
        <w:tc>
          <w:tcPr>
            <w:tcW w:w="8118" w:type="dxa"/>
          </w:tcPr>
          <w:p w:rsidR="006024E3" w:rsidRPr="006024E3" w:rsidRDefault="006024E3" w:rsidP="006024E3">
            <w:pPr>
              <w:rPr>
                <w:sz w:val="20"/>
              </w:rPr>
            </w:pPr>
            <w:r w:rsidRPr="006024E3">
              <w:rPr>
                <w:sz w:val="20"/>
                <w:u w:val="single"/>
              </w:rPr>
              <w:t>Abella, Rothstein and Moldaver JJ.</w:t>
            </w:r>
          </w:p>
          <w:p w:rsidR="006024E3" w:rsidRPr="006024E3" w:rsidRDefault="006024E3" w:rsidP="006024E3">
            <w:pPr>
              <w:rPr>
                <w:sz w:val="20"/>
                <w:u w:val="single"/>
              </w:rPr>
            </w:pPr>
          </w:p>
        </w:tc>
      </w:tr>
      <w:tr w:rsidR="006024E3" w:rsidRPr="007C7F39" w:rsidTr="006C1C3D">
        <w:trPr>
          <w:cantSplit/>
        </w:trPr>
        <w:tc>
          <w:tcPr>
            <w:tcW w:w="9576" w:type="dxa"/>
            <w:gridSpan w:val="2"/>
          </w:tcPr>
          <w:p w:rsidR="006024E3" w:rsidRPr="006024E3" w:rsidRDefault="006024E3" w:rsidP="006024E3">
            <w:pPr>
              <w:ind w:firstLine="720"/>
              <w:jc w:val="both"/>
              <w:rPr>
                <w:sz w:val="20"/>
              </w:rPr>
            </w:pPr>
            <w:r w:rsidRPr="006024E3">
              <w:rPr>
                <w:sz w:val="20"/>
              </w:rPr>
              <w:t>The application for leave to appeal from the judgment of the Court of Appeal for Saskatchewan, Number CACV2285, 2013 SKCA 60, dated May 29, 2013, is dismissed with costs.</w:t>
            </w:r>
          </w:p>
          <w:p w:rsidR="006024E3" w:rsidRPr="006024E3" w:rsidRDefault="006024E3" w:rsidP="006024E3">
            <w:pPr>
              <w:jc w:val="both"/>
              <w:rPr>
                <w:sz w:val="20"/>
              </w:rPr>
            </w:pPr>
          </w:p>
          <w:p w:rsidR="006024E3" w:rsidRPr="006024E3" w:rsidRDefault="006024E3" w:rsidP="006024E3">
            <w:pPr>
              <w:ind w:firstLine="720"/>
              <w:jc w:val="both"/>
              <w:rPr>
                <w:sz w:val="20"/>
                <w:lang w:val="fr-CA"/>
              </w:rPr>
            </w:pPr>
            <w:r w:rsidRPr="006024E3">
              <w:rPr>
                <w:sz w:val="20"/>
                <w:lang w:val="fr-CA"/>
              </w:rPr>
              <w:t>La demande d’autorisation d’appel de l’arrêt de la Cour d’appel de la Saskatchewan, numéro CACV2285, 2013 SKCA 60, daté du 29 mai 2013, est rejetée avec dépens.</w:t>
            </w:r>
          </w:p>
        </w:tc>
      </w:tr>
    </w:tbl>
    <w:p w:rsidR="005A33F8" w:rsidRPr="0016547E" w:rsidRDefault="005A33F8" w:rsidP="005A33F8">
      <w:pPr>
        <w:rPr>
          <w:sz w:val="20"/>
          <w:szCs w:val="20"/>
          <w:lang w:val="fr-CA"/>
        </w:rPr>
      </w:pPr>
    </w:p>
    <w:p w:rsidR="005A33F8" w:rsidRPr="001B157C" w:rsidRDefault="005A33F8" w:rsidP="005A33F8">
      <w:pPr>
        <w:rPr>
          <w:sz w:val="20"/>
          <w:szCs w:val="20"/>
          <w:u w:val="single"/>
        </w:rPr>
      </w:pPr>
      <w:r w:rsidRPr="001B157C">
        <w:rPr>
          <w:sz w:val="20"/>
          <w:szCs w:val="20"/>
          <w:u w:val="single"/>
        </w:rPr>
        <w:t>CASE SUMMARY</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Civil procedure – Pleadings – Motion to strike statement of claim – Applicants’ amended statement of claim alleging that respondent lawyer and law firm conspired to defraud and to injure applicants in their business</w:t>
            </w:r>
            <w:r w:rsidRPr="000E63FA">
              <w:rPr>
                <w:rFonts w:eastAsia="Calibri"/>
                <w:i/>
                <w:sz w:val="20"/>
                <w:szCs w:val="20"/>
              </w:rPr>
              <w:t xml:space="preserve"> </w:t>
            </w:r>
            <w:r w:rsidRPr="000E63FA">
              <w:rPr>
                <w:rFonts w:eastAsia="Calibri"/>
                <w:sz w:val="20"/>
                <w:szCs w:val="20"/>
              </w:rPr>
              <w:t xml:space="preserve">– Whether statement of claim discloses reasonable cause of action which is not scandalous, frivolous or vexatious or otherwise an abuse of process – </w:t>
            </w:r>
            <w:r w:rsidRPr="000E63FA">
              <w:rPr>
                <w:rFonts w:eastAsia="Calibri"/>
                <w:i/>
                <w:sz w:val="20"/>
                <w:szCs w:val="20"/>
              </w:rPr>
              <w:t>Queen's Bench Rules</w:t>
            </w:r>
            <w:r w:rsidRPr="000E63FA">
              <w:rPr>
                <w:rFonts w:eastAsia="Calibri"/>
                <w:sz w:val="20"/>
                <w:szCs w:val="20"/>
              </w:rPr>
              <w:t>, Rule 173(a), (c), (e).</w:t>
            </w:r>
          </w:p>
        </w:tc>
      </w:tr>
      <w:tr w:rsidR="007D148E" w:rsidRPr="000E63FA" w:rsidTr="006C1C3D">
        <w:tc>
          <w:tcPr>
            <w:tcW w:w="5000" w:type="pct"/>
            <w:gridSpan w:val="3"/>
          </w:tcPr>
          <w:p w:rsidR="007D148E" w:rsidRPr="000E63FA" w:rsidRDefault="007D148E" w:rsidP="006C1C3D">
            <w:pPr>
              <w:jc w:val="both"/>
              <w:rPr>
                <w:rFonts w:eastAsia="Calibri"/>
                <w:sz w:val="20"/>
                <w:szCs w:val="20"/>
              </w:rPr>
            </w:pPr>
          </w:p>
        </w:tc>
      </w:tr>
      <w:tr w:rsidR="007D148E" w:rsidRPr="000E63FA" w:rsidTr="006C1C3D">
        <w:tc>
          <w:tcPr>
            <w:tcW w:w="5000" w:type="pct"/>
            <w:gridSpan w:val="3"/>
          </w:tcPr>
          <w:p w:rsidR="007D148E" w:rsidRPr="000E63FA" w:rsidRDefault="007D148E" w:rsidP="006C1C3D">
            <w:pPr>
              <w:jc w:val="both"/>
              <w:rPr>
                <w:rFonts w:eastAsia="Calibri"/>
                <w:sz w:val="20"/>
                <w:szCs w:val="20"/>
              </w:rPr>
            </w:pPr>
            <w:r w:rsidRPr="000E63FA">
              <w:rPr>
                <w:rFonts w:eastAsia="Calibri"/>
                <w:sz w:val="20"/>
                <w:szCs w:val="20"/>
              </w:rPr>
              <w:t>After a motion to strike the statement of claim was commenced by the respondent lawyer and law firm, the applicant plaintiffs filed a 24-page amended statement of claim claiming damages for conspiracy to defraud and to injure the plaintiffs in their business by means of fraudulent non-disclosure, deceit, interference with contractual relations and abuse of process against all of the defendants and damages for the intentional infliction of mental suffering against certain of the defendants including the respondents.</w:t>
            </w:r>
          </w:p>
          <w:p w:rsidR="007D148E" w:rsidRPr="000E63FA" w:rsidRDefault="007D148E" w:rsidP="006C1C3D">
            <w:pPr>
              <w:jc w:val="both"/>
              <w:rPr>
                <w:rFonts w:eastAsia="Calibri"/>
                <w:sz w:val="20"/>
                <w:szCs w:val="20"/>
              </w:rPr>
            </w:pPr>
          </w:p>
          <w:p w:rsidR="007D148E" w:rsidRPr="000E63FA" w:rsidRDefault="007D148E" w:rsidP="006C1C3D">
            <w:pPr>
              <w:jc w:val="both"/>
              <w:rPr>
                <w:rFonts w:eastAsia="Calibri"/>
                <w:sz w:val="20"/>
                <w:szCs w:val="20"/>
              </w:rPr>
            </w:pPr>
            <w:r w:rsidRPr="000E63FA">
              <w:rPr>
                <w:rFonts w:eastAsia="Calibri"/>
                <w:sz w:val="20"/>
                <w:szCs w:val="20"/>
              </w:rPr>
              <w:t>The motion judge ordered that the amended statement of claim be struck in its entirety as against the respondents.  The Court of Appeal upheld that decision.</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June 4, 2012</w:t>
            </w:r>
          </w:p>
          <w:p w:rsidR="007D148E" w:rsidRPr="000E63FA" w:rsidRDefault="007D148E" w:rsidP="006C1C3D">
            <w:pPr>
              <w:jc w:val="both"/>
              <w:rPr>
                <w:rFonts w:eastAsia="Calibri"/>
                <w:sz w:val="20"/>
                <w:szCs w:val="20"/>
              </w:rPr>
            </w:pPr>
            <w:r w:rsidRPr="000E63FA">
              <w:rPr>
                <w:rFonts w:eastAsia="Calibri"/>
                <w:sz w:val="20"/>
                <w:szCs w:val="20"/>
              </w:rPr>
              <w:t>Court of Queen’s Bench of Saskatchewan</w:t>
            </w:r>
          </w:p>
          <w:p w:rsidR="007D148E" w:rsidRPr="000E63FA" w:rsidRDefault="007D148E" w:rsidP="006C1C3D">
            <w:pPr>
              <w:jc w:val="both"/>
              <w:rPr>
                <w:rFonts w:eastAsia="Calibri"/>
                <w:sz w:val="20"/>
                <w:szCs w:val="20"/>
              </w:rPr>
            </w:pPr>
            <w:r w:rsidRPr="000E63FA">
              <w:rPr>
                <w:rFonts w:eastAsia="Calibri"/>
                <w:sz w:val="20"/>
                <w:szCs w:val="20"/>
              </w:rPr>
              <w:t>(Dovell J.)</w:t>
            </w:r>
          </w:p>
          <w:p w:rsidR="007D148E" w:rsidRPr="000E63FA" w:rsidRDefault="00CC2008" w:rsidP="006C1C3D">
            <w:pPr>
              <w:jc w:val="both"/>
              <w:rPr>
                <w:rFonts w:eastAsia="Calibri"/>
                <w:sz w:val="20"/>
                <w:szCs w:val="20"/>
              </w:rPr>
            </w:pPr>
            <w:hyperlink r:id="rId47" w:history="1">
              <w:r w:rsidR="007D148E" w:rsidRPr="000E63FA">
                <w:rPr>
                  <w:rFonts w:eastAsia="Calibri"/>
                  <w:color w:val="0000FF"/>
                  <w:sz w:val="20"/>
                  <w:szCs w:val="20"/>
                  <w:u w:val="single"/>
                </w:rPr>
                <w:t>2012 SKQB 225</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Amended statement of claim struck</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May 29, 2013</w:t>
            </w:r>
          </w:p>
          <w:p w:rsidR="007D148E" w:rsidRPr="000E63FA" w:rsidRDefault="007D148E" w:rsidP="006C1C3D">
            <w:pPr>
              <w:jc w:val="both"/>
              <w:rPr>
                <w:rFonts w:eastAsia="Calibri"/>
                <w:sz w:val="20"/>
                <w:szCs w:val="20"/>
              </w:rPr>
            </w:pPr>
            <w:r w:rsidRPr="000E63FA">
              <w:rPr>
                <w:rFonts w:eastAsia="Calibri"/>
                <w:sz w:val="20"/>
                <w:szCs w:val="20"/>
              </w:rPr>
              <w:t>Court of Appeal for Saskatchewan</w:t>
            </w:r>
          </w:p>
          <w:p w:rsidR="007D148E" w:rsidRPr="000E63FA" w:rsidRDefault="007D148E" w:rsidP="006C1C3D">
            <w:pPr>
              <w:jc w:val="both"/>
              <w:rPr>
                <w:rFonts w:eastAsia="Calibri"/>
                <w:sz w:val="20"/>
                <w:szCs w:val="20"/>
              </w:rPr>
            </w:pPr>
            <w:r w:rsidRPr="000E63FA">
              <w:rPr>
                <w:rFonts w:eastAsia="Calibri"/>
                <w:sz w:val="20"/>
                <w:szCs w:val="20"/>
              </w:rPr>
              <w:t>(Caldwell, Jackson and Ottenbreit Ralph K.)</w:t>
            </w:r>
          </w:p>
          <w:p w:rsidR="007D148E" w:rsidRPr="000E63FA" w:rsidRDefault="00CC2008" w:rsidP="006C1C3D">
            <w:pPr>
              <w:jc w:val="both"/>
              <w:rPr>
                <w:rFonts w:eastAsia="Calibri"/>
                <w:sz w:val="20"/>
                <w:szCs w:val="20"/>
              </w:rPr>
            </w:pPr>
            <w:hyperlink r:id="rId48" w:history="1">
              <w:r w:rsidR="007D148E" w:rsidRPr="000E63FA">
                <w:rPr>
                  <w:rFonts w:eastAsia="Calibri"/>
                  <w:color w:val="0000FF"/>
                  <w:sz w:val="20"/>
                  <w:szCs w:val="20"/>
                  <w:u w:val="single"/>
                </w:rPr>
                <w:t>2013 SKCA 60</w:t>
              </w:r>
            </w:hyperlink>
          </w:p>
          <w:p w:rsidR="007D148E" w:rsidRPr="000E63FA" w:rsidRDefault="007D148E" w:rsidP="006C1C3D">
            <w:pPr>
              <w:jc w:val="both"/>
              <w:rPr>
                <w:rFonts w:eastAsia="Calibri"/>
                <w:sz w:val="20"/>
                <w:szCs w:val="20"/>
              </w:rPr>
            </w:pP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Appeal dismissed</w:t>
            </w:r>
          </w:p>
          <w:p w:rsidR="007D148E" w:rsidRPr="000E63FA" w:rsidRDefault="007D148E" w:rsidP="006C1C3D">
            <w:pPr>
              <w:jc w:val="both"/>
              <w:rPr>
                <w:rFonts w:eastAsia="Calibri"/>
                <w:sz w:val="20"/>
                <w:szCs w:val="20"/>
              </w:rPr>
            </w:pPr>
          </w:p>
        </w:tc>
      </w:tr>
      <w:tr w:rsidR="007D148E" w:rsidRPr="000E63FA" w:rsidTr="006C1C3D">
        <w:tc>
          <w:tcPr>
            <w:tcW w:w="2427" w:type="pct"/>
          </w:tcPr>
          <w:p w:rsidR="007D148E" w:rsidRPr="000E63FA" w:rsidRDefault="007D148E" w:rsidP="006C1C3D">
            <w:pPr>
              <w:jc w:val="both"/>
              <w:rPr>
                <w:rFonts w:eastAsia="Calibri"/>
                <w:sz w:val="20"/>
                <w:szCs w:val="20"/>
              </w:rPr>
            </w:pPr>
            <w:r w:rsidRPr="000E63FA">
              <w:rPr>
                <w:rFonts w:eastAsia="Calibri"/>
                <w:sz w:val="20"/>
                <w:szCs w:val="20"/>
              </w:rPr>
              <w:t>August 14, 2013</w:t>
            </w:r>
          </w:p>
          <w:p w:rsidR="007D148E" w:rsidRPr="000E63FA" w:rsidRDefault="007D148E" w:rsidP="006C1C3D">
            <w:pPr>
              <w:jc w:val="both"/>
              <w:rPr>
                <w:rFonts w:eastAsia="Calibri"/>
                <w:sz w:val="20"/>
                <w:szCs w:val="20"/>
              </w:rPr>
            </w:pPr>
            <w:r w:rsidRPr="000E63FA">
              <w:rPr>
                <w:rFonts w:eastAsia="Calibri"/>
                <w:sz w:val="20"/>
                <w:szCs w:val="20"/>
              </w:rPr>
              <w:t>Supreme Court of Canada</w:t>
            </w:r>
          </w:p>
        </w:tc>
        <w:tc>
          <w:tcPr>
            <w:tcW w:w="243" w:type="pct"/>
          </w:tcPr>
          <w:p w:rsidR="007D148E" w:rsidRPr="000E63FA" w:rsidRDefault="007D148E" w:rsidP="006C1C3D">
            <w:pPr>
              <w:jc w:val="both"/>
              <w:rPr>
                <w:rFonts w:eastAsia="Calibri"/>
                <w:sz w:val="20"/>
                <w:szCs w:val="20"/>
              </w:rPr>
            </w:pPr>
          </w:p>
        </w:tc>
        <w:tc>
          <w:tcPr>
            <w:tcW w:w="2330" w:type="pct"/>
          </w:tcPr>
          <w:p w:rsidR="007D148E" w:rsidRPr="000E63FA" w:rsidRDefault="007D148E" w:rsidP="006C1C3D">
            <w:pPr>
              <w:jc w:val="both"/>
              <w:rPr>
                <w:rFonts w:eastAsia="Calibri"/>
                <w:sz w:val="20"/>
                <w:szCs w:val="20"/>
              </w:rPr>
            </w:pPr>
            <w:r w:rsidRPr="000E63FA">
              <w:rPr>
                <w:rFonts w:eastAsia="Calibri"/>
                <w:sz w:val="20"/>
                <w:szCs w:val="20"/>
              </w:rPr>
              <w:t>Application for leave to appeal filed</w:t>
            </w:r>
          </w:p>
          <w:p w:rsidR="007D148E" w:rsidRPr="000E63FA" w:rsidRDefault="007D148E" w:rsidP="006C1C3D">
            <w:pPr>
              <w:jc w:val="both"/>
              <w:rPr>
                <w:rFonts w:eastAsia="Calibri"/>
                <w:sz w:val="20"/>
                <w:szCs w:val="20"/>
              </w:rPr>
            </w:pPr>
          </w:p>
        </w:tc>
      </w:tr>
    </w:tbl>
    <w:p w:rsidR="005A33F8" w:rsidRDefault="005A33F8" w:rsidP="005A33F8">
      <w:pPr>
        <w:rPr>
          <w:sz w:val="20"/>
          <w:szCs w:val="20"/>
        </w:rPr>
      </w:pPr>
    </w:p>
    <w:p w:rsidR="005A33F8" w:rsidRPr="00C50A5C" w:rsidRDefault="00CC2008" w:rsidP="005A33F8">
      <w:pPr>
        <w:rPr>
          <w:sz w:val="20"/>
          <w:szCs w:val="20"/>
        </w:rPr>
      </w:pPr>
      <w:r w:rsidRPr="00CC2008">
        <w:rPr>
          <w:sz w:val="20"/>
          <w:szCs w:val="20"/>
          <w:lang w:val="fr-CA"/>
        </w:rPr>
        <w:pict>
          <v:rect id="_x0000_i1055" style="width:2in;height:1pt" o:hrpct="0" o:hralign="center" o:hrstd="t" o:hrnoshade="t" o:hr="t" fillcolor="black [3213]" stroked="f"/>
        </w:pict>
      </w:r>
    </w:p>
    <w:p w:rsidR="005A33F8" w:rsidRDefault="005A33F8" w:rsidP="005A33F8">
      <w:pPr>
        <w:rPr>
          <w:sz w:val="20"/>
          <w:szCs w:val="20"/>
        </w:rPr>
      </w:pPr>
    </w:p>
    <w:p w:rsidR="005A33F8" w:rsidRPr="001B157C" w:rsidRDefault="005A33F8" w:rsidP="005A33F8">
      <w:pPr>
        <w:rPr>
          <w:sz w:val="20"/>
          <w:szCs w:val="20"/>
          <w:u w:val="single"/>
          <w:lang w:val="fr-CA"/>
        </w:rPr>
      </w:pPr>
      <w:r w:rsidRPr="001B157C">
        <w:rPr>
          <w:sz w:val="20"/>
          <w:szCs w:val="20"/>
          <w:u w:val="single"/>
          <w:lang w:val="fr-CA"/>
        </w:rPr>
        <w:t>RÉSUMÉ DE L’AFFAIRE</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7C7F39"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Procédure civile – Actes de procédure – Requête en radiation de la déclaration – Dans leur déclaration modifiée, les demandeurs allèguent que l’avocat et le cabinet d’avocats intimés ont comploté en vue de les frauder et de leur causer un préjudice dans leur entreprise</w:t>
            </w:r>
            <w:r w:rsidRPr="000E63FA">
              <w:rPr>
                <w:rFonts w:eastAsia="Calibri"/>
                <w:i/>
                <w:sz w:val="20"/>
                <w:szCs w:val="20"/>
                <w:lang w:val="fr-CA"/>
              </w:rPr>
              <w:t xml:space="preserve"> </w:t>
            </w:r>
            <w:r w:rsidRPr="000E63FA">
              <w:rPr>
                <w:rFonts w:eastAsia="Calibri"/>
                <w:sz w:val="20"/>
                <w:szCs w:val="20"/>
                <w:lang w:val="fr-CA"/>
              </w:rPr>
              <w:t>– La déclaration révèle</w:t>
            </w:r>
            <w:r w:rsidRPr="000E63FA">
              <w:rPr>
                <w:rFonts w:eastAsia="Calibri"/>
                <w:sz w:val="20"/>
                <w:szCs w:val="20"/>
                <w:lang w:val="fr-CA"/>
              </w:rPr>
              <w:noBreakHyphen/>
              <w:t>t</w:t>
            </w:r>
            <w:r w:rsidRPr="000E63FA">
              <w:rPr>
                <w:rFonts w:eastAsia="Calibri"/>
                <w:sz w:val="20"/>
                <w:szCs w:val="20"/>
                <w:lang w:val="fr-CA"/>
              </w:rPr>
              <w:noBreakHyphen/>
              <w:t xml:space="preserve">elle une cause d’action raisonnable n’étant pas scandaleuse, frivole ou vexatoire ou ne constituant pas autrement un abus de procédure? – </w:t>
            </w:r>
            <w:r w:rsidRPr="000E63FA">
              <w:rPr>
                <w:rFonts w:eastAsia="Calibri"/>
                <w:i/>
                <w:sz w:val="20"/>
                <w:szCs w:val="20"/>
                <w:lang w:val="fr-CA"/>
              </w:rPr>
              <w:t>Queen’s Bench Rules</w:t>
            </w:r>
            <w:r w:rsidRPr="000E63FA">
              <w:rPr>
                <w:rFonts w:eastAsia="Calibri"/>
                <w:sz w:val="20"/>
                <w:szCs w:val="20"/>
                <w:lang w:val="fr-CA"/>
              </w:rPr>
              <w:t>, al. 173</w:t>
            </w:r>
            <w:r w:rsidRPr="000E63FA">
              <w:rPr>
                <w:rFonts w:eastAsia="Calibri"/>
                <w:i/>
                <w:sz w:val="20"/>
                <w:szCs w:val="20"/>
                <w:lang w:val="fr-CA"/>
              </w:rPr>
              <w:t>a</w:t>
            </w:r>
            <w:r w:rsidRPr="000E63FA">
              <w:rPr>
                <w:rFonts w:eastAsia="Calibri"/>
                <w:sz w:val="20"/>
                <w:szCs w:val="20"/>
                <w:lang w:val="fr-CA"/>
              </w:rPr>
              <w:t xml:space="preserve">), </w:t>
            </w:r>
            <w:r w:rsidRPr="000E63FA">
              <w:rPr>
                <w:rFonts w:eastAsia="Calibri"/>
                <w:i/>
                <w:sz w:val="20"/>
                <w:szCs w:val="20"/>
                <w:lang w:val="fr-CA"/>
              </w:rPr>
              <w:t>c</w:t>
            </w:r>
            <w:r w:rsidRPr="000E63FA">
              <w:rPr>
                <w:rFonts w:eastAsia="Calibri"/>
                <w:sz w:val="20"/>
                <w:szCs w:val="20"/>
                <w:lang w:val="fr-CA"/>
              </w:rPr>
              <w:t xml:space="preserve">), </w:t>
            </w:r>
            <w:r w:rsidRPr="000E63FA">
              <w:rPr>
                <w:rFonts w:eastAsia="Calibri"/>
                <w:i/>
                <w:sz w:val="20"/>
                <w:szCs w:val="20"/>
                <w:lang w:val="fr-CA"/>
              </w:rPr>
              <w:t>e</w:t>
            </w:r>
            <w:r w:rsidRPr="000E63FA">
              <w:rPr>
                <w:rFonts w:eastAsia="Calibri"/>
                <w:sz w:val="20"/>
                <w:szCs w:val="20"/>
                <w:lang w:val="fr-CA"/>
              </w:rPr>
              <w:t>).</w:t>
            </w:r>
          </w:p>
        </w:tc>
      </w:tr>
      <w:tr w:rsidR="007D148E" w:rsidRPr="007C7F39" w:rsidTr="006C1C3D">
        <w:tc>
          <w:tcPr>
            <w:tcW w:w="5000" w:type="pct"/>
            <w:gridSpan w:val="3"/>
          </w:tcPr>
          <w:p w:rsidR="007D148E" w:rsidRPr="000E63FA" w:rsidRDefault="007D148E" w:rsidP="006C1C3D">
            <w:pPr>
              <w:jc w:val="both"/>
              <w:rPr>
                <w:rFonts w:eastAsia="Calibri"/>
                <w:sz w:val="20"/>
                <w:szCs w:val="20"/>
                <w:lang w:val="fr-CA"/>
              </w:rPr>
            </w:pPr>
          </w:p>
        </w:tc>
      </w:tr>
      <w:tr w:rsidR="007D148E" w:rsidRPr="000E63FA" w:rsidTr="006C1C3D">
        <w:tc>
          <w:tcPr>
            <w:tcW w:w="5000" w:type="pct"/>
            <w:gridSpan w:val="3"/>
          </w:tcPr>
          <w:p w:rsidR="007D148E" w:rsidRPr="000E63FA" w:rsidRDefault="007D148E" w:rsidP="006C1C3D">
            <w:pPr>
              <w:jc w:val="both"/>
              <w:rPr>
                <w:rFonts w:eastAsia="Calibri"/>
                <w:sz w:val="20"/>
                <w:szCs w:val="20"/>
                <w:lang w:val="fr-CA"/>
              </w:rPr>
            </w:pPr>
            <w:r w:rsidRPr="000E63FA">
              <w:rPr>
                <w:rFonts w:eastAsia="Calibri"/>
                <w:sz w:val="20"/>
                <w:szCs w:val="20"/>
                <w:lang w:val="fr-CA"/>
              </w:rPr>
              <w:t>Après la présentation par l’avocat et le cabinet d’avocats intimés d’une requête en radiation de la déclaration, les demandeurs ont déposé une déclaration modifiée de 24 pages, dans laquelle ils réclament des dommages—intérêts contre l’ensemble des défendeurs au motif que ceux</w:t>
            </w:r>
            <w:r w:rsidRPr="000E63FA">
              <w:rPr>
                <w:rFonts w:eastAsia="Calibri"/>
                <w:sz w:val="20"/>
                <w:szCs w:val="20"/>
                <w:lang w:val="fr-CA"/>
              </w:rPr>
              <w:noBreakHyphen/>
              <w:t>ci ont comploté en vue de les frauder et de leur causer un préjudice dans leur entreprise en recourant à la non</w:t>
            </w:r>
            <w:r w:rsidRPr="000E63FA">
              <w:rPr>
                <w:rFonts w:eastAsia="Calibri"/>
                <w:sz w:val="20"/>
                <w:szCs w:val="20"/>
                <w:lang w:val="fr-CA"/>
              </w:rPr>
              <w:noBreakHyphen/>
              <w:t>divulgation frauduleuse, à la tromperie, à l’entrave à des relations contractuelles et à l’abus de procédure; ils y réclament aussi contre certains des défendeurs, dont les intimés, des dommages</w:t>
            </w:r>
            <w:r w:rsidRPr="000E63FA">
              <w:rPr>
                <w:rFonts w:eastAsia="Calibri"/>
                <w:sz w:val="20"/>
                <w:szCs w:val="20"/>
                <w:lang w:val="fr-CA"/>
              </w:rPr>
              <w:noBreakHyphen/>
              <w:t>intérêts pour l’infliction délibérée de souffrances psychiques.</w:t>
            </w:r>
          </w:p>
          <w:p w:rsidR="007D148E" w:rsidRPr="000E63FA" w:rsidRDefault="007D148E" w:rsidP="006C1C3D">
            <w:pPr>
              <w:jc w:val="both"/>
              <w:rPr>
                <w:rFonts w:eastAsia="Calibri"/>
                <w:sz w:val="20"/>
                <w:szCs w:val="20"/>
                <w:lang w:val="fr-CA"/>
              </w:rPr>
            </w:pPr>
          </w:p>
          <w:p w:rsidR="007D148E" w:rsidRPr="000E63FA" w:rsidRDefault="007D148E" w:rsidP="006C1C3D">
            <w:pPr>
              <w:jc w:val="both"/>
              <w:rPr>
                <w:rFonts w:eastAsia="Calibri"/>
                <w:sz w:val="20"/>
                <w:szCs w:val="20"/>
                <w:lang w:val="fr-CA"/>
              </w:rPr>
            </w:pPr>
            <w:r w:rsidRPr="000E63FA">
              <w:rPr>
                <w:rFonts w:eastAsia="Calibri"/>
                <w:sz w:val="20"/>
                <w:szCs w:val="20"/>
                <w:lang w:val="fr-CA"/>
              </w:rPr>
              <w:t>Le juge saisi de la requête a ordonné que la déclaration modifiée soit entièrement annulée en ce qui concerne les intimés.  La Cour d’appel a confirmé cette décision.</w:t>
            </w:r>
          </w:p>
          <w:p w:rsidR="007D148E" w:rsidRPr="000E63FA" w:rsidRDefault="007D148E" w:rsidP="006C1C3D">
            <w:pPr>
              <w:jc w:val="both"/>
              <w:rPr>
                <w:rFonts w:eastAsia="Calibri"/>
                <w:sz w:val="20"/>
                <w:szCs w:val="20"/>
                <w:lang w:val="fr-CA"/>
              </w:rPr>
            </w:pPr>
          </w:p>
        </w:tc>
      </w:tr>
      <w:tr w:rsidR="007D148E" w:rsidRPr="000E63FA" w:rsidTr="006024E3">
        <w:trPr>
          <w:cantSplit/>
        </w:trPr>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4 juin 2012</w:t>
            </w:r>
          </w:p>
          <w:p w:rsidR="007D148E" w:rsidRPr="000E63FA" w:rsidRDefault="007D148E" w:rsidP="006C1C3D">
            <w:pPr>
              <w:jc w:val="both"/>
              <w:rPr>
                <w:rFonts w:eastAsia="Calibri"/>
                <w:sz w:val="20"/>
                <w:szCs w:val="20"/>
                <w:lang w:val="fr-CA"/>
              </w:rPr>
            </w:pPr>
            <w:r w:rsidRPr="000E63FA">
              <w:rPr>
                <w:rFonts w:eastAsia="Calibri"/>
                <w:sz w:val="20"/>
                <w:szCs w:val="20"/>
                <w:lang w:val="fr-CA"/>
              </w:rPr>
              <w:t>Cour du Banc de la Reine de la Saskatchewan</w:t>
            </w:r>
          </w:p>
          <w:p w:rsidR="007D148E" w:rsidRPr="000E63FA" w:rsidRDefault="007D148E" w:rsidP="006C1C3D">
            <w:pPr>
              <w:jc w:val="both"/>
              <w:rPr>
                <w:rFonts w:eastAsia="Calibri"/>
                <w:sz w:val="20"/>
                <w:szCs w:val="20"/>
                <w:lang w:val="fr-CA"/>
              </w:rPr>
            </w:pPr>
            <w:r w:rsidRPr="000E63FA">
              <w:rPr>
                <w:rFonts w:eastAsia="Calibri"/>
                <w:sz w:val="20"/>
                <w:szCs w:val="20"/>
                <w:lang w:val="fr-CA"/>
              </w:rPr>
              <w:t>(Juge Dovell)</w:t>
            </w:r>
          </w:p>
          <w:p w:rsidR="007D148E" w:rsidRPr="000E63FA" w:rsidRDefault="00CC2008" w:rsidP="006C1C3D">
            <w:pPr>
              <w:jc w:val="both"/>
              <w:rPr>
                <w:rFonts w:eastAsia="Calibri"/>
                <w:sz w:val="20"/>
                <w:szCs w:val="20"/>
                <w:lang w:val="fr-CA"/>
              </w:rPr>
            </w:pPr>
            <w:hyperlink r:id="rId49" w:history="1">
              <w:r w:rsidR="007D148E" w:rsidRPr="000E63FA">
                <w:rPr>
                  <w:rFonts w:eastAsia="Calibri"/>
                  <w:color w:val="0000FF"/>
                  <w:sz w:val="20"/>
                  <w:szCs w:val="20"/>
                  <w:u w:val="single"/>
                  <w:lang w:val="fr-CA"/>
                </w:rPr>
                <w:t>2012 SKQB 225</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Déclaration modifiée annulée</w:t>
            </w:r>
          </w:p>
          <w:p w:rsidR="007D148E" w:rsidRPr="000E63FA" w:rsidRDefault="007D148E" w:rsidP="006C1C3D">
            <w:pPr>
              <w:jc w:val="both"/>
              <w:rPr>
                <w:rFonts w:eastAsia="Calibri"/>
                <w:sz w:val="20"/>
                <w:szCs w:val="20"/>
                <w:lang w:val="fr-CA"/>
              </w:rPr>
            </w:pPr>
          </w:p>
        </w:tc>
      </w:tr>
      <w:tr w:rsidR="007D148E" w:rsidRPr="000E63FA" w:rsidTr="006024E3">
        <w:trPr>
          <w:cantSplit/>
        </w:trPr>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29 mai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d’appel de la Saskatchewan</w:t>
            </w:r>
          </w:p>
          <w:p w:rsidR="007D148E" w:rsidRPr="000E63FA" w:rsidRDefault="007D148E" w:rsidP="006C1C3D">
            <w:pPr>
              <w:jc w:val="both"/>
              <w:rPr>
                <w:rFonts w:eastAsia="Calibri"/>
                <w:sz w:val="20"/>
                <w:szCs w:val="20"/>
                <w:lang w:val="fr-CA"/>
              </w:rPr>
            </w:pPr>
            <w:r w:rsidRPr="000E63FA">
              <w:rPr>
                <w:rFonts w:eastAsia="Calibri"/>
                <w:sz w:val="20"/>
                <w:szCs w:val="20"/>
                <w:lang w:val="fr-CA"/>
              </w:rPr>
              <w:t>(Juges Caldwell, Jackson et Ottenbreit</w:t>
            </w:r>
          </w:p>
          <w:p w:rsidR="007D148E" w:rsidRPr="000E63FA" w:rsidRDefault="007D148E" w:rsidP="006C1C3D">
            <w:pPr>
              <w:jc w:val="both"/>
              <w:rPr>
                <w:rFonts w:eastAsia="Calibri"/>
                <w:sz w:val="20"/>
                <w:szCs w:val="20"/>
                <w:lang w:val="fr-CA"/>
              </w:rPr>
            </w:pPr>
            <w:r w:rsidRPr="000E63FA">
              <w:rPr>
                <w:rFonts w:eastAsia="Calibri"/>
                <w:sz w:val="20"/>
                <w:szCs w:val="20"/>
                <w:lang w:val="fr-CA"/>
              </w:rPr>
              <w:t>Ralph K.)</w:t>
            </w:r>
          </w:p>
          <w:p w:rsidR="007D148E" w:rsidRPr="000E63FA" w:rsidRDefault="00CC2008" w:rsidP="006C1C3D">
            <w:pPr>
              <w:jc w:val="both"/>
              <w:rPr>
                <w:rFonts w:eastAsia="Calibri"/>
                <w:sz w:val="20"/>
                <w:szCs w:val="20"/>
                <w:lang w:val="fr-CA"/>
              </w:rPr>
            </w:pPr>
            <w:hyperlink r:id="rId50" w:history="1">
              <w:r w:rsidR="007D148E" w:rsidRPr="000E63FA">
                <w:rPr>
                  <w:rFonts w:eastAsia="Calibri"/>
                  <w:color w:val="0000FF"/>
                  <w:sz w:val="20"/>
                  <w:szCs w:val="20"/>
                  <w:u w:val="single"/>
                  <w:lang w:val="fr-CA"/>
                </w:rPr>
                <w:t>2013 SKCA 60</w:t>
              </w:r>
            </w:hyperlink>
          </w:p>
          <w:p w:rsidR="007D148E" w:rsidRPr="000E63FA" w:rsidRDefault="007D148E" w:rsidP="006C1C3D">
            <w:pPr>
              <w:jc w:val="both"/>
              <w:rPr>
                <w:rFonts w:eastAsia="Calibri"/>
                <w:sz w:val="20"/>
                <w:szCs w:val="20"/>
                <w:lang w:val="fr-CA"/>
              </w:rPr>
            </w:pP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Appel rejeté</w:t>
            </w:r>
          </w:p>
          <w:p w:rsidR="007D148E" w:rsidRPr="000E63FA" w:rsidRDefault="007D148E" w:rsidP="006C1C3D">
            <w:pPr>
              <w:jc w:val="both"/>
              <w:rPr>
                <w:rFonts w:eastAsia="Calibri"/>
                <w:sz w:val="20"/>
                <w:szCs w:val="20"/>
                <w:lang w:val="fr-CA"/>
              </w:rPr>
            </w:pPr>
          </w:p>
        </w:tc>
      </w:tr>
      <w:tr w:rsidR="007D148E" w:rsidRPr="000E63FA" w:rsidTr="006024E3">
        <w:trPr>
          <w:cantSplit/>
        </w:trPr>
        <w:tc>
          <w:tcPr>
            <w:tcW w:w="2427"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14 août 2013</w:t>
            </w:r>
          </w:p>
          <w:p w:rsidR="007D148E" w:rsidRPr="000E63FA" w:rsidRDefault="007D148E" w:rsidP="006C1C3D">
            <w:pPr>
              <w:jc w:val="both"/>
              <w:rPr>
                <w:rFonts w:eastAsia="Calibri"/>
                <w:sz w:val="20"/>
                <w:szCs w:val="20"/>
                <w:lang w:val="fr-CA"/>
              </w:rPr>
            </w:pPr>
            <w:r w:rsidRPr="000E63FA">
              <w:rPr>
                <w:rFonts w:eastAsia="Calibri"/>
                <w:sz w:val="20"/>
                <w:szCs w:val="20"/>
                <w:lang w:val="fr-CA"/>
              </w:rPr>
              <w:t>Cour suprême du Canada</w:t>
            </w:r>
          </w:p>
        </w:tc>
        <w:tc>
          <w:tcPr>
            <w:tcW w:w="243" w:type="pct"/>
          </w:tcPr>
          <w:p w:rsidR="007D148E" w:rsidRPr="000E63FA" w:rsidRDefault="007D148E" w:rsidP="006C1C3D">
            <w:pPr>
              <w:jc w:val="both"/>
              <w:rPr>
                <w:rFonts w:eastAsia="Calibri"/>
                <w:sz w:val="20"/>
                <w:szCs w:val="20"/>
                <w:lang w:val="fr-CA"/>
              </w:rPr>
            </w:pPr>
          </w:p>
        </w:tc>
        <w:tc>
          <w:tcPr>
            <w:tcW w:w="2330" w:type="pct"/>
          </w:tcPr>
          <w:p w:rsidR="007D148E" w:rsidRPr="000E63FA" w:rsidRDefault="007D148E" w:rsidP="006C1C3D">
            <w:pPr>
              <w:jc w:val="both"/>
              <w:rPr>
                <w:rFonts w:eastAsia="Calibri"/>
                <w:sz w:val="20"/>
                <w:szCs w:val="20"/>
                <w:lang w:val="fr-CA"/>
              </w:rPr>
            </w:pPr>
            <w:r w:rsidRPr="000E63FA">
              <w:rPr>
                <w:rFonts w:eastAsia="Calibri"/>
                <w:sz w:val="20"/>
                <w:szCs w:val="20"/>
                <w:lang w:val="fr-CA"/>
              </w:rPr>
              <w:t>Demande d’autorisation d’appel déposée</w:t>
            </w:r>
          </w:p>
          <w:p w:rsidR="007D148E" w:rsidRPr="000E63FA" w:rsidRDefault="007D148E" w:rsidP="006C1C3D">
            <w:pPr>
              <w:jc w:val="both"/>
              <w:rPr>
                <w:rFonts w:eastAsia="Calibri"/>
                <w:sz w:val="20"/>
                <w:szCs w:val="20"/>
                <w:lang w:val="fr-CA"/>
              </w:rPr>
            </w:pPr>
          </w:p>
        </w:tc>
      </w:tr>
    </w:tbl>
    <w:p w:rsidR="005A33F8" w:rsidRDefault="005A33F8" w:rsidP="005A33F8">
      <w:pPr>
        <w:rPr>
          <w:sz w:val="20"/>
          <w:szCs w:val="20"/>
        </w:rPr>
      </w:pPr>
    </w:p>
    <w:p w:rsidR="005A33F8" w:rsidRDefault="00CC2008" w:rsidP="005A33F8">
      <w:pPr>
        <w:rPr>
          <w:sz w:val="20"/>
          <w:szCs w:val="20"/>
        </w:rPr>
      </w:pPr>
      <w:r w:rsidRPr="00CC2008">
        <w:rPr>
          <w:sz w:val="20"/>
          <w:szCs w:val="20"/>
          <w:lang w:val="fr-CA"/>
        </w:rPr>
        <w:pict>
          <v:rect id="_x0000_i1056" style="width:2in;height:1pt" o:hrpct="0" o:hralign="center" o:hrstd="t" o:hrnoshade="t" o:hr="t" fillcolor="black [3213]" stroked="f"/>
        </w:pict>
      </w:r>
    </w:p>
    <w:p w:rsidR="005A33F8" w:rsidRDefault="005A33F8" w:rsidP="005A33F8">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024E3" w:rsidRPr="006024E3" w:rsidTr="006C1C3D">
        <w:trPr>
          <w:cantSplit/>
        </w:trPr>
        <w:tc>
          <w:tcPr>
            <w:tcW w:w="1458" w:type="dxa"/>
          </w:tcPr>
          <w:p w:rsidR="006024E3" w:rsidRPr="006024E3" w:rsidRDefault="006024E3" w:rsidP="006024E3">
            <w:pPr>
              <w:rPr>
                <w:sz w:val="20"/>
              </w:rPr>
            </w:pPr>
            <w:r w:rsidRPr="006024E3">
              <w:rPr>
                <w:b/>
                <w:sz w:val="20"/>
                <w:lang w:val="fr-CA"/>
              </w:rPr>
              <w:t>35482</w:t>
            </w:r>
          </w:p>
          <w:p w:rsidR="006024E3" w:rsidRPr="006024E3" w:rsidRDefault="006024E3" w:rsidP="006024E3">
            <w:pPr>
              <w:rPr>
                <w:b/>
                <w:sz w:val="20"/>
                <w:lang w:val="fr-CA"/>
              </w:rPr>
            </w:pPr>
          </w:p>
        </w:tc>
        <w:tc>
          <w:tcPr>
            <w:tcW w:w="8118" w:type="dxa"/>
          </w:tcPr>
          <w:p w:rsidR="006024E3" w:rsidRPr="006024E3" w:rsidRDefault="006024E3" w:rsidP="006024E3">
            <w:pPr>
              <w:jc w:val="both"/>
              <w:rPr>
                <w:sz w:val="20"/>
              </w:rPr>
            </w:pPr>
            <w:r w:rsidRPr="006024E3">
              <w:rPr>
                <w:b/>
                <w:sz w:val="20"/>
                <w:u w:val="single"/>
              </w:rPr>
              <w:t xml:space="preserve">Lisa Patricia Odale a.k.a </w:t>
            </w:r>
            <w:r w:rsidR="00F446CC">
              <w:rPr>
                <w:b/>
                <w:sz w:val="20"/>
                <w:u w:val="single"/>
              </w:rPr>
              <w:t>“</w:t>
            </w:r>
            <w:r w:rsidRPr="006024E3">
              <w:rPr>
                <w:b/>
                <w:sz w:val="20"/>
                <w:u w:val="single"/>
              </w:rPr>
              <w:t>Old School</w:t>
            </w:r>
            <w:r w:rsidR="00F446CC">
              <w:rPr>
                <w:b/>
                <w:sz w:val="20"/>
                <w:u w:val="single"/>
              </w:rPr>
              <w:t xml:space="preserve">” </w:t>
            </w:r>
            <w:r w:rsidRPr="006024E3">
              <w:rPr>
                <w:b/>
                <w:sz w:val="20"/>
                <w:u w:val="single"/>
              </w:rPr>
              <w:t xml:space="preserve"> v. Attorney General of Canada on behalf of the United States of America</w:t>
            </w:r>
            <w:r w:rsidRPr="006024E3">
              <w:rPr>
                <w:sz w:val="20"/>
              </w:rPr>
              <w:t xml:space="preserve"> (Alta.) (Criminal) (By Leave)</w:t>
            </w:r>
          </w:p>
          <w:p w:rsidR="006024E3" w:rsidRPr="006024E3" w:rsidRDefault="006024E3" w:rsidP="006024E3">
            <w:pPr>
              <w:jc w:val="both"/>
              <w:rPr>
                <w:sz w:val="20"/>
              </w:rPr>
            </w:pPr>
          </w:p>
        </w:tc>
      </w:tr>
      <w:tr w:rsidR="006024E3" w:rsidRPr="006024E3" w:rsidTr="006C1C3D">
        <w:trPr>
          <w:cantSplit/>
        </w:trPr>
        <w:tc>
          <w:tcPr>
            <w:tcW w:w="1458" w:type="dxa"/>
          </w:tcPr>
          <w:p w:rsidR="006024E3" w:rsidRPr="006024E3" w:rsidRDefault="006024E3" w:rsidP="006024E3">
            <w:pPr>
              <w:rPr>
                <w:sz w:val="20"/>
              </w:rPr>
            </w:pPr>
            <w:r w:rsidRPr="006024E3">
              <w:rPr>
                <w:sz w:val="20"/>
              </w:rPr>
              <w:t>Coram :</w:t>
            </w:r>
          </w:p>
        </w:tc>
        <w:tc>
          <w:tcPr>
            <w:tcW w:w="8118" w:type="dxa"/>
          </w:tcPr>
          <w:p w:rsidR="006024E3" w:rsidRPr="006024E3" w:rsidRDefault="006024E3" w:rsidP="006024E3">
            <w:pPr>
              <w:rPr>
                <w:sz w:val="20"/>
              </w:rPr>
            </w:pPr>
            <w:r w:rsidRPr="006024E3">
              <w:rPr>
                <w:sz w:val="20"/>
                <w:u w:val="single"/>
              </w:rPr>
              <w:t>McLachlin C.J. and Cromwell and Wagner JJ.</w:t>
            </w:r>
          </w:p>
          <w:p w:rsidR="006024E3" w:rsidRPr="006024E3" w:rsidRDefault="006024E3" w:rsidP="006024E3">
            <w:pPr>
              <w:rPr>
                <w:sz w:val="20"/>
                <w:u w:val="single"/>
              </w:rPr>
            </w:pPr>
          </w:p>
        </w:tc>
      </w:tr>
      <w:tr w:rsidR="006024E3" w:rsidRPr="007C7F39" w:rsidTr="006C1C3D">
        <w:trPr>
          <w:cantSplit/>
        </w:trPr>
        <w:tc>
          <w:tcPr>
            <w:tcW w:w="9576" w:type="dxa"/>
            <w:gridSpan w:val="2"/>
          </w:tcPr>
          <w:p w:rsidR="006024E3" w:rsidRPr="006024E3" w:rsidRDefault="006024E3" w:rsidP="006024E3">
            <w:pPr>
              <w:ind w:firstLine="720"/>
              <w:jc w:val="both"/>
              <w:rPr>
                <w:sz w:val="20"/>
              </w:rPr>
            </w:pPr>
            <w:r w:rsidRPr="006024E3">
              <w:rPr>
                <w:sz w:val="20"/>
              </w:rPr>
              <w:t>The application for leave to appeal from the judgment of the Court of Appeal of Alberta (Calgary), Number 1201-0167-A, 2013 ABCA 178, dated May 24, 2013, is dismissed without costs.</w:t>
            </w:r>
          </w:p>
          <w:p w:rsidR="006024E3" w:rsidRPr="006024E3" w:rsidRDefault="006024E3" w:rsidP="006024E3">
            <w:pPr>
              <w:jc w:val="both"/>
              <w:rPr>
                <w:sz w:val="20"/>
              </w:rPr>
            </w:pPr>
          </w:p>
          <w:p w:rsidR="006024E3" w:rsidRPr="006024E3" w:rsidRDefault="006024E3" w:rsidP="006024E3">
            <w:pPr>
              <w:ind w:firstLine="720"/>
              <w:jc w:val="both"/>
              <w:rPr>
                <w:sz w:val="20"/>
                <w:lang w:val="fr-CA"/>
              </w:rPr>
            </w:pPr>
            <w:r w:rsidRPr="006024E3">
              <w:rPr>
                <w:sz w:val="20"/>
                <w:lang w:val="fr-CA"/>
              </w:rPr>
              <w:t>La demande d’autorisation d’appel de l’arrêt de la Cour d'appel de l’Alberta (Calgary), numéro 1201-0167-A, 2013 ABCA 178, daté du 24 mai 2013, est rejetée sans dépens.</w:t>
            </w:r>
          </w:p>
        </w:tc>
      </w:tr>
    </w:tbl>
    <w:p w:rsidR="005A33F8" w:rsidRPr="0016547E" w:rsidRDefault="005A33F8" w:rsidP="005A33F8">
      <w:pPr>
        <w:rPr>
          <w:sz w:val="20"/>
          <w:szCs w:val="20"/>
          <w:lang w:val="fr-CA"/>
        </w:rPr>
      </w:pPr>
    </w:p>
    <w:p w:rsidR="005A33F8" w:rsidRPr="001B157C" w:rsidRDefault="005A33F8" w:rsidP="005A33F8">
      <w:pPr>
        <w:rPr>
          <w:sz w:val="20"/>
          <w:szCs w:val="20"/>
          <w:u w:val="single"/>
        </w:rPr>
      </w:pPr>
      <w:r w:rsidRPr="001B157C">
        <w:rPr>
          <w:sz w:val="20"/>
          <w:szCs w:val="20"/>
          <w:u w:val="single"/>
        </w:rPr>
        <w:t>CASE SUMMARY</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0E63FA" w:rsidTr="006C1C3D">
        <w:tc>
          <w:tcPr>
            <w:tcW w:w="5000" w:type="pct"/>
            <w:gridSpan w:val="3"/>
          </w:tcPr>
          <w:p w:rsidR="007D148E" w:rsidRPr="000E63FA" w:rsidRDefault="007D148E" w:rsidP="006C1C3D">
            <w:pPr>
              <w:jc w:val="both"/>
              <w:rPr>
                <w:sz w:val="20"/>
                <w:szCs w:val="20"/>
              </w:rPr>
            </w:pPr>
            <w:r w:rsidRPr="000E63FA">
              <w:rPr>
                <w:sz w:val="20"/>
                <w:szCs w:val="20"/>
              </w:rPr>
              <w:t>Extradition – Criminal law – Appeals – Committal order granted – Whether the Court of Appeal erred in finding that the person brought before the extradition judge “identified herself to local authorities and the court below” in the absence of any evidence to that effect – Whether the Court of Appeal erred in finding that an injustice would not arise if leave were denied.</w:t>
            </w:r>
          </w:p>
        </w:tc>
      </w:tr>
      <w:tr w:rsidR="007D148E" w:rsidRPr="000E63FA" w:rsidTr="006C1C3D">
        <w:tc>
          <w:tcPr>
            <w:tcW w:w="5000" w:type="pct"/>
            <w:gridSpan w:val="3"/>
          </w:tcPr>
          <w:p w:rsidR="007D148E" w:rsidRPr="000E63FA" w:rsidRDefault="007D148E" w:rsidP="006C1C3D">
            <w:pPr>
              <w:jc w:val="both"/>
              <w:rPr>
                <w:sz w:val="20"/>
                <w:szCs w:val="20"/>
              </w:rPr>
            </w:pPr>
          </w:p>
        </w:tc>
      </w:tr>
      <w:tr w:rsidR="007D148E" w:rsidRPr="000E63FA" w:rsidTr="006C1C3D">
        <w:tc>
          <w:tcPr>
            <w:tcW w:w="5000" w:type="pct"/>
            <w:gridSpan w:val="3"/>
          </w:tcPr>
          <w:p w:rsidR="007D148E" w:rsidRPr="000E63FA" w:rsidRDefault="007D148E" w:rsidP="006C1C3D">
            <w:pPr>
              <w:jc w:val="both"/>
              <w:rPr>
                <w:sz w:val="20"/>
                <w:szCs w:val="20"/>
              </w:rPr>
            </w:pPr>
            <w:r w:rsidRPr="000E63FA">
              <w:rPr>
                <w:sz w:val="20"/>
                <w:szCs w:val="20"/>
              </w:rPr>
              <w:t xml:space="preserve">The respondent sought an order for the committal of the applicant, Lisa Patricia Odale.  The Minister of Justice issued an authority to proceed pursuant to s. 15 of the </w:t>
            </w:r>
            <w:r w:rsidRPr="000E63FA">
              <w:rPr>
                <w:i/>
                <w:sz w:val="20"/>
                <w:szCs w:val="20"/>
              </w:rPr>
              <w:t>Extradition Act</w:t>
            </w:r>
            <w:r w:rsidRPr="000E63FA">
              <w:rPr>
                <w:sz w:val="20"/>
                <w:szCs w:val="20"/>
              </w:rPr>
              <w:t xml:space="preserve">, which authorizes the respondent to seek an order for the committal for extradition of the applicant.  The authority to proceed asserts that the Canadian offence which corresponds to the alleged conduct in the United States of America is trafficking in substances held out to be methamphetamine and cocaine, substances included under Schedule 1 of the </w:t>
            </w:r>
            <w:r w:rsidRPr="000E63FA">
              <w:rPr>
                <w:i/>
                <w:sz w:val="20"/>
                <w:szCs w:val="20"/>
              </w:rPr>
              <w:t>Controlled Drugs and Substances Act</w:t>
            </w:r>
            <w:r w:rsidRPr="000E63FA">
              <w:rPr>
                <w:sz w:val="20"/>
                <w:szCs w:val="20"/>
              </w:rPr>
              <w:t xml:space="preserve">, contrary to s. 5 of that </w:t>
            </w:r>
            <w:r w:rsidRPr="000E63FA">
              <w:rPr>
                <w:i/>
                <w:sz w:val="20"/>
                <w:szCs w:val="20"/>
              </w:rPr>
              <w:t>Act</w:t>
            </w:r>
            <w:r w:rsidRPr="000E63FA">
              <w:rPr>
                <w:sz w:val="20"/>
                <w:szCs w:val="20"/>
              </w:rPr>
              <w:t>.  The applicant argued that there was insufficient evidence before the extradition judge to find that she was the person being sought by the extradition partner.  The extradition judge held that the extradition partner has satisfied the requirements for extradition and the committal order was granted.  The application for leave to appeal the committal order was dismissed by the Court of Appeal.</w:t>
            </w:r>
          </w:p>
          <w:p w:rsidR="007D148E" w:rsidRPr="000E63FA" w:rsidRDefault="007D148E" w:rsidP="006C1C3D">
            <w:pPr>
              <w:jc w:val="both"/>
              <w:rPr>
                <w:sz w:val="20"/>
                <w:szCs w:val="20"/>
              </w:rPr>
            </w:pPr>
          </w:p>
        </w:tc>
      </w:tr>
      <w:tr w:rsidR="007D148E" w:rsidRPr="000E63FA" w:rsidTr="006C1C3D">
        <w:tc>
          <w:tcPr>
            <w:tcW w:w="2427" w:type="pct"/>
          </w:tcPr>
          <w:p w:rsidR="007D148E" w:rsidRPr="000E63FA" w:rsidRDefault="007D148E" w:rsidP="006C1C3D">
            <w:pPr>
              <w:jc w:val="both"/>
              <w:rPr>
                <w:sz w:val="20"/>
                <w:szCs w:val="20"/>
              </w:rPr>
            </w:pPr>
            <w:r w:rsidRPr="000E63FA">
              <w:rPr>
                <w:sz w:val="20"/>
                <w:szCs w:val="20"/>
              </w:rPr>
              <w:t>October 7, 2011</w:t>
            </w:r>
          </w:p>
          <w:p w:rsidR="007D148E" w:rsidRPr="000E63FA" w:rsidRDefault="007D148E" w:rsidP="006C1C3D">
            <w:pPr>
              <w:jc w:val="both"/>
              <w:rPr>
                <w:sz w:val="20"/>
                <w:szCs w:val="20"/>
              </w:rPr>
            </w:pPr>
            <w:r w:rsidRPr="000E63FA">
              <w:rPr>
                <w:sz w:val="20"/>
                <w:szCs w:val="20"/>
              </w:rPr>
              <w:t>Minister of Justice of Canada</w:t>
            </w:r>
          </w:p>
          <w:p w:rsidR="007D148E" w:rsidRPr="000E63FA" w:rsidRDefault="007D148E" w:rsidP="006C1C3D">
            <w:pPr>
              <w:jc w:val="both"/>
              <w:rPr>
                <w:sz w:val="20"/>
                <w:szCs w:val="20"/>
              </w:rPr>
            </w:pPr>
          </w:p>
        </w:tc>
        <w:tc>
          <w:tcPr>
            <w:tcW w:w="243" w:type="pct"/>
          </w:tcPr>
          <w:p w:rsidR="007D148E" w:rsidRPr="000E63FA" w:rsidRDefault="007D148E" w:rsidP="006C1C3D">
            <w:pPr>
              <w:jc w:val="both"/>
              <w:rPr>
                <w:sz w:val="20"/>
                <w:szCs w:val="20"/>
              </w:rPr>
            </w:pPr>
          </w:p>
        </w:tc>
        <w:tc>
          <w:tcPr>
            <w:tcW w:w="2330" w:type="pct"/>
          </w:tcPr>
          <w:p w:rsidR="007D148E" w:rsidRPr="000E63FA" w:rsidRDefault="007D148E" w:rsidP="006C1C3D">
            <w:pPr>
              <w:jc w:val="both"/>
              <w:rPr>
                <w:sz w:val="20"/>
                <w:szCs w:val="20"/>
              </w:rPr>
            </w:pPr>
            <w:r w:rsidRPr="000E63FA">
              <w:rPr>
                <w:sz w:val="20"/>
                <w:szCs w:val="20"/>
              </w:rPr>
              <w:t xml:space="preserve">Authority to proceed issued pursuant to s. 15 of the </w:t>
            </w:r>
            <w:r w:rsidRPr="000E63FA">
              <w:rPr>
                <w:i/>
                <w:sz w:val="20"/>
                <w:szCs w:val="20"/>
              </w:rPr>
              <w:t>Extradition Act</w:t>
            </w:r>
            <w:r w:rsidRPr="000E63FA">
              <w:rPr>
                <w:sz w:val="20"/>
                <w:szCs w:val="20"/>
              </w:rPr>
              <w:t xml:space="preserve"> which authorizes the Attorney General of Canada to seek an order for the committal of the applicant who is being sought for prosecution by the United States of America</w:t>
            </w:r>
          </w:p>
          <w:p w:rsidR="007D148E" w:rsidRPr="000E63FA" w:rsidRDefault="007D148E" w:rsidP="006C1C3D">
            <w:pPr>
              <w:jc w:val="both"/>
              <w:rPr>
                <w:sz w:val="20"/>
                <w:szCs w:val="20"/>
              </w:rPr>
            </w:pPr>
          </w:p>
        </w:tc>
      </w:tr>
      <w:tr w:rsidR="007D148E" w:rsidRPr="000E63FA" w:rsidTr="006C1C3D">
        <w:tc>
          <w:tcPr>
            <w:tcW w:w="2427" w:type="pct"/>
          </w:tcPr>
          <w:p w:rsidR="007D148E" w:rsidRPr="000E63FA" w:rsidRDefault="007D148E" w:rsidP="006C1C3D">
            <w:pPr>
              <w:jc w:val="both"/>
              <w:rPr>
                <w:sz w:val="20"/>
                <w:szCs w:val="20"/>
              </w:rPr>
            </w:pPr>
            <w:r w:rsidRPr="000E63FA">
              <w:rPr>
                <w:sz w:val="20"/>
                <w:szCs w:val="20"/>
              </w:rPr>
              <w:t>June 15, 2012</w:t>
            </w:r>
          </w:p>
          <w:p w:rsidR="007D148E" w:rsidRPr="000E63FA" w:rsidRDefault="007D148E" w:rsidP="006C1C3D">
            <w:pPr>
              <w:jc w:val="both"/>
              <w:rPr>
                <w:sz w:val="20"/>
                <w:szCs w:val="20"/>
              </w:rPr>
            </w:pPr>
            <w:r w:rsidRPr="000E63FA">
              <w:rPr>
                <w:sz w:val="20"/>
                <w:szCs w:val="20"/>
              </w:rPr>
              <w:t>Court of Queen’s Bench of Alberta</w:t>
            </w:r>
          </w:p>
          <w:p w:rsidR="007D148E" w:rsidRPr="000E63FA" w:rsidRDefault="007D148E" w:rsidP="006C1C3D">
            <w:pPr>
              <w:jc w:val="both"/>
              <w:rPr>
                <w:sz w:val="20"/>
                <w:szCs w:val="20"/>
              </w:rPr>
            </w:pPr>
            <w:r w:rsidRPr="000E63FA">
              <w:rPr>
                <w:sz w:val="20"/>
                <w:szCs w:val="20"/>
              </w:rPr>
              <w:t>(Langston J.)</w:t>
            </w:r>
          </w:p>
          <w:p w:rsidR="007D148E" w:rsidRPr="000E63FA" w:rsidRDefault="007D148E" w:rsidP="006C1C3D">
            <w:pPr>
              <w:jc w:val="both"/>
              <w:rPr>
                <w:sz w:val="20"/>
                <w:szCs w:val="20"/>
              </w:rPr>
            </w:pPr>
            <w:r w:rsidRPr="000E63FA">
              <w:rPr>
                <w:sz w:val="20"/>
                <w:szCs w:val="20"/>
              </w:rPr>
              <w:t xml:space="preserve">Neutral citation: </w:t>
            </w:r>
          </w:p>
          <w:p w:rsidR="007D148E" w:rsidRPr="000E63FA" w:rsidRDefault="007D148E" w:rsidP="006C1C3D">
            <w:pPr>
              <w:jc w:val="both"/>
              <w:rPr>
                <w:sz w:val="20"/>
                <w:szCs w:val="20"/>
              </w:rPr>
            </w:pPr>
          </w:p>
        </w:tc>
        <w:tc>
          <w:tcPr>
            <w:tcW w:w="243" w:type="pct"/>
          </w:tcPr>
          <w:p w:rsidR="007D148E" w:rsidRPr="000E63FA" w:rsidRDefault="007D148E" w:rsidP="006C1C3D">
            <w:pPr>
              <w:jc w:val="both"/>
              <w:rPr>
                <w:sz w:val="20"/>
                <w:szCs w:val="20"/>
              </w:rPr>
            </w:pPr>
          </w:p>
        </w:tc>
        <w:tc>
          <w:tcPr>
            <w:tcW w:w="2330" w:type="pct"/>
          </w:tcPr>
          <w:p w:rsidR="007D148E" w:rsidRPr="000E63FA" w:rsidRDefault="007D148E" w:rsidP="006C1C3D">
            <w:pPr>
              <w:jc w:val="both"/>
              <w:rPr>
                <w:sz w:val="20"/>
                <w:szCs w:val="20"/>
              </w:rPr>
            </w:pPr>
            <w:r w:rsidRPr="000E63FA">
              <w:rPr>
                <w:sz w:val="20"/>
                <w:szCs w:val="20"/>
              </w:rPr>
              <w:t>Committal order granted</w:t>
            </w:r>
          </w:p>
          <w:p w:rsidR="007D148E" w:rsidRPr="000E63FA" w:rsidRDefault="007D148E" w:rsidP="006C1C3D">
            <w:pPr>
              <w:jc w:val="both"/>
              <w:rPr>
                <w:sz w:val="20"/>
                <w:szCs w:val="20"/>
              </w:rPr>
            </w:pPr>
          </w:p>
        </w:tc>
      </w:tr>
      <w:tr w:rsidR="007D148E" w:rsidRPr="000E63FA" w:rsidTr="006C1C3D">
        <w:tc>
          <w:tcPr>
            <w:tcW w:w="2427" w:type="pct"/>
          </w:tcPr>
          <w:p w:rsidR="007D148E" w:rsidRPr="000E63FA" w:rsidRDefault="007D148E" w:rsidP="006C1C3D">
            <w:pPr>
              <w:jc w:val="both"/>
              <w:rPr>
                <w:sz w:val="20"/>
                <w:szCs w:val="20"/>
              </w:rPr>
            </w:pPr>
            <w:r w:rsidRPr="000E63FA">
              <w:rPr>
                <w:sz w:val="20"/>
                <w:szCs w:val="20"/>
              </w:rPr>
              <w:t>May 24, 2013</w:t>
            </w:r>
          </w:p>
          <w:p w:rsidR="007D148E" w:rsidRPr="000E63FA" w:rsidRDefault="007D148E" w:rsidP="006C1C3D">
            <w:pPr>
              <w:jc w:val="both"/>
              <w:rPr>
                <w:sz w:val="20"/>
                <w:szCs w:val="20"/>
              </w:rPr>
            </w:pPr>
            <w:r w:rsidRPr="000E63FA">
              <w:rPr>
                <w:sz w:val="20"/>
                <w:szCs w:val="20"/>
              </w:rPr>
              <w:t>Court of Appeal of Alberta (Calgary)</w:t>
            </w:r>
          </w:p>
          <w:p w:rsidR="007D148E" w:rsidRPr="000E63FA" w:rsidRDefault="007D148E" w:rsidP="006C1C3D">
            <w:pPr>
              <w:jc w:val="both"/>
              <w:rPr>
                <w:sz w:val="20"/>
                <w:szCs w:val="20"/>
              </w:rPr>
            </w:pPr>
            <w:r w:rsidRPr="000E63FA">
              <w:rPr>
                <w:sz w:val="20"/>
                <w:szCs w:val="20"/>
              </w:rPr>
              <w:t>(O’Ferrall J.A.)</w:t>
            </w:r>
          </w:p>
          <w:p w:rsidR="007D148E" w:rsidRPr="000E63FA" w:rsidRDefault="007D148E" w:rsidP="006C1C3D">
            <w:pPr>
              <w:jc w:val="both"/>
              <w:rPr>
                <w:sz w:val="20"/>
                <w:szCs w:val="20"/>
              </w:rPr>
            </w:pPr>
            <w:r w:rsidRPr="000E63FA">
              <w:rPr>
                <w:sz w:val="20"/>
                <w:szCs w:val="20"/>
              </w:rPr>
              <w:t>2013 ABCA 178</w:t>
            </w:r>
          </w:p>
          <w:p w:rsidR="007D148E" w:rsidRPr="000E63FA" w:rsidRDefault="00CC2008" w:rsidP="006C1C3D">
            <w:pPr>
              <w:jc w:val="both"/>
              <w:rPr>
                <w:sz w:val="20"/>
                <w:szCs w:val="20"/>
              </w:rPr>
            </w:pPr>
            <w:hyperlink r:id="rId51" w:history="1">
              <w:r w:rsidR="007D148E" w:rsidRPr="000E63FA">
                <w:rPr>
                  <w:rStyle w:val="Hyperlink"/>
                  <w:sz w:val="20"/>
                  <w:szCs w:val="20"/>
                </w:rPr>
                <w:t>http://canlii.ca/t/fxl12</w:t>
              </w:r>
            </w:hyperlink>
          </w:p>
          <w:p w:rsidR="007D148E" w:rsidRPr="000E63FA" w:rsidRDefault="007D148E" w:rsidP="006C1C3D">
            <w:pPr>
              <w:jc w:val="both"/>
              <w:rPr>
                <w:sz w:val="20"/>
                <w:szCs w:val="20"/>
              </w:rPr>
            </w:pPr>
          </w:p>
        </w:tc>
        <w:tc>
          <w:tcPr>
            <w:tcW w:w="243" w:type="pct"/>
          </w:tcPr>
          <w:p w:rsidR="007D148E" w:rsidRPr="000E63FA" w:rsidRDefault="007D148E" w:rsidP="006C1C3D">
            <w:pPr>
              <w:jc w:val="both"/>
              <w:rPr>
                <w:sz w:val="20"/>
                <w:szCs w:val="20"/>
              </w:rPr>
            </w:pPr>
          </w:p>
        </w:tc>
        <w:tc>
          <w:tcPr>
            <w:tcW w:w="2330" w:type="pct"/>
          </w:tcPr>
          <w:p w:rsidR="007D148E" w:rsidRPr="000E63FA" w:rsidRDefault="007D148E" w:rsidP="006C1C3D">
            <w:pPr>
              <w:jc w:val="both"/>
              <w:rPr>
                <w:sz w:val="20"/>
                <w:szCs w:val="20"/>
              </w:rPr>
            </w:pPr>
            <w:r w:rsidRPr="000E63FA">
              <w:rPr>
                <w:sz w:val="20"/>
                <w:szCs w:val="20"/>
              </w:rPr>
              <w:t>Application for leave to appeal the committal order dismissed</w:t>
            </w:r>
          </w:p>
        </w:tc>
      </w:tr>
      <w:tr w:rsidR="007D148E" w:rsidRPr="000E63FA" w:rsidTr="006C1C3D">
        <w:tc>
          <w:tcPr>
            <w:tcW w:w="2427" w:type="pct"/>
          </w:tcPr>
          <w:p w:rsidR="007D148E" w:rsidRPr="000E63FA" w:rsidRDefault="007D148E" w:rsidP="006C1C3D">
            <w:pPr>
              <w:jc w:val="both"/>
              <w:rPr>
                <w:sz w:val="20"/>
                <w:szCs w:val="20"/>
              </w:rPr>
            </w:pPr>
            <w:r w:rsidRPr="000E63FA">
              <w:rPr>
                <w:sz w:val="20"/>
                <w:szCs w:val="20"/>
              </w:rPr>
              <w:t>August 19, 2013</w:t>
            </w:r>
          </w:p>
          <w:p w:rsidR="007D148E" w:rsidRPr="000E63FA" w:rsidRDefault="007D148E" w:rsidP="006C1C3D">
            <w:pPr>
              <w:jc w:val="both"/>
              <w:rPr>
                <w:sz w:val="20"/>
                <w:szCs w:val="20"/>
              </w:rPr>
            </w:pPr>
            <w:r w:rsidRPr="000E63FA">
              <w:rPr>
                <w:sz w:val="20"/>
                <w:szCs w:val="20"/>
              </w:rPr>
              <w:t>Supreme Court of Canada</w:t>
            </w:r>
          </w:p>
        </w:tc>
        <w:tc>
          <w:tcPr>
            <w:tcW w:w="243" w:type="pct"/>
          </w:tcPr>
          <w:p w:rsidR="007D148E" w:rsidRPr="000E63FA" w:rsidRDefault="007D148E" w:rsidP="006C1C3D">
            <w:pPr>
              <w:jc w:val="both"/>
              <w:rPr>
                <w:sz w:val="20"/>
                <w:szCs w:val="20"/>
              </w:rPr>
            </w:pPr>
          </w:p>
        </w:tc>
        <w:tc>
          <w:tcPr>
            <w:tcW w:w="2330" w:type="pct"/>
          </w:tcPr>
          <w:p w:rsidR="007D148E" w:rsidRPr="000E63FA" w:rsidRDefault="007D148E" w:rsidP="006C1C3D">
            <w:pPr>
              <w:jc w:val="both"/>
              <w:rPr>
                <w:sz w:val="20"/>
                <w:szCs w:val="20"/>
              </w:rPr>
            </w:pPr>
            <w:r w:rsidRPr="000E63FA">
              <w:rPr>
                <w:sz w:val="20"/>
                <w:szCs w:val="20"/>
              </w:rPr>
              <w:t>Application for leave to appeal filed</w:t>
            </w:r>
          </w:p>
          <w:p w:rsidR="007D148E" w:rsidRPr="000E63FA" w:rsidRDefault="007D148E" w:rsidP="006C1C3D">
            <w:pPr>
              <w:jc w:val="both"/>
              <w:rPr>
                <w:sz w:val="20"/>
                <w:szCs w:val="20"/>
              </w:rPr>
            </w:pPr>
          </w:p>
        </w:tc>
      </w:tr>
    </w:tbl>
    <w:p w:rsidR="005A33F8" w:rsidRDefault="005A33F8" w:rsidP="005A33F8">
      <w:pPr>
        <w:rPr>
          <w:sz w:val="20"/>
          <w:szCs w:val="20"/>
        </w:rPr>
      </w:pPr>
    </w:p>
    <w:p w:rsidR="005A33F8" w:rsidRPr="00C50A5C" w:rsidRDefault="00CC2008" w:rsidP="005A33F8">
      <w:pPr>
        <w:rPr>
          <w:sz w:val="20"/>
          <w:szCs w:val="20"/>
        </w:rPr>
      </w:pPr>
      <w:r w:rsidRPr="00CC2008">
        <w:rPr>
          <w:sz w:val="20"/>
          <w:szCs w:val="20"/>
          <w:lang w:val="fr-CA"/>
        </w:rPr>
        <w:pict>
          <v:rect id="_x0000_i1057" style="width:2in;height:1pt" o:hrpct="0" o:hralign="center" o:hrstd="t" o:hrnoshade="t" o:hr="t" fillcolor="black [3213]" stroked="f"/>
        </w:pict>
      </w:r>
    </w:p>
    <w:p w:rsidR="005A33F8" w:rsidRDefault="005A33F8" w:rsidP="005A33F8">
      <w:pPr>
        <w:rPr>
          <w:sz w:val="20"/>
          <w:szCs w:val="20"/>
        </w:rPr>
      </w:pPr>
    </w:p>
    <w:p w:rsidR="005A33F8" w:rsidRPr="001B157C" w:rsidRDefault="005A33F8" w:rsidP="005A33F8">
      <w:pPr>
        <w:rPr>
          <w:sz w:val="20"/>
          <w:szCs w:val="20"/>
          <w:u w:val="single"/>
          <w:lang w:val="fr-CA"/>
        </w:rPr>
      </w:pPr>
      <w:r w:rsidRPr="001B157C">
        <w:rPr>
          <w:sz w:val="20"/>
          <w:szCs w:val="20"/>
          <w:u w:val="single"/>
          <w:lang w:val="fr-CA"/>
        </w:rPr>
        <w:t>RÉSUMÉ DE L’AFFAIRE</w:t>
      </w:r>
    </w:p>
    <w:p w:rsidR="005A33F8" w:rsidRDefault="005A33F8" w:rsidP="005A33F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148E" w:rsidRPr="007C7F39" w:rsidTr="006C1C3D">
        <w:tc>
          <w:tcPr>
            <w:tcW w:w="5000" w:type="pct"/>
            <w:gridSpan w:val="3"/>
          </w:tcPr>
          <w:p w:rsidR="007D148E" w:rsidRPr="000E63FA" w:rsidRDefault="007D148E" w:rsidP="006C1C3D">
            <w:pPr>
              <w:jc w:val="both"/>
              <w:rPr>
                <w:sz w:val="20"/>
                <w:szCs w:val="20"/>
                <w:lang w:val="fr-CA"/>
              </w:rPr>
            </w:pPr>
            <w:r w:rsidRPr="000E63FA">
              <w:rPr>
                <w:sz w:val="20"/>
                <w:szCs w:val="20"/>
                <w:lang w:val="fr-CA"/>
              </w:rPr>
              <w:t>Extradition – Droit criminel – Appels – Ordonnance d’incarcération accordée – La Cour d’appel a</w:t>
            </w:r>
            <w:r w:rsidRPr="000E63FA">
              <w:rPr>
                <w:sz w:val="20"/>
                <w:szCs w:val="20"/>
                <w:lang w:val="fr-CA"/>
              </w:rPr>
              <w:noBreakHyphen/>
              <w:t>elle</w:t>
            </w:r>
            <w:r w:rsidRPr="000E63FA">
              <w:rPr>
                <w:sz w:val="20"/>
                <w:szCs w:val="20"/>
                <w:lang w:val="fr-CA"/>
              </w:rPr>
              <w:noBreakHyphen/>
              <w:t>commis une erreur en concluant que la personne amenée devant le juge d’extradition [</w:t>
            </w:r>
            <w:r w:rsidRPr="000E63FA">
              <w:rPr>
                <w:smallCaps/>
                <w:sz w:val="20"/>
                <w:szCs w:val="20"/>
                <w:lang w:val="fr-CA"/>
              </w:rPr>
              <w:t>traduction</w:t>
            </w:r>
            <w:r w:rsidRPr="000E63FA">
              <w:rPr>
                <w:sz w:val="20"/>
                <w:szCs w:val="20"/>
                <w:lang w:val="fr-CA"/>
              </w:rPr>
              <w:t>] « avait fait connaître son identité aux autorités locales et à la juridiction inférieure » en l’absence de toute preuve à cet effet? – La Cour d’appel a</w:t>
            </w:r>
            <w:r w:rsidRPr="000E63FA">
              <w:rPr>
                <w:sz w:val="20"/>
                <w:szCs w:val="20"/>
                <w:lang w:val="fr-CA"/>
              </w:rPr>
              <w:noBreakHyphen/>
              <w:t>t</w:t>
            </w:r>
            <w:r w:rsidRPr="000E63FA">
              <w:rPr>
                <w:sz w:val="20"/>
                <w:szCs w:val="20"/>
                <w:lang w:val="fr-CA"/>
              </w:rPr>
              <w:noBreakHyphen/>
              <w:t>elle commis une erreur en concluant qu’il n’y aurait pas d’injustice si l’autorisation était refusée?</w:t>
            </w:r>
          </w:p>
        </w:tc>
      </w:tr>
      <w:tr w:rsidR="007D148E" w:rsidRPr="007C7F39" w:rsidTr="006C1C3D">
        <w:tc>
          <w:tcPr>
            <w:tcW w:w="5000" w:type="pct"/>
            <w:gridSpan w:val="3"/>
          </w:tcPr>
          <w:p w:rsidR="007D148E" w:rsidRPr="000E63FA" w:rsidRDefault="007D148E" w:rsidP="006C1C3D">
            <w:pPr>
              <w:jc w:val="both"/>
              <w:rPr>
                <w:sz w:val="20"/>
                <w:szCs w:val="20"/>
                <w:lang w:val="fr-CA"/>
              </w:rPr>
            </w:pPr>
          </w:p>
        </w:tc>
      </w:tr>
      <w:tr w:rsidR="007D148E" w:rsidRPr="007C7F39" w:rsidTr="006C1C3D">
        <w:tc>
          <w:tcPr>
            <w:tcW w:w="5000" w:type="pct"/>
            <w:gridSpan w:val="3"/>
          </w:tcPr>
          <w:p w:rsidR="007D148E" w:rsidRPr="000E63FA" w:rsidRDefault="007D148E" w:rsidP="006C1C3D">
            <w:pPr>
              <w:jc w:val="both"/>
              <w:rPr>
                <w:sz w:val="20"/>
                <w:szCs w:val="20"/>
                <w:lang w:val="fr-CA"/>
              </w:rPr>
            </w:pPr>
            <w:r w:rsidRPr="000E63FA">
              <w:rPr>
                <w:sz w:val="20"/>
                <w:szCs w:val="20"/>
                <w:lang w:val="fr-CA"/>
              </w:rPr>
              <w:t xml:space="preserve">Le défendeur a sollicité une ordonnance d’incarcération de la demanderesse, Lisa Patricia Odale. En application de l’art. 15 de la </w:t>
            </w:r>
            <w:r w:rsidRPr="000E63FA">
              <w:rPr>
                <w:i/>
                <w:sz w:val="20"/>
                <w:szCs w:val="20"/>
                <w:lang w:val="fr-CA"/>
              </w:rPr>
              <w:t>Loi sur l’extradition</w:t>
            </w:r>
            <w:r w:rsidRPr="000E63FA">
              <w:rPr>
                <w:sz w:val="20"/>
                <w:szCs w:val="20"/>
                <w:lang w:val="fr-CA"/>
              </w:rPr>
              <w:t>, le ministre de la Justice a pris un arrêté introductif d’instance autorisant le défendeur à demander la délivrance d’une ordonnance d’incarcération en vue de l’extradition de la demanderesse.  Selon l’arrêté introductif d’instance, l’infraction canadienne correspondant à la conduite reprochée aux États</w:t>
            </w:r>
            <w:r w:rsidRPr="000E63FA">
              <w:rPr>
                <w:sz w:val="20"/>
                <w:szCs w:val="20"/>
                <w:lang w:val="fr-CA"/>
              </w:rPr>
              <w:noBreakHyphen/>
              <w:t xml:space="preserve">Unis d’Amérique est celle de faire le trafic de substances tenues pour de la </w:t>
            </w:r>
            <w:r w:rsidRPr="000E63FA">
              <w:rPr>
                <w:rFonts w:eastAsia="TimesNewRomanPSMT"/>
                <w:sz w:val="20"/>
                <w:szCs w:val="20"/>
                <w:lang w:val="fr-CA"/>
              </w:rPr>
              <w:t>méthamphétamine</w:t>
            </w:r>
            <w:r w:rsidRPr="000E63FA">
              <w:rPr>
                <w:sz w:val="20"/>
                <w:szCs w:val="20"/>
                <w:lang w:val="fr-CA"/>
              </w:rPr>
              <w:t xml:space="preserve"> et de la cocaïne, substances inscrites à l’annexe 1 de la </w:t>
            </w:r>
            <w:r w:rsidRPr="000E63FA">
              <w:rPr>
                <w:i/>
                <w:sz w:val="20"/>
                <w:szCs w:val="20"/>
                <w:lang w:val="fr-CA"/>
              </w:rPr>
              <w:t>Loi réglementant certaines drogues et autres substances</w:t>
            </w:r>
            <w:r w:rsidRPr="000E63FA">
              <w:rPr>
                <w:sz w:val="20"/>
                <w:szCs w:val="20"/>
                <w:lang w:val="fr-CA"/>
              </w:rPr>
              <w:t>, contrairement à l’art. 5 de cette loi.  La demanderesse a soutenu que la preuve ne permettait pas au juge d’extradition de conclure qu’elle était la personne recherchée par le partenaire. Le juge d’extradition a conclu que le partenaire avait satisfait aux exigences d’extradition et a accordé l’ordonnance d’extradition.  La Cour d’appel a rejeté la demande d’autorisation d’appel relative à l’ordonnance d’incarcération.</w:t>
            </w:r>
          </w:p>
          <w:p w:rsidR="007D148E" w:rsidRPr="000E63FA" w:rsidRDefault="007D148E" w:rsidP="006C1C3D">
            <w:pPr>
              <w:jc w:val="both"/>
              <w:rPr>
                <w:sz w:val="20"/>
                <w:szCs w:val="20"/>
                <w:lang w:val="fr-CA"/>
              </w:rPr>
            </w:pPr>
          </w:p>
        </w:tc>
      </w:tr>
      <w:tr w:rsidR="007D148E" w:rsidRPr="007C7F39" w:rsidTr="006C1C3D">
        <w:tc>
          <w:tcPr>
            <w:tcW w:w="2427" w:type="pct"/>
          </w:tcPr>
          <w:p w:rsidR="007D148E" w:rsidRPr="000E63FA" w:rsidRDefault="007D148E" w:rsidP="006C1C3D">
            <w:pPr>
              <w:jc w:val="both"/>
              <w:rPr>
                <w:sz w:val="20"/>
                <w:szCs w:val="20"/>
                <w:lang w:val="fr-CA"/>
              </w:rPr>
            </w:pPr>
            <w:r w:rsidRPr="000E63FA">
              <w:rPr>
                <w:sz w:val="20"/>
                <w:szCs w:val="20"/>
                <w:lang w:val="fr-CA"/>
              </w:rPr>
              <w:t>7 octobre 2011</w:t>
            </w:r>
          </w:p>
          <w:p w:rsidR="007D148E" w:rsidRPr="000E63FA" w:rsidRDefault="007D148E" w:rsidP="006C1C3D">
            <w:pPr>
              <w:jc w:val="both"/>
              <w:rPr>
                <w:sz w:val="20"/>
                <w:szCs w:val="20"/>
                <w:lang w:val="fr-CA"/>
              </w:rPr>
            </w:pPr>
            <w:r w:rsidRPr="000E63FA">
              <w:rPr>
                <w:sz w:val="20"/>
                <w:szCs w:val="20"/>
                <w:lang w:val="fr-CA"/>
              </w:rPr>
              <w:t>Ministre de la Justice du Canada</w:t>
            </w:r>
          </w:p>
          <w:p w:rsidR="007D148E" w:rsidRPr="000E63FA" w:rsidRDefault="007D148E" w:rsidP="006C1C3D">
            <w:pPr>
              <w:jc w:val="both"/>
              <w:rPr>
                <w:sz w:val="20"/>
                <w:szCs w:val="20"/>
                <w:lang w:val="fr-CA"/>
              </w:rPr>
            </w:pPr>
          </w:p>
        </w:tc>
        <w:tc>
          <w:tcPr>
            <w:tcW w:w="243" w:type="pct"/>
          </w:tcPr>
          <w:p w:rsidR="007D148E" w:rsidRPr="000E63FA" w:rsidRDefault="007D148E" w:rsidP="006C1C3D">
            <w:pPr>
              <w:jc w:val="both"/>
              <w:rPr>
                <w:sz w:val="20"/>
                <w:szCs w:val="20"/>
                <w:lang w:val="fr-CA"/>
              </w:rPr>
            </w:pPr>
          </w:p>
        </w:tc>
        <w:tc>
          <w:tcPr>
            <w:tcW w:w="2330" w:type="pct"/>
          </w:tcPr>
          <w:p w:rsidR="007D148E" w:rsidRPr="000E63FA" w:rsidRDefault="007D148E" w:rsidP="006C1C3D">
            <w:pPr>
              <w:jc w:val="both"/>
              <w:rPr>
                <w:sz w:val="20"/>
                <w:szCs w:val="20"/>
                <w:lang w:val="fr-CA"/>
              </w:rPr>
            </w:pPr>
            <w:r w:rsidRPr="000E63FA">
              <w:rPr>
                <w:sz w:val="20"/>
                <w:szCs w:val="20"/>
                <w:lang w:val="fr-CA"/>
              </w:rPr>
              <w:t xml:space="preserve">Arrêté introductif d’instance pris en application de l’art. 15 de la </w:t>
            </w:r>
            <w:r w:rsidRPr="000E63FA">
              <w:rPr>
                <w:i/>
                <w:sz w:val="20"/>
                <w:szCs w:val="20"/>
                <w:lang w:val="fr-CA"/>
              </w:rPr>
              <w:t>Loi sur l’extradition</w:t>
            </w:r>
            <w:r w:rsidRPr="000E63FA">
              <w:rPr>
                <w:sz w:val="20"/>
                <w:szCs w:val="20"/>
                <w:lang w:val="fr-CA"/>
              </w:rPr>
              <w:t>, autorisant le procureur général du Canada à demander la délivrance d’une ordonnance d’incarcération de la demanderesse qui est recherchée pour subir un procès par les États</w:t>
            </w:r>
            <w:r w:rsidRPr="000E63FA">
              <w:rPr>
                <w:sz w:val="20"/>
                <w:szCs w:val="20"/>
                <w:lang w:val="fr-CA"/>
              </w:rPr>
              <w:noBreakHyphen/>
              <w:t>Unis d’Amérique</w:t>
            </w:r>
          </w:p>
          <w:p w:rsidR="007D148E" w:rsidRPr="000E63FA" w:rsidRDefault="007D148E" w:rsidP="006C1C3D">
            <w:pPr>
              <w:jc w:val="both"/>
              <w:rPr>
                <w:sz w:val="20"/>
                <w:szCs w:val="20"/>
                <w:lang w:val="fr-CA"/>
              </w:rPr>
            </w:pPr>
          </w:p>
        </w:tc>
      </w:tr>
      <w:tr w:rsidR="007D148E" w:rsidRPr="000E63FA" w:rsidTr="006C1C3D">
        <w:tc>
          <w:tcPr>
            <w:tcW w:w="2427" w:type="pct"/>
          </w:tcPr>
          <w:p w:rsidR="007D148E" w:rsidRPr="000E63FA" w:rsidRDefault="007D148E" w:rsidP="006C1C3D">
            <w:pPr>
              <w:jc w:val="both"/>
              <w:rPr>
                <w:sz w:val="20"/>
                <w:szCs w:val="20"/>
                <w:lang w:val="fr-CA"/>
              </w:rPr>
            </w:pPr>
            <w:r w:rsidRPr="000E63FA">
              <w:rPr>
                <w:sz w:val="20"/>
                <w:szCs w:val="20"/>
                <w:lang w:val="fr-CA"/>
              </w:rPr>
              <w:t>15 juin 2012</w:t>
            </w:r>
          </w:p>
          <w:p w:rsidR="007D148E" w:rsidRPr="000E63FA" w:rsidRDefault="007D148E" w:rsidP="006C1C3D">
            <w:pPr>
              <w:jc w:val="both"/>
              <w:rPr>
                <w:sz w:val="20"/>
                <w:szCs w:val="20"/>
                <w:lang w:val="fr-CA"/>
              </w:rPr>
            </w:pPr>
            <w:r w:rsidRPr="000E63FA">
              <w:rPr>
                <w:sz w:val="20"/>
                <w:szCs w:val="20"/>
                <w:lang w:val="fr-CA"/>
              </w:rPr>
              <w:t>Cour du Banc de la Reine de l’Alberta</w:t>
            </w:r>
          </w:p>
          <w:p w:rsidR="007D148E" w:rsidRPr="000E63FA" w:rsidRDefault="007D148E" w:rsidP="006C1C3D">
            <w:pPr>
              <w:jc w:val="both"/>
              <w:rPr>
                <w:sz w:val="20"/>
                <w:szCs w:val="20"/>
                <w:lang w:val="fr-CA"/>
              </w:rPr>
            </w:pPr>
            <w:r w:rsidRPr="000E63FA">
              <w:rPr>
                <w:sz w:val="20"/>
                <w:szCs w:val="20"/>
                <w:lang w:val="fr-CA"/>
              </w:rPr>
              <w:t>(Juge Langston)</w:t>
            </w:r>
          </w:p>
          <w:p w:rsidR="007D148E" w:rsidRPr="000E63FA" w:rsidRDefault="007D148E" w:rsidP="006C1C3D">
            <w:pPr>
              <w:jc w:val="both"/>
              <w:rPr>
                <w:sz w:val="20"/>
                <w:szCs w:val="20"/>
                <w:lang w:val="fr-CA"/>
              </w:rPr>
            </w:pPr>
            <w:r w:rsidRPr="000E63FA">
              <w:rPr>
                <w:sz w:val="20"/>
                <w:szCs w:val="20"/>
                <w:lang w:val="fr-CA"/>
              </w:rPr>
              <w:t xml:space="preserve">Référence neutre : </w:t>
            </w:r>
          </w:p>
          <w:p w:rsidR="007D148E" w:rsidRPr="000E63FA" w:rsidRDefault="007D148E" w:rsidP="006C1C3D">
            <w:pPr>
              <w:jc w:val="both"/>
              <w:rPr>
                <w:sz w:val="20"/>
                <w:szCs w:val="20"/>
                <w:lang w:val="fr-CA"/>
              </w:rPr>
            </w:pPr>
          </w:p>
        </w:tc>
        <w:tc>
          <w:tcPr>
            <w:tcW w:w="243" w:type="pct"/>
          </w:tcPr>
          <w:p w:rsidR="007D148E" w:rsidRPr="000E63FA" w:rsidRDefault="007D148E" w:rsidP="006C1C3D">
            <w:pPr>
              <w:jc w:val="both"/>
              <w:rPr>
                <w:sz w:val="20"/>
                <w:szCs w:val="20"/>
                <w:lang w:val="fr-CA"/>
              </w:rPr>
            </w:pPr>
          </w:p>
        </w:tc>
        <w:tc>
          <w:tcPr>
            <w:tcW w:w="2330" w:type="pct"/>
          </w:tcPr>
          <w:p w:rsidR="007D148E" w:rsidRPr="000E63FA" w:rsidRDefault="007D148E" w:rsidP="006C1C3D">
            <w:pPr>
              <w:jc w:val="both"/>
              <w:rPr>
                <w:sz w:val="20"/>
                <w:szCs w:val="20"/>
                <w:lang w:val="fr-CA"/>
              </w:rPr>
            </w:pPr>
            <w:r w:rsidRPr="000E63FA">
              <w:rPr>
                <w:sz w:val="20"/>
                <w:szCs w:val="20"/>
                <w:lang w:val="fr-CA"/>
              </w:rPr>
              <w:t>Ordonnance d’incarcération accordée</w:t>
            </w:r>
          </w:p>
          <w:p w:rsidR="007D148E" w:rsidRPr="000E63FA" w:rsidRDefault="007D148E" w:rsidP="006C1C3D">
            <w:pPr>
              <w:jc w:val="both"/>
              <w:rPr>
                <w:sz w:val="20"/>
                <w:szCs w:val="20"/>
                <w:lang w:val="fr-CA"/>
              </w:rPr>
            </w:pPr>
          </w:p>
        </w:tc>
      </w:tr>
      <w:tr w:rsidR="007D148E" w:rsidRPr="007C7F39" w:rsidTr="006024E3">
        <w:trPr>
          <w:cantSplit/>
        </w:trPr>
        <w:tc>
          <w:tcPr>
            <w:tcW w:w="2427" w:type="pct"/>
          </w:tcPr>
          <w:p w:rsidR="007D148E" w:rsidRPr="000E63FA" w:rsidRDefault="007D148E" w:rsidP="006C1C3D">
            <w:pPr>
              <w:jc w:val="both"/>
              <w:rPr>
                <w:sz w:val="20"/>
                <w:szCs w:val="20"/>
                <w:lang w:val="fr-CA"/>
              </w:rPr>
            </w:pPr>
            <w:r w:rsidRPr="000E63FA">
              <w:rPr>
                <w:sz w:val="20"/>
                <w:szCs w:val="20"/>
                <w:lang w:val="fr-CA"/>
              </w:rPr>
              <w:t>24 mai 2013</w:t>
            </w:r>
          </w:p>
          <w:p w:rsidR="007D148E" w:rsidRPr="000E63FA" w:rsidRDefault="007D148E" w:rsidP="006C1C3D">
            <w:pPr>
              <w:jc w:val="both"/>
              <w:rPr>
                <w:sz w:val="20"/>
                <w:szCs w:val="20"/>
                <w:lang w:val="fr-CA"/>
              </w:rPr>
            </w:pPr>
            <w:r w:rsidRPr="000E63FA">
              <w:rPr>
                <w:sz w:val="20"/>
                <w:szCs w:val="20"/>
                <w:lang w:val="fr-CA"/>
              </w:rPr>
              <w:t>Cour d’appel de l’Alberta (Calgary)</w:t>
            </w:r>
          </w:p>
          <w:p w:rsidR="007D148E" w:rsidRPr="000E63FA" w:rsidRDefault="007D148E" w:rsidP="006C1C3D">
            <w:pPr>
              <w:jc w:val="both"/>
              <w:rPr>
                <w:sz w:val="20"/>
                <w:szCs w:val="20"/>
              </w:rPr>
            </w:pPr>
            <w:r w:rsidRPr="000E63FA">
              <w:rPr>
                <w:sz w:val="20"/>
                <w:szCs w:val="20"/>
              </w:rPr>
              <w:t>(Juge O’Ferrall)</w:t>
            </w:r>
          </w:p>
          <w:p w:rsidR="007D148E" w:rsidRPr="000E63FA" w:rsidRDefault="007D148E" w:rsidP="006C1C3D">
            <w:pPr>
              <w:jc w:val="both"/>
              <w:rPr>
                <w:sz w:val="20"/>
                <w:szCs w:val="20"/>
              </w:rPr>
            </w:pPr>
            <w:r w:rsidRPr="000E63FA">
              <w:rPr>
                <w:sz w:val="20"/>
                <w:szCs w:val="20"/>
              </w:rPr>
              <w:t>2013 ABCA 178</w:t>
            </w:r>
          </w:p>
          <w:p w:rsidR="007D148E" w:rsidRPr="000E63FA" w:rsidRDefault="00CC2008" w:rsidP="006C1C3D">
            <w:pPr>
              <w:jc w:val="both"/>
              <w:rPr>
                <w:sz w:val="20"/>
                <w:szCs w:val="20"/>
              </w:rPr>
            </w:pPr>
            <w:hyperlink r:id="rId52" w:history="1">
              <w:r w:rsidR="007D148E" w:rsidRPr="000E63FA">
                <w:rPr>
                  <w:rStyle w:val="Hyperlink"/>
                  <w:sz w:val="20"/>
                  <w:szCs w:val="20"/>
                </w:rPr>
                <w:t>http://canlii.ca/t/fxl12</w:t>
              </w:r>
            </w:hyperlink>
          </w:p>
          <w:p w:rsidR="007D148E" w:rsidRPr="000E63FA" w:rsidRDefault="007D148E" w:rsidP="006C1C3D">
            <w:pPr>
              <w:jc w:val="both"/>
              <w:rPr>
                <w:sz w:val="20"/>
                <w:szCs w:val="20"/>
              </w:rPr>
            </w:pPr>
          </w:p>
        </w:tc>
        <w:tc>
          <w:tcPr>
            <w:tcW w:w="243" w:type="pct"/>
          </w:tcPr>
          <w:p w:rsidR="007D148E" w:rsidRPr="000E63FA" w:rsidRDefault="007D148E" w:rsidP="006C1C3D">
            <w:pPr>
              <w:jc w:val="both"/>
              <w:rPr>
                <w:sz w:val="20"/>
                <w:szCs w:val="20"/>
              </w:rPr>
            </w:pPr>
          </w:p>
        </w:tc>
        <w:tc>
          <w:tcPr>
            <w:tcW w:w="2330" w:type="pct"/>
          </w:tcPr>
          <w:p w:rsidR="007D148E" w:rsidRPr="000E63FA" w:rsidRDefault="007D148E" w:rsidP="006C1C3D">
            <w:pPr>
              <w:jc w:val="both"/>
              <w:rPr>
                <w:sz w:val="20"/>
                <w:szCs w:val="20"/>
                <w:lang w:val="fr-CA"/>
              </w:rPr>
            </w:pPr>
            <w:r w:rsidRPr="000E63FA">
              <w:rPr>
                <w:sz w:val="20"/>
                <w:szCs w:val="20"/>
                <w:lang w:val="fr-CA"/>
              </w:rPr>
              <w:t>Demande d’autorisation d’appel de l’ordonnance d’incarcération rejetée</w:t>
            </w:r>
          </w:p>
        </w:tc>
      </w:tr>
      <w:tr w:rsidR="007D148E" w:rsidRPr="000E63FA" w:rsidTr="006024E3">
        <w:trPr>
          <w:cantSplit/>
        </w:trPr>
        <w:tc>
          <w:tcPr>
            <w:tcW w:w="2427" w:type="pct"/>
          </w:tcPr>
          <w:p w:rsidR="007D148E" w:rsidRPr="000E63FA" w:rsidRDefault="007D148E" w:rsidP="006C1C3D">
            <w:pPr>
              <w:jc w:val="both"/>
              <w:rPr>
                <w:sz w:val="20"/>
                <w:szCs w:val="20"/>
                <w:lang w:val="fr-CA"/>
              </w:rPr>
            </w:pPr>
            <w:r w:rsidRPr="000E63FA">
              <w:rPr>
                <w:sz w:val="20"/>
                <w:szCs w:val="20"/>
                <w:lang w:val="fr-CA"/>
              </w:rPr>
              <w:t>19 août 2013</w:t>
            </w:r>
          </w:p>
          <w:p w:rsidR="007D148E" w:rsidRPr="000E63FA" w:rsidRDefault="007D148E" w:rsidP="006C1C3D">
            <w:pPr>
              <w:jc w:val="both"/>
              <w:rPr>
                <w:sz w:val="20"/>
                <w:szCs w:val="20"/>
                <w:lang w:val="fr-CA"/>
              </w:rPr>
            </w:pPr>
            <w:r w:rsidRPr="000E63FA">
              <w:rPr>
                <w:sz w:val="20"/>
                <w:szCs w:val="20"/>
                <w:lang w:val="fr-CA"/>
              </w:rPr>
              <w:t>Cour suprême du Canada</w:t>
            </w:r>
          </w:p>
        </w:tc>
        <w:tc>
          <w:tcPr>
            <w:tcW w:w="243" w:type="pct"/>
          </w:tcPr>
          <w:p w:rsidR="007D148E" w:rsidRPr="000E63FA" w:rsidRDefault="007D148E" w:rsidP="006C1C3D">
            <w:pPr>
              <w:jc w:val="both"/>
              <w:rPr>
                <w:sz w:val="20"/>
                <w:szCs w:val="20"/>
                <w:lang w:val="fr-CA"/>
              </w:rPr>
            </w:pPr>
          </w:p>
        </w:tc>
        <w:tc>
          <w:tcPr>
            <w:tcW w:w="2330" w:type="pct"/>
          </w:tcPr>
          <w:p w:rsidR="007D148E" w:rsidRPr="000E63FA" w:rsidRDefault="007D148E" w:rsidP="006C1C3D">
            <w:pPr>
              <w:jc w:val="both"/>
              <w:rPr>
                <w:sz w:val="20"/>
                <w:szCs w:val="20"/>
                <w:lang w:val="fr-CA"/>
              </w:rPr>
            </w:pPr>
            <w:r w:rsidRPr="000E63FA">
              <w:rPr>
                <w:sz w:val="20"/>
                <w:szCs w:val="20"/>
                <w:lang w:val="fr-CA"/>
              </w:rPr>
              <w:t>Demande d’autorisation d’appel déposée</w:t>
            </w:r>
          </w:p>
        </w:tc>
      </w:tr>
    </w:tbl>
    <w:p w:rsidR="005A33F8" w:rsidRDefault="005A33F8" w:rsidP="005A33F8">
      <w:pPr>
        <w:rPr>
          <w:sz w:val="20"/>
          <w:szCs w:val="20"/>
        </w:rPr>
      </w:pPr>
    </w:p>
    <w:p w:rsidR="005A33F8" w:rsidRDefault="00CC2008" w:rsidP="005A33F8">
      <w:pPr>
        <w:rPr>
          <w:sz w:val="20"/>
          <w:szCs w:val="20"/>
        </w:rPr>
      </w:pPr>
      <w:r w:rsidRPr="00CC2008">
        <w:rPr>
          <w:sz w:val="20"/>
          <w:szCs w:val="20"/>
          <w:lang w:val="fr-CA"/>
        </w:rPr>
        <w:pict>
          <v:rect id="_x0000_i1058" style="width:2in;height:1pt" o:hrpct="0" o:hralign="center" o:hrstd="t" o:hrnoshade="t" o:hr="t" fillcolor="black [3213]" stroked="f"/>
        </w:pict>
      </w:r>
    </w:p>
    <w:p w:rsidR="005A33F8" w:rsidRDefault="005A33F8" w:rsidP="005A33F8">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65196B" w:rsidRPr="0065196B" w:rsidRDefault="0065196B" w:rsidP="0065196B">
      <w:pPr>
        <w:tabs>
          <w:tab w:val="left" w:pos="-1440"/>
          <w:tab w:val="left" w:pos="-720"/>
        </w:tabs>
        <w:jc w:val="both"/>
        <w:rPr>
          <w:rFonts w:eastAsia="Times New Roman" w:cs="Times New Roman"/>
          <w:sz w:val="20"/>
          <w:szCs w:val="20"/>
          <w:lang w:val="fr-CA" w:eastAsia="en-CA"/>
        </w:rPr>
      </w:pPr>
      <w:r w:rsidRPr="0065196B">
        <w:rPr>
          <w:rFonts w:eastAsia="Times New Roman" w:cs="Times New Roman"/>
          <w:sz w:val="20"/>
          <w:szCs w:val="20"/>
          <w:lang w:val="fr-CA" w:eastAsia="en-CA"/>
        </w:rPr>
        <w:t>11.10.2013</w:t>
      </w: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tabs>
          <w:tab w:val="left" w:pos="-1440"/>
          <w:tab w:val="left" w:pos="-720"/>
        </w:tabs>
        <w:jc w:val="both"/>
        <w:rPr>
          <w:rFonts w:eastAsia="Times New Roman" w:cs="Times New Roman"/>
          <w:sz w:val="20"/>
          <w:szCs w:val="20"/>
          <w:lang w:val="fr-CA" w:eastAsia="en-CA"/>
        </w:rPr>
      </w:pPr>
      <w:r w:rsidRPr="0065196B">
        <w:rPr>
          <w:rFonts w:eastAsia="Times New Roman" w:cs="Times New Roman"/>
          <w:sz w:val="20"/>
          <w:szCs w:val="20"/>
          <w:lang w:val="fr-CA" w:eastAsia="en-CA"/>
        </w:rPr>
        <w:t>Before / Devant :   KARAKATSANIS J. / LA JUGE KARAKATSANIS</w:t>
      </w:r>
    </w:p>
    <w:p w:rsidR="0065196B" w:rsidRPr="0065196B" w:rsidRDefault="0065196B" w:rsidP="0065196B">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5196B" w:rsidRPr="0065196B" w:rsidTr="006C1C3D">
        <w:trPr>
          <w:trHeight w:val="151"/>
        </w:trPr>
        <w:tc>
          <w:tcPr>
            <w:tcW w:w="4338" w:type="dxa"/>
          </w:tcPr>
          <w:p w:rsidR="0065196B" w:rsidRPr="0065196B" w:rsidRDefault="00CC2008" w:rsidP="0065196B">
            <w:pPr>
              <w:tabs>
                <w:tab w:val="left" w:pos="-1440"/>
                <w:tab w:val="left" w:pos="-720"/>
              </w:tabs>
              <w:jc w:val="both"/>
              <w:rPr>
                <w:lang w:val="fr-CA"/>
              </w:rPr>
            </w:pPr>
            <w:r w:rsidRPr="0065196B">
              <w:rPr>
                <w:lang w:val="en-US"/>
              </w:rPr>
              <w:fldChar w:fldCharType="begin"/>
            </w:r>
            <w:r w:rsidR="0065196B" w:rsidRPr="0065196B">
              <w:rPr>
                <w:lang w:val="fr-CA"/>
              </w:rPr>
              <w:instrText xml:space="preserve"> SEQ CHAPTER \h \r 1</w:instrText>
            </w:r>
            <w:r w:rsidRPr="0065196B">
              <w:rPr>
                <w:lang w:val="en-US"/>
              </w:rPr>
              <w:fldChar w:fldCharType="end"/>
            </w:r>
            <w:r w:rsidR="0065196B" w:rsidRPr="0065196B">
              <w:rPr>
                <w:b/>
                <w:bCs/>
                <w:lang w:val="fr-CA"/>
              </w:rPr>
              <w:t>Miscellaneous motion</w:t>
            </w:r>
          </w:p>
          <w:p w:rsidR="0065196B" w:rsidRPr="0065196B" w:rsidRDefault="00CC2008" w:rsidP="0065196B">
            <w:pPr>
              <w:tabs>
                <w:tab w:val="left" w:pos="-1440"/>
                <w:tab w:val="left" w:pos="-720"/>
              </w:tabs>
              <w:jc w:val="both"/>
              <w:rPr>
                <w:lang w:val="fr-CA"/>
              </w:rPr>
            </w:pPr>
            <w:r w:rsidRPr="0065196B">
              <w:rPr>
                <w:lang w:val="en-US"/>
              </w:rPr>
              <w:fldChar w:fldCharType="begin"/>
            </w:r>
            <w:r w:rsidR="0065196B" w:rsidRPr="0065196B">
              <w:rPr>
                <w:lang w:val="fr-CA"/>
              </w:rPr>
              <w:instrText xml:space="preserve"> SEQ CHAPTER \h \r 1</w:instrText>
            </w:r>
            <w:r w:rsidRPr="0065196B">
              <w:rPr>
                <w:lang w:val="en-US"/>
              </w:rPr>
              <w:fldChar w:fldCharType="end"/>
            </w:r>
          </w:p>
        </w:tc>
        <w:tc>
          <w:tcPr>
            <w:tcW w:w="1170" w:type="dxa"/>
          </w:tcPr>
          <w:p w:rsidR="0065196B" w:rsidRPr="0065196B" w:rsidRDefault="0065196B" w:rsidP="0065196B">
            <w:pPr>
              <w:jc w:val="both"/>
              <w:rPr>
                <w:lang w:val="fr-CA"/>
              </w:rPr>
            </w:pPr>
          </w:p>
          <w:p w:rsidR="0065196B" w:rsidRPr="0065196B" w:rsidRDefault="0065196B" w:rsidP="0065196B">
            <w:pPr>
              <w:jc w:val="both"/>
              <w:rPr>
                <w:lang w:val="fr-CA"/>
              </w:rPr>
            </w:pPr>
          </w:p>
        </w:tc>
        <w:tc>
          <w:tcPr>
            <w:tcW w:w="4327" w:type="dxa"/>
          </w:tcPr>
          <w:p w:rsidR="0065196B" w:rsidRPr="0065196B" w:rsidRDefault="00CC2008" w:rsidP="0065196B">
            <w:pPr>
              <w:jc w:val="both"/>
              <w:rPr>
                <w:b/>
                <w:lang w:val="fr-CA"/>
              </w:rPr>
            </w:pPr>
            <w:r w:rsidRPr="0065196B">
              <w:rPr>
                <w:lang w:val="en-US"/>
              </w:rPr>
              <w:fldChar w:fldCharType="begin"/>
            </w:r>
            <w:r w:rsidR="0065196B" w:rsidRPr="0065196B">
              <w:rPr>
                <w:lang w:val="fr-CA"/>
              </w:rPr>
              <w:instrText xml:space="preserve"> SEQ CHAPTER \h \r 1</w:instrText>
            </w:r>
            <w:r w:rsidRPr="0065196B">
              <w:rPr>
                <w:lang w:val="en-US"/>
              </w:rPr>
              <w:fldChar w:fldCharType="end"/>
            </w:r>
            <w:r w:rsidR="0065196B" w:rsidRPr="0065196B">
              <w:rPr>
                <w:b/>
                <w:bCs/>
                <w:lang w:val="fr-CA"/>
              </w:rPr>
              <w:t>Requête diverse</w:t>
            </w:r>
          </w:p>
          <w:p w:rsidR="0065196B" w:rsidRPr="0065196B" w:rsidRDefault="00CC2008" w:rsidP="0065196B">
            <w:pPr>
              <w:jc w:val="both"/>
              <w:rPr>
                <w:b/>
                <w:lang w:val="fr-CA"/>
              </w:rPr>
            </w:pPr>
            <w:r w:rsidRPr="0065196B">
              <w:rPr>
                <w:b/>
                <w:lang w:val="en-US"/>
              </w:rPr>
              <w:fldChar w:fldCharType="begin"/>
            </w:r>
            <w:r w:rsidR="0065196B" w:rsidRPr="0065196B">
              <w:rPr>
                <w:b/>
                <w:lang w:val="fr-CA"/>
              </w:rPr>
              <w:instrText xml:space="preserve"> SEQ CHAPTER \h \r 1</w:instrText>
            </w:r>
            <w:r w:rsidRPr="0065196B">
              <w:rPr>
                <w:b/>
                <w:lang w:val="en-US"/>
              </w:rPr>
              <w:fldChar w:fldCharType="end"/>
            </w:r>
            <w:r w:rsidRPr="0065196B">
              <w:rPr>
                <w:b/>
                <w:lang w:val="en-US"/>
              </w:rPr>
              <w:fldChar w:fldCharType="begin"/>
            </w:r>
            <w:r w:rsidR="0065196B" w:rsidRPr="0065196B">
              <w:rPr>
                <w:b/>
                <w:lang w:val="fr-CA"/>
              </w:rPr>
              <w:instrText xml:space="preserve"> SEQ CHAPTER \h \r 1</w:instrText>
            </w:r>
            <w:r w:rsidRPr="0065196B">
              <w:rPr>
                <w:b/>
                <w:lang w:val="en-US"/>
              </w:rPr>
              <w:fldChar w:fldCharType="end"/>
            </w:r>
          </w:p>
        </w:tc>
      </w:tr>
      <w:tr w:rsidR="0065196B" w:rsidRPr="0065196B" w:rsidTr="006C1C3D">
        <w:trPr>
          <w:trHeight w:val="150"/>
        </w:trPr>
        <w:tc>
          <w:tcPr>
            <w:tcW w:w="4338" w:type="dxa"/>
          </w:tcPr>
          <w:p w:rsidR="0065196B" w:rsidRPr="0065196B" w:rsidRDefault="0065196B" w:rsidP="0065196B">
            <w:pPr>
              <w:tabs>
                <w:tab w:val="left" w:pos="-1440"/>
                <w:tab w:val="left" w:pos="-720"/>
              </w:tabs>
              <w:jc w:val="both"/>
              <w:rPr>
                <w:lang w:val="fr-CA"/>
              </w:rPr>
            </w:pPr>
            <w:r w:rsidRPr="0065196B">
              <w:rPr>
                <w:lang w:val="fr-CA"/>
              </w:rPr>
              <w:t>R.L.</w:t>
            </w:r>
          </w:p>
          <w:p w:rsidR="0065196B" w:rsidRPr="0065196B" w:rsidRDefault="0065196B" w:rsidP="0065196B">
            <w:pPr>
              <w:tabs>
                <w:tab w:val="left" w:pos="-1440"/>
                <w:tab w:val="left" w:pos="-720"/>
              </w:tabs>
              <w:jc w:val="both"/>
              <w:rPr>
                <w:lang w:val="fr-CA"/>
              </w:rPr>
            </w:pPr>
          </w:p>
          <w:p w:rsidR="0065196B" w:rsidRPr="0065196B" w:rsidRDefault="0065196B" w:rsidP="0065196B">
            <w:pPr>
              <w:tabs>
                <w:tab w:val="left" w:pos="-1440"/>
                <w:tab w:val="left" w:pos="-720"/>
              </w:tabs>
              <w:jc w:val="both"/>
              <w:rPr>
                <w:lang w:val="fr-CA"/>
              </w:rPr>
            </w:pPr>
            <w:r w:rsidRPr="0065196B">
              <w:rPr>
                <w:lang w:val="fr-CA"/>
              </w:rPr>
              <w:tab/>
              <w:t>c. (34871)</w:t>
            </w:r>
          </w:p>
          <w:p w:rsidR="0065196B" w:rsidRPr="0065196B" w:rsidRDefault="0065196B" w:rsidP="0065196B">
            <w:pPr>
              <w:tabs>
                <w:tab w:val="left" w:pos="-1440"/>
                <w:tab w:val="left" w:pos="-720"/>
              </w:tabs>
              <w:jc w:val="both"/>
              <w:rPr>
                <w:lang w:val="fr-CA"/>
              </w:rPr>
            </w:pPr>
          </w:p>
          <w:p w:rsidR="0065196B" w:rsidRPr="0065196B" w:rsidRDefault="0065196B" w:rsidP="0065196B">
            <w:pPr>
              <w:tabs>
                <w:tab w:val="left" w:pos="-1440"/>
                <w:tab w:val="left" w:pos="-720"/>
              </w:tabs>
              <w:jc w:val="both"/>
              <w:rPr>
                <w:lang w:val="fr-CA"/>
              </w:rPr>
            </w:pPr>
            <w:r w:rsidRPr="0065196B">
              <w:rPr>
                <w:lang w:val="fr-CA"/>
              </w:rPr>
              <w:t>Sa Majesté la Reine (Crim.) (Qc)</w:t>
            </w:r>
          </w:p>
        </w:tc>
        <w:tc>
          <w:tcPr>
            <w:tcW w:w="1170" w:type="dxa"/>
          </w:tcPr>
          <w:p w:rsidR="0065196B" w:rsidRPr="0065196B" w:rsidRDefault="0065196B" w:rsidP="0065196B">
            <w:pPr>
              <w:jc w:val="both"/>
              <w:rPr>
                <w:lang w:val="fr-CA"/>
              </w:rPr>
            </w:pPr>
          </w:p>
        </w:tc>
        <w:tc>
          <w:tcPr>
            <w:tcW w:w="4327" w:type="dxa"/>
          </w:tcPr>
          <w:p w:rsidR="0065196B" w:rsidRPr="0065196B" w:rsidRDefault="0065196B" w:rsidP="0065196B">
            <w:pPr>
              <w:jc w:val="both"/>
              <w:rPr>
                <w:lang w:val="fr-CA"/>
              </w:rPr>
            </w:pPr>
          </w:p>
        </w:tc>
      </w:tr>
    </w:tbl>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tabs>
          <w:tab w:val="left" w:pos="-1440"/>
          <w:tab w:val="left" w:pos="-720"/>
        </w:tabs>
        <w:jc w:val="both"/>
        <w:rPr>
          <w:rFonts w:eastAsia="Times New Roman" w:cs="Times New Roman"/>
          <w:sz w:val="20"/>
          <w:szCs w:val="20"/>
          <w:lang w:val="fr-CA" w:eastAsia="en-CA"/>
        </w:rPr>
      </w:pPr>
      <w:r w:rsidRPr="0065196B">
        <w:rPr>
          <w:rFonts w:eastAsia="Times New Roman" w:cs="Times New Roman"/>
          <w:b/>
          <w:sz w:val="20"/>
          <w:szCs w:val="20"/>
          <w:lang w:val="fr-CA" w:eastAsia="en-CA"/>
        </w:rPr>
        <w:t>GRANTED / ACCORDÉE</w:t>
      </w: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spacing w:line="233" w:lineRule="auto"/>
        <w:jc w:val="both"/>
        <w:rPr>
          <w:rFonts w:eastAsia="Times New Roman" w:cs="Times New Roman"/>
          <w:b/>
          <w:bCs/>
          <w:sz w:val="20"/>
          <w:szCs w:val="20"/>
          <w:lang w:val="fr-CA" w:eastAsia="en-CA"/>
        </w:rPr>
      </w:pPr>
      <w:r w:rsidRPr="0065196B">
        <w:rPr>
          <w:rFonts w:eastAsia="Times New Roman" w:cs="Times New Roman"/>
          <w:b/>
          <w:bCs/>
          <w:sz w:val="20"/>
          <w:szCs w:val="20"/>
          <w:lang w:val="fr-CA" w:eastAsia="en-CA"/>
        </w:rPr>
        <w:t xml:space="preserve">À LA SUITE DES REQUÊTES </w:t>
      </w:r>
      <w:r w:rsidRPr="0065196B">
        <w:rPr>
          <w:rFonts w:eastAsia="Times New Roman" w:cs="Times New Roman"/>
          <w:bCs/>
          <w:sz w:val="20"/>
          <w:szCs w:val="20"/>
          <w:lang w:val="fr-CA" w:eastAsia="en-CA"/>
        </w:rPr>
        <w:t>présentées par l’appelant pour obtenir l’autorisation de déposer un mémoire amendé et demandant</w:t>
      </w:r>
      <w:r w:rsidRPr="0065196B">
        <w:rPr>
          <w:rFonts w:eastAsia="Times New Roman" w:cs="Times New Roman"/>
          <w:sz w:val="20"/>
          <w:szCs w:val="20"/>
          <w:lang w:val="fr-CA" w:eastAsia="en-CA"/>
        </w:rPr>
        <w:t xml:space="preserve"> la correction du dossier et du mémoire de l’intimée;</w:t>
      </w:r>
    </w:p>
    <w:p w:rsidR="0065196B" w:rsidRPr="0065196B" w:rsidRDefault="0065196B" w:rsidP="0065196B">
      <w:pPr>
        <w:spacing w:line="233" w:lineRule="auto"/>
        <w:jc w:val="both"/>
        <w:rPr>
          <w:rFonts w:eastAsia="Times New Roman" w:cs="Times New Roman"/>
          <w:sz w:val="20"/>
          <w:szCs w:val="20"/>
          <w:lang w:val="fr-CA" w:eastAsia="en-CA"/>
        </w:rPr>
      </w:pPr>
    </w:p>
    <w:p w:rsidR="0065196B" w:rsidRPr="0065196B" w:rsidRDefault="0065196B" w:rsidP="0065196B">
      <w:pPr>
        <w:spacing w:line="233" w:lineRule="auto"/>
        <w:jc w:val="both"/>
        <w:rPr>
          <w:rFonts w:eastAsia="Times New Roman" w:cs="Times New Roman"/>
          <w:sz w:val="20"/>
          <w:szCs w:val="20"/>
          <w:lang w:val="fr-CA" w:eastAsia="en-CA"/>
        </w:rPr>
      </w:pPr>
      <w:r w:rsidRPr="0065196B">
        <w:rPr>
          <w:rFonts w:eastAsia="Times New Roman" w:cs="Times New Roman"/>
          <w:b/>
          <w:bCs/>
          <w:sz w:val="20"/>
          <w:szCs w:val="20"/>
          <w:lang w:val="fr-CA" w:eastAsia="en-CA"/>
        </w:rPr>
        <w:t xml:space="preserve">ET APRÈS EXAMEN </w:t>
      </w:r>
      <w:r w:rsidRPr="0065196B">
        <w:rPr>
          <w:rFonts w:eastAsia="Times New Roman" w:cs="Times New Roman"/>
          <w:sz w:val="20"/>
          <w:szCs w:val="20"/>
          <w:lang w:val="fr-CA" w:eastAsia="en-CA"/>
        </w:rPr>
        <w:t xml:space="preserve">des documents déposés; </w:t>
      </w:r>
    </w:p>
    <w:p w:rsidR="0065196B" w:rsidRPr="0065196B" w:rsidRDefault="0065196B" w:rsidP="0065196B">
      <w:pPr>
        <w:spacing w:line="233" w:lineRule="auto"/>
        <w:jc w:val="both"/>
        <w:rPr>
          <w:rFonts w:eastAsia="Times New Roman" w:cs="Times New Roman"/>
          <w:sz w:val="20"/>
          <w:szCs w:val="20"/>
          <w:lang w:val="fr-CA" w:eastAsia="en-CA"/>
        </w:rPr>
      </w:pPr>
    </w:p>
    <w:p w:rsidR="0065196B" w:rsidRPr="0065196B" w:rsidRDefault="0065196B" w:rsidP="0065196B">
      <w:pPr>
        <w:spacing w:line="233" w:lineRule="auto"/>
        <w:jc w:val="both"/>
        <w:rPr>
          <w:rFonts w:eastAsia="Times New Roman" w:cs="Times New Roman"/>
          <w:sz w:val="20"/>
          <w:szCs w:val="20"/>
          <w:lang w:val="fr-CA" w:eastAsia="en-CA"/>
        </w:rPr>
      </w:pPr>
      <w:r w:rsidRPr="0065196B">
        <w:rPr>
          <w:rFonts w:eastAsia="Times New Roman" w:cs="Times New Roman"/>
          <w:b/>
          <w:bCs/>
          <w:sz w:val="20"/>
          <w:szCs w:val="20"/>
          <w:lang w:val="fr-CA" w:eastAsia="en-CA"/>
        </w:rPr>
        <w:t xml:space="preserve">IL EST ORDONNÉ CE QUI SUIT : </w:t>
      </w:r>
    </w:p>
    <w:p w:rsidR="0065196B" w:rsidRPr="0065196B" w:rsidRDefault="0065196B" w:rsidP="0065196B">
      <w:pPr>
        <w:spacing w:line="233" w:lineRule="auto"/>
        <w:jc w:val="both"/>
        <w:rPr>
          <w:rFonts w:eastAsia="Times New Roman" w:cs="Times New Roman"/>
          <w:sz w:val="20"/>
          <w:szCs w:val="20"/>
          <w:lang w:val="fr-CA" w:eastAsia="en-CA"/>
        </w:rPr>
      </w:pPr>
    </w:p>
    <w:p w:rsidR="0065196B" w:rsidRPr="0065196B" w:rsidRDefault="0065196B" w:rsidP="0065196B">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cs="Times New Roman"/>
          <w:sz w:val="20"/>
          <w:szCs w:val="20"/>
          <w:lang w:val="fr-CA"/>
        </w:rPr>
      </w:pPr>
      <w:r w:rsidRPr="0065196B">
        <w:rPr>
          <w:rFonts w:cs="Times New Roman"/>
          <w:sz w:val="20"/>
          <w:szCs w:val="20"/>
          <w:lang w:val="fr-CA"/>
        </w:rPr>
        <w:t xml:space="preserve">La requête pour obtenir l’autorisation de déposer un mémoire amendé est accueillie. </w:t>
      </w:r>
    </w:p>
    <w:p w:rsidR="0065196B" w:rsidRPr="0065196B" w:rsidRDefault="0065196B" w:rsidP="0065196B">
      <w:pPr>
        <w:spacing w:line="233" w:lineRule="auto"/>
        <w:jc w:val="both"/>
        <w:rPr>
          <w:rFonts w:eastAsia="Times New Roman" w:cs="Times New Roman"/>
          <w:sz w:val="20"/>
          <w:szCs w:val="20"/>
          <w:lang w:val="fr-CA" w:eastAsia="en-CA"/>
        </w:rPr>
      </w:pPr>
    </w:p>
    <w:p w:rsidR="0065196B" w:rsidRPr="0065196B" w:rsidRDefault="0065196B" w:rsidP="0065196B">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cs="Times New Roman"/>
          <w:sz w:val="20"/>
          <w:szCs w:val="20"/>
          <w:lang w:val="fr-CA"/>
        </w:rPr>
      </w:pPr>
      <w:r w:rsidRPr="0065196B">
        <w:rPr>
          <w:rFonts w:cs="Times New Roman"/>
          <w:sz w:val="20"/>
          <w:szCs w:val="20"/>
          <w:lang w:val="fr-CA"/>
        </w:rPr>
        <w:t>La requête demandant la correction du dossier et du mémoire de l’intimée est rejetée.</w:t>
      </w: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spacing w:line="233" w:lineRule="auto"/>
        <w:jc w:val="both"/>
        <w:rPr>
          <w:rFonts w:eastAsia="Times New Roman" w:cs="Times New Roman"/>
          <w:b/>
          <w:bCs/>
          <w:sz w:val="20"/>
          <w:szCs w:val="20"/>
          <w:lang w:eastAsia="en-CA"/>
        </w:rPr>
      </w:pPr>
      <w:r w:rsidRPr="0065196B">
        <w:rPr>
          <w:rFonts w:eastAsia="Times New Roman" w:cs="Times New Roman"/>
          <w:b/>
          <w:bCs/>
          <w:sz w:val="20"/>
          <w:szCs w:val="20"/>
          <w:lang w:eastAsia="en-CA"/>
        </w:rPr>
        <w:t xml:space="preserve">UPON MOTIONS </w:t>
      </w:r>
      <w:r w:rsidRPr="0065196B">
        <w:rPr>
          <w:rFonts w:eastAsia="Times New Roman" w:cs="Times New Roman"/>
          <w:bCs/>
          <w:sz w:val="20"/>
          <w:szCs w:val="20"/>
          <w:lang w:eastAsia="en-CA"/>
        </w:rPr>
        <w:t xml:space="preserve">by the appellant for permission to file an amended factum and requesting </w:t>
      </w:r>
      <w:r w:rsidRPr="0065196B">
        <w:rPr>
          <w:rFonts w:eastAsia="Times New Roman" w:cs="Times New Roman"/>
          <w:sz w:val="20"/>
          <w:szCs w:val="20"/>
          <w:lang w:eastAsia="en-CA"/>
        </w:rPr>
        <w:t>corrections to the respondent’s record and factum;</w:t>
      </w:r>
    </w:p>
    <w:p w:rsidR="0065196B" w:rsidRPr="0065196B" w:rsidRDefault="0065196B" w:rsidP="0065196B">
      <w:pPr>
        <w:spacing w:line="233" w:lineRule="auto"/>
        <w:jc w:val="both"/>
        <w:rPr>
          <w:rFonts w:eastAsia="Times New Roman" w:cs="Times New Roman"/>
          <w:sz w:val="20"/>
          <w:szCs w:val="20"/>
          <w:lang w:eastAsia="en-CA"/>
        </w:rPr>
      </w:pPr>
    </w:p>
    <w:p w:rsidR="0065196B" w:rsidRPr="0065196B" w:rsidRDefault="0065196B" w:rsidP="0065196B">
      <w:pPr>
        <w:spacing w:line="233" w:lineRule="auto"/>
        <w:jc w:val="both"/>
        <w:rPr>
          <w:rFonts w:eastAsia="Times New Roman" w:cs="Times New Roman"/>
          <w:sz w:val="20"/>
          <w:szCs w:val="20"/>
          <w:lang w:eastAsia="en-CA"/>
        </w:rPr>
      </w:pPr>
      <w:r w:rsidRPr="0065196B">
        <w:rPr>
          <w:rFonts w:eastAsia="Times New Roman" w:cs="Times New Roman"/>
          <w:b/>
          <w:bCs/>
          <w:sz w:val="20"/>
          <w:szCs w:val="20"/>
          <w:lang w:eastAsia="en-CA"/>
        </w:rPr>
        <w:t xml:space="preserve">AND THE MATERIAL FILED </w:t>
      </w:r>
      <w:r w:rsidRPr="0065196B">
        <w:rPr>
          <w:rFonts w:eastAsia="Times New Roman" w:cs="Times New Roman"/>
          <w:sz w:val="20"/>
          <w:szCs w:val="20"/>
          <w:lang w:eastAsia="en-CA"/>
        </w:rPr>
        <w:t xml:space="preserve">having been read; </w:t>
      </w:r>
    </w:p>
    <w:p w:rsidR="0065196B" w:rsidRPr="0065196B" w:rsidRDefault="0065196B" w:rsidP="0065196B">
      <w:pPr>
        <w:spacing w:line="233" w:lineRule="auto"/>
        <w:jc w:val="both"/>
        <w:rPr>
          <w:rFonts w:eastAsia="Times New Roman" w:cs="Times New Roman"/>
          <w:sz w:val="20"/>
          <w:szCs w:val="20"/>
          <w:lang w:eastAsia="en-CA"/>
        </w:rPr>
      </w:pPr>
    </w:p>
    <w:p w:rsidR="0065196B" w:rsidRPr="0065196B" w:rsidRDefault="0065196B" w:rsidP="0065196B">
      <w:pPr>
        <w:spacing w:line="233" w:lineRule="auto"/>
        <w:jc w:val="both"/>
        <w:rPr>
          <w:rFonts w:eastAsia="Times New Roman" w:cs="Times New Roman"/>
          <w:sz w:val="20"/>
          <w:szCs w:val="20"/>
          <w:lang w:eastAsia="en-CA"/>
        </w:rPr>
      </w:pPr>
      <w:r w:rsidRPr="0065196B">
        <w:rPr>
          <w:rFonts w:eastAsia="Times New Roman" w:cs="Times New Roman"/>
          <w:b/>
          <w:bCs/>
          <w:sz w:val="20"/>
          <w:szCs w:val="20"/>
          <w:lang w:eastAsia="en-CA"/>
        </w:rPr>
        <w:t xml:space="preserve">IT IS HEREBY ORDERED THAT: </w:t>
      </w:r>
    </w:p>
    <w:p w:rsidR="0065196B" w:rsidRPr="0065196B" w:rsidRDefault="0065196B" w:rsidP="0065196B">
      <w:pPr>
        <w:spacing w:line="233" w:lineRule="auto"/>
        <w:jc w:val="both"/>
        <w:rPr>
          <w:rFonts w:eastAsia="Times New Roman" w:cs="Times New Roman"/>
          <w:sz w:val="20"/>
          <w:szCs w:val="20"/>
          <w:lang w:eastAsia="en-CA"/>
        </w:rPr>
      </w:pPr>
    </w:p>
    <w:p w:rsidR="0065196B" w:rsidRPr="0065196B" w:rsidRDefault="0065196B" w:rsidP="0065196B">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cs="Times New Roman"/>
          <w:sz w:val="20"/>
          <w:szCs w:val="20"/>
        </w:rPr>
      </w:pPr>
      <w:r w:rsidRPr="0065196B">
        <w:rPr>
          <w:rFonts w:cs="Times New Roman"/>
          <w:sz w:val="20"/>
          <w:szCs w:val="20"/>
        </w:rPr>
        <w:t xml:space="preserve">The motion </w:t>
      </w:r>
      <w:r w:rsidRPr="0065196B">
        <w:rPr>
          <w:rFonts w:cs="Times New Roman"/>
          <w:bCs/>
          <w:sz w:val="20"/>
          <w:szCs w:val="20"/>
        </w:rPr>
        <w:t>for permission to file an amended factum is granted</w:t>
      </w:r>
      <w:r w:rsidRPr="0065196B">
        <w:rPr>
          <w:rFonts w:cs="Times New Roman"/>
          <w:sz w:val="20"/>
          <w:szCs w:val="20"/>
        </w:rPr>
        <w:t xml:space="preserve">. </w:t>
      </w:r>
    </w:p>
    <w:p w:rsidR="0065196B" w:rsidRPr="0065196B" w:rsidRDefault="0065196B" w:rsidP="0065196B">
      <w:pPr>
        <w:spacing w:line="233" w:lineRule="auto"/>
        <w:jc w:val="both"/>
        <w:rPr>
          <w:rFonts w:eastAsia="Times New Roman" w:cs="Times New Roman"/>
          <w:sz w:val="20"/>
          <w:szCs w:val="20"/>
          <w:lang w:eastAsia="en-CA"/>
        </w:rPr>
      </w:pPr>
    </w:p>
    <w:p w:rsidR="0065196B" w:rsidRPr="0065196B" w:rsidRDefault="0065196B" w:rsidP="0065196B">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cs="Times New Roman"/>
          <w:sz w:val="20"/>
          <w:szCs w:val="20"/>
        </w:rPr>
      </w:pPr>
      <w:r w:rsidRPr="0065196B">
        <w:rPr>
          <w:rFonts w:cs="Times New Roman"/>
          <w:sz w:val="20"/>
          <w:szCs w:val="20"/>
        </w:rPr>
        <w:t xml:space="preserve">The motion </w:t>
      </w:r>
      <w:r w:rsidRPr="0065196B">
        <w:rPr>
          <w:rFonts w:cs="Times New Roman"/>
          <w:bCs/>
          <w:sz w:val="20"/>
          <w:szCs w:val="20"/>
        </w:rPr>
        <w:t xml:space="preserve">requesting </w:t>
      </w:r>
      <w:r w:rsidRPr="0065196B">
        <w:rPr>
          <w:rFonts w:cs="Times New Roman"/>
          <w:sz w:val="20"/>
          <w:szCs w:val="20"/>
        </w:rPr>
        <w:t>corrections to the respondent’s record and factum is dismissed.</w:t>
      </w:r>
    </w:p>
    <w:p w:rsidR="0065196B" w:rsidRPr="0065196B" w:rsidRDefault="0065196B" w:rsidP="0065196B">
      <w:pPr>
        <w:tabs>
          <w:tab w:val="left" w:pos="-1440"/>
          <w:tab w:val="left" w:pos="-720"/>
        </w:tabs>
        <w:jc w:val="both"/>
        <w:rPr>
          <w:rFonts w:eastAsia="Times New Roman" w:cs="Times New Roman"/>
          <w:sz w:val="20"/>
          <w:szCs w:val="20"/>
          <w:lang w:eastAsia="en-CA"/>
        </w:rPr>
      </w:pPr>
    </w:p>
    <w:p w:rsidR="0065196B" w:rsidRPr="0065196B" w:rsidRDefault="00CC2008" w:rsidP="0065196B">
      <w:pPr>
        <w:tabs>
          <w:tab w:val="left" w:pos="-1440"/>
          <w:tab w:val="left" w:pos="-720"/>
        </w:tabs>
        <w:jc w:val="both"/>
        <w:rPr>
          <w:rFonts w:eastAsia="Times New Roman" w:cs="Times New Roman"/>
          <w:sz w:val="20"/>
          <w:szCs w:val="20"/>
          <w:lang w:eastAsia="en-CA"/>
        </w:rPr>
      </w:pPr>
      <w:r w:rsidRPr="00CC2008">
        <w:rPr>
          <w:rFonts w:eastAsia="Times New Roman" w:cs="Times New Roman"/>
          <w:sz w:val="20"/>
          <w:szCs w:val="20"/>
          <w:lang w:val="fr-CA" w:eastAsia="en-CA"/>
        </w:rPr>
        <w:pict>
          <v:rect id="_x0000_i1061" style="width:2in;height:1pt" o:hrpct="0" o:hralign="center" o:hrstd="t" o:hrnoshade="t" o:hr="t" fillcolor="black [3213]" stroked="f"/>
        </w:pict>
      </w:r>
    </w:p>
    <w:p w:rsidR="0065196B" w:rsidRPr="0065196B" w:rsidRDefault="0065196B" w:rsidP="0065196B">
      <w:pPr>
        <w:tabs>
          <w:tab w:val="left" w:pos="-1440"/>
          <w:tab w:val="left" w:pos="-720"/>
        </w:tabs>
        <w:jc w:val="both"/>
        <w:rPr>
          <w:rFonts w:eastAsia="Times New Roman" w:cs="Times New Roman"/>
          <w:sz w:val="20"/>
          <w:szCs w:val="20"/>
          <w:lang w:eastAsia="en-CA"/>
        </w:rPr>
      </w:pPr>
    </w:p>
    <w:p w:rsidR="0065196B" w:rsidRPr="0065196B" w:rsidRDefault="0065196B" w:rsidP="0065196B">
      <w:pPr>
        <w:tabs>
          <w:tab w:val="left" w:pos="-1440"/>
          <w:tab w:val="left" w:pos="-720"/>
        </w:tabs>
        <w:jc w:val="both"/>
        <w:rPr>
          <w:rFonts w:eastAsia="Times New Roman" w:cs="Times New Roman"/>
          <w:sz w:val="20"/>
          <w:szCs w:val="20"/>
          <w:lang w:val="fr-CA" w:eastAsia="en-CA"/>
        </w:rPr>
      </w:pPr>
      <w:r w:rsidRPr="0065196B">
        <w:rPr>
          <w:rFonts w:eastAsia="Times New Roman" w:cs="Times New Roman"/>
          <w:sz w:val="20"/>
          <w:szCs w:val="20"/>
          <w:lang w:val="fr-CA" w:eastAsia="en-CA"/>
        </w:rPr>
        <w:t>15.10.2013</w:t>
      </w: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tabs>
          <w:tab w:val="left" w:pos="-1440"/>
          <w:tab w:val="left" w:pos="-720"/>
        </w:tabs>
        <w:jc w:val="both"/>
        <w:rPr>
          <w:rFonts w:eastAsia="Times New Roman" w:cs="Times New Roman"/>
          <w:sz w:val="20"/>
          <w:szCs w:val="20"/>
          <w:lang w:val="fr-CA" w:eastAsia="en-CA"/>
        </w:rPr>
      </w:pPr>
      <w:r w:rsidRPr="0065196B">
        <w:rPr>
          <w:rFonts w:eastAsia="Times New Roman" w:cs="Times New Roman"/>
          <w:sz w:val="20"/>
          <w:szCs w:val="20"/>
          <w:lang w:val="fr-CA" w:eastAsia="en-CA"/>
        </w:rPr>
        <w:t>Before / Devant :   KARAKATSANIS J. / LA JUGE KARAKATSANIS</w:t>
      </w:r>
    </w:p>
    <w:p w:rsidR="0065196B" w:rsidRPr="0065196B" w:rsidRDefault="0065196B" w:rsidP="0065196B">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5196B" w:rsidRPr="0065196B" w:rsidTr="006C1C3D">
        <w:trPr>
          <w:trHeight w:val="151"/>
        </w:trPr>
        <w:tc>
          <w:tcPr>
            <w:tcW w:w="4338" w:type="dxa"/>
          </w:tcPr>
          <w:p w:rsidR="0065196B" w:rsidRPr="0065196B" w:rsidRDefault="00CC2008" w:rsidP="0065196B">
            <w:pPr>
              <w:tabs>
                <w:tab w:val="left" w:pos="-1440"/>
                <w:tab w:val="left" w:pos="-720"/>
              </w:tabs>
              <w:jc w:val="both"/>
              <w:rPr>
                <w:lang w:val="fr-CA"/>
              </w:rPr>
            </w:pPr>
            <w:r w:rsidRPr="0065196B">
              <w:rPr>
                <w:lang w:val="en-US"/>
              </w:rPr>
              <w:fldChar w:fldCharType="begin"/>
            </w:r>
            <w:r w:rsidR="0065196B" w:rsidRPr="0065196B">
              <w:rPr>
                <w:lang w:val="fr-CA"/>
              </w:rPr>
              <w:instrText xml:space="preserve"> SEQ CHAPTER \h \r 1</w:instrText>
            </w:r>
            <w:r w:rsidRPr="0065196B">
              <w:rPr>
                <w:lang w:val="en-US"/>
              </w:rPr>
              <w:fldChar w:fldCharType="end"/>
            </w:r>
            <w:r w:rsidR="0065196B" w:rsidRPr="0065196B">
              <w:rPr>
                <w:b/>
                <w:bCs/>
                <w:lang w:val="fr-CA"/>
              </w:rPr>
              <w:t>Miscellaneous motion</w:t>
            </w:r>
          </w:p>
          <w:p w:rsidR="0065196B" w:rsidRPr="0065196B" w:rsidRDefault="00CC2008" w:rsidP="0065196B">
            <w:pPr>
              <w:tabs>
                <w:tab w:val="left" w:pos="-1440"/>
                <w:tab w:val="left" w:pos="-720"/>
              </w:tabs>
              <w:jc w:val="both"/>
              <w:rPr>
                <w:lang w:val="fr-CA"/>
              </w:rPr>
            </w:pPr>
            <w:r w:rsidRPr="0065196B">
              <w:rPr>
                <w:lang w:val="en-US"/>
              </w:rPr>
              <w:fldChar w:fldCharType="begin"/>
            </w:r>
            <w:r w:rsidR="0065196B" w:rsidRPr="0065196B">
              <w:rPr>
                <w:lang w:val="fr-CA"/>
              </w:rPr>
              <w:instrText xml:space="preserve"> SEQ CHAPTER \h \r 1</w:instrText>
            </w:r>
            <w:r w:rsidRPr="0065196B">
              <w:rPr>
                <w:lang w:val="en-US"/>
              </w:rPr>
              <w:fldChar w:fldCharType="end"/>
            </w:r>
          </w:p>
        </w:tc>
        <w:tc>
          <w:tcPr>
            <w:tcW w:w="1170" w:type="dxa"/>
          </w:tcPr>
          <w:p w:rsidR="0065196B" w:rsidRPr="0065196B" w:rsidRDefault="0065196B" w:rsidP="0065196B">
            <w:pPr>
              <w:jc w:val="both"/>
              <w:rPr>
                <w:lang w:val="fr-CA"/>
              </w:rPr>
            </w:pPr>
          </w:p>
          <w:p w:rsidR="0065196B" w:rsidRPr="0065196B" w:rsidRDefault="0065196B" w:rsidP="0065196B">
            <w:pPr>
              <w:jc w:val="both"/>
              <w:rPr>
                <w:lang w:val="fr-CA"/>
              </w:rPr>
            </w:pPr>
          </w:p>
        </w:tc>
        <w:tc>
          <w:tcPr>
            <w:tcW w:w="4327" w:type="dxa"/>
          </w:tcPr>
          <w:p w:rsidR="0065196B" w:rsidRPr="0065196B" w:rsidRDefault="00CC2008" w:rsidP="0065196B">
            <w:pPr>
              <w:jc w:val="both"/>
              <w:rPr>
                <w:b/>
                <w:lang w:val="fr-CA"/>
              </w:rPr>
            </w:pPr>
            <w:r w:rsidRPr="0065196B">
              <w:rPr>
                <w:lang w:val="en-US"/>
              </w:rPr>
              <w:fldChar w:fldCharType="begin"/>
            </w:r>
            <w:r w:rsidR="0065196B" w:rsidRPr="0065196B">
              <w:rPr>
                <w:lang w:val="fr-CA"/>
              </w:rPr>
              <w:instrText xml:space="preserve"> SEQ CHAPTER \h \r 1</w:instrText>
            </w:r>
            <w:r w:rsidRPr="0065196B">
              <w:rPr>
                <w:lang w:val="en-US"/>
              </w:rPr>
              <w:fldChar w:fldCharType="end"/>
            </w:r>
            <w:r w:rsidR="0065196B" w:rsidRPr="0065196B">
              <w:rPr>
                <w:b/>
                <w:bCs/>
                <w:lang w:val="fr-CA"/>
              </w:rPr>
              <w:t>Requête diverse</w:t>
            </w:r>
          </w:p>
          <w:p w:rsidR="0065196B" w:rsidRPr="0065196B" w:rsidRDefault="00CC2008" w:rsidP="0065196B">
            <w:pPr>
              <w:jc w:val="both"/>
              <w:rPr>
                <w:b/>
                <w:lang w:val="fr-CA"/>
              </w:rPr>
            </w:pPr>
            <w:r w:rsidRPr="0065196B">
              <w:rPr>
                <w:b/>
                <w:lang w:val="en-US"/>
              </w:rPr>
              <w:fldChar w:fldCharType="begin"/>
            </w:r>
            <w:r w:rsidR="0065196B" w:rsidRPr="0065196B">
              <w:rPr>
                <w:b/>
                <w:lang w:val="fr-CA"/>
              </w:rPr>
              <w:instrText xml:space="preserve"> SEQ CHAPTER \h \r 1</w:instrText>
            </w:r>
            <w:r w:rsidRPr="0065196B">
              <w:rPr>
                <w:b/>
                <w:lang w:val="en-US"/>
              </w:rPr>
              <w:fldChar w:fldCharType="end"/>
            </w:r>
            <w:r w:rsidRPr="0065196B">
              <w:rPr>
                <w:b/>
                <w:lang w:val="en-US"/>
              </w:rPr>
              <w:fldChar w:fldCharType="begin"/>
            </w:r>
            <w:r w:rsidR="0065196B" w:rsidRPr="0065196B">
              <w:rPr>
                <w:b/>
                <w:lang w:val="fr-CA"/>
              </w:rPr>
              <w:instrText xml:space="preserve"> SEQ CHAPTER \h \r 1</w:instrText>
            </w:r>
            <w:r w:rsidRPr="0065196B">
              <w:rPr>
                <w:b/>
                <w:lang w:val="en-US"/>
              </w:rPr>
              <w:fldChar w:fldCharType="end"/>
            </w:r>
          </w:p>
        </w:tc>
      </w:tr>
      <w:tr w:rsidR="0065196B" w:rsidRPr="0065196B" w:rsidTr="006C1C3D">
        <w:trPr>
          <w:trHeight w:val="150"/>
        </w:trPr>
        <w:tc>
          <w:tcPr>
            <w:tcW w:w="4338" w:type="dxa"/>
          </w:tcPr>
          <w:p w:rsidR="0065196B" w:rsidRPr="0065196B" w:rsidRDefault="0065196B" w:rsidP="0065196B">
            <w:pPr>
              <w:tabs>
                <w:tab w:val="left" w:pos="-1440"/>
                <w:tab w:val="left" w:pos="-720"/>
              </w:tabs>
              <w:jc w:val="both"/>
            </w:pPr>
            <w:r w:rsidRPr="0065196B">
              <w:t>Federal Government Dockyard Trades and Labour Council (Esquimalt, B.C.) et al.</w:t>
            </w:r>
          </w:p>
          <w:p w:rsidR="0065196B" w:rsidRPr="0065196B" w:rsidRDefault="0065196B" w:rsidP="0065196B">
            <w:pPr>
              <w:tabs>
                <w:tab w:val="left" w:pos="-1440"/>
                <w:tab w:val="left" w:pos="-720"/>
              </w:tabs>
              <w:jc w:val="both"/>
            </w:pPr>
          </w:p>
          <w:p w:rsidR="0065196B" w:rsidRPr="0065196B" w:rsidRDefault="0065196B" w:rsidP="0065196B">
            <w:pPr>
              <w:tabs>
                <w:tab w:val="left" w:pos="-1440"/>
                <w:tab w:val="left" w:pos="-720"/>
              </w:tabs>
              <w:jc w:val="both"/>
            </w:pPr>
            <w:r w:rsidRPr="0065196B">
              <w:tab/>
              <w:t>v. (35569)</w:t>
            </w:r>
          </w:p>
          <w:p w:rsidR="0065196B" w:rsidRPr="0065196B" w:rsidRDefault="0065196B" w:rsidP="0065196B">
            <w:pPr>
              <w:tabs>
                <w:tab w:val="left" w:pos="-1440"/>
                <w:tab w:val="left" w:pos="-720"/>
              </w:tabs>
              <w:jc w:val="both"/>
            </w:pPr>
          </w:p>
          <w:p w:rsidR="0065196B" w:rsidRPr="0065196B" w:rsidRDefault="0065196B" w:rsidP="0065196B">
            <w:pPr>
              <w:tabs>
                <w:tab w:val="left" w:pos="-1440"/>
                <w:tab w:val="left" w:pos="-720"/>
              </w:tabs>
              <w:jc w:val="both"/>
            </w:pPr>
            <w:r w:rsidRPr="0065196B">
              <w:t>Her Majesty the Queen in Right of Canada as Represented by the Attorney General of Canada et al. (B.C.)</w:t>
            </w:r>
          </w:p>
        </w:tc>
        <w:tc>
          <w:tcPr>
            <w:tcW w:w="1170" w:type="dxa"/>
          </w:tcPr>
          <w:p w:rsidR="0065196B" w:rsidRPr="0065196B" w:rsidRDefault="0065196B" w:rsidP="0065196B">
            <w:pPr>
              <w:jc w:val="both"/>
            </w:pPr>
          </w:p>
        </w:tc>
        <w:tc>
          <w:tcPr>
            <w:tcW w:w="4327" w:type="dxa"/>
          </w:tcPr>
          <w:p w:rsidR="0065196B" w:rsidRPr="0065196B" w:rsidRDefault="0065196B" w:rsidP="0065196B">
            <w:pPr>
              <w:jc w:val="both"/>
            </w:pPr>
          </w:p>
        </w:tc>
      </w:tr>
    </w:tbl>
    <w:p w:rsidR="0065196B" w:rsidRPr="0065196B" w:rsidRDefault="0065196B" w:rsidP="0065196B">
      <w:pPr>
        <w:tabs>
          <w:tab w:val="left" w:pos="-1440"/>
          <w:tab w:val="left" w:pos="-720"/>
        </w:tabs>
        <w:jc w:val="both"/>
        <w:rPr>
          <w:rFonts w:eastAsia="Times New Roman" w:cs="Times New Roman"/>
          <w:sz w:val="20"/>
          <w:szCs w:val="20"/>
          <w:lang w:eastAsia="en-CA"/>
        </w:rPr>
      </w:pPr>
    </w:p>
    <w:p w:rsidR="0065196B" w:rsidRPr="0065196B" w:rsidRDefault="0065196B" w:rsidP="0065196B">
      <w:pPr>
        <w:tabs>
          <w:tab w:val="left" w:pos="-1440"/>
          <w:tab w:val="left" w:pos="-720"/>
        </w:tabs>
        <w:jc w:val="both"/>
        <w:rPr>
          <w:rFonts w:eastAsia="Times New Roman" w:cs="Times New Roman"/>
          <w:b/>
          <w:sz w:val="20"/>
          <w:szCs w:val="20"/>
          <w:lang w:val="fr-CA" w:eastAsia="en-CA"/>
        </w:rPr>
      </w:pPr>
      <w:r w:rsidRPr="0065196B">
        <w:rPr>
          <w:rFonts w:eastAsia="Times New Roman" w:cs="Times New Roman"/>
          <w:b/>
          <w:sz w:val="20"/>
          <w:szCs w:val="20"/>
          <w:lang w:val="fr-CA" w:eastAsia="en-CA"/>
        </w:rPr>
        <w:t>DISMISSED / REJETÉE</w:t>
      </w: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spacing w:line="233" w:lineRule="auto"/>
        <w:rPr>
          <w:rFonts w:eastAsia="Times New Roman" w:cs="Times New Roman"/>
          <w:sz w:val="20"/>
          <w:szCs w:val="20"/>
          <w:lang w:val="en-US" w:eastAsia="en-CA"/>
        </w:rPr>
      </w:pPr>
      <w:r w:rsidRPr="0065196B">
        <w:rPr>
          <w:rFonts w:eastAsia="Times New Roman" w:cs="Times New Roman"/>
          <w:b/>
          <w:bCs/>
          <w:sz w:val="20"/>
          <w:szCs w:val="20"/>
          <w:lang w:val="en-US" w:eastAsia="en-CA"/>
        </w:rPr>
        <w:t xml:space="preserve">UPON APPLICATION </w:t>
      </w:r>
      <w:r w:rsidRPr="0065196B">
        <w:rPr>
          <w:rFonts w:eastAsia="Times New Roman" w:cs="Times New Roman"/>
          <w:sz w:val="20"/>
          <w:szCs w:val="20"/>
          <w:lang w:val="en-US" w:eastAsia="en-CA"/>
        </w:rPr>
        <w:t xml:space="preserve">by </w:t>
      </w:r>
      <w:r w:rsidRPr="0065196B">
        <w:rPr>
          <w:rFonts w:eastAsia="Times New Roman" w:cs="Times New Roman"/>
          <w:sz w:val="20"/>
          <w:szCs w:val="20"/>
          <w:lang w:eastAsia="en-CA"/>
        </w:rPr>
        <w:t>the</w:t>
      </w:r>
      <w:r w:rsidRPr="0065196B">
        <w:rPr>
          <w:rFonts w:eastAsia="Times New Roman" w:cs="Times New Roman"/>
          <w:sz w:val="20"/>
          <w:szCs w:val="20"/>
          <w:lang w:val="en-US" w:eastAsia="en-CA"/>
        </w:rPr>
        <w:t xml:space="preserve"> Federal Government Dockyard Trades and Labour Council (Esquimalt, B.C.) and Des Rogers to abridge the time for the filing of any response to the application for leave to appeal;</w:t>
      </w:r>
    </w:p>
    <w:p w:rsidR="0065196B" w:rsidRPr="0065196B" w:rsidRDefault="0065196B" w:rsidP="0065196B">
      <w:pPr>
        <w:spacing w:line="233" w:lineRule="auto"/>
        <w:rPr>
          <w:rFonts w:eastAsia="Times New Roman" w:cs="Times New Roman"/>
          <w:b/>
          <w:bCs/>
          <w:sz w:val="20"/>
          <w:szCs w:val="20"/>
          <w:lang w:val="en-US" w:eastAsia="en-CA"/>
        </w:rPr>
      </w:pPr>
    </w:p>
    <w:p w:rsidR="0065196B" w:rsidRPr="0065196B" w:rsidRDefault="0065196B" w:rsidP="0065196B">
      <w:pPr>
        <w:spacing w:line="233" w:lineRule="auto"/>
        <w:rPr>
          <w:rFonts w:eastAsia="Times New Roman" w:cs="Times New Roman"/>
          <w:sz w:val="20"/>
          <w:szCs w:val="20"/>
          <w:lang w:val="en-US" w:eastAsia="en-CA"/>
        </w:rPr>
      </w:pPr>
      <w:r w:rsidRPr="0065196B">
        <w:rPr>
          <w:rFonts w:eastAsia="Times New Roman" w:cs="Times New Roman"/>
          <w:b/>
          <w:bCs/>
          <w:sz w:val="20"/>
          <w:szCs w:val="20"/>
          <w:lang w:val="en-US" w:eastAsia="en-CA"/>
        </w:rPr>
        <w:t>AND THE MATERIAL FILED</w:t>
      </w:r>
      <w:r w:rsidRPr="0065196B">
        <w:rPr>
          <w:rFonts w:eastAsia="Times New Roman" w:cs="Times New Roman"/>
          <w:sz w:val="20"/>
          <w:szCs w:val="20"/>
          <w:lang w:val="en-US" w:eastAsia="en-CA"/>
        </w:rPr>
        <w:t xml:space="preserve"> having been read;</w:t>
      </w:r>
    </w:p>
    <w:p w:rsidR="0065196B" w:rsidRPr="0065196B" w:rsidRDefault="0065196B" w:rsidP="0065196B">
      <w:pPr>
        <w:spacing w:line="233" w:lineRule="auto"/>
        <w:rPr>
          <w:rFonts w:eastAsia="Times New Roman" w:cs="Times New Roman"/>
          <w:sz w:val="20"/>
          <w:szCs w:val="20"/>
          <w:lang w:val="en-US" w:eastAsia="en-CA"/>
        </w:rPr>
      </w:pPr>
    </w:p>
    <w:p w:rsidR="0065196B" w:rsidRPr="0065196B" w:rsidRDefault="0065196B" w:rsidP="0065196B">
      <w:pPr>
        <w:spacing w:line="233" w:lineRule="auto"/>
        <w:rPr>
          <w:rFonts w:eastAsia="Times New Roman" w:cs="Times New Roman"/>
          <w:sz w:val="20"/>
          <w:szCs w:val="20"/>
          <w:lang w:val="en-US" w:eastAsia="en-CA"/>
        </w:rPr>
      </w:pPr>
      <w:r w:rsidRPr="0065196B">
        <w:rPr>
          <w:rFonts w:eastAsia="Times New Roman" w:cs="Times New Roman"/>
          <w:b/>
          <w:bCs/>
          <w:sz w:val="20"/>
          <w:szCs w:val="20"/>
          <w:lang w:val="en-US" w:eastAsia="en-CA"/>
        </w:rPr>
        <w:t>IT IS HEREBY ORDERED THAT:</w:t>
      </w:r>
    </w:p>
    <w:p w:rsidR="0065196B" w:rsidRPr="0065196B" w:rsidRDefault="0065196B" w:rsidP="0065196B">
      <w:pPr>
        <w:spacing w:line="233" w:lineRule="auto"/>
        <w:rPr>
          <w:rFonts w:eastAsia="Times New Roman" w:cs="Times New Roman"/>
          <w:sz w:val="20"/>
          <w:szCs w:val="20"/>
          <w:lang w:val="en-US" w:eastAsia="en-CA"/>
        </w:rPr>
      </w:pPr>
    </w:p>
    <w:p w:rsidR="0065196B" w:rsidRPr="0065196B" w:rsidRDefault="0065196B" w:rsidP="0065196B">
      <w:pPr>
        <w:spacing w:line="233" w:lineRule="auto"/>
        <w:rPr>
          <w:rFonts w:eastAsia="Times New Roman" w:cs="Times New Roman"/>
          <w:sz w:val="20"/>
          <w:szCs w:val="20"/>
          <w:lang w:val="fr-CA" w:eastAsia="en-CA"/>
        </w:rPr>
      </w:pPr>
      <w:r w:rsidRPr="0065196B">
        <w:rPr>
          <w:rFonts w:eastAsia="Times New Roman" w:cs="Times New Roman"/>
          <w:sz w:val="20"/>
          <w:szCs w:val="20"/>
          <w:lang w:val="fr-CA" w:eastAsia="en-CA"/>
        </w:rPr>
        <w:t xml:space="preserve">The motion is dismissed. </w:t>
      </w:r>
    </w:p>
    <w:p w:rsidR="0065196B" w:rsidRPr="0065196B" w:rsidRDefault="0065196B" w:rsidP="0065196B">
      <w:pPr>
        <w:spacing w:line="233" w:lineRule="auto"/>
        <w:rPr>
          <w:rFonts w:eastAsia="Times New Roman" w:cs="Times New Roman"/>
          <w:bCs/>
          <w:sz w:val="20"/>
          <w:szCs w:val="20"/>
          <w:lang w:val="fr-CA" w:eastAsia="en-CA"/>
        </w:rPr>
      </w:pPr>
    </w:p>
    <w:p w:rsidR="0065196B" w:rsidRPr="0065196B" w:rsidRDefault="0065196B" w:rsidP="0065196B">
      <w:pPr>
        <w:spacing w:line="233" w:lineRule="auto"/>
        <w:rPr>
          <w:rFonts w:eastAsia="Times New Roman" w:cs="Times New Roman"/>
          <w:bCs/>
          <w:sz w:val="20"/>
          <w:szCs w:val="20"/>
          <w:lang w:val="fr-CA" w:eastAsia="en-CA"/>
        </w:rPr>
      </w:pPr>
    </w:p>
    <w:p w:rsidR="0065196B" w:rsidRPr="0065196B" w:rsidRDefault="0065196B" w:rsidP="0065196B">
      <w:pPr>
        <w:spacing w:line="233" w:lineRule="auto"/>
        <w:rPr>
          <w:rFonts w:eastAsia="Times New Roman" w:cs="Times New Roman"/>
          <w:bCs/>
          <w:sz w:val="20"/>
          <w:szCs w:val="20"/>
          <w:lang w:val="fr-CA" w:eastAsia="en-CA"/>
        </w:rPr>
      </w:pPr>
    </w:p>
    <w:p w:rsidR="0065196B" w:rsidRPr="0065196B" w:rsidRDefault="0065196B" w:rsidP="0065196B">
      <w:pPr>
        <w:spacing w:line="233" w:lineRule="auto"/>
        <w:jc w:val="both"/>
        <w:rPr>
          <w:rFonts w:eastAsia="Times New Roman" w:cs="Times New Roman"/>
          <w:bCs/>
          <w:sz w:val="20"/>
          <w:szCs w:val="20"/>
          <w:lang w:val="fr-CA" w:eastAsia="en-CA"/>
        </w:rPr>
      </w:pPr>
      <w:r w:rsidRPr="0065196B">
        <w:rPr>
          <w:rFonts w:eastAsia="Times New Roman" w:cs="Times New Roman"/>
          <w:b/>
          <w:bCs/>
          <w:sz w:val="20"/>
          <w:szCs w:val="20"/>
          <w:lang w:val="fr-CA" w:eastAsia="en-CA"/>
        </w:rPr>
        <w:t xml:space="preserve">À LA SUITE DE LA DEMANDE </w:t>
      </w:r>
      <w:r w:rsidRPr="0065196B">
        <w:rPr>
          <w:rFonts w:eastAsia="Times New Roman" w:cs="Times New Roman"/>
          <w:bCs/>
          <w:sz w:val="20"/>
          <w:szCs w:val="20"/>
          <w:lang w:val="fr-CA" w:eastAsia="en-CA"/>
        </w:rPr>
        <w:t xml:space="preserve">présentée le </w:t>
      </w:r>
      <w:r w:rsidRPr="0065196B">
        <w:rPr>
          <w:rFonts w:eastAsia="Times New Roman" w:cs="Times New Roman"/>
          <w:color w:val="000000"/>
          <w:sz w:val="20"/>
          <w:szCs w:val="20"/>
          <w:lang w:val="fr-FR" w:eastAsia="en-CA"/>
        </w:rPr>
        <w:t>Conseil des métiers et du travail des chantiers maritimes du gouvernement fédéral (Esquimalt, C.-B.) et par Des Rogers</w:t>
      </w:r>
      <w:r w:rsidRPr="0065196B">
        <w:rPr>
          <w:rFonts w:eastAsia="Times New Roman" w:cs="Times New Roman"/>
          <w:bCs/>
          <w:sz w:val="20"/>
          <w:szCs w:val="20"/>
          <w:lang w:val="fr-CA" w:eastAsia="en-CA"/>
        </w:rPr>
        <w:t>, pour faire écourter le délai de signification de toute réponse à la demande d’autorisation d’appel;</w:t>
      </w:r>
    </w:p>
    <w:p w:rsidR="0065196B" w:rsidRPr="0065196B" w:rsidRDefault="0065196B" w:rsidP="0065196B">
      <w:pPr>
        <w:spacing w:line="233" w:lineRule="auto"/>
        <w:jc w:val="both"/>
        <w:rPr>
          <w:rFonts w:eastAsia="Times New Roman" w:cs="Times New Roman"/>
          <w:b/>
          <w:bCs/>
          <w:sz w:val="20"/>
          <w:szCs w:val="20"/>
          <w:lang w:val="fr-CA" w:eastAsia="en-CA"/>
        </w:rPr>
      </w:pPr>
    </w:p>
    <w:p w:rsidR="0065196B" w:rsidRPr="0065196B" w:rsidRDefault="0065196B" w:rsidP="0065196B">
      <w:pPr>
        <w:spacing w:line="233" w:lineRule="auto"/>
        <w:jc w:val="both"/>
        <w:rPr>
          <w:rFonts w:eastAsia="Times New Roman" w:cs="Times New Roman"/>
          <w:b/>
          <w:bCs/>
          <w:sz w:val="20"/>
          <w:szCs w:val="20"/>
          <w:lang w:val="fr-CA" w:eastAsia="en-CA"/>
        </w:rPr>
      </w:pPr>
      <w:r w:rsidRPr="0065196B">
        <w:rPr>
          <w:rFonts w:eastAsia="Times New Roman" w:cs="Times New Roman"/>
          <w:b/>
          <w:bCs/>
          <w:sz w:val="20"/>
          <w:szCs w:val="20"/>
          <w:lang w:val="fr-CA" w:eastAsia="en-CA"/>
        </w:rPr>
        <w:t xml:space="preserve">ET APRÈS EXAMEN </w:t>
      </w:r>
      <w:r w:rsidRPr="0065196B">
        <w:rPr>
          <w:rFonts w:eastAsia="Times New Roman" w:cs="Times New Roman"/>
          <w:bCs/>
          <w:sz w:val="20"/>
          <w:szCs w:val="20"/>
          <w:lang w:val="fr-CA" w:eastAsia="en-CA"/>
        </w:rPr>
        <w:t>des documents déposés;</w:t>
      </w:r>
    </w:p>
    <w:p w:rsidR="0065196B" w:rsidRPr="0065196B" w:rsidRDefault="0065196B" w:rsidP="0065196B">
      <w:pPr>
        <w:spacing w:line="233" w:lineRule="auto"/>
        <w:jc w:val="both"/>
        <w:rPr>
          <w:rFonts w:eastAsia="Times New Roman" w:cs="Times New Roman"/>
          <w:b/>
          <w:bCs/>
          <w:sz w:val="20"/>
          <w:szCs w:val="20"/>
          <w:lang w:val="fr-CA" w:eastAsia="en-CA"/>
        </w:rPr>
      </w:pPr>
    </w:p>
    <w:p w:rsidR="0065196B" w:rsidRPr="0065196B" w:rsidRDefault="0065196B" w:rsidP="0065196B">
      <w:pPr>
        <w:spacing w:line="233" w:lineRule="auto"/>
        <w:jc w:val="both"/>
        <w:rPr>
          <w:rFonts w:eastAsia="Times New Roman" w:cs="Times New Roman"/>
          <w:b/>
          <w:bCs/>
          <w:sz w:val="20"/>
          <w:szCs w:val="20"/>
          <w:lang w:val="fr-CA" w:eastAsia="en-CA"/>
        </w:rPr>
      </w:pPr>
      <w:r w:rsidRPr="0065196B">
        <w:rPr>
          <w:rFonts w:eastAsia="Times New Roman" w:cs="Times New Roman"/>
          <w:b/>
          <w:bCs/>
          <w:sz w:val="20"/>
          <w:szCs w:val="20"/>
          <w:lang w:val="fr-CA" w:eastAsia="en-CA"/>
        </w:rPr>
        <w:t>IL EST ORDONNÉ CE QUI SUIT :</w:t>
      </w:r>
    </w:p>
    <w:p w:rsidR="0065196B" w:rsidRPr="0065196B" w:rsidRDefault="0065196B" w:rsidP="0065196B">
      <w:pPr>
        <w:spacing w:line="233" w:lineRule="auto"/>
        <w:jc w:val="both"/>
        <w:rPr>
          <w:rFonts w:eastAsia="Times New Roman" w:cs="Times New Roman"/>
          <w:b/>
          <w:bCs/>
          <w:sz w:val="20"/>
          <w:szCs w:val="20"/>
          <w:lang w:val="fr-CA" w:eastAsia="en-CA"/>
        </w:rPr>
      </w:pPr>
    </w:p>
    <w:p w:rsidR="0065196B" w:rsidRPr="0065196B" w:rsidRDefault="0065196B" w:rsidP="0065196B">
      <w:pPr>
        <w:spacing w:line="233" w:lineRule="auto"/>
        <w:jc w:val="both"/>
        <w:rPr>
          <w:rFonts w:eastAsia="Times New Roman" w:cs="Times New Roman"/>
          <w:bCs/>
          <w:sz w:val="20"/>
          <w:szCs w:val="20"/>
          <w:lang w:val="fr-CA" w:eastAsia="en-CA"/>
        </w:rPr>
      </w:pPr>
      <w:r w:rsidRPr="0065196B">
        <w:rPr>
          <w:rFonts w:eastAsia="Times New Roman" w:cs="Times New Roman"/>
          <w:bCs/>
          <w:sz w:val="20"/>
          <w:szCs w:val="20"/>
          <w:lang w:val="fr-CA" w:eastAsia="en-CA"/>
        </w:rPr>
        <w:t xml:space="preserve">La requête est rejetée.  </w:t>
      </w: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CC2008" w:rsidP="0065196B">
      <w:pPr>
        <w:tabs>
          <w:tab w:val="left" w:pos="-1440"/>
          <w:tab w:val="left" w:pos="-720"/>
        </w:tabs>
        <w:jc w:val="both"/>
        <w:rPr>
          <w:rFonts w:eastAsia="Times New Roman" w:cs="Times New Roman"/>
          <w:sz w:val="20"/>
          <w:szCs w:val="20"/>
          <w:lang w:val="fr-CA" w:eastAsia="en-CA"/>
        </w:rPr>
      </w:pPr>
      <w:r w:rsidRPr="00CC2008">
        <w:rPr>
          <w:rFonts w:eastAsia="Times New Roman" w:cs="Times New Roman"/>
          <w:sz w:val="20"/>
          <w:szCs w:val="20"/>
          <w:lang w:val="fr-CA" w:eastAsia="en-CA"/>
        </w:rPr>
        <w:pict>
          <v:rect id="_x0000_i1062" style="width:2in;height:1pt" o:hrpct="0" o:hralign="center" o:hrstd="t" o:hrnoshade="t" o:hr="t" fillcolor="black [3213]" stroked="f"/>
        </w:pict>
      </w:r>
    </w:p>
    <w:p w:rsidR="0065196B" w:rsidRPr="0065196B" w:rsidRDefault="0065196B" w:rsidP="0065196B">
      <w:pPr>
        <w:tabs>
          <w:tab w:val="left" w:pos="-1440"/>
          <w:tab w:val="left" w:pos="-720"/>
        </w:tabs>
        <w:jc w:val="both"/>
        <w:rPr>
          <w:rFonts w:eastAsia="Times New Roman" w:cs="Times New Roman"/>
          <w:sz w:val="20"/>
          <w:szCs w:val="20"/>
          <w:lang w:val="fr-CA" w:eastAsia="en-CA"/>
        </w:rPr>
      </w:pPr>
    </w:p>
    <w:p w:rsidR="0065196B" w:rsidRPr="0065196B" w:rsidRDefault="0065196B" w:rsidP="0065196B">
      <w:pPr>
        <w:tabs>
          <w:tab w:val="left" w:pos="-1440"/>
          <w:tab w:val="left" w:pos="-720"/>
        </w:tabs>
        <w:jc w:val="both"/>
        <w:rPr>
          <w:rFonts w:eastAsia="Times New Roman" w:cs="Times New Roman"/>
          <w:sz w:val="20"/>
          <w:szCs w:val="20"/>
          <w:lang w:eastAsia="en-CA"/>
        </w:rPr>
      </w:pPr>
      <w:r w:rsidRPr="0065196B">
        <w:rPr>
          <w:rFonts w:eastAsia="Times New Roman" w:cs="Times New Roman"/>
          <w:sz w:val="20"/>
          <w:szCs w:val="20"/>
          <w:lang w:eastAsia="en-CA"/>
        </w:rPr>
        <w:t>16.10.2013</w:t>
      </w:r>
    </w:p>
    <w:p w:rsidR="0065196B" w:rsidRPr="0065196B" w:rsidRDefault="0065196B" w:rsidP="0065196B">
      <w:pPr>
        <w:tabs>
          <w:tab w:val="left" w:pos="-1440"/>
          <w:tab w:val="left" w:pos="-720"/>
        </w:tabs>
        <w:jc w:val="both"/>
        <w:rPr>
          <w:rFonts w:eastAsia="Times New Roman" w:cs="Times New Roman"/>
          <w:sz w:val="20"/>
          <w:szCs w:val="20"/>
          <w:lang w:eastAsia="en-CA"/>
        </w:rPr>
      </w:pPr>
    </w:p>
    <w:p w:rsidR="0065196B" w:rsidRPr="0065196B" w:rsidRDefault="0065196B" w:rsidP="0065196B">
      <w:pPr>
        <w:jc w:val="both"/>
        <w:rPr>
          <w:rFonts w:eastAsia="Times New Roman" w:cs="Times New Roman"/>
          <w:sz w:val="20"/>
          <w:szCs w:val="20"/>
          <w:lang w:val="fr-CA" w:eastAsia="en-CA"/>
        </w:rPr>
      </w:pPr>
      <w:r w:rsidRPr="0065196B">
        <w:rPr>
          <w:rFonts w:eastAsia="Times New Roman" w:cs="Times New Roman"/>
          <w:sz w:val="20"/>
          <w:szCs w:val="20"/>
          <w:lang w:val="fr-CA" w:eastAsia="en-CA"/>
        </w:rPr>
        <w:t>Before / Devant:   THE REGISTRAR / LE REGISTRAIRE</w:t>
      </w:r>
    </w:p>
    <w:p w:rsidR="0065196B" w:rsidRPr="0065196B" w:rsidRDefault="0065196B" w:rsidP="0065196B">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5196B" w:rsidRPr="00C374DC" w:rsidTr="006C1C3D">
        <w:trPr>
          <w:trHeight w:val="151"/>
        </w:trPr>
        <w:tc>
          <w:tcPr>
            <w:tcW w:w="4338" w:type="dxa"/>
          </w:tcPr>
          <w:p w:rsidR="0065196B" w:rsidRPr="0065196B" w:rsidRDefault="0065196B" w:rsidP="0065196B">
            <w:pPr>
              <w:jc w:val="both"/>
              <w:rPr>
                <w:b/>
                <w:lang w:val="en-US"/>
              </w:rPr>
            </w:pPr>
            <w:r w:rsidRPr="0065196B">
              <w:rPr>
                <w:b/>
                <w:bCs/>
                <w:color w:val="000000"/>
                <w:lang w:val="en-GB"/>
              </w:rPr>
              <w:t>Motion to extend the time to serve and file the appellant’s factum, record and book of authorities to September 20, 2013</w:t>
            </w:r>
          </w:p>
        </w:tc>
        <w:tc>
          <w:tcPr>
            <w:tcW w:w="1170" w:type="dxa"/>
          </w:tcPr>
          <w:p w:rsidR="0065196B" w:rsidRPr="0065196B" w:rsidRDefault="0065196B" w:rsidP="0065196B">
            <w:pPr>
              <w:jc w:val="both"/>
            </w:pPr>
          </w:p>
          <w:p w:rsidR="0065196B" w:rsidRPr="0065196B" w:rsidRDefault="0065196B" w:rsidP="0065196B">
            <w:pPr>
              <w:jc w:val="both"/>
            </w:pPr>
          </w:p>
          <w:p w:rsidR="0065196B" w:rsidRPr="0065196B" w:rsidRDefault="0065196B" w:rsidP="0065196B">
            <w:pPr>
              <w:jc w:val="both"/>
            </w:pPr>
          </w:p>
          <w:p w:rsidR="0065196B" w:rsidRPr="0065196B" w:rsidRDefault="0065196B" w:rsidP="0065196B">
            <w:pPr>
              <w:jc w:val="both"/>
            </w:pPr>
          </w:p>
          <w:p w:rsidR="0065196B" w:rsidRPr="0065196B" w:rsidRDefault="0065196B" w:rsidP="0065196B">
            <w:pPr>
              <w:jc w:val="both"/>
            </w:pPr>
          </w:p>
        </w:tc>
        <w:tc>
          <w:tcPr>
            <w:tcW w:w="4327" w:type="dxa"/>
          </w:tcPr>
          <w:p w:rsidR="0065196B" w:rsidRPr="0065196B" w:rsidRDefault="0065196B" w:rsidP="0065196B">
            <w:pPr>
              <w:jc w:val="both"/>
              <w:rPr>
                <w:b/>
                <w:lang w:val="fr-CA"/>
              </w:rPr>
            </w:pPr>
            <w:r w:rsidRPr="0065196B">
              <w:rPr>
                <w:b/>
                <w:bCs/>
                <w:color w:val="000000"/>
                <w:lang w:val="fr-CA"/>
              </w:rPr>
              <w:t>Requête en prorogation de délai de signification et de dépôt des mémoire, dossier et recueil de sources de l’appelant jusqu’au 20 septembre 2013</w:t>
            </w:r>
            <w:r w:rsidR="00CC2008" w:rsidRPr="0065196B">
              <w:rPr>
                <w:lang w:val="en-US"/>
              </w:rPr>
              <w:fldChar w:fldCharType="begin"/>
            </w:r>
            <w:r w:rsidRPr="0065196B">
              <w:rPr>
                <w:lang w:val="fr-CA"/>
              </w:rPr>
              <w:instrText xml:space="preserve"> SEQ CHAPTER \h \r 1</w:instrText>
            </w:r>
            <w:r w:rsidR="00CC2008" w:rsidRPr="0065196B">
              <w:rPr>
                <w:lang w:val="en-US"/>
              </w:rPr>
              <w:fldChar w:fldCharType="end"/>
            </w:r>
            <w:r w:rsidR="00CC2008" w:rsidRPr="0065196B">
              <w:rPr>
                <w:b/>
                <w:lang w:val="en-US"/>
              </w:rPr>
              <w:fldChar w:fldCharType="begin"/>
            </w:r>
            <w:r w:rsidRPr="0065196B">
              <w:rPr>
                <w:b/>
                <w:lang w:val="fr-CA"/>
              </w:rPr>
              <w:instrText xml:space="preserve"> SEQ CHAPTER \h \r 1</w:instrText>
            </w:r>
            <w:r w:rsidR="00CC2008" w:rsidRPr="0065196B">
              <w:rPr>
                <w:b/>
                <w:lang w:val="en-US"/>
              </w:rPr>
              <w:fldChar w:fldCharType="end"/>
            </w:r>
          </w:p>
        </w:tc>
      </w:tr>
      <w:tr w:rsidR="0065196B" w:rsidRPr="0065196B" w:rsidTr="006C1C3D">
        <w:trPr>
          <w:trHeight w:val="150"/>
        </w:trPr>
        <w:tc>
          <w:tcPr>
            <w:tcW w:w="4338" w:type="dxa"/>
          </w:tcPr>
          <w:p w:rsidR="0065196B" w:rsidRPr="0065196B" w:rsidRDefault="0065196B" w:rsidP="0065196B">
            <w:pPr>
              <w:tabs>
                <w:tab w:val="left" w:pos="-1440"/>
                <w:tab w:val="left" w:pos="-720"/>
              </w:tabs>
              <w:jc w:val="both"/>
            </w:pPr>
            <w:r w:rsidRPr="0065196B">
              <w:t>W.E.B.</w:t>
            </w:r>
          </w:p>
          <w:p w:rsidR="0065196B" w:rsidRPr="0065196B" w:rsidRDefault="0065196B" w:rsidP="0065196B">
            <w:pPr>
              <w:tabs>
                <w:tab w:val="left" w:pos="-1440"/>
                <w:tab w:val="left" w:pos="-720"/>
              </w:tabs>
              <w:jc w:val="both"/>
            </w:pPr>
          </w:p>
          <w:p w:rsidR="0065196B" w:rsidRPr="0065196B" w:rsidRDefault="0065196B" w:rsidP="0065196B">
            <w:pPr>
              <w:tabs>
                <w:tab w:val="left" w:pos="-1440"/>
                <w:tab w:val="left" w:pos="-720"/>
              </w:tabs>
              <w:jc w:val="both"/>
            </w:pPr>
            <w:r w:rsidRPr="0065196B">
              <w:tab/>
              <w:t>v. (35089)</w:t>
            </w:r>
          </w:p>
          <w:p w:rsidR="0065196B" w:rsidRPr="0065196B" w:rsidRDefault="0065196B" w:rsidP="0065196B">
            <w:pPr>
              <w:tabs>
                <w:tab w:val="left" w:pos="-1440"/>
                <w:tab w:val="left" w:pos="-720"/>
              </w:tabs>
              <w:jc w:val="both"/>
            </w:pPr>
          </w:p>
          <w:p w:rsidR="0065196B" w:rsidRPr="0065196B" w:rsidRDefault="0065196B" w:rsidP="0065196B">
            <w:pPr>
              <w:tabs>
                <w:tab w:val="left" w:pos="-1440"/>
                <w:tab w:val="left" w:pos="-720"/>
              </w:tabs>
              <w:jc w:val="both"/>
            </w:pPr>
            <w:r w:rsidRPr="0065196B">
              <w:t>Her Majesty the Queen et al. (Crim.) (Ont.)</w:t>
            </w:r>
          </w:p>
        </w:tc>
        <w:tc>
          <w:tcPr>
            <w:tcW w:w="1170" w:type="dxa"/>
          </w:tcPr>
          <w:p w:rsidR="0065196B" w:rsidRPr="0065196B" w:rsidRDefault="0065196B" w:rsidP="0065196B">
            <w:pPr>
              <w:jc w:val="both"/>
            </w:pPr>
          </w:p>
        </w:tc>
        <w:tc>
          <w:tcPr>
            <w:tcW w:w="4327" w:type="dxa"/>
          </w:tcPr>
          <w:p w:rsidR="0065196B" w:rsidRPr="0065196B" w:rsidRDefault="0065196B" w:rsidP="0065196B">
            <w:pPr>
              <w:jc w:val="both"/>
            </w:pPr>
          </w:p>
        </w:tc>
      </w:tr>
    </w:tbl>
    <w:p w:rsidR="0065196B" w:rsidRPr="0065196B" w:rsidRDefault="0065196B" w:rsidP="0065196B">
      <w:pPr>
        <w:tabs>
          <w:tab w:val="left" w:pos="-1440"/>
          <w:tab w:val="left" w:pos="-720"/>
        </w:tabs>
        <w:jc w:val="both"/>
        <w:rPr>
          <w:rFonts w:eastAsia="Times New Roman" w:cs="Times New Roman"/>
          <w:sz w:val="20"/>
          <w:szCs w:val="20"/>
          <w:lang w:eastAsia="en-CA"/>
        </w:rPr>
      </w:pPr>
    </w:p>
    <w:p w:rsidR="0065196B" w:rsidRPr="0065196B" w:rsidRDefault="0065196B" w:rsidP="0065196B">
      <w:pPr>
        <w:tabs>
          <w:tab w:val="left" w:pos="-1440"/>
          <w:tab w:val="left" w:pos="-720"/>
        </w:tabs>
        <w:jc w:val="both"/>
        <w:rPr>
          <w:rFonts w:eastAsia="Times New Roman" w:cs="Times New Roman"/>
          <w:sz w:val="20"/>
          <w:szCs w:val="20"/>
          <w:lang w:eastAsia="en-CA"/>
        </w:rPr>
      </w:pPr>
      <w:r w:rsidRPr="0065196B">
        <w:rPr>
          <w:rFonts w:eastAsia="Times New Roman" w:cs="Times New Roman"/>
          <w:b/>
          <w:sz w:val="20"/>
          <w:szCs w:val="20"/>
          <w:lang w:eastAsia="en-CA"/>
        </w:rPr>
        <w:t>GRANTED / ACCORDÉE</w:t>
      </w:r>
    </w:p>
    <w:p w:rsidR="0065196B" w:rsidRPr="0065196B" w:rsidRDefault="0065196B" w:rsidP="0065196B">
      <w:pPr>
        <w:tabs>
          <w:tab w:val="left" w:pos="-1440"/>
          <w:tab w:val="left" w:pos="-720"/>
        </w:tabs>
        <w:jc w:val="both"/>
        <w:rPr>
          <w:rFonts w:eastAsia="Times New Roman" w:cs="Times New Roman"/>
          <w:sz w:val="20"/>
          <w:szCs w:val="20"/>
          <w:lang w:eastAsia="en-CA"/>
        </w:rPr>
      </w:pPr>
    </w:p>
    <w:p w:rsidR="0065196B" w:rsidRPr="0065196B" w:rsidRDefault="00CC2008" w:rsidP="0065196B">
      <w:pPr>
        <w:tabs>
          <w:tab w:val="left" w:pos="-1440"/>
          <w:tab w:val="left" w:pos="-720"/>
        </w:tabs>
        <w:jc w:val="both"/>
        <w:rPr>
          <w:rFonts w:eastAsia="Times New Roman" w:cs="Times New Roman"/>
          <w:sz w:val="20"/>
          <w:szCs w:val="20"/>
          <w:lang w:eastAsia="en-CA"/>
        </w:rPr>
      </w:pPr>
      <w:r w:rsidRPr="00CC2008">
        <w:rPr>
          <w:rFonts w:eastAsia="Times New Roman" w:cs="Times New Roman"/>
          <w:sz w:val="20"/>
          <w:szCs w:val="20"/>
          <w:lang w:val="fr-CA" w:eastAsia="en-CA"/>
        </w:rPr>
        <w:pict>
          <v:rect id="_x0000_i1063" style="width:2in;height:1pt" o:hrpct="0" o:hralign="center" o:hrstd="t" o:hrnoshade="t" o:hr="t" fillcolor="black [3213]" stroked="f"/>
        </w:pict>
      </w:r>
    </w:p>
    <w:p w:rsidR="0065196B" w:rsidRPr="0065196B" w:rsidRDefault="0065196B" w:rsidP="0065196B">
      <w:pPr>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7C7F3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DD360F">
              <w:rPr>
                <w:sz w:val="20"/>
                <w:szCs w:val="20"/>
              </w:rPr>
              <w:t>9</w:t>
            </w:r>
            <w:r w:rsidRPr="003B3977">
              <w:rPr>
                <w:sz w:val="20"/>
                <w:szCs w:val="20"/>
              </w:rPr>
              <w:t>.10.201</w:t>
            </w:r>
            <w:r w:rsidR="00DD360F">
              <w:rPr>
                <w:sz w:val="20"/>
                <w:szCs w:val="20"/>
              </w:rPr>
              <w:t>3</w:t>
            </w:r>
          </w:p>
          <w:p w:rsidR="0010587F" w:rsidRPr="003B3977" w:rsidRDefault="0010587F" w:rsidP="003B3977">
            <w:pPr>
              <w:rPr>
                <w:sz w:val="20"/>
                <w:szCs w:val="20"/>
              </w:rPr>
            </w:pPr>
          </w:p>
          <w:p w:rsidR="0010587F" w:rsidRPr="003B3977" w:rsidRDefault="00DD360F" w:rsidP="003B3977">
            <w:pPr>
              <w:rPr>
                <w:b/>
                <w:sz w:val="20"/>
                <w:szCs w:val="20"/>
              </w:rPr>
            </w:pPr>
            <w:r>
              <w:rPr>
                <w:b/>
                <w:sz w:val="20"/>
                <w:szCs w:val="20"/>
              </w:rPr>
              <w:t>Rob</w:t>
            </w:r>
            <w:r w:rsidR="0010587F" w:rsidRPr="003B3977">
              <w:rPr>
                <w:b/>
                <w:sz w:val="20"/>
                <w:szCs w:val="20"/>
              </w:rPr>
              <w:t>er</w:t>
            </w:r>
            <w:r>
              <w:rPr>
                <w:b/>
                <w:sz w:val="20"/>
                <w:szCs w:val="20"/>
              </w:rPr>
              <w:t>t M</w:t>
            </w:r>
            <w:r w:rsidR="0010587F" w:rsidRPr="003B3977">
              <w:rPr>
                <w:b/>
                <w:sz w:val="20"/>
                <w:szCs w:val="20"/>
              </w:rPr>
              <w:t>e</w:t>
            </w:r>
            <w:r>
              <w:rPr>
                <w:b/>
                <w:sz w:val="20"/>
                <w:szCs w:val="20"/>
              </w:rPr>
              <w:t xml:space="preserve">redith </w:t>
            </w:r>
            <w:r w:rsidR="0010587F" w:rsidRPr="003B3977">
              <w:rPr>
                <w:b/>
                <w:sz w:val="20"/>
                <w:szCs w:val="20"/>
              </w:rPr>
              <w:t>e</w:t>
            </w:r>
            <w:r>
              <w:rPr>
                <w:b/>
                <w:sz w:val="20"/>
                <w:szCs w:val="20"/>
              </w:rPr>
              <w:t>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DD360F">
              <w:rPr>
                <w:b/>
                <w:sz w:val="20"/>
                <w:szCs w:val="20"/>
              </w:rPr>
              <w:t>5</w:t>
            </w:r>
            <w:r w:rsidRPr="003B3977">
              <w:rPr>
                <w:b/>
                <w:sz w:val="20"/>
                <w:szCs w:val="20"/>
              </w:rPr>
              <w:t>4</w:t>
            </w:r>
            <w:r w:rsidR="00DD360F">
              <w:rPr>
                <w:b/>
                <w:sz w:val="20"/>
                <w:szCs w:val="20"/>
              </w:rPr>
              <w:t>24</w:t>
            </w:r>
            <w:r w:rsidRPr="003B3977">
              <w:rPr>
                <w:b/>
                <w:sz w:val="20"/>
                <w:szCs w:val="20"/>
              </w:rPr>
              <w:t>)</w:t>
            </w:r>
          </w:p>
          <w:p w:rsidR="0010587F" w:rsidRPr="003B3977" w:rsidRDefault="0010587F" w:rsidP="003B3977">
            <w:pPr>
              <w:rPr>
                <w:b/>
                <w:sz w:val="20"/>
                <w:szCs w:val="20"/>
              </w:rPr>
            </w:pPr>
          </w:p>
          <w:p w:rsidR="0010587F" w:rsidRPr="003B3977" w:rsidRDefault="00DD360F" w:rsidP="003B3977">
            <w:pPr>
              <w:rPr>
                <w:b/>
                <w:sz w:val="20"/>
                <w:szCs w:val="20"/>
              </w:rPr>
            </w:pPr>
            <w:r>
              <w:rPr>
                <w:b/>
                <w:sz w:val="20"/>
                <w:szCs w:val="20"/>
              </w:rPr>
              <w:t>Atto</w:t>
            </w:r>
            <w:r w:rsidR="0010587F" w:rsidRPr="003B3977">
              <w:rPr>
                <w:b/>
                <w:sz w:val="20"/>
                <w:szCs w:val="20"/>
              </w:rPr>
              <w:t>r</w:t>
            </w:r>
            <w:r>
              <w:rPr>
                <w:b/>
                <w:sz w:val="20"/>
                <w:szCs w:val="20"/>
              </w:rPr>
              <w:t>ney General of C</w:t>
            </w:r>
            <w:r w:rsidR="0010587F" w:rsidRPr="003B3977">
              <w:rPr>
                <w:b/>
                <w:sz w:val="20"/>
                <w:szCs w:val="20"/>
              </w:rPr>
              <w:t>an</w:t>
            </w:r>
            <w:r>
              <w:rPr>
                <w:b/>
                <w:sz w:val="20"/>
                <w:szCs w:val="20"/>
              </w:rPr>
              <w:t>ada</w:t>
            </w:r>
            <w:r w:rsidR="0010587F" w:rsidRPr="003B3977">
              <w:rPr>
                <w:b/>
                <w:sz w:val="20"/>
                <w:szCs w:val="20"/>
              </w:rPr>
              <w:t xml:space="preserve"> (</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DD360F" w:rsidRPr="003B3977">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C2008" w:rsidP="003B3977">
            <w:pPr>
              <w:rPr>
                <w:sz w:val="20"/>
                <w:szCs w:val="20"/>
                <w:lang w:val="fr-CA"/>
              </w:rPr>
            </w:pPr>
            <w:r w:rsidRPr="00CC2008">
              <w:rPr>
                <w:sz w:val="20"/>
                <w:szCs w:val="20"/>
                <w:lang w:val="fr-CA"/>
              </w:rPr>
              <w:pict>
                <v:rect id="_x0000_i106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D7438C" w:rsidRPr="003B3977" w:rsidRDefault="00D7438C" w:rsidP="00D7438C">
            <w:pPr>
              <w:rPr>
                <w:sz w:val="20"/>
                <w:szCs w:val="20"/>
              </w:rPr>
            </w:pPr>
            <w:r>
              <w:rPr>
                <w:sz w:val="20"/>
                <w:szCs w:val="20"/>
              </w:rPr>
              <w:t>18</w:t>
            </w:r>
            <w:r w:rsidRPr="003B3977">
              <w:rPr>
                <w:sz w:val="20"/>
                <w:szCs w:val="20"/>
              </w:rPr>
              <w:t>.10.201</w:t>
            </w:r>
            <w:r>
              <w:rPr>
                <w:sz w:val="20"/>
                <w:szCs w:val="20"/>
              </w:rPr>
              <w:t>3</w:t>
            </w:r>
          </w:p>
          <w:p w:rsidR="00D7438C" w:rsidRPr="003B3977" w:rsidRDefault="00D7438C" w:rsidP="00D7438C">
            <w:pPr>
              <w:rPr>
                <w:sz w:val="20"/>
                <w:szCs w:val="20"/>
              </w:rPr>
            </w:pPr>
          </w:p>
          <w:p w:rsidR="00D7438C" w:rsidRPr="003B3977" w:rsidRDefault="00D7438C" w:rsidP="00D7438C">
            <w:pPr>
              <w:rPr>
                <w:b/>
                <w:sz w:val="20"/>
                <w:szCs w:val="20"/>
              </w:rPr>
            </w:pPr>
            <w:r>
              <w:rPr>
                <w:b/>
                <w:sz w:val="20"/>
                <w:szCs w:val="20"/>
              </w:rPr>
              <w:t>Calvin Clarke</w:t>
            </w:r>
          </w:p>
          <w:p w:rsidR="00D7438C" w:rsidRPr="003B3977" w:rsidRDefault="00D7438C" w:rsidP="00D7438C">
            <w:pPr>
              <w:rPr>
                <w:b/>
                <w:sz w:val="20"/>
                <w:szCs w:val="20"/>
              </w:rPr>
            </w:pPr>
          </w:p>
          <w:p w:rsidR="00D7438C" w:rsidRPr="003B3977" w:rsidRDefault="00D7438C" w:rsidP="00D7438C">
            <w:pPr>
              <w:rPr>
                <w:b/>
                <w:sz w:val="20"/>
                <w:szCs w:val="20"/>
              </w:rPr>
            </w:pPr>
            <w:r w:rsidRPr="003B3977">
              <w:rPr>
                <w:b/>
                <w:sz w:val="20"/>
                <w:szCs w:val="20"/>
              </w:rPr>
              <w:tab/>
              <w:t>v. (3</w:t>
            </w:r>
            <w:r>
              <w:rPr>
                <w:b/>
                <w:sz w:val="20"/>
                <w:szCs w:val="20"/>
              </w:rPr>
              <w:t>54</w:t>
            </w:r>
            <w:r w:rsidRPr="003B3977">
              <w:rPr>
                <w:b/>
                <w:sz w:val="20"/>
                <w:szCs w:val="20"/>
              </w:rPr>
              <w:t>8</w:t>
            </w:r>
            <w:r>
              <w:rPr>
                <w:b/>
                <w:sz w:val="20"/>
                <w:szCs w:val="20"/>
              </w:rPr>
              <w:t>7</w:t>
            </w:r>
            <w:r w:rsidRPr="003B3977">
              <w:rPr>
                <w:b/>
                <w:sz w:val="20"/>
                <w:szCs w:val="20"/>
              </w:rPr>
              <w:t>)</w:t>
            </w:r>
          </w:p>
          <w:p w:rsidR="00D7438C" w:rsidRPr="003B3977" w:rsidRDefault="00D7438C" w:rsidP="00D7438C">
            <w:pPr>
              <w:rPr>
                <w:b/>
                <w:sz w:val="20"/>
                <w:szCs w:val="20"/>
              </w:rPr>
            </w:pPr>
          </w:p>
          <w:p w:rsidR="00D7438C" w:rsidRPr="003B3977" w:rsidRDefault="00D7438C" w:rsidP="00D7438C">
            <w:pPr>
              <w:rPr>
                <w:b/>
                <w:sz w:val="20"/>
                <w:szCs w:val="20"/>
              </w:rPr>
            </w:pPr>
            <w:r w:rsidRPr="003B3977">
              <w:rPr>
                <w:b/>
                <w:sz w:val="20"/>
                <w:szCs w:val="20"/>
              </w:rPr>
              <w:t>Her Majesty the Queen (</w:t>
            </w:r>
            <w:r>
              <w:rPr>
                <w:b/>
                <w:sz w:val="20"/>
                <w:szCs w:val="20"/>
              </w:rPr>
              <w:t>Ont.</w:t>
            </w:r>
            <w:r w:rsidRPr="003B3977">
              <w:rPr>
                <w:b/>
                <w:sz w:val="20"/>
                <w:szCs w:val="20"/>
              </w:rPr>
              <w:t>)</w:t>
            </w:r>
          </w:p>
          <w:p w:rsidR="00D7438C" w:rsidRPr="003B3977" w:rsidRDefault="00D7438C" w:rsidP="00D7438C">
            <w:pPr>
              <w:rPr>
                <w:sz w:val="20"/>
                <w:szCs w:val="20"/>
              </w:rPr>
            </w:pPr>
          </w:p>
          <w:p w:rsidR="0010587F" w:rsidRPr="003B3977" w:rsidRDefault="0010587F" w:rsidP="003B3977">
            <w:pPr>
              <w:rPr>
                <w:sz w:val="20"/>
                <w:szCs w:val="20"/>
              </w:rPr>
            </w:pPr>
            <w:r w:rsidRPr="003B3977">
              <w:rPr>
                <w:sz w:val="20"/>
                <w:szCs w:val="20"/>
              </w:rPr>
              <w:t>(</w:t>
            </w:r>
            <w:r w:rsidR="00DD360F" w:rsidRPr="003B3977">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C2008" w:rsidP="003B3977">
            <w:pPr>
              <w:rPr>
                <w:sz w:val="20"/>
                <w:szCs w:val="20"/>
              </w:rPr>
            </w:pPr>
            <w:r w:rsidRPr="00CC2008">
              <w:rPr>
                <w:sz w:val="20"/>
                <w:szCs w:val="20"/>
                <w:lang w:val="fr-CA"/>
              </w:rPr>
              <w:pict>
                <v:rect id="_x0000_i1067" style="width:106.1pt;height:1pt" o:hrpct="500" o:hralign="center" o:hrstd="t" o:hrnoshade="t" o:hr="t" fillcolor="black [3213]" stroked="f"/>
              </w:pict>
            </w:r>
          </w:p>
        </w:tc>
      </w:tr>
      <w:tr w:rsidR="00D7438C" w:rsidRPr="003B3977" w:rsidTr="0010587F">
        <w:trPr>
          <w:cantSplit/>
        </w:trPr>
        <w:tc>
          <w:tcPr>
            <w:tcW w:w="2206" w:type="pct"/>
            <w:tcMar>
              <w:left w:w="0" w:type="dxa"/>
              <w:right w:w="0" w:type="dxa"/>
            </w:tcMar>
          </w:tcPr>
          <w:p w:rsidR="00D7438C" w:rsidRPr="003B3977" w:rsidRDefault="00D7438C" w:rsidP="00D7438C">
            <w:pPr>
              <w:rPr>
                <w:sz w:val="20"/>
                <w:szCs w:val="20"/>
              </w:rPr>
            </w:pPr>
            <w:r>
              <w:rPr>
                <w:sz w:val="20"/>
                <w:szCs w:val="20"/>
              </w:rPr>
              <w:t>21</w:t>
            </w:r>
            <w:r w:rsidRPr="003B3977">
              <w:rPr>
                <w:sz w:val="20"/>
                <w:szCs w:val="20"/>
              </w:rPr>
              <w:t>.10.201</w:t>
            </w:r>
            <w:r>
              <w:rPr>
                <w:sz w:val="20"/>
                <w:szCs w:val="20"/>
              </w:rPr>
              <w:t>3</w:t>
            </w:r>
          </w:p>
          <w:p w:rsidR="00D7438C" w:rsidRPr="003B3977" w:rsidRDefault="00D7438C" w:rsidP="00D7438C">
            <w:pPr>
              <w:rPr>
                <w:sz w:val="20"/>
                <w:szCs w:val="20"/>
              </w:rPr>
            </w:pPr>
          </w:p>
          <w:p w:rsidR="00D7438C" w:rsidRPr="003B3977" w:rsidRDefault="00D7438C" w:rsidP="00D7438C">
            <w:pPr>
              <w:rPr>
                <w:b/>
                <w:sz w:val="20"/>
                <w:szCs w:val="20"/>
              </w:rPr>
            </w:pPr>
            <w:r>
              <w:rPr>
                <w:b/>
                <w:sz w:val="20"/>
                <w:szCs w:val="20"/>
              </w:rPr>
              <w:t xml:space="preserve">Leslie Cameron, suing on his </w:t>
            </w:r>
            <w:r w:rsidRPr="003B3977">
              <w:rPr>
                <w:b/>
                <w:sz w:val="20"/>
                <w:szCs w:val="20"/>
              </w:rPr>
              <w:t>o</w:t>
            </w:r>
            <w:r>
              <w:rPr>
                <w:b/>
                <w:sz w:val="20"/>
                <w:szCs w:val="20"/>
              </w:rPr>
              <w:t>w</w:t>
            </w:r>
            <w:r w:rsidRPr="003B3977">
              <w:rPr>
                <w:b/>
                <w:sz w:val="20"/>
                <w:szCs w:val="20"/>
              </w:rPr>
              <w:t>n</w:t>
            </w:r>
            <w:r>
              <w:rPr>
                <w:b/>
                <w:sz w:val="20"/>
                <w:szCs w:val="20"/>
              </w:rPr>
              <w:t xml:space="preserve"> behalf and on behalf of all other members of W</w:t>
            </w:r>
            <w:r w:rsidRPr="003B3977">
              <w:rPr>
                <w:b/>
                <w:sz w:val="20"/>
                <w:szCs w:val="20"/>
              </w:rPr>
              <w:t>a</w:t>
            </w:r>
            <w:r>
              <w:rPr>
                <w:b/>
                <w:sz w:val="20"/>
                <w:szCs w:val="20"/>
              </w:rPr>
              <w:t>bauska</w:t>
            </w:r>
            <w:r w:rsidRPr="003B3977">
              <w:rPr>
                <w:b/>
                <w:sz w:val="20"/>
                <w:szCs w:val="20"/>
              </w:rPr>
              <w:t>n</w:t>
            </w:r>
            <w:r>
              <w:rPr>
                <w:b/>
                <w:sz w:val="20"/>
                <w:szCs w:val="20"/>
              </w:rPr>
              <w:t>g First Nation</w:t>
            </w:r>
          </w:p>
          <w:p w:rsidR="00D7438C" w:rsidRPr="003B3977" w:rsidRDefault="00D7438C" w:rsidP="00D7438C">
            <w:pPr>
              <w:rPr>
                <w:b/>
                <w:sz w:val="20"/>
                <w:szCs w:val="20"/>
              </w:rPr>
            </w:pPr>
          </w:p>
          <w:p w:rsidR="00D7438C" w:rsidRPr="00D7438C" w:rsidRDefault="00D7438C" w:rsidP="00D7438C">
            <w:pPr>
              <w:rPr>
                <w:b/>
                <w:sz w:val="20"/>
                <w:szCs w:val="20"/>
                <w:lang w:val="fr-CA"/>
              </w:rPr>
            </w:pPr>
            <w:r w:rsidRPr="003B3977">
              <w:rPr>
                <w:b/>
                <w:sz w:val="20"/>
                <w:szCs w:val="20"/>
              </w:rPr>
              <w:tab/>
            </w:r>
            <w:r w:rsidRPr="00D7438C">
              <w:rPr>
                <w:b/>
                <w:sz w:val="20"/>
                <w:szCs w:val="20"/>
                <w:lang w:val="fr-CA"/>
              </w:rPr>
              <w:t>v. (35379)</w:t>
            </w:r>
          </w:p>
          <w:p w:rsidR="00D7438C" w:rsidRPr="00D7438C" w:rsidRDefault="00D7438C" w:rsidP="00D7438C">
            <w:pPr>
              <w:rPr>
                <w:b/>
                <w:sz w:val="20"/>
                <w:szCs w:val="20"/>
                <w:lang w:val="fr-CA"/>
              </w:rPr>
            </w:pPr>
          </w:p>
          <w:p w:rsidR="00D7438C" w:rsidRPr="003B3977" w:rsidRDefault="00D7438C" w:rsidP="00D7438C">
            <w:pPr>
              <w:rPr>
                <w:b/>
                <w:sz w:val="20"/>
                <w:szCs w:val="20"/>
              </w:rPr>
            </w:pPr>
            <w:r w:rsidRPr="00DD360F">
              <w:rPr>
                <w:b/>
                <w:sz w:val="20"/>
                <w:szCs w:val="20"/>
                <w:lang w:val="fr-CA"/>
              </w:rPr>
              <w:t>Andrew Keewatin Jr. et al.</w:t>
            </w:r>
            <w:r w:rsidRPr="00D7438C">
              <w:rPr>
                <w:b/>
                <w:sz w:val="20"/>
                <w:szCs w:val="20"/>
                <w:lang w:val="fr-CA"/>
              </w:rPr>
              <w:t xml:space="preserve"> </w:t>
            </w:r>
            <w:r w:rsidRPr="003B3977">
              <w:rPr>
                <w:b/>
                <w:sz w:val="20"/>
                <w:szCs w:val="20"/>
              </w:rPr>
              <w:t>(Ont.)</w:t>
            </w:r>
          </w:p>
          <w:p w:rsidR="00D7438C" w:rsidRPr="003B3977" w:rsidRDefault="00D7438C" w:rsidP="00D7438C">
            <w:pPr>
              <w:rPr>
                <w:sz w:val="20"/>
                <w:szCs w:val="20"/>
              </w:rPr>
            </w:pPr>
          </w:p>
          <w:p w:rsidR="00D7438C" w:rsidRPr="003B3977" w:rsidRDefault="00D7438C" w:rsidP="00D7438C">
            <w:pPr>
              <w:rPr>
                <w:sz w:val="20"/>
                <w:szCs w:val="20"/>
              </w:rPr>
            </w:pPr>
            <w:r w:rsidRPr="003B3977">
              <w:rPr>
                <w:sz w:val="20"/>
                <w:szCs w:val="20"/>
              </w:rPr>
              <w:t>(By Leave)</w:t>
            </w:r>
          </w:p>
          <w:p w:rsidR="00D7438C" w:rsidRPr="003B3977" w:rsidRDefault="00D7438C" w:rsidP="00D7438C">
            <w:pPr>
              <w:rPr>
                <w:sz w:val="20"/>
                <w:szCs w:val="20"/>
              </w:rPr>
            </w:pPr>
          </w:p>
          <w:p w:rsidR="00D7438C" w:rsidRDefault="00CC2008" w:rsidP="00D7438C">
            <w:pPr>
              <w:rPr>
                <w:sz w:val="20"/>
                <w:szCs w:val="20"/>
              </w:rPr>
            </w:pPr>
            <w:r w:rsidRPr="00CC2008">
              <w:rPr>
                <w:sz w:val="20"/>
                <w:szCs w:val="20"/>
                <w:lang w:val="fr-CA"/>
              </w:rPr>
              <w:pict>
                <v:rect id="_x0000_i1068" style="width:106.1pt;height:1pt" o:hrpct="500" o:hralign="center" o:hrstd="t" o:hrnoshade="t" o:hr="t" fillcolor="black [3213]" stroked="f"/>
              </w:pict>
            </w:r>
          </w:p>
        </w:tc>
        <w:tc>
          <w:tcPr>
            <w:tcW w:w="588" w:type="pct"/>
          </w:tcPr>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Default="00D7438C" w:rsidP="0010587F">
            <w:pPr>
              <w:jc w:val="center"/>
              <w:rPr>
                <w:sz w:val="20"/>
                <w:szCs w:val="20"/>
              </w:rPr>
            </w:pPr>
          </w:p>
          <w:p w:rsidR="00D7438C" w:rsidRPr="003B3977" w:rsidRDefault="00D7438C" w:rsidP="0010587F">
            <w:pPr>
              <w:jc w:val="center"/>
              <w:rPr>
                <w:sz w:val="20"/>
                <w:szCs w:val="20"/>
              </w:rPr>
            </w:pPr>
          </w:p>
        </w:tc>
        <w:tc>
          <w:tcPr>
            <w:tcW w:w="2206" w:type="pct"/>
          </w:tcPr>
          <w:p w:rsidR="00D7438C" w:rsidRPr="00D7438C" w:rsidRDefault="00D7438C" w:rsidP="00D7438C">
            <w:pPr>
              <w:rPr>
                <w:sz w:val="20"/>
                <w:szCs w:val="20"/>
                <w:lang w:val="fr-CA"/>
              </w:rPr>
            </w:pPr>
            <w:r w:rsidRPr="00D7438C">
              <w:rPr>
                <w:sz w:val="20"/>
                <w:szCs w:val="20"/>
                <w:lang w:val="fr-CA"/>
              </w:rPr>
              <w:t>21.10.2013</w:t>
            </w:r>
          </w:p>
          <w:p w:rsidR="00D7438C" w:rsidRPr="00D7438C" w:rsidRDefault="00D7438C" w:rsidP="00D7438C">
            <w:pPr>
              <w:rPr>
                <w:sz w:val="20"/>
                <w:szCs w:val="20"/>
                <w:lang w:val="fr-CA"/>
              </w:rPr>
            </w:pPr>
          </w:p>
          <w:p w:rsidR="00D7438C" w:rsidRPr="00DD360F" w:rsidRDefault="00D7438C" w:rsidP="00D7438C">
            <w:pPr>
              <w:rPr>
                <w:b/>
                <w:sz w:val="20"/>
                <w:szCs w:val="20"/>
                <w:lang w:val="fr-CA"/>
              </w:rPr>
            </w:pPr>
            <w:r w:rsidRPr="00DD360F">
              <w:rPr>
                <w:b/>
                <w:sz w:val="20"/>
                <w:szCs w:val="20"/>
                <w:lang w:val="fr-CA"/>
              </w:rPr>
              <w:t>Andrew Keewatin Jr. et al.</w:t>
            </w:r>
          </w:p>
          <w:p w:rsidR="00D7438C" w:rsidRPr="00DD360F" w:rsidRDefault="00D7438C" w:rsidP="00D7438C">
            <w:pPr>
              <w:rPr>
                <w:b/>
                <w:sz w:val="20"/>
                <w:szCs w:val="20"/>
                <w:lang w:val="fr-CA"/>
              </w:rPr>
            </w:pPr>
          </w:p>
          <w:p w:rsidR="00D7438C" w:rsidRPr="003B3977" w:rsidRDefault="00D7438C" w:rsidP="00D7438C">
            <w:pPr>
              <w:rPr>
                <w:b/>
                <w:sz w:val="20"/>
                <w:szCs w:val="20"/>
              </w:rPr>
            </w:pPr>
            <w:r w:rsidRPr="00DD360F">
              <w:rPr>
                <w:b/>
                <w:sz w:val="20"/>
                <w:szCs w:val="20"/>
                <w:lang w:val="fr-CA"/>
              </w:rPr>
              <w:tab/>
            </w:r>
            <w:r w:rsidRPr="003B3977">
              <w:rPr>
                <w:b/>
                <w:sz w:val="20"/>
                <w:szCs w:val="20"/>
              </w:rPr>
              <w:t>v. (3</w:t>
            </w:r>
            <w:r>
              <w:rPr>
                <w:b/>
                <w:sz w:val="20"/>
                <w:szCs w:val="20"/>
              </w:rPr>
              <w:t>5</w:t>
            </w:r>
            <w:r w:rsidRPr="003B3977">
              <w:rPr>
                <w:b/>
                <w:sz w:val="20"/>
                <w:szCs w:val="20"/>
              </w:rPr>
              <w:t>37</w:t>
            </w:r>
            <w:r>
              <w:rPr>
                <w:b/>
                <w:sz w:val="20"/>
                <w:szCs w:val="20"/>
              </w:rPr>
              <w:t>9</w:t>
            </w:r>
            <w:r w:rsidRPr="003B3977">
              <w:rPr>
                <w:b/>
                <w:sz w:val="20"/>
                <w:szCs w:val="20"/>
              </w:rPr>
              <w:t>)</w:t>
            </w:r>
          </w:p>
          <w:p w:rsidR="00D7438C" w:rsidRPr="003B3977" w:rsidRDefault="00D7438C" w:rsidP="00D7438C">
            <w:pPr>
              <w:rPr>
                <w:b/>
                <w:sz w:val="20"/>
                <w:szCs w:val="20"/>
              </w:rPr>
            </w:pPr>
          </w:p>
          <w:p w:rsidR="00D7438C" w:rsidRPr="00DD360F" w:rsidRDefault="00D7438C" w:rsidP="00D7438C">
            <w:pPr>
              <w:rPr>
                <w:b/>
                <w:sz w:val="20"/>
                <w:szCs w:val="20"/>
              </w:rPr>
            </w:pPr>
            <w:r>
              <w:rPr>
                <w:b/>
                <w:sz w:val="20"/>
                <w:szCs w:val="20"/>
              </w:rPr>
              <w:t>Minist</w:t>
            </w:r>
            <w:r w:rsidRPr="00DD360F">
              <w:rPr>
                <w:b/>
                <w:sz w:val="20"/>
                <w:szCs w:val="20"/>
              </w:rPr>
              <w:t>er</w:t>
            </w:r>
            <w:r>
              <w:rPr>
                <w:b/>
                <w:sz w:val="20"/>
                <w:szCs w:val="20"/>
              </w:rPr>
              <w:t xml:space="preserve"> of Na</w:t>
            </w:r>
            <w:r w:rsidRPr="00DD360F">
              <w:rPr>
                <w:b/>
                <w:sz w:val="20"/>
                <w:szCs w:val="20"/>
              </w:rPr>
              <w:t>t</w:t>
            </w:r>
            <w:r>
              <w:rPr>
                <w:b/>
                <w:sz w:val="20"/>
                <w:szCs w:val="20"/>
              </w:rPr>
              <w:t>u</w:t>
            </w:r>
            <w:r w:rsidRPr="00DD360F">
              <w:rPr>
                <w:b/>
                <w:sz w:val="20"/>
                <w:szCs w:val="20"/>
              </w:rPr>
              <w:t>ral</w:t>
            </w:r>
            <w:r>
              <w:rPr>
                <w:b/>
                <w:sz w:val="20"/>
                <w:szCs w:val="20"/>
              </w:rPr>
              <w:t xml:space="preserve"> Resources</w:t>
            </w:r>
            <w:r w:rsidRPr="00DD360F">
              <w:rPr>
                <w:b/>
                <w:sz w:val="20"/>
                <w:szCs w:val="20"/>
              </w:rPr>
              <w:t xml:space="preserve"> </w:t>
            </w:r>
            <w:r w:rsidR="00325E24">
              <w:rPr>
                <w:b/>
                <w:sz w:val="20"/>
                <w:szCs w:val="20"/>
              </w:rPr>
              <w:t xml:space="preserve">et al. </w:t>
            </w:r>
            <w:r w:rsidRPr="00DD360F">
              <w:rPr>
                <w:b/>
                <w:sz w:val="20"/>
                <w:szCs w:val="20"/>
              </w:rPr>
              <w:t>(Ont.)</w:t>
            </w:r>
          </w:p>
          <w:p w:rsidR="00D7438C" w:rsidRPr="00DD360F" w:rsidRDefault="00D7438C" w:rsidP="00D7438C">
            <w:pPr>
              <w:rPr>
                <w:sz w:val="20"/>
                <w:szCs w:val="20"/>
              </w:rPr>
            </w:pPr>
          </w:p>
          <w:p w:rsidR="00D7438C" w:rsidRPr="003B3977" w:rsidRDefault="00D7438C" w:rsidP="00D7438C">
            <w:pPr>
              <w:rPr>
                <w:sz w:val="20"/>
                <w:szCs w:val="20"/>
              </w:rPr>
            </w:pPr>
            <w:r w:rsidRPr="003B3977">
              <w:rPr>
                <w:sz w:val="20"/>
                <w:szCs w:val="20"/>
              </w:rPr>
              <w:t>(By Leave)</w:t>
            </w:r>
          </w:p>
          <w:p w:rsidR="00D7438C" w:rsidRPr="003B3977" w:rsidRDefault="00D7438C" w:rsidP="00D7438C">
            <w:pPr>
              <w:rPr>
                <w:sz w:val="20"/>
                <w:szCs w:val="20"/>
              </w:rPr>
            </w:pPr>
          </w:p>
          <w:p w:rsidR="00D7438C" w:rsidRDefault="00CC2008" w:rsidP="00D7438C">
            <w:pPr>
              <w:rPr>
                <w:sz w:val="20"/>
                <w:szCs w:val="20"/>
              </w:rPr>
            </w:pPr>
            <w:r w:rsidRPr="00CC2008">
              <w:rPr>
                <w:sz w:val="20"/>
                <w:szCs w:val="20"/>
                <w:lang w:val="fr-CA"/>
              </w:rPr>
              <w:pict>
                <v:rect id="_x0000_i106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7C7F39"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E20D31" w:rsidRDefault="001E2B5C" w:rsidP="00732DB7">
      <w:pPr>
        <w:widowControl w:val="0"/>
        <w:rPr>
          <w:sz w:val="20"/>
          <w:szCs w:val="20"/>
          <w:lang w:val="fr-CA"/>
        </w:rPr>
      </w:pPr>
      <w:r w:rsidRPr="00E20D31">
        <w:rPr>
          <w:sz w:val="20"/>
          <w:szCs w:val="20"/>
          <w:lang w:val="fr-CA"/>
        </w:rPr>
        <w:t>18</w:t>
      </w:r>
      <w:r w:rsidR="00732DB7" w:rsidRPr="00E20D31">
        <w:rPr>
          <w:sz w:val="20"/>
          <w:szCs w:val="20"/>
          <w:lang w:val="fr-CA"/>
        </w:rPr>
        <w:t>.</w:t>
      </w:r>
      <w:r w:rsidRPr="00E20D31">
        <w:rPr>
          <w:sz w:val="20"/>
          <w:szCs w:val="20"/>
          <w:lang w:val="fr-CA"/>
        </w:rPr>
        <w:t>1</w:t>
      </w:r>
      <w:r w:rsidR="00732DB7" w:rsidRPr="00E20D31">
        <w:rPr>
          <w:sz w:val="20"/>
          <w:szCs w:val="20"/>
          <w:lang w:val="fr-CA"/>
        </w:rPr>
        <w:t>0.201</w:t>
      </w:r>
      <w:r w:rsidRPr="00E20D31">
        <w:rPr>
          <w:sz w:val="20"/>
          <w:szCs w:val="20"/>
          <w:lang w:val="fr-CA"/>
        </w:rPr>
        <w:t>3</w:t>
      </w:r>
    </w:p>
    <w:p w:rsidR="00732DB7" w:rsidRPr="00E20D31" w:rsidRDefault="00732DB7" w:rsidP="00732DB7">
      <w:pPr>
        <w:widowControl w:val="0"/>
        <w:rPr>
          <w:sz w:val="20"/>
          <w:szCs w:val="20"/>
          <w:lang w:val="fr-CA"/>
        </w:rPr>
      </w:pPr>
    </w:p>
    <w:p w:rsidR="001E2B5C" w:rsidRPr="0048768B" w:rsidRDefault="001E2B5C" w:rsidP="001E2B5C">
      <w:pPr>
        <w:widowControl w:val="0"/>
        <w:ind w:left="720" w:hanging="720"/>
        <w:rPr>
          <w:rFonts w:eastAsia="Calibri" w:cs="Times New Roman"/>
          <w:sz w:val="20"/>
          <w:szCs w:val="20"/>
          <w:u w:val="single"/>
          <w:lang w:val="fr-CA"/>
        </w:rPr>
      </w:pPr>
      <w:r w:rsidRPr="0048768B">
        <w:rPr>
          <w:rFonts w:eastAsia="Calibri" w:cs="Times New Roman"/>
          <w:sz w:val="20"/>
          <w:szCs w:val="20"/>
          <w:lang w:val="fr-CA"/>
        </w:rPr>
        <w:t xml:space="preserve">Coram: </w:t>
      </w:r>
      <w:r w:rsidRPr="0048768B">
        <w:rPr>
          <w:rFonts w:eastAsia="Calibri" w:cs="Times New Roman"/>
          <w:sz w:val="20"/>
          <w:szCs w:val="20"/>
          <w:lang w:val="fr-CA"/>
        </w:rPr>
        <w:tab/>
      </w:r>
      <w:r w:rsidRPr="0048768B">
        <w:rPr>
          <w:rFonts w:eastAsia="Calibri" w:cs="Times New Roman"/>
          <w:sz w:val="20"/>
          <w:szCs w:val="20"/>
          <w:u w:val="single"/>
          <w:lang w:val="fr-CA"/>
        </w:rPr>
        <w:t>La juge en chef McLachlin et les juges LeBel, Rothstein, Cromwell, Moldaver, Karakatsanis et Wagner.</w:t>
      </w:r>
    </w:p>
    <w:p w:rsidR="001E2B5C" w:rsidRPr="001E2B5C" w:rsidRDefault="001E2B5C"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732DB7" w:rsidRPr="007C7F39" w:rsidTr="00697C62">
        <w:tc>
          <w:tcPr>
            <w:tcW w:w="4380" w:type="dxa"/>
            <w:tcMar>
              <w:left w:w="0" w:type="dxa"/>
              <w:right w:w="0" w:type="dxa"/>
            </w:tcMar>
          </w:tcPr>
          <w:p w:rsidR="001E2B5C" w:rsidRDefault="001E2B5C" w:rsidP="001E2B5C">
            <w:pPr>
              <w:widowControl w:val="0"/>
              <w:tabs>
                <w:tab w:val="left" w:pos="720"/>
                <w:tab w:val="left" w:pos="1440"/>
                <w:tab w:val="left" w:pos="2851"/>
                <w:tab w:val="left" w:pos="4320"/>
                <w:tab w:val="left" w:pos="10224"/>
                <w:tab w:val="left" w:pos="11376"/>
              </w:tabs>
              <w:rPr>
                <w:b/>
                <w:sz w:val="20"/>
                <w:szCs w:val="20"/>
                <w:lang w:val="fr-CA"/>
              </w:rPr>
            </w:pPr>
            <w:r w:rsidRPr="001E2B5C">
              <w:rPr>
                <w:rFonts w:eastAsia="Calibri" w:cs="Times New Roman"/>
                <w:b/>
                <w:sz w:val="20"/>
                <w:szCs w:val="20"/>
                <w:lang w:val="fr-CA"/>
              </w:rPr>
              <w:t xml:space="preserve">R.L. </w:t>
            </w:r>
          </w:p>
          <w:p w:rsidR="001E2B5C" w:rsidRDefault="001E2B5C" w:rsidP="001E2B5C">
            <w:pPr>
              <w:widowControl w:val="0"/>
              <w:tabs>
                <w:tab w:val="left" w:pos="720"/>
                <w:tab w:val="left" w:pos="1440"/>
                <w:tab w:val="left" w:pos="2851"/>
                <w:tab w:val="left" w:pos="4320"/>
                <w:tab w:val="left" w:pos="10224"/>
                <w:tab w:val="left" w:pos="11376"/>
              </w:tabs>
              <w:rPr>
                <w:b/>
                <w:sz w:val="20"/>
                <w:szCs w:val="20"/>
                <w:lang w:val="fr-CA"/>
              </w:rPr>
            </w:pPr>
          </w:p>
          <w:p w:rsidR="001E2B5C" w:rsidRDefault="001E2B5C" w:rsidP="001E2B5C">
            <w:pPr>
              <w:widowControl w:val="0"/>
              <w:tabs>
                <w:tab w:val="left" w:pos="720"/>
                <w:tab w:val="left" w:pos="1440"/>
                <w:tab w:val="left" w:pos="2851"/>
                <w:tab w:val="left" w:pos="4320"/>
                <w:tab w:val="left" w:pos="10224"/>
                <w:tab w:val="left" w:pos="11376"/>
              </w:tabs>
              <w:rPr>
                <w:b/>
                <w:sz w:val="20"/>
                <w:szCs w:val="20"/>
                <w:lang w:val="fr-CA"/>
              </w:rPr>
            </w:pPr>
            <w:r>
              <w:rPr>
                <w:b/>
                <w:sz w:val="20"/>
                <w:szCs w:val="20"/>
                <w:lang w:val="fr-CA"/>
              </w:rPr>
              <w:tab/>
            </w:r>
            <w:r w:rsidRPr="001E2B5C">
              <w:rPr>
                <w:rFonts w:eastAsia="Calibri" w:cs="Times New Roman"/>
                <w:b/>
                <w:sz w:val="20"/>
                <w:szCs w:val="20"/>
                <w:lang w:val="fr-CA"/>
              </w:rPr>
              <w:t>c. (34871)</w:t>
            </w:r>
          </w:p>
          <w:p w:rsidR="001E2B5C" w:rsidRDefault="001E2B5C" w:rsidP="001E2B5C">
            <w:pPr>
              <w:widowControl w:val="0"/>
              <w:tabs>
                <w:tab w:val="left" w:pos="720"/>
                <w:tab w:val="left" w:pos="1440"/>
                <w:tab w:val="left" w:pos="2851"/>
                <w:tab w:val="left" w:pos="4320"/>
                <w:tab w:val="left" w:pos="10224"/>
                <w:tab w:val="left" w:pos="11376"/>
              </w:tabs>
              <w:rPr>
                <w:b/>
                <w:sz w:val="20"/>
                <w:szCs w:val="20"/>
                <w:lang w:val="fr-CA"/>
              </w:rPr>
            </w:pPr>
          </w:p>
          <w:p w:rsidR="00732DB7" w:rsidRPr="00C50A5C" w:rsidRDefault="001E2B5C" w:rsidP="001E2B5C">
            <w:pPr>
              <w:widowControl w:val="0"/>
              <w:tabs>
                <w:tab w:val="left" w:pos="720"/>
                <w:tab w:val="left" w:pos="1440"/>
                <w:tab w:val="left" w:pos="2851"/>
                <w:tab w:val="left" w:pos="4320"/>
                <w:tab w:val="left" w:pos="10224"/>
                <w:tab w:val="left" w:pos="11376"/>
              </w:tabs>
              <w:rPr>
                <w:sz w:val="20"/>
                <w:szCs w:val="20"/>
                <w:lang w:val="fr-CA"/>
              </w:rPr>
            </w:pPr>
            <w:r w:rsidRPr="001E2B5C">
              <w:rPr>
                <w:rFonts w:eastAsia="Calibri" w:cs="Times New Roman"/>
                <w:b/>
                <w:sz w:val="20"/>
                <w:szCs w:val="20"/>
                <w:lang w:val="fr-CA"/>
              </w:rPr>
              <w:t>Sa Majesté la Reine (Qc) (Criminelle) (Autorisation)</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BE195D" w:rsidRPr="001D183B" w:rsidRDefault="00BE195D" w:rsidP="00BE195D">
            <w:pPr>
              <w:jc w:val="both"/>
              <w:rPr>
                <w:sz w:val="20"/>
                <w:szCs w:val="20"/>
                <w:lang w:val="fr-CA"/>
              </w:rPr>
            </w:pPr>
            <w:r w:rsidRPr="001D183B">
              <w:rPr>
                <w:sz w:val="20"/>
                <w:szCs w:val="20"/>
                <w:lang w:val="fr-CA"/>
              </w:rPr>
              <w:t>Christian Desrosiers</w:t>
            </w:r>
            <w:r>
              <w:rPr>
                <w:sz w:val="20"/>
                <w:szCs w:val="20"/>
                <w:lang w:val="fr-CA"/>
              </w:rPr>
              <w:t xml:space="preserve"> et </w:t>
            </w:r>
            <w:r w:rsidRPr="001D183B">
              <w:rPr>
                <w:sz w:val="20"/>
                <w:szCs w:val="20"/>
                <w:lang w:val="fr-CA"/>
              </w:rPr>
              <w:t>Lida Sara Nouraie</w:t>
            </w:r>
            <w:r>
              <w:rPr>
                <w:sz w:val="20"/>
                <w:szCs w:val="20"/>
                <w:lang w:val="fr-CA"/>
              </w:rPr>
              <w:t xml:space="preserve"> p</w:t>
            </w:r>
            <w:r w:rsidRPr="001D183B">
              <w:rPr>
                <w:sz w:val="20"/>
                <w:szCs w:val="20"/>
                <w:lang w:val="fr-CA"/>
              </w:rPr>
              <w:t>our l’appelant.</w:t>
            </w:r>
          </w:p>
          <w:p w:rsidR="00BE195D" w:rsidRPr="001D183B" w:rsidRDefault="00BE195D" w:rsidP="00BE195D">
            <w:pPr>
              <w:jc w:val="both"/>
              <w:rPr>
                <w:sz w:val="20"/>
                <w:szCs w:val="20"/>
                <w:lang w:val="fr-CA"/>
              </w:rPr>
            </w:pPr>
          </w:p>
          <w:p w:rsidR="00732DB7" w:rsidRPr="00BE195D" w:rsidRDefault="00BE195D" w:rsidP="00BE195D">
            <w:pPr>
              <w:widowControl w:val="0"/>
              <w:jc w:val="both"/>
              <w:rPr>
                <w:sz w:val="20"/>
                <w:szCs w:val="20"/>
                <w:lang w:val="fr-CA"/>
              </w:rPr>
            </w:pPr>
            <w:r w:rsidRPr="001D183B">
              <w:rPr>
                <w:sz w:val="20"/>
                <w:szCs w:val="20"/>
                <w:lang w:val="fr-CA"/>
              </w:rPr>
              <w:t>Geneviève Dagenais</w:t>
            </w:r>
            <w:r>
              <w:rPr>
                <w:sz w:val="20"/>
                <w:szCs w:val="20"/>
                <w:lang w:val="fr-CA"/>
              </w:rPr>
              <w:t xml:space="preserve"> et </w:t>
            </w:r>
            <w:r w:rsidRPr="001D183B">
              <w:rPr>
                <w:sz w:val="20"/>
                <w:szCs w:val="20"/>
                <w:lang w:val="fr-CA"/>
              </w:rPr>
              <w:t>Christian Jarry</w:t>
            </w:r>
            <w:r>
              <w:rPr>
                <w:sz w:val="20"/>
                <w:szCs w:val="20"/>
                <w:lang w:val="fr-CA"/>
              </w:rPr>
              <w:t xml:space="preserve"> p</w:t>
            </w:r>
            <w:r w:rsidRPr="001D183B">
              <w:rPr>
                <w:sz w:val="20"/>
                <w:szCs w:val="20"/>
                <w:lang w:val="fr-CA"/>
              </w:rPr>
              <w:t>our l’intimée.</w:t>
            </w:r>
          </w:p>
        </w:tc>
      </w:tr>
    </w:tbl>
    <w:p w:rsidR="00C1697B" w:rsidRPr="00BE195D" w:rsidRDefault="00C1697B" w:rsidP="00C1697B">
      <w:pPr>
        <w:widowControl w:val="0"/>
        <w:rPr>
          <w:lang w:val="fr-CA"/>
        </w:rPr>
      </w:pPr>
    </w:p>
    <w:p w:rsidR="002A27D1" w:rsidRPr="00E829A1" w:rsidRDefault="002A27D1" w:rsidP="002A27D1">
      <w:pPr>
        <w:rPr>
          <w:rFonts w:eastAsia="Calibri" w:cs="Times New Roman"/>
          <w:b/>
          <w:bCs/>
          <w:sz w:val="20"/>
          <w:szCs w:val="20"/>
          <w:lang w:val="fr-CA"/>
        </w:rPr>
      </w:pPr>
      <w:r w:rsidRPr="00E829A1">
        <w:rPr>
          <w:rFonts w:eastAsia="Calibri" w:cs="Times New Roman"/>
          <w:b/>
          <w:bCs/>
          <w:sz w:val="20"/>
          <w:szCs w:val="20"/>
          <w:lang w:val="fr-CA"/>
        </w:rPr>
        <w:t>201</w:t>
      </w:r>
      <w:r w:rsidR="001E2B5C">
        <w:rPr>
          <w:rFonts w:eastAsia="Calibri" w:cs="Times New Roman"/>
          <w:b/>
          <w:bCs/>
          <w:sz w:val="20"/>
          <w:szCs w:val="20"/>
          <w:lang w:val="fr-CA"/>
        </w:rPr>
        <w:t>3</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sidRPr="00E829A1">
        <w:rPr>
          <w:rFonts w:eastAsia="Calibri" w:cs="Times New Roman"/>
          <w:b/>
          <w:bCs/>
          <w:sz w:val="20"/>
          <w:szCs w:val="20"/>
          <w:lang w:val="fr-CA"/>
        </w:rPr>
        <w:t>5</w:t>
      </w:r>
      <w:r w:rsidR="001E2B5C">
        <w:rPr>
          <w:rFonts w:eastAsia="Calibri" w:cs="Times New Roman"/>
          <w:b/>
          <w:bCs/>
          <w:sz w:val="20"/>
          <w:szCs w:val="20"/>
          <w:lang w:val="fr-CA"/>
        </w:rPr>
        <w:t>4</w:t>
      </w:r>
      <w:r w:rsidRPr="00E829A1">
        <w:rPr>
          <w:rFonts w:eastAsia="Calibri" w:cs="Times New Roman"/>
          <w:b/>
          <w:bCs/>
          <w:sz w:val="20"/>
          <w:szCs w:val="20"/>
          <w:lang w:val="fr-CA"/>
        </w:rPr>
        <w:t xml:space="preserve"> / 201</w:t>
      </w:r>
      <w:r w:rsidR="001E2B5C">
        <w:rPr>
          <w:rFonts w:eastAsia="Calibri" w:cs="Times New Roman"/>
          <w:b/>
          <w:bCs/>
          <w:sz w:val="20"/>
          <w:szCs w:val="20"/>
          <w:lang w:val="fr-CA"/>
        </w:rPr>
        <w:t>3</w:t>
      </w:r>
      <w:r w:rsidRPr="00E829A1">
        <w:rPr>
          <w:rFonts w:eastAsia="Calibri" w:cs="Times New Roman"/>
          <w:b/>
          <w:bCs/>
          <w:sz w:val="20"/>
          <w:szCs w:val="20"/>
          <w:lang w:val="fr-CA"/>
        </w:rPr>
        <w:t xml:space="preserve"> CSC 5</w:t>
      </w:r>
      <w:r w:rsidR="001E2B5C">
        <w:rPr>
          <w:rFonts w:eastAsia="Calibri" w:cs="Times New Roman"/>
          <w:b/>
          <w:bCs/>
          <w:sz w:val="20"/>
          <w:szCs w:val="20"/>
          <w:lang w:val="fr-CA"/>
        </w:rPr>
        <w:t>4</w:t>
      </w:r>
    </w:p>
    <w:p w:rsidR="002A27D1" w:rsidRDefault="002A27D1" w:rsidP="002A27D1">
      <w:pPr>
        <w:widowControl w:val="0"/>
        <w:rPr>
          <w:sz w:val="20"/>
          <w:szCs w:val="20"/>
        </w:rPr>
      </w:pPr>
    </w:p>
    <w:p w:rsidR="001E2B5C" w:rsidRPr="0048768B" w:rsidRDefault="001E2B5C" w:rsidP="001E2B5C">
      <w:pPr>
        <w:widowControl w:val="0"/>
        <w:rPr>
          <w:rFonts w:eastAsia="Calibri" w:cs="Times New Roman"/>
          <w:sz w:val="20"/>
          <w:szCs w:val="20"/>
          <w:lang w:val="fr-CA"/>
        </w:rPr>
      </w:pPr>
      <w:r w:rsidRPr="0048768B">
        <w:rPr>
          <w:rFonts w:eastAsia="Calibri" w:cs="Times New Roman"/>
          <w:b/>
          <w:sz w:val="20"/>
          <w:szCs w:val="20"/>
          <w:lang w:val="fr-CA"/>
        </w:rPr>
        <w:t>DISMISSED / REJETÉ</w:t>
      </w:r>
    </w:p>
    <w:p w:rsidR="002A27D1" w:rsidRDefault="002A27D1" w:rsidP="002A27D1"/>
    <w:tbl>
      <w:tblPr>
        <w:tblW w:w="0" w:type="auto"/>
        <w:tblLayout w:type="fixed"/>
        <w:tblCellMar>
          <w:left w:w="0" w:type="dxa"/>
          <w:right w:w="0" w:type="dxa"/>
        </w:tblCellMar>
        <w:tblLook w:val="0000"/>
      </w:tblPr>
      <w:tblGrid>
        <w:gridCol w:w="4380"/>
        <w:gridCol w:w="720"/>
        <w:gridCol w:w="4380"/>
      </w:tblGrid>
      <w:tr w:rsidR="002A27D1" w:rsidRPr="007C7F39" w:rsidTr="002A4AFA">
        <w:tc>
          <w:tcPr>
            <w:tcW w:w="4380" w:type="dxa"/>
            <w:tcMar>
              <w:left w:w="0" w:type="dxa"/>
              <w:right w:w="0" w:type="dxa"/>
            </w:tcMar>
          </w:tcPr>
          <w:p w:rsidR="002A27D1" w:rsidRPr="00CC4D84" w:rsidRDefault="002A27D1" w:rsidP="002A4AFA">
            <w:pPr>
              <w:widowControl w:val="0"/>
              <w:jc w:val="both"/>
              <w:rPr>
                <w:b/>
                <w:sz w:val="20"/>
                <w:szCs w:val="20"/>
                <w:u w:val="single"/>
              </w:rPr>
            </w:pPr>
            <w:r>
              <w:rPr>
                <w:b/>
                <w:sz w:val="20"/>
                <w:szCs w:val="20"/>
                <w:u w:val="single"/>
              </w:rPr>
              <w:t>JUDGMENT</w:t>
            </w:r>
            <w:r w:rsidRPr="00CC4D84">
              <w:rPr>
                <w:b/>
                <w:sz w:val="20"/>
                <w:szCs w:val="20"/>
                <w:u w:val="single"/>
              </w:rPr>
              <w:t>:</w:t>
            </w:r>
          </w:p>
          <w:p w:rsidR="002A27D1" w:rsidRPr="001A663B" w:rsidRDefault="002A27D1" w:rsidP="002A4AFA">
            <w:pPr>
              <w:widowControl w:val="0"/>
              <w:jc w:val="both"/>
              <w:rPr>
                <w:b/>
                <w:sz w:val="20"/>
                <w:szCs w:val="20"/>
              </w:rPr>
            </w:pPr>
          </w:p>
          <w:p w:rsidR="001E2B5C" w:rsidRPr="00FF7EBC" w:rsidRDefault="001E2B5C" w:rsidP="001E2B5C">
            <w:pPr>
              <w:jc w:val="both"/>
              <w:rPr>
                <w:sz w:val="20"/>
                <w:szCs w:val="20"/>
              </w:rPr>
            </w:pPr>
            <w:r w:rsidRPr="00FF7EBC">
              <w:rPr>
                <w:sz w:val="20"/>
                <w:szCs w:val="20"/>
              </w:rPr>
              <w:t xml:space="preserve">The appeal from the judgment of the </w:t>
            </w:r>
            <w:r w:rsidRPr="00FF7EBC">
              <w:rPr>
                <w:sz w:val="20"/>
                <w:szCs w:val="20"/>
                <w:lang w:val="en-US"/>
              </w:rPr>
              <w:t>Court of Appeal of Quebec (Montréal)</w:t>
            </w:r>
            <w:r w:rsidRPr="00FF7EBC">
              <w:rPr>
                <w:sz w:val="20"/>
                <w:szCs w:val="20"/>
              </w:rPr>
              <w:t xml:space="preserve">, Number </w:t>
            </w:r>
            <w:r w:rsidRPr="00FF7EBC">
              <w:rPr>
                <w:sz w:val="20"/>
                <w:szCs w:val="20"/>
                <w:lang w:val="en-US"/>
              </w:rPr>
              <w:t xml:space="preserve">500-10-004920-110, 2012 QCCA 635, </w:t>
            </w:r>
            <w:r w:rsidRPr="00FF7EBC">
              <w:rPr>
                <w:sz w:val="20"/>
                <w:szCs w:val="20"/>
              </w:rPr>
              <w:t xml:space="preserve"> dated April 5, 2012, was heard on </w:t>
            </w:r>
            <w:r w:rsidRPr="00FF7EBC">
              <w:rPr>
                <w:sz w:val="20"/>
                <w:szCs w:val="20"/>
                <w:lang w:val="en-US"/>
              </w:rPr>
              <w:t>October 18, 2013,</w:t>
            </w:r>
            <w:r w:rsidRPr="00FF7EBC">
              <w:rPr>
                <w:sz w:val="20"/>
                <w:szCs w:val="20"/>
              </w:rPr>
              <w:t xml:space="preserve"> and the Court on that day delivered the following judgment orally: </w:t>
            </w:r>
          </w:p>
          <w:p w:rsidR="001E2B5C" w:rsidRPr="00FF7EBC" w:rsidRDefault="001E2B5C" w:rsidP="001E2B5C">
            <w:pPr>
              <w:jc w:val="both"/>
              <w:rPr>
                <w:sz w:val="20"/>
                <w:szCs w:val="20"/>
              </w:rPr>
            </w:pPr>
          </w:p>
          <w:p w:rsidR="001E2B5C" w:rsidRPr="00FF7EBC" w:rsidRDefault="001E2B5C" w:rsidP="001E2B5C">
            <w:pPr>
              <w:jc w:val="both"/>
              <w:rPr>
                <w:smallCaps/>
                <w:sz w:val="20"/>
                <w:szCs w:val="20"/>
                <w:lang w:val="en-US"/>
              </w:rPr>
            </w:pPr>
          </w:p>
          <w:p w:rsidR="001E2B5C" w:rsidRPr="00FF7EBC" w:rsidRDefault="001E2B5C" w:rsidP="001E2B5C">
            <w:pPr>
              <w:jc w:val="both"/>
              <w:rPr>
                <w:sz w:val="20"/>
                <w:szCs w:val="20"/>
                <w:lang w:val="en-US"/>
              </w:rPr>
            </w:pPr>
            <w:r w:rsidRPr="00FF7EBC">
              <w:rPr>
                <w:smallCaps/>
                <w:sz w:val="20"/>
                <w:szCs w:val="20"/>
                <w:lang w:val="en-US"/>
              </w:rPr>
              <w:t>LeBel J.</w:t>
            </w:r>
            <w:r w:rsidRPr="00FF7EBC">
              <w:rPr>
                <w:sz w:val="20"/>
                <w:szCs w:val="20"/>
                <w:lang w:val="en-US"/>
              </w:rPr>
              <w:t xml:space="preserve"> — Speaking for a majority of the Court, I am of the opinion that the Court of Appeal of Quebec did not err when, for the reasons given by Chamberland J.A., it dismissed the appellant’s application for an extension of time, and for those reasons, the appeal is dismissed. </w:t>
            </w:r>
          </w:p>
          <w:p w:rsidR="001E2B5C" w:rsidRPr="00FF7EBC" w:rsidRDefault="001E2B5C" w:rsidP="001E2B5C">
            <w:pPr>
              <w:jc w:val="both"/>
              <w:rPr>
                <w:sz w:val="20"/>
                <w:szCs w:val="20"/>
                <w:lang w:val="en-US"/>
              </w:rPr>
            </w:pPr>
          </w:p>
          <w:p w:rsidR="001E2B5C" w:rsidRPr="00FF7EBC" w:rsidRDefault="001E2B5C" w:rsidP="001E2B5C">
            <w:pPr>
              <w:jc w:val="both"/>
              <w:rPr>
                <w:sz w:val="20"/>
                <w:szCs w:val="20"/>
                <w:lang w:val="en-US"/>
              </w:rPr>
            </w:pPr>
          </w:p>
          <w:p w:rsidR="002A27D1" w:rsidRPr="001E2B5C" w:rsidRDefault="001E2B5C" w:rsidP="001E2B5C">
            <w:pPr>
              <w:jc w:val="both"/>
              <w:rPr>
                <w:b/>
                <w:sz w:val="20"/>
                <w:szCs w:val="20"/>
                <w:lang w:val="en-US"/>
              </w:rPr>
            </w:pPr>
            <w:r w:rsidRPr="00FF7EBC">
              <w:rPr>
                <w:sz w:val="20"/>
                <w:szCs w:val="20"/>
                <w:lang w:val="en-US"/>
              </w:rPr>
              <w:t>Justice Cromwell, dissenting, essentially for the reasons given by Dalphond J.A. in dissent in the Court of Appeal, would have allowed the appeal, granted the extension of time and returned the matter to the Court of Appeal.</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2A27D1" w:rsidRPr="00C1697B" w:rsidRDefault="002A27D1" w:rsidP="002A4AFA">
            <w:pPr>
              <w:widowControl w:val="0"/>
              <w:jc w:val="both"/>
              <w:rPr>
                <w:sz w:val="20"/>
                <w:szCs w:val="20"/>
                <w:lang w:val="fr-CA"/>
              </w:rPr>
            </w:pPr>
          </w:p>
          <w:p w:rsidR="001E2B5C" w:rsidRPr="001E2B5C" w:rsidRDefault="001E2B5C" w:rsidP="001E2B5C">
            <w:pPr>
              <w:jc w:val="both"/>
              <w:rPr>
                <w:sz w:val="20"/>
                <w:szCs w:val="20"/>
                <w:lang w:val="fr-CA"/>
              </w:rPr>
            </w:pPr>
            <w:r w:rsidRPr="001E2B5C">
              <w:rPr>
                <w:sz w:val="20"/>
                <w:szCs w:val="20"/>
                <w:lang w:val="fr-CA"/>
              </w:rPr>
              <w:t>L’appel interjeté contre l’arrêt de la Cour d’appel du Québec (Montréal), numéro 500-10-004920-110, 2012 QCCA 635, en date du 5 avril 2012, a été entendu le 18 octobre 2013, et la Cour a prononcé oralement le même jour le jugement suivant :</w:t>
            </w:r>
          </w:p>
          <w:p w:rsidR="001E2B5C" w:rsidRPr="001E2B5C" w:rsidRDefault="001E2B5C" w:rsidP="001E2B5C">
            <w:pPr>
              <w:jc w:val="both"/>
              <w:rPr>
                <w:sz w:val="20"/>
                <w:szCs w:val="20"/>
                <w:lang w:val="fr-CA"/>
              </w:rPr>
            </w:pPr>
          </w:p>
          <w:p w:rsidR="001E2B5C" w:rsidRPr="001E2B5C" w:rsidRDefault="001E2B5C" w:rsidP="001E2B5C">
            <w:pPr>
              <w:jc w:val="both"/>
              <w:rPr>
                <w:sz w:val="20"/>
                <w:szCs w:val="20"/>
                <w:lang w:val="fr-CA"/>
              </w:rPr>
            </w:pPr>
            <w:r w:rsidRPr="001E2B5C">
              <w:rPr>
                <w:sz w:val="20"/>
                <w:szCs w:val="20"/>
                <w:lang w:val="fr-CA"/>
              </w:rPr>
              <w:t>[</w:t>
            </w:r>
            <w:r w:rsidRPr="001E2B5C">
              <w:rPr>
                <w:smallCaps/>
                <w:sz w:val="20"/>
                <w:szCs w:val="20"/>
                <w:lang w:val="fr-CA"/>
              </w:rPr>
              <w:t>traduction</w:t>
            </w:r>
            <w:r w:rsidRPr="001E2B5C">
              <w:rPr>
                <w:sz w:val="20"/>
                <w:szCs w:val="20"/>
                <w:lang w:val="fr-CA"/>
              </w:rPr>
              <w:t>]</w:t>
            </w:r>
          </w:p>
          <w:p w:rsidR="001E2B5C" w:rsidRPr="001E2B5C" w:rsidRDefault="001E2B5C" w:rsidP="001E2B5C">
            <w:pPr>
              <w:jc w:val="both"/>
              <w:rPr>
                <w:sz w:val="20"/>
                <w:szCs w:val="20"/>
                <w:lang w:val="fr-CA"/>
              </w:rPr>
            </w:pPr>
            <w:r w:rsidRPr="001E2B5C">
              <w:rPr>
                <w:smallCaps/>
                <w:sz w:val="20"/>
                <w:szCs w:val="20"/>
                <w:lang w:val="fr-CA"/>
              </w:rPr>
              <w:t xml:space="preserve">Le juge LeBel — </w:t>
            </w:r>
            <w:r w:rsidRPr="001E2B5C">
              <w:rPr>
                <w:sz w:val="20"/>
                <w:szCs w:val="20"/>
                <w:lang w:val="fr-CA"/>
              </w:rPr>
              <w:t>M’exprimant pour la majorité de la Cour, je suis d’avis que la Cour d’appel du Québec n’a pas commis d’erreur lorsque, pour les motifs exposés par le juge d’appel Chamberland, elle a rejeté la requête en prorogation de délai présentée par l’appelant, et, pour ces mêmes motifs, le pourvoi est rejeté.</w:t>
            </w:r>
          </w:p>
          <w:p w:rsidR="001E2B5C" w:rsidRPr="001E2B5C" w:rsidRDefault="001E2B5C" w:rsidP="001E2B5C">
            <w:pPr>
              <w:jc w:val="both"/>
              <w:rPr>
                <w:sz w:val="20"/>
                <w:szCs w:val="20"/>
                <w:lang w:val="fr-CA"/>
              </w:rPr>
            </w:pPr>
          </w:p>
          <w:p w:rsidR="002A27D1" w:rsidRPr="00C1697B" w:rsidRDefault="001E2B5C" w:rsidP="001E2B5C">
            <w:pPr>
              <w:jc w:val="both"/>
              <w:rPr>
                <w:sz w:val="20"/>
                <w:szCs w:val="20"/>
                <w:lang w:val="fr-CA"/>
              </w:rPr>
            </w:pPr>
            <w:r w:rsidRPr="001E2B5C">
              <w:rPr>
                <w:sz w:val="20"/>
                <w:szCs w:val="20"/>
                <w:lang w:val="fr-CA"/>
              </w:rPr>
              <w:t>Le juge Cromwell est dissident.  Essentiellement pour les motifs de dissidence formulés par le juge d’appel Dalphond, il aurait accueilli le pourvoi, accordé la prorogation de délai et renvoyé l’affaire à la Cour d’appel.</w:t>
            </w:r>
          </w:p>
        </w:tc>
      </w:tr>
    </w:tbl>
    <w:p w:rsidR="002A27D1" w:rsidRPr="00DE1CAD" w:rsidRDefault="002A27D1" w:rsidP="002A27D1">
      <w:pPr>
        <w:rPr>
          <w:lang w:val="fr-CA"/>
        </w:rPr>
      </w:pPr>
    </w:p>
    <w:tbl>
      <w:tblPr>
        <w:tblW w:w="0" w:type="auto"/>
        <w:tblLayout w:type="fixed"/>
        <w:tblCellMar>
          <w:left w:w="0" w:type="dxa"/>
          <w:right w:w="0" w:type="dxa"/>
        </w:tblCellMar>
        <w:tblLook w:val="0000"/>
      </w:tblPr>
      <w:tblGrid>
        <w:gridCol w:w="4380"/>
        <w:gridCol w:w="720"/>
        <w:gridCol w:w="4380"/>
      </w:tblGrid>
      <w:tr w:rsidR="002A27D1" w:rsidRPr="00C374DC"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1E2B5C" w:rsidRPr="0064753A" w:rsidRDefault="001E2B5C" w:rsidP="001E2B5C">
            <w:pPr>
              <w:pStyle w:val="SCCBanSummary"/>
              <w:rPr>
                <w:sz w:val="20"/>
                <w:szCs w:val="20"/>
                <w:lang w:val="en-CA"/>
              </w:rPr>
            </w:pPr>
            <w:r w:rsidRPr="0064753A">
              <w:rPr>
                <w:sz w:val="20"/>
                <w:szCs w:val="20"/>
                <w:lang w:val="en-CA"/>
              </w:rPr>
              <w:t xml:space="preserve">(Publication Ban in Case) (Publication Ban on Party) (Court </w:t>
            </w:r>
            <w:r w:rsidR="00BE195D">
              <w:rPr>
                <w:sz w:val="20"/>
                <w:szCs w:val="20"/>
                <w:lang w:val="en-CA"/>
              </w:rPr>
              <w:t>F</w:t>
            </w:r>
            <w:r w:rsidRPr="0064753A">
              <w:rPr>
                <w:sz w:val="20"/>
                <w:szCs w:val="20"/>
                <w:lang w:val="en-CA"/>
              </w:rPr>
              <w:t xml:space="preserve">ile </w:t>
            </w:r>
            <w:r w:rsidR="00BE195D">
              <w:rPr>
                <w:sz w:val="20"/>
                <w:szCs w:val="20"/>
                <w:lang w:val="en-CA"/>
              </w:rPr>
              <w:t>C</w:t>
            </w:r>
            <w:r w:rsidRPr="0064753A">
              <w:rPr>
                <w:sz w:val="20"/>
                <w:szCs w:val="20"/>
                <w:lang w:val="en-CA"/>
              </w:rPr>
              <w:t xml:space="preserve">ontains </w:t>
            </w:r>
            <w:r w:rsidR="00BE195D">
              <w:rPr>
                <w:sz w:val="20"/>
                <w:szCs w:val="20"/>
                <w:lang w:val="en-CA"/>
              </w:rPr>
              <w:t>I</w:t>
            </w:r>
            <w:r w:rsidRPr="0064753A">
              <w:rPr>
                <w:sz w:val="20"/>
                <w:szCs w:val="20"/>
                <w:lang w:val="en-CA"/>
              </w:rPr>
              <w:t xml:space="preserve">nformation </w:t>
            </w:r>
            <w:r w:rsidR="00BE195D">
              <w:rPr>
                <w:sz w:val="20"/>
                <w:szCs w:val="20"/>
                <w:lang w:val="en-CA"/>
              </w:rPr>
              <w:t>T</w:t>
            </w:r>
            <w:r w:rsidRPr="0064753A">
              <w:rPr>
                <w:sz w:val="20"/>
                <w:szCs w:val="20"/>
                <w:lang w:val="en-CA"/>
              </w:rPr>
              <w:t xml:space="preserve">hat is </w:t>
            </w:r>
            <w:r w:rsidR="00BE195D">
              <w:rPr>
                <w:sz w:val="20"/>
                <w:szCs w:val="20"/>
                <w:lang w:val="en-CA"/>
              </w:rPr>
              <w:t>N</w:t>
            </w:r>
            <w:r w:rsidRPr="0064753A">
              <w:rPr>
                <w:sz w:val="20"/>
                <w:szCs w:val="20"/>
                <w:lang w:val="en-CA"/>
              </w:rPr>
              <w:t xml:space="preserve">ot </w:t>
            </w:r>
            <w:r w:rsidR="00BE195D">
              <w:rPr>
                <w:sz w:val="20"/>
                <w:szCs w:val="20"/>
                <w:lang w:val="en-CA"/>
              </w:rPr>
              <w:t>A</w:t>
            </w:r>
            <w:r w:rsidRPr="0064753A">
              <w:rPr>
                <w:sz w:val="20"/>
                <w:szCs w:val="20"/>
                <w:lang w:val="en-CA"/>
              </w:rPr>
              <w:t xml:space="preserve">vailable for </w:t>
            </w:r>
            <w:r w:rsidR="00BE195D">
              <w:rPr>
                <w:sz w:val="20"/>
                <w:szCs w:val="20"/>
                <w:lang w:val="en-CA"/>
              </w:rPr>
              <w:t>I</w:t>
            </w:r>
            <w:r w:rsidRPr="0064753A">
              <w:rPr>
                <w:sz w:val="20"/>
                <w:szCs w:val="20"/>
                <w:lang w:val="en-CA"/>
              </w:rPr>
              <w:t xml:space="preserve">nspection by the </w:t>
            </w:r>
            <w:r w:rsidR="00BE195D">
              <w:rPr>
                <w:sz w:val="20"/>
                <w:szCs w:val="20"/>
                <w:lang w:val="en-CA"/>
              </w:rPr>
              <w:t>P</w:t>
            </w:r>
            <w:r w:rsidRPr="0064753A">
              <w:rPr>
                <w:sz w:val="20"/>
                <w:szCs w:val="20"/>
                <w:lang w:val="en-CA"/>
              </w:rPr>
              <w:t>ublic)</w:t>
            </w:r>
          </w:p>
          <w:p w:rsidR="001E2B5C" w:rsidRDefault="001E2B5C" w:rsidP="001E2B5C">
            <w:pPr>
              <w:widowControl w:val="0"/>
              <w:jc w:val="both"/>
              <w:rPr>
                <w:sz w:val="20"/>
                <w:szCs w:val="20"/>
              </w:rPr>
            </w:pPr>
          </w:p>
          <w:p w:rsidR="00BE195D" w:rsidRDefault="00BE195D" w:rsidP="001E2B5C">
            <w:pPr>
              <w:widowControl w:val="0"/>
              <w:jc w:val="both"/>
              <w:rPr>
                <w:sz w:val="20"/>
                <w:szCs w:val="20"/>
              </w:rPr>
            </w:pPr>
          </w:p>
          <w:p w:rsidR="00BE195D" w:rsidRPr="0064753A" w:rsidRDefault="00BE195D" w:rsidP="001E2B5C">
            <w:pPr>
              <w:widowControl w:val="0"/>
              <w:jc w:val="both"/>
              <w:rPr>
                <w:sz w:val="20"/>
                <w:szCs w:val="20"/>
              </w:rPr>
            </w:pPr>
          </w:p>
          <w:p w:rsidR="002A27D1" w:rsidRPr="00C1697B" w:rsidRDefault="001E2B5C" w:rsidP="001E2B5C">
            <w:pPr>
              <w:widowControl w:val="0"/>
              <w:jc w:val="both"/>
              <w:rPr>
                <w:b/>
                <w:sz w:val="20"/>
                <w:szCs w:val="20"/>
              </w:rPr>
            </w:pPr>
            <w:r w:rsidRPr="0064753A">
              <w:rPr>
                <w:i/>
                <w:sz w:val="20"/>
                <w:szCs w:val="20"/>
              </w:rPr>
              <w:t>Charter</w:t>
            </w:r>
            <w:r w:rsidRPr="0064753A">
              <w:rPr>
                <w:sz w:val="20"/>
                <w:szCs w:val="20"/>
              </w:rPr>
              <w:t xml:space="preserve"> </w:t>
            </w:r>
            <w:r w:rsidRPr="0064753A">
              <w:rPr>
                <w:sz w:val="20"/>
                <w:szCs w:val="20"/>
              </w:rPr>
              <w:noBreakHyphen/>
              <w:t xml:space="preserve"> Criminal law </w:t>
            </w:r>
            <w:r w:rsidRPr="0064753A">
              <w:rPr>
                <w:sz w:val="20"/>
                <w:szCs w:val="20"/>
              </w:rPr>
              <w:noBreakHyphen/>
              <w:t xml:space="preserve"> Appellant pleading guilty to 14 charges between 1996 and 2005 </w:t>
            </w:r>
            <w:r w:rsidRPr="0064753A">
              <w:rPr>
                <w:sz w:val="20"/>
                <w:szCs w:val="20"/>
              </w:rPr>
              <w:noBreakHyphen/>
              <w:t xml:space="preserve"> In 2011, appellant found unfit to stand trial because of intellectual disability </w:t>
            </w:r>
            <w:r w:rsidRPr="0064753A">
              <w:rPr>
                <w:sz w:val="20"/>
                <w:szCs w:val="20"/>
              </w:rPr>
              <w:noBreakHyphen/>
              <w:t xml:space="preserve"> Motions for extension of time to appeal, leave to appeal and authorization to produce new evidence </w:t>
            </w:r>
            <w:r w:rsidRPr="0064753A">
              <w:rPr>
                <w:sz w:val="20"/>
                <w:szCs w:val="20"/>
              </w:rPr>
              <w:noBreakHyphen/>
              <w:t xml:space="preserve"> Whether majority of Court of Appeal erred in law in dismissing appellant’s motions </w:t>
            </w:r>
            <w:r w:rsidRPr="0064753A">
              <w:rPr>
                <w:sz w:val="20"/>
                <w:szCs w:val="20"/>
              </w:rPr>
              <w:noBreakHyphen/>
              <w:t xml:space="preserve"> Whether new evidence shows that, at time he entered guilty pleas, appellant was unfit to stand trial on criminal charges because of his intellectual disability, thus making guilty verdicts unreasonable and creating miscarriage of justice </w:t>
            </w:r>
            <w:r w:rsidRPr="0064753A">
              <w:rPr>
                <w:sz w:val="20"/>
                <w:szCs w:val="20"/>
              </w:rPr>
              <w:noBreakHyphen/>
              <w:t xml:space="preserve"> Whether new evidence shows that appellant’s guilty pleas not entered freely and voluntarily because of his intellectual limitations, thus making guilty verdicts unreasonable and creating miscarriage of justice </w:t>
            </w:r>
            <w:r w:rsidRPr="0064753A">
              <w:rPr>
                <w:sz w:val="20"/>
                <w:szCs w:val="20"/>
              </w:rPr>
              <w:noBreakHyphen/>
              <w:t xml:space="preserve"> Whether new evidence shows that, because of his intellectual disability, appellant did not have requisite </w:t>
            </w:r>
            <w:r w:rsidRPr="0064753A">
              <w:rPr>
                <w:i/>
                <w:sz w:val="20"/>
                <w:szCs w:val="20"/>
              </w:rPr>
              <w:t>mens rea</w:t>
            </w:r>
            <w:r w:rsidRPr="0064753A">
              <w:rPr>
                <w:sz w:val="20"/>
                <w:szCs w:val="20"/>
              </w:rPr>
              <w:t xml:space="preserve"> to commit offences with which he was charged, thus making guilty verdicts unreasonable and creating miscarriage of justice </w:t>
            </w:r>
            <w:r w:rsidRPr="0064753A">
              <w:rPr>
                <w:sz w:val="20"/>
                <w:szCs w:val="20"/>
              </w:rPr>
              <w:noBreakHyphen/>
              <w:t xml:space="preserve"> Whether new evidence shows that appellant was convicted despite suffering from mental disorder related to his intellectual disability within meaning of s. 16 of </w:t>
            </w:r>
            <w:r w:rsidRPr="0064753A">
              <w:rPr>
                <w:i/>
                <w:sz w:val="20"/>
                <w:szCs w:val="20"/>
              </w:rPr>
              <w:t>Criminal Code</w:t>
            </w:r>
            <w:r w:rsidRPr="0064753A">
              <w:rPr>
                <w:sz w:val="20"/>
                <w:szCs w:val="20"/>
              </w:rPr>
              <w:t xml:space="preserve">, thus creating miscarriage of justice </w:t>
            </w:r>
            <w:r w:rsidRPr="0064753A">
              <w:rPr>
                <w:sz w:val="20"/>
                <w:szCs w:val="20"/>
              </w:rPr>
              <w:noBreakHyphen/>
              <w:t xml:space="preserve"> In circumstances of this case, whether infringement of appellant’s constitutional rights under ss. 7 and 11(</w:t>
            </w:r>
            <w:r w:rsidRPr="0064753A">
              <w:rPr>
                <w:i/>
                <w:sz w:val="20"/>
                <w:szCs w:val="20"/>
              </w:rPr>
              <w:t>d</w:t>
            </w:r>
            <w:r w:rsidRPr="0064753A">
              <w:rPr>
                <w:sz w:val="20"/>
                <w:szCs w:val="20"/>
              </w:rPr>
              <w:t xml:space="preserve">) of </w:t>
            </w:r>
            <w:r w:rsidRPr="0064753A">
              <w:rPr>
                <w:i/>
                <w:sz w:val="20"/>
                <w:szCs w:val="20"/>
              </w:rPr>
              <w:t>Charter</w:t>
            </w:r>
            <w:r w:rsidRPr="0064753A">
              <w:rPr>
                <w:sz w:val="20"/>
                <w:szCs w:val="20"/>
              </w:rPr>
              <w:t xml:space="preserve"> requires stay of proceedings as remedy under s. 24(1) of </w:t>
            </w:r>
            <w:r w:rsidRPr="0064753A">
              <w:rPr>
                <w:i/>
                <w:sz w:val="20"/>
                <w:szCs w:val="20"/>
              </w:rPr>
              <w:t>Charter</w:t>
            </w:r>
            <w:r w:rsidRPr="0064753A">
              <w:rPr>
                <w:sz w:val="20"/>
                <w:szCs w:val="20"/>
              </w:rPr>
              <w:t>.</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Default="002A27D1" w:rsidP="002A4AFA">
            <w:pPr>
              <w:widowControl w:val="0"/>
              <w:jc w:val="both"/>
              <w:rPr>
                <w:sz w:val="20"/>
                <w:szCs w:val="20"/>
                <w:lang w:val="fr-CA"/>
              </w:rPr>
            </w:pPr>
          </w:p>
          <w:p w:rsidR="001E2B5C" w:rsidRPr="001D4A80" w:rsidRDefault="001E2B5C" w:rsidP="001E2B5C">
            <w:pPr>
              <w:pStyle w:val="SCCBanSummary"/>
              <w:rPr>
                <w:sz w:val="20"/>
                <w:szCs w:val="20"/>
              </w:rPr>
            </w:pPr>
            <w:r w:rsidRPr="001D4A80">
              <w:rPr>
                <w:sz w:val="20"/>
                <w:szCs w:val="20"/>
              </w:rPr>
              <w:t>(Ordonnance de non</w:t>
            </w:r>
            <w:r w:rsidRPr="001D4A80">
              <w:rPr>
                <w:sz w:val="20"/>
                <w:szCs w:val="20"/>
              </w:rPr>
              <w:noBreakHyphen/>
              <w:t>publication dans le dossier) (Ordonnance de non</w:t>
            </w:r>
            <w:r w:rsidRPr="001D4A80">
              <w:rPr>
                <w:sz w:val="20"/>
                <w:szCs w:val="20"/>
              </w:rPr>
              <w:noBreakHyphen/>
              <w:t>publication visant une partie) (Le dossier de la Cour renferme des données que le public n’est pas autorisé à consulter)</w:t>
            </w:r>
          </w:p>
          <w:p w:rsidR="001E2B5C" w:rsidRPr="001D4A80" w:rsidRDefault="001E2B5C" w:rsidP="001E2B5C">
            <w:pPr>
              <w:widowControl w:val="0"/>
              <w:jc w:val="both"/>
              <w:rPr>
                <w:sz w:val="20"/>
                <w:szCs w:val="20"/>
                <w:lang w:val="fr-CA"/>
              </w:rPr>
            </w:pPr>
          </w:p>
          <w:p w:rsidR="001E2B5C" w:rsidRPr="00C1697B" w:rsidRDefault="001E2B5C" w:rsidP="001E2B5C">
            <w:pPr>
              <w:widowControl w:val="0"/>
              <w:jc w:val="both"/>
              <w:rPr>
                <w:sz w:val="20"/>
                <w:szCs w:val="20"/>
                <w:lang w:val="fr-CA"/>
              </w:rPr>
            </w:pPr>
            <w:r w:rsidRPr="001D4A80">
              <w:rPr>
                <w:i/>
                <w:sz w:val="20"/>
                <w:szCs w:val="20"/>
                <w:lang w:val="fr-CA"/>
              </w:rPr>
              <w:t>Charte</w:t>
            </w:r>
            <w:r w:rsidRPr="001D4A80">
              <w:rPr>
                <w:sz w:val="20"/>
                <w:szCs w:val="20"/>
                <w:lang w:val="fr-CA"/>
              </w:rPr>
              <w:t xml:space="preserve"> </w:t>
            </w:r>
            <w:r w:rsidRPr="001D4A80">
              <w:rPr>
                <w:sz w:val="20"/>
                <w:szCs w:val="20"/>
                <w:lang w:val="fr-CA"/>
              </w:rPr>
              <w:noBreakHyphen/>
              <w:t xml:space="preserve"> Droit criminel </w:t>
            </w:r>
            <w:r w:rsidRPr="001D4A80">
              <w:rPr>
                <w:sz w:val="20"/>
                <w:szCs w:val="20"/>
                <w:lang w:val="fr-CA"/>
              </w:rPr>
              <w:noBreakHyphen/>
              <w:t xml:space="preserve"> Appelant ayant plaidé coupable à 14 chefs d’accusation entre 1996 et 2005 </w:t>
            </w:r>
            <w:r w:rsidRPr="001D4A80">
              <w:rPr>
                <w:sz w:val="20"/>
                <w:szCs w:val="20"/>
                <w:lang w:val="fr-CA"/>
              </w:rPr>
              <w:noBreakHyphen/>
              <w:t xml:space="preserve"> En 2011, l’appelant étant jugé inapte à subir un procès en raison d’une déficience intellectuelle </w:t>
            </w:r>
            <w:r w:rsidRPr="001D4A80">
              <w:rPr>
                <w:sz w:val="20"/>
                <w:szCs w:val="20"/>
                <w:lang w:val="fr-CA"/>
              </w:rPr>
              <w:noBreakHyphen/>
              <w:t xml:space="preserve"> Requêtes pour prorogation du délai pour en appeler, pour permission de faire appel et pour obtenir l’autorisation de présenter une nouvelle preuve </w:t>
            </w:r>
            <w:r w:rsidRPr="001D4A80">
              <w:rPr>
                <w:sz w:val="20"/>
                <w:szCs w:val="20"/>
                <w:lang w:val="fr-CA"/>
              </w:rPr>
              <w:noBreakHyphen/>
              <w:t xml:space="preserve"> La majorité de la Cour d’appel a</w:t>
            </w:r>
            <w:r w:rsidRPr="001D4A80">
              <w:rPr>
                <w:sz w:val="20"/>
                <w:szCs w:val="20"/>
                <w:lang w:val="fr-CA"/>
              </w:rPr>
              <w:noBreakHyphen/>
              <w:t>t</w:t>
            </w:r>
            <w:r w:rsidRPr="001D4A80">
              <w:rPr>
                <w:sz w:val="20"/>
                <w:szCs w:val="20"/>
                <w:lang w:val="fr-CA"/>
              </w:rPr>
              <w:noBreakHyphen/>
              <w:t xml:space="preserve">elle erré en droit en rejetant les requêtes présentées par l’appelant? </w:t>
            </w:r>
            <w:r w:rsidRPr="001D4A80">
              <w:rPr>
                <w:sz w:val="20"/>
                <w:szCs w:val="20"/>
                <w:lang w:val="fr-CA"/>
              </w:rPr>
              <w:noBreakHyphen/>
              <w:t xml:space="preserve"> La nouvelle preuve révèle</w:t>
            </w:r>
            <w:r w:rsidRPr="001D4A80">
              <w:rPr>
                <w:sz w:val="20"/>
                <w:szCs w:val="20"/>
                <w:lang w:val="fr-CA"/>
              </w:rPr>
              <w:noBreakHyphen/>
              <w:t>t</w:t>
            </w:r>
            <w:r w:rsidRPr="001D4A80">
              <w:rPr>
                <w:sz w:val="20"/>
                <w:szCs w:val="20"/>
                <w:lang w:val="fr-CA"/>
              </w:rPr>
              <w:noBreakHyphen/>
              <w:t xml:space="preserve">elle que lors des divers plaidoyers de culpabilité qu’il a enregistrés, l’appelant était inapte à subir un procès en matière criminelle en raison de sa déficience intellectuelle, rendant ainsi les verdicts de culpabilité déraisonnables et constituant une erreur judiciaire? </w:t>
            </w:r>
            <w:r w:rsidRPr="001D4A80">
              <w:rPr>
                <w:sz w:val="20"/>
                <w:szCs w:val="20"/>
                <w:lang w:val="fr-CA"/>
              </w:rPr>
              <w:noBreakHyphen/>
              <w:t>La nouvelle preuve révèle</w:t>
            </w:r>
            <w:r w:rsidRPr="001D4A80">
              <w:rPr>
                <w:sz w:val="20"/>
                <w:szCs w:val="20"/>
                <w:lang w:val="fr-CA"/>
              </w:rPr>
              <w:noBreakHyphen/>
              <w:t>t</w:t>
            </w:r>
            <w:r w:rsidRPr="001D4A80">
              <w:rPr>
                <w:sz w:val="20"/>
                <w:szCs w:val="20"/>
                <w:lang w:val="fr-CA"/>
              </w:rPr>
              <w:noBreakHyphen/>
              <w:t xml:space="preserve">elle que les plaidoyers de culpabilité de l’appelant n’ont pas été enregistrés de manière libre et volontaire en raison de ses limitations intellectuelles, rendant ainsi les verdicts de culpabilité déraisonnables et constituant une erreur judiciaire? </w:t>
            </w:r>
            <w:r w:rsidRPr="001D4A80">
              <w:rPr>
                <w:sz w:val="20"/>
                <w:szCs w:val="20"/>
                <w:lang w:val="fr-CA"/>
              </w:rPr>
              <w:noBreakHyphen/>
              <w:t xml:space="preserve"> La nouvelle preuve révèle</w:t>
            </w:r>
            <w:r w:rsidRPr="001D4A80">
              <w:rPr>
                <w:sz w:val="20"/>
                <w:szCs w:val="20"/>
                <w:lang w:val="fr-CA"/>
              </w:rPr>
              <w:noBreakHyphen/>
              <w:t>t</w:t>
            </w:r>
            <w:r w:rsidRPr="001D4A80">
              <w:rPr>
                <w:sz w:val="20"/>
                <w:szCs w:val="20"/>
                <w:lang w:val="fr-CA"/>
              </w:rPr>
              <w:noBreakHyphen/>
              <w:t xml:space="preserve">elle que l’appelant n’avait pas la </w:t>
            </w:r>
            <w:r w:rsidRPr="001D4A80">
              <w:rPr>
                <w:i/>
                <w:sz w:val="20"/>
                <w:szCs w:val="20"/>
                <w:lang w:val="fr-CA"/>
              </w:rPr>
              <w:t>mens rea</w:t>
            </w:r>
            <w:r w:rsidRPr="001D4A80">
              <w:rPr>
                <w:sz w:val="20"/>
                <w:szCs w:val="20"/>
                <w:lang w:val="fr-CA"/>
              </w:rPr>
              <w:t xml:space="preserve"> requise pour commettre les infractions qui lui étaient reprochées en raison de sa déficience intellectuelle, rendant ainsi les verdicts de culpabilité déraisonnables et constituant une erreur judiciaire? </w:t>
            </w:r>
            <w:r w:rsidRPr="001D4A80">
              <w:rPr>
                <w:sz w:val="20"/>
                <w:szCs w:val="20"/>
                <w:lang w:val="fr-CA"/>
              </w:rPr>
              <w:noBreakHyphen/>
              <w:t xml:space="preserve"> La nouvelle preuve révèle</w:t>
            </w:r>
            <w:r w:rsidRPr="001D4A80">
              <w:rPr>
                <w:sz w:val="20"/>
                <w:szCs w:val="20"/>
                <w:lang w:val="fr-CA"/>
              </w:rPr>
              <w:noBreakHyphen/>
              <w:t>t</w:t>
            </w:r>
            <w:r w:rsidRPr="001D4A80">
              <w:rPr>
                <w:sz w:val="20"/>
                <w:szCs w:val="20"/>
                <w:lang w:val="fr-CA"/>
              </w:rPr>
              <w:noBreakHyphen/>
              <w:t xml:space="preserve">elle que l’appelant a été déclaré coupable alors qu’il souffrait de troubles mentaux liés à sa déficience intellectuelle au sens de l’art. 16 du </w:t>
            </w:r>
            <w:r w:rsidRPr="001D4A80">
              <w:rPr>
                <w:i/>
                <w:sz w:val="20"/>
                <w:szCs w:val="20"/>
                <w:lang w:val="fr-CA"/>
              </w:rPr>
              <w:t>Code criminel</w:t>
            </w:r>
            <w:r w:rsidRPr="001D4A80">
              <w:rPr>
                <w:sz w:val="20"/>
                <w:szCs w:val="20"/>
                <w:lang w:val="fr-CA"/>
              </w:rPr>
              <w:t xml:space="preserve">, constituant ainsi une erreur judiciaire? </w:t>
            </w:r>
            <w:r w:rsidRPr="001D4A80">
              <w:rPr>
                <w:sz w:val="20"/>
                <w:szCs w:val="20"/>
                <w:lang w:val="fr-CA"/>
              </w:rPr>
              <w:noBreakHyphen/>
              <w:t xml:space="preserve"> Considérant les circonstances du présent dossier, la violation des droits constitutionnels de l’appelant sous les art. 7 et 11 d) de la </w:t>
            </w:r>
            <w:r w:rsidRPr="001D4A80">
              <w:rPr>
                <w:i/>
                <w:sz w:val="20"/>
                <w:szCs w:val="20"/>
                <w:lang w:val="fr-CA"/>
              </w:rPr>
              <w:t>Charte</w:t>
            </w:r>
            <w:r w:rsidRPr="001D4A80">
              <w:rPr>
                <w:sz w:val="20"/>
                <w:szCs w:val="20"/>
                <w:lang w:val="fr-CA"/>
              </w:rPr>
              <w:t xml:space="preserve"> requiert</w:t>
            </w:r>
            <w:r w:rsidRPr="001D4A80">
              <w:rPr>
                <w:sz w:val="20"/>
                <w:szCs w:val="20"/>
                <w:lang w:val="fr-CA"/>
              </w:rPr>
              <w:noBreakHyphen/>
              <w:t xml:space="preserve">elle un arrêt des procédures à titre de remède sous l’art. 24(1) de la </w:t>
            </w:r>
            <w:r w:rsidRPr="001D4A80">
              <w:rPr>
                <w:i/>
                <w:sz w:val="20"/>
                <w:szCs w:val="20"/>
                <w:lang w:val="fr-CA"/>
              </w:rPr>
              <w:t>Charte</w:t>
            </w:r>
            <w:r w:rsidRPr="001D4A80">
              <w:rPr>
                <w:sz w:val="20"/>
                <w:szCs w:val="20"/>
                <w:lang w:val="fr-CA"/>
              </w:rPr>
              <w:t xml:space="preserve">? </w:t>
            </w:r>
          </w:p>
        </w:tc>
      </w:tr>
    </w:tbl>
    <w:p w:rsidR="002A27D1" w:rsidRDefault="002A27D1" w:rsidP="002A27D1">
      <w:pPr>
        <w:widowControl w:val="0"/>
        <w:rPr>
          <w:sz w:val="20"/>
          <w:szCs w:val="20"/>
          <w:lang w:val="fr-CA"/>
        </w:rPr>
      </w:pPr>
    </w:p>
    <w:p w:rsidR="00E940EB" w:rsidRDefault="00CC2008" w:rsidP="00732DB7">
      <w:pPr>
        <w:widowControl w:val="0"/>
        <w:rPr>
          <w:sz w:val="20"/>
          <w:szCs w:val="20"/>
          <w:lang w:val="fr-CA"/>
        </w:rPr>
      </w:pPr>
      <w:r w:rsidRPr="00CC2008">
        <w:rPr>
          <w:sz w:val="20"/>
          <w:szCs w:val="20"/>
          <w:lang w:val="fr-CA"/>
        </w:rPr>
        <w:pict>
          <v:rect id="_x0000_i1072" style="width:2in;height:1pt" o:hrpct="0" o:hralign="center" o:hrstd="t" o:hrnoshade="t" o:hr="t" fillcolor="black [3213]" stroked="f"/>
        </w:pict>
      </w: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7C7F3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O</w:t>
      </w:r>
      <w:r w:rsidR="004E1E0A">
        <w:rPr>
          <w:b/>
          <w:sz w:val="20"/>
          <w:szCs w:val="20"/>
        </w:rPr>
        <w:t>CTO</w:t>
      </w:r>
      <w:r w:rsidRPr="003B3977">
        <w:rPr>
          <w:b/>
          <w:sz w:val="20"/>
          <w:szCs w:val="20"/>
        </w:rPr>
        <w:t xml:space="preserve">BER </w:t>
      </w:r>
      <w:r w:rsidR="004E1E0A">
        <w:rPr>
          <w:b/>
          <w:sz w:val="20"/>
          <w:szCs w:val="20"/>
        </w:rPr>
        <w:t>25</w:t>
      </w:r>
      <w:r w:rsidRPr="003B3977">
        <w:rPr>
          <w:b/>
          <w:sz w:val="20"/>
          <w:szCs w:val="20"/>
        </w:rPr>
        <w:t>, 201</w:t>
      </w:r>
      <w:r w:rsidR="005347E7">
        <w:rPr>
          <w:b/>
          <w:sz w:val="20"/>
          <w:szCs w:val="20"/>
        </w:rPr>
        <w:t>3</w:t>
      </w:r>
      <w:r w:rsidRPr="003B3977">
        <w:rPr>
          <w:b/>
          <w:sz w:val="20"/>
          <w:szCs w:val="20"/>
        </w:rPr>
        <w:t xml:space="preserve"> / LE </w:t>
      </w:r>
      <w:r w:rsidR="004E1E0A">
        <w:rPr>
          <w:b/>
          <w:sz w:val="20"/>
          <w:szCs w:val="20"/>
        </w:rPr>
        <w:t>25</w:t>
      </w:r>
      <w:r w:rsidRPr="003B3977">
        <w:rPr>
          <w:b/>
          <w:sz w:val="20"/>
          <w:szCs w:val="20"/>
        </w:rPr>
        <w:t xml:space="preserve"> O</w:t>
      </w:r>
      <w:r w:rsidR="004E1E0A">
        <w:rPr>
          <w:b/>
          <w:sz w:val="20"/>
          <w:szCs w:val="20"/>
        </w:rPr>
        <w:t>CTO</w:t>
      </w:r>
      <w:r w:rsidRPr="003B3977">
        <w:rPr>
          <w:b/>
          <w:sz w:val="20"/>
          <w:szCs w:val="20"/>
        </w:rPr>
        <w:t>BRE 201</w:t>
      </w:r>
      <w:r w:rsidR="005347E7">
        <w:rPr>
          <w:b/>
          <w:sz w:val="20"/>
          <w:szCs w:val="20"/>
        </w:rPr>
        <w:t>3</w:t>
      </w:r>
    </w:p>
    <w:p w:rsidR="00AF1715" w:rsidRDefault="00AF1715" w:rsidP="00AF1715">
      <w:pPr>
        <w:rPr>
          <w:sz w:val="20"/>
          <w:szCs w:val="20"/>
        </w:rPr>
      </w:pPr>
    </w:p>
    <w:p w:rsidR="00C75673" w:rsidRPr="00A604A1" w:rsidRDefault="00CC2008" w:rsidP="00C75673">
      <w:pPr>
        <w:tabs>
          <w:tab w:val="left" w:pos="0"/>
          <w:tab w:val="left" w:pos="1440"/>
        </w:tabs>
        <w:ind w:left="1440" w:hanging="1440"/>
        <w:jc w:val="both"/>
        <w:rPr>
          <w:sz w:val="20"/>
        </w:rPr>
      </w:pPr>
      <w:r w:rsidRPr="00202C5F">
        <w:rPr>
          <w:b/>
          <w:sz w:val="20"/>
        </w:rPr>
        <w:fldChar w:fldCharType="begin"/>
      </w:r>
      <w:r w:rsidR="00C75673" w:rsidRPr="00A604A1">
        <w:rPr>
          <w:b/>
          <w:sz w:val="20"/>
        </w:rPr>
        <w:instrText xml:space="preserve"> SEQ CHAPTER \h \r 1</w:instrText>
      </w:r>
      <w:r w:rsidRPr="00202C5F">
        <w:rPr>
          <w:b/>
          <w:sz w:val="20"/>
        </w:rPr>
        <w:fldChar w:fldCharType="end"/>
      </w:r>
      <w:r w:rsidR="00C75673">
        <w:rPr>
          <w:b/>
          <w:sz w:val="20"/>
        </w:rPr>
        <w:t>34848</w:t>
      </w:r>
      <w:r w:rsidR="00C75673" w:rsidRPr="00A604A1">
        <w:rPr>
          <w:b/>
          <w:sz w:val="20"/>
        </w:rPr>
        <w:tab/>
      </w:r>
      <w:r w:rsidR="00C75673" w:rsidRPr="00936B58">
        <w:rPr>
          <w:b/>
          <w:sz w:val="20"/>
          <w:u w:val="single"/>
        </w:rPr>
        <w:t xml:space="preserve">Michael John Cairney </w:t>
      </w:r>
      <w:r w:rsidR="00C75673">
        <w:rPr>
          <w:b/>
          <w:sz w:val="20"/>
          <w:u w:val="single"/>
        </w:rPr>
        <w:t xml:space="preserve">v. Her </w:t>
      </w:r>
      <w:r w:rsidR="00C75673" w:rsidRPr="00A604A1">
        <w:rPr>
          <w:b/>
          <w:sz w:val="20"/>
          <w:u w:val="single"/>
        </w:rPr>
        <w:t>Majesty The Queen</w:t>
      </w:r>
      <w:r w:rsidR="00C75673" w:rsidRPr="00A604A1">
        <w:rPr>
          <w:b/>
          <w:sz w:val="20"/>
        </w:rPr>
        <w:t xml:space="preserve"> </w:t>
      </w:r>
      <w:r w:rsidR="00C75673" w:rsidRPr="00A604A1">
        <w:rPr>
          <w:iCs/>
          <w:sz w:val="20"/>
        </w:rPr>
        <w:t>(</w:t>
      </w:r>
      <w:r w:rsidR="00C75673">
        <w:rPr>
          <w:iCs/>
          <w:sz w:val="20"/>
        </w:rPr>
        <w:t>Alta.</w:t>
      </w:r>
      <w:r w:rsidR="00C75673" w:rsidRPr="00A604A1">
        <w:rPr>
          <w:iCs/>
          <w:sz w:val="20"/>
        </w:rPr>
        <w:t>)</w:t>
      </w:r>
    </w:p>
    <w:p w:rsidR="00C75673" w:rsidRPr="00A604A1" w:rsidRDefault="00C75673" w:rsidP="00C75673">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604A1">
        <w:rPr>
          <w:b/>
          <w:sz w:val="20"/>
        </w:rPr>
        <w:t xml:space="preserve">2013 SCC </w:t>
      </w:r>
      <w:r>
        <w:rPr>
          <w:b/>
          <w:sz w:val="20"/>
        </w:rPr>
        <w:t>55</w:t>
      </w:r>
      <w:r w:rsidRPr="00A604A1">
        <w:rPr>
          <w:b/>
          <w:sz w:val="20"/>
        </w:rPr>
        <w:t xml:space="preserve"> / 2013 CSC 5</w:t>
      </w:r>
      <w:r>
        <w:rPr>
          <w:b/>
          <w:sz w:val="20"/>
        </w:rPr>
        <w:t>5</w:t>
      </w:r>
    </w:p>
    <w:p w:rsidR="00C75673" w:rsidRPr="00A604A1" w:rsidRDefault="00C75673" w:rsidP="00C7567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C75673" w:rsidRPr="00A604A1" w:rsidRDefault="00C75673" w:rsidP="00C75673">
      <w:pPr>
        <w:ind w:left="1440" w:hanging="1440"/>
        <w:jc w:val="both"/>
        <w:rPr>
          <w:sz w:val="20"/>
          <w:u w:val="single"/>
        </w:rPr>
      </w:pPr>
      <w:r w:rsidRPr="00A604A1">
        <w:rPr>
          <w:sz w:val="20"/>
        </w:rPr>
        <w:t>Coram:</w:t>
      </w:r>
      <w:r w:rsidRPr="00A604A1">
        <w:rPr>
          <w:sz w:val="20"/>
        </w:rPr>
        <w:tab/>
      </w:r>
      <w:r w:rsidRPr="00936B58">
        <w:rPr>
          <w:sz w:val="20"/>
          <w:u w:val="single"/>
        </w:rPr>
        <w:t>McLachlin C.J. and Fish, Abella, Rothstein, Cromwell, Moldaver and Wagner JJ.</w:t>
      </w:r>
    </w:p>
    <w:p w:rsidR="00C75673" w:rsidRPr="00A604A1" w:rsidRDefault="00C75673" w:rsidP="00C75673">
      <w:pPr>
        <w:ind w:left="1440" w:hanging="1440"/>
        <w:jc w:val="both"/>
        <w:rPr>
          <w:sz w:val="20"/>
          <w:u w:val="single"/>
        </w:rPr>
      </w:pPr>
    </w:p>
    <w:p w:rsidR="00C75673" w:rsidRPr="00936B58" w:rsidRDefault="00C75673" w:rsidP="00C75673">
      <w:pPr>
        <w:jc w:val="both"/>
        <w:rPr>
          <w:sz w:val="20"/>
          <w:lang w:val="fr-CA"/>
        </w:rPr>
      </w:pPr>
      <w:r w:rsidRPr="00936B58">
        <w:rPr>
          <w:sz w:val="20"/>
        </w:rPr>
        <w:t xml:space="preserve">The appeal from the judgment </w:t>
      </w:r>
      <w:bookmarkStart w:id="1" w:name="BM_1_"/>
      <w:bookmarkEnd w:id="1"/>
      <w:r w:rsidRPr="00936B58">
        <w:rPr>
          <w:sz w:val="20"/>
        </w:rPr>
        <w:t xml:space="preserve">of the Court of Appeal of Alberta (Edmonton), Number 0903-0212-A, 2011 ABCA 272, dated October 5, 2011, heard on April 26, 2013, is dismissed and the order for a new trial is affirmed.  </w:t>
      </w:r>
      <w:r w:rsidRPr="00936B58">
        <w:rPr>
          <w:sz w:val="20"/>
          <w:lang w:val="fr-CA"/>
        </w:rPr>
        <w:t>Fish and Abella JJ. are dissenting.</w:t>
      </w:r>
    </w:p>
    <w:p w:rsidR="00C75673" w:rsidRPr="00936B58" w:rsidRDefault="00C75673" w:rsidP="00C75673">
      <w:pPr>
        <w:jc w:val="both"/>
        <w:rPr>
          <w:sz w:val="20"/>
          <w:lang w:val="fr-CA"/>
        </w:rPr>
      </w:pPr>
    </w:p>
    <w:p w:rsidR="00C75673" w:rsidRPr="00936B58" w:rsidRDefault="00C75673" w:rsidP="00C75673">
      <w:pPr>
        <w:jc w:val="both"/>
        <w:rPr>
          <w:sz w:val="20"/>
        </w:rPr>
      </w:pPr>
      <w:r w:rsidRPr="00936B58">
        <w:rPr>
          <w:sz w:val="20"/>
          <w:lang w:val="fr-CA"/>
        </w:rPr>
        <w:t xml:space="preserve">L’appel interjeté contre l’arrêt de la Cour d'appel de l’Alberta (Edmonton), numéro 0903-0212-A, 2011 ABCA 272, en date du 5 octobre 2011, entendu le 26 avril 2013, est rejeté et le jugement ordonnant un nouveau procès est confirmé.  </w:t>
      </w:r>
      <w:r w:rsidRPr="00936B58">
        <w:rPr>
          <w:sz w:val="20"/>
        </w:rPr>
        <w:t>Les juges Fish et Abella sont dissidents.</w:t>
      </w:r>
    </w:p>
    <w:p w:rsidR="00AF1715" w:rsidRPr="003B3977" w:rsidRDefault="00AF1715" w:rsidP="00AF1715">
      <w:pPr>
        <w:rPr>
          <w:sz w:val="20"/>
          <w:szCs w:val="20"/>
          <w:lang w:val="fr-CA"/>
        </w:rPr>
      </w:pPr>
    </w:p>
    <w:p w:rsidR="00AF1715" w:rsidRPr="003B3977" w:rsidRDefault="00CC2008" w:rsidP="00AF1715">
      <w:pPr>
        <w:spacing w:line="0" w:lineRule="atLeast"/>
        <w:rPr>
          <w:sz w:val="20"/>
          <w:szCs w:val="20"/>
        </w:rPr>
      </w:pPr>
      <w:r w:rsidRPr="00CC2008">
        <w:rPr>
          <w:b/>
          <w:sz w:val="20"/>
          <w:szCs w:val="20"/>
        </w:rPr>
        <w:pict>
          <v:rect id="_x0000_i1075"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C75673" w:rsidRPr="00A604A1" w:rsidRDefault="00CC2008" w:rsidP="00C75673">
      <w:pPr>
        <w:tabs>
          <w:tab w:val="left" w:pos="0"/>
          <w:tab w:val="left" w:pos="1440"/>
        </w:tabs>
        <w:ind w:left="1440" w:hanging="1440"/>
        <w:jc w:val="both"/>
        <w:rPr>
          <w:sz w:val="20"/>
        </w:rPr>
      </w:pPr>
      <w:r w:rsidRPr="00202C5F">
        <w:rPr>
          <w:b/>
          <w:sz w:val="20"/>
        </w:rPr>
        <w:fldChar w:fldCharType="begin"/>
      </w:r>
      <w:r w:rsidR="00C75673" w:rsidRPr="00A604A1">
        <w:rPr>
          <w:b/>
          <w:sz w:val="20"/>
        </w:rPr>
        <w:instrText xml:space="preserve"> SEQ CHAPTER \h \r 1</w:instrText>
      </w:r>
      <w:r w:rsidRPr="00202C5F">
        <w:rPr>
          <w:b/>
          <w:sz w:val="20"/>
        </w:rPr>
        <w:fldChar w:fldCharType="end"/>
      </w:r>
      <w:r w:rsidR="00C75673">
        <w:rPr>
          <w:b/>
          <w:sz w:val="20"/>
        </w:rPr>
        <w:t>34951</w:t>
      </w:r>
      <w:r w:rsidR="00C75673" w:rsidRPr="00A604A1">
        <w:rPr>
          <w:b/>
          <w:sz w:val="20"/>
        </w:rPr>
        <w:tab/>
      </w:r>
      <w:r w:rsidR="00C75673" w:rsidRPr="00936B58">
        <w:rPr>
          <w:b/>
          <w:sz w:val="20"/>
          <w:u w:val="single"/>
        </w:rPr>
        <w:t xml:space="preserve">Bill James Pappas </w:t>
      </w:r>
      <w:r w:rsidR="00C75673">
        <w:rPr>
          <w:b/>
          <w:sz w:val="20"/>
          <w:u w:val="single"/>
        </w:rPr>
        <w:t xml:space="preserve">v. Her </w:t>
      </w:r>
      <w:r w:rsidR="00C75673" w:rsidRPr="00A604A1">
        <w:rPr>
          <w:b/>
          <w:sz w:val="20"/>
          <w:u w:val="single"/>
        </w:rPr>
        <w:t>Majesty The Queen</w:t>
      </w:r>
      <w:r w:rsidR="00C75673" w:rsidRPr="00A604A1">
        <w:rPr>
          <w:b/>
          <w:sz w:val="20"/>
        </w:rPr>
        <w:t xml:space="preserve"> </w:t>
      </w:r>
      <w:r w:rsidR="00C75673" w:rsidRPr="00A604A1">
        <w:rPr>
          <w:iCs/>
          <w:sz w:val="20"/>
        </w:rPr>
        <w:t>(</w:t>
      </w:r>
      <w:r w:rsidR="00C75673">
        <w:rPr>
          <w:iCs/>
          <w:sz w:val="20"/>
        </w:rPr>
        <w:t>Alta.</w:t>
      </w:r>
      <w:r w:rsidR="00C75673" w:rsidRPr="00A604A1">
        <w:rPr>
          <w:iCs/>
          <w:sz w:val="20"/>
        </w:rPr>
        <w:t>)</w:t>
      </w:r>
    </w:p>
    <w:p w:rsidR="00C75673" w:rsidRPr="00A604A1" w:rsidRDefault="00C75673" w:rsidP="00C75673">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604A1">
        <w:rPr>
          <w:b/>
          <w:sz w:val="20"/>
        </w:rPr>
        <w:t xml:space="preserve">2013 SCC </w:t>
      </w:r>
      <w:r>
        <w:rPr>
          <w:b/>
          <w:sz w:val="20"/>
        </w:rPr>
        <w:t>56</w:t>
      </w:r>
      <w:r w:rsidRPr="00A604A1">
        <w:rPr>
          <w:b/>
          <w:sz w:val="20"/>
        </w:rPr>
        <w:t xml:space="preserve"> / 2013 CSC 5</w:t>
      </w:r>
      <w:r>
        <w:rPr>
          <w:b/>
          <w:sz w:val="20"/>
        </w:rPr>
        <w:t>6</w:t>
      </w:r>
    </w:p>
    <w:p w:rsidR="00C75673" w:rsidRPr="00A604A1" w:rsidRDefault="00C75673" w:rsidP="00C7567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C75673" w:rsidRPr="00A604A1" w:rsidRDefault="00C75673" w:rsidP="00C75673">
      <w:pPr>
        <w:ind w:left="1440" w:hanging="1440"/>
        <w:jc w:val="both"/>
        <w:rPr>
          <w:sz w:val="20"/>
          <w:u w:val="single"/>
        </w:rPr>
      </w:pPr>
      <w:r w:rsidRPr="00A604A1">
        <w:rPr>
          <w:sz w:val="20"/>
        </w:rPr>
        <w:t>Coram:</w:t>
      </w:r>
      <w:r w:rsidRPr="00A604A1">
        <w:rPr>
          <w:sz w:val="20"/>
        </w:rPr>
        <w:tab/>
      </w:r>
      <w:r w:rsidRPr="00AD6CE1">
        <w:rPr>
          <w:sz w:val="20"/>
          <w:u w:val="single"/>
        </w:rPr>
        <w:t>McLachlin C.J. and Fish, Abella, Rothstein, Cromwell, Moldaver and Wagner JJ.</w:t>
      </w:r>
    </w:p>
    <w:p w:rsidR="00C75673" w:rsidRPr="00AD6CE1" w:rsidRDefault="00C75673" w:rsidP="00C75673">
      <w:pPr>
        <w:ind w:left="1440" w:hanging="1440"/>
        <w:jc w:val="both"/>
        <w:rPr>
          <w:sz w:val="20"/>
          <w:u w:val="single"/>
        </w:rPr>
      </w:pPr>
    </w:p>
    <w:p w:rsidR="00C75673" w:rsidRPr="00AD6CE1" w:rsidRDefault="00C75673" w:rsidP="00C75673">
      <w:pPr>
        <w:jc w:val="both"/>
        <w:rPr>
          <w:rFonts w:eastAsia="Calibri"/>
          <w:sz w:val="20"/>
        </w:rPr>
      </w:pPr>
      <w:r w:rsidRPr="00AD6CE1">
        <w:rPr>
          <w:rFonts w:eastAsia="Calibri"/>
          <w:sz w:val="20"/>
        </w:rPr>
        <w:t>The appeal from the judgment of the Court of Appeal of Alberta (Calgary), Number 0901-0188-A, 2012 ABCA 221, dated July 12, 2012, heard on April 26, 2013, is dismissed and the conviction for second degree murder is affirmed.</w:t>
      </w:r>
    </w:p>
    <w:p w:rsidR="00C75673" w:rsidRPr="00AD6CE1" w:rsidRDefault="00C75673" w:rsidP="00C75673">
      <w:pPr>
        <w:jc w:val="both"/>
        <w:rPr>
          <w:rFonts w:eastAsia="Calibri"/>
          <w:sz w:val="20"/>
        </w:rPr>
      </w:pPr>
    </w:p>
    <w:p w:rsidR="00C75673" w:rsidRPr="00AD6CE1" w:rsidRDefault="00C75673" w:rsidP="00C75673">
      <w:pPr>
        <w:jc w:val="both"/>
        <w:rPr>
          <w:rFonts w:eastAsia="Calibri"/>
          <w:sz w:val="20"/>
          <w:lang w:val="fr-CA"/>
        </w:rPr>
      </w:pPr>
      <w:r w:rsidRPr="00AD6CE1">
        <w:rPr>
          <w:rFonts w:eastAsia="Calibri"/>
          <w:sz w:val="20"/>
          <w:lang w:val="fr-CA"/>
        </w:rPr>
        <w:t>L’appel interjeté contre l’arrêt de la Cour d'appel de l’Alberta (Calgary), numéro 0901-0188-A, 2012 ABCA 221, en date du 12 juillet 2012, entendu le 26 avril 2013, est rejeté et la déclaration de culpabilité pour meurtre au deuxième degré est confirmée.</w:t>
      </w:r>
    </w:p>
    <w:p w:rsidR="00AF1715" w:rsidRPr="006C5F7A" w:rsidRDefault="00AF1715" w:rsidP="00AF1715">
      <w:pPr>
        <w:spacing w:line="0" w:lineRule="atLeast"/>
        <w:rPr>
          <w:rFonts w:cs="Times New Roman"/>
          <w:sz w:val="20"/>
          <w:szCs w:val="20"/>
          <w:lang w:val="fr-CA"/>
        </w:rPr>
      </w:pPr>
    </w:p>
    <w:p w:rsidR="00AF1715" w:rsidRPr="006C5F7A" w:rsidRDefault="00CC2008" w:rsidP="00AF1715">
      <w:pPr>
        <w:spacing w:line="0" w:lineRule="atLeast"/>
        <w:rPr>
          <w:rFonts w:cs="Times New Roman"/>
          <w:b/>
          <w:sz w:val="20"/>
          <w:szCs w:val="20"/>
        </w:rPr>
      </w:pPr>
      <w:r w:rsidRPr="00CC2008">
        <w:rPr>
          <w:rFonts w:cs="Times New Roman"/>
          <w:b/>
          <w:sz w:val="20"/>
          <w:szCs w:val="20"/>
        </w:rPr>
        <w:pict>
          <v:rect id="_x0000_i1076"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F1F5A" w:rsidRPr="00B0458E" w:rsidRDefault="00AF1F5A" w:rsidP="00AF1F5A">
      <w:pPr>
        <w:widowControl w:val="0"/>
        <w:autoSpaceDE w:val="0"/>
        <w:autoSpaceDN w:val="0"/>
        <w:adjustRightInd w:val="0"/>
        <w:rPr>
          <w:rFonts w:eastAsia="Calibri" w:cs="Times New Roman"/>
          <w:sz w:val="20"/>
          <w:szCs w:val="20"/>
        </w:rPr>
      </w:pPr>
      <w:r w:rsidRPr="00B0458E">
        <w:rPr>
          <w:rFonts w:eastAsia="Calibri" w:cs="Times New Roman"/>
          <w:i/>
          <w:sz w:val="20"/>
          <w:szCs w:val="20"/>
        </w:rPr>
        <w:t>Michael John Cairney v. Her Majesty the Queen</w:t>
      </w:r>
      <w:r w:rsidRPr="00B0458E">
        <w:rPr>
          <w:rFonts w:eastAsia="Calibri" w:cs="Times New Roman"/>
          <w:sz w:val="20"/>
          <w:szCs w:val="20"/>
        </w:rPr>
        <w:t xml:space="preserve"> (Alta.) (34848)</w:t>
      </w:r>
    </w:p>
    <w:p w:rsidR="007C7F39" w:rsidRPr="007C7F39" w:rsidRDefault="007C7F39" w:rsidP="007C7F39">
      <w:pPr>
        <w:jc w:val="both"/>
        <w:rPr>
          <w:b/>
          <w:sz w:val="20"/>
          <w:szCs w:val="20"/>
        </w:rPr>
      </w:pPr>
      <w:r w:rsidRPr="0054423D">
        <w:rPr>
          <w:b/>
          <w:sz w:val="20"/>
          <w:szCs w:val="20"/>
        </w:rPr>
        <w:t xml:space="preserve">Indexed as:  R. </w:t>
      </w:r>
      <w:r w:rsidRPr="0054423D">
        <w:rPr>
          <w:b/>
          <w:i/>
          <w:sz w:val="20"/>
          <w:szCs w:val="20"/>
        </w:rPr>
        <w:t>v.</w:t>
      </w:r>
      <w:r w:rsidRPr="0054423D">
        <w:rPr>
          <w:b/>
          <w:sz w:val="20"/>
          <w:szCs w:val="20"/>
        </w:rPr>
        <w:t xml:space="preserve"> Cairney</w:t>
      </w:r>
      <w:r>
        <w:rPr>
          <w:b/>
          <w:sz w:val="20"/>
          <w:szCs w:val="20"/>
        </w:rPr>
        <w:t xml:space="preserve"> / </w:t>
      </w:r>
      <w:r w:rsidRPr="007C7F39">
        <w:rPr>
          <w:b/>
          <w:sz w:val="20"/>
          <w:szCs w:val="20"/>
        </w:rPr>
        <w:t xml:space="preserve">Répertorié : R. </w:t>
      </w:r>
      <w:r w:rsidRPr="007C7F39">
        <w:rPr>
          <w:b/>
          <w:i/>
          <w:sz w:val="20"/>
          <w:szCs w:val="20"/>
        </w:rPr>
        <w:t>c.</w:t>
      </w:r>
      <w:r w:rsidRPr="007C7F39">
        <w:rPr>
          <w:b/>
          <w:sz w:val="20"/>
          <w:szCs w:val="20"/>
        </w:rPr>
        <w:t xml:space="preserve"> Cairney</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AF1F5A">
        <w:rPr>
          <w:sz w:val="20"/>
        </w:rPr>
        <w:t>55</w:t>
      </w:r>
      <w:r w:rsidRPr="003B3977">
        <w:rPr>
          <w:sz w:val="20"/>
        </w:rPr>
        <w:t xml:space="preserve"> / Référence neutre : 201</w:t>
      </w:r>
      <w:r w:rsidR="00F761A3">
        <w:rPr>
          <w:sz w:val="20"/>
        </w:rPr>
        <w:t>3</w:t>
      </w:r>
      <w:r w:rsidRPr="003B3977">
        <w:rPr>
          <w:sz w:val="20"/>
        </w:rPr>
        <w:t xml:space="preserve"> CSC </w:t>
      </w:r>
      <w:r w:rsidR="00AF1F5A">
        <w:rPr>
          <w:sz w:val="20"/>
        </w:rPr>
        <w:t>55</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7C7F39">
        <w:rPr>
          <w:rFonts w:cs="Times New Roman"/>
          <w:sz w:val="20"/>
          <w:szCs w:val="20"/>
          <w:lang w:val="fr-CA"/>
        </w:rPr>
        <w:t>April 26</w:t>
      </w:r>
      <w:r w:rsidRPr="003B3977">
        <w:rPr>
          <w:rFonts w:cs="Times New Roman"/>
          <w:sz w:val="20"/>
          <w:szCs w:val="20"/>
          <w:lang w:val="fr-CA"/>
        </w:rPr>
        <w:t>, 201</w:t>
      </w:r>
      <w:r w:rsidR="007C7F39">
        <w:rPr>
          <w:rFonts w:cs="Times New Roman"/>
          <w:sz w:val="20"/>
          <w:szCs w:val="20"/>
          <w:lang w:val="fr-CA"/>
        </w:rPr>
        <w:t>3</w:t>
      </w:r>
      <w:r w:rsidRPr="003B3977">
        <w:rPr>
          <w:rFonts w:cs="Times New Roman"/>
          <w:sz w:val="20"/>
          <w:szCs w:val="20"/>
          <w:lang w:val="fr-CA"/>
        </w:rPr>
        <w:t xml:space="preserve"> / Judgment:  October 2</w:t>
      </w:r>
      <w:r w:rsidR="00AF1F5A">
        <w:rPr>
          <w:rFonts w:cs="Times New Roman"/>
          <w:sz w:val="20"/>
          <w:szCs w:val="20"/>
          <w:lang w:val="fr-CA"/>
        </w:rPr>
        <w:t>5</w:t>
      </w:r>
      <w:r w:rsidRPr="003B3977">
        <w:rPr>
          <w:rFonts w:cs="Times New Roman"/>
          <w:sz w:val="20"/>
          <w:szCs w:val="20"/>
          <w:lang w:val="fr-CA"/>
        </w:rPr>
        <w:t>, 201</w:t>
      </w:r>
      <w:r w:rsidR="00AF1F5A">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7C7F39">
        <w:rPr>
          <w:rFonts w:cs="Times New Roman"/>
          <w:sz w:val="20"/>
          <w:szCs w:val="20"/>
          <w:lang w:val="fr-CA"/>
        </w:rPr>
        <w:t>26 av</w:t>
      </w:r>
      <w:r w:rsidRPr="003B3977">
        <w:rPr>
          <w:rFonts w:cs="Times New Roman"/>
          <w:sz w:val="20"/>
          <w:szCs w:val="20"/>
          <w:lang w:val="fr-CA"/>
        </w:rPr>
        <w:t>r</w:t>
      </w:r>
      <w:r w:rsidR="007C7F39">
        <w:rPr>
          <w:rFonts w:cs="Times New Roman"/>
          <w:sz w:val="20"/>
          <w:szCs w:val="20"/>
          <w:lang w:val="fr-CA"/>
        </w:rPr>
        <w:t>il</w:t>
      </w:r>
      <w:r w:rsidRPr="003B3977">
        <w:rPr>
          <w:rFonts w:cs="Times New Roman"/>
          <w:sz w:val="20"/>
          <w:szCs w:val="20"/>
          <w:lang w:val="fr-CA"/>
        </w:rPr>
        <w:t xml:space="preserve"> 201</w:t>
      </w:r>
      <w:r w:rsidR="007C7F39">
        <w:rPr>
          <w:rFonts w:cs="Times New Roman"/>
          <w:sz w:val="20"/>
          <w:szCs w:val="20"/>
          <w:lang w:val="fr-CA"/>
        </w:rPr>
        <w:t>3</w:t>
      </w:r>
      <w:r w:rsidRPr="003B3977">
        <w:rPr>
          <w:rFonts w:cs="Times New Roman"/>
          <w:sz w:val="20"/>
          <w:szCs w:val="20"/>
          <w:lang w:val="fr-CA"/>
        </w:rPr>
        <w:t xml:space="preserve"> / Jugement : Le 2</w:t>
      </w:r>
      <w:r w:rsidR="00AF1F5A">
        <w:rPr>
          <w:rFonts w:cs="Times New Roman"/>
          <w:sz w:val="20"/>
          <w:szCs w:val="20"/>
          <w:lang w:val="fr-CA"/>
        </w:rPr>
        <w:t>5</w:t>
      </w:r>
      <w:r w:rsidRPr="003B3977">
        <w:rPr>
          <w:rFonts w:cs="Times New Roman"/>
          <w:sz w:val="20"/>
          <w:szCs w:val="20"/>
          <w:lang w:val="fr-CA"/>
        </w:rPr>
        <w:t xml:space="preserve"> octobre 201</w:t>
      </w:r>
      <w:r w:rsidR="00AF1F5A">
        <w:rPr>
          <w:rFonts w:cs="Times New Roman"/>
          <w:sz w:val="20"/>
          <w:szCs w:val="20"/>
          <w:lang w:val="fr-CA"/>
        </w:rPr>
        <w:t>3</w:t>
      </w:r>
    </w:p>
    <w:p w:rsidR="005C6840" w:rsidRPr="003B3977" w:rsidRDefault="00CC2008" w:rsidP="005C6840">
      <w:pPr>
        <w:rPr>
          <w:rFonts w:cs="Times New Roman"/>
          <w:sz w:val="20"/>
          <w:szCs w:val="20"/>
          <w:lang w:val="fr-CA"/>
        </w:rPr>
      </w:pPr>
      <w:r w:rsidRPr="00CC2008">
        <w:rPr>
          <w:rFonts w:cs="Times New Roman"/>
          <w:i/>
          <w:sz w:val="20"/>
          <w:szCs w:val="20"/>
        </w:rPr>
        <w:pict>
          <v:rect id="_x0000_i107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7C7F39" w:rsidRPr="0054423D" w:rsidRDefault="007C7F39" w:rsidP="007C7F39">
      <w:pPr>
        <w:jc w:val="both"/>
        <w:rPr>
          <w:sz w:val="20"/>
          <w:szCs w:val="20"/>
        </w:rPr>
      </w:pPr>
      <w:r w:rsidRPr="0054423D">
        <w:rPr>
          <w:sz w:val="20"/>
          <w:szCs w:val="20"/>
        </w:rPr>
        <w:t>Present:  McLachlin C.J. and Fish, Abella, Rothstein, Cromwell, Moldaver and Wagner JJ.</w:t>
      </w:r>
    </w:p>
    <w:p w:rsidR="007C7F39" w:rsidRDefault="007C7F39" w:rsidP="007C7F39">
      <w:pPr>
        <w:pStyle w:val="SCCLowerCourtNameLowercase"/>
        <w:spacing w:line="240" w:lineRule="auto"/>
        <w:rPr>
          <w:sz w:val="20"/>
        </w:rPr>
      </w:pPr>
    </w:p>
    <w:p w:rsidR="007C7F39" w:rsidRPr="0054423D" w:rsidRDefault="007C7F39" w:rsidP="007C7F39">
      <w:pPr>
        <w:pStyle w:val="SCCNormalDoubleSpacing"/>
        <w:spacing w:line="240" w:lineRule="auto"/>
        <w:rPr>
          <w:sz w:val="20"/>
        </w:rPr>
      </w:pPr>
      <w:r w:rsidRPr="0054423D">
        <w:rPr>
          <w:sz w:val="20"/>
        </w:rPr>
        <w:tab/>
      </w:r>
      <w:r w:rsidRPr="0054423D">
        <w:rPr>
          <w:i/>
          <w:sz w:val="20"/>
        </w:rPr>
        <w:t>Criminal law — Defences — Provocation — Self</w:t>
      </w:r>
      <w:r w:rsidRPr="0054423D">
        <w:rPr>
          <w:i/>
          <w:sz w:val="20"/>
        </w:rPr>
        <w:noBreakHyphen/>
        <w:t>induced provocation — Whether fact that accused induced act or words said to constitute provocation precludes the defence of provocation from being left to jury — Whether objective and subjective elements of provocation established, lending an air of reality to this defence — Whether defence of provocation should have been submitted to jury — Criminal Code, R.S.C. 1985, c. C</w:t>
      </w:r>
      <w:r w:rsidRPr="0054423D">
        <w:rPr>
          <w:i/>
          <w:sz w:val="20"/>
        </w:rPr>
        <w:noBreakHyphen/>
        <w:t>46, s. 232.</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C shot and killed his long</w:t>
      </w:r>
      <w:r w:rsidRPr="0054423D">
        <w:rPr>
          <w:sz w:val="20"/>
        </w:rPr>
        <w:noBreakHyphen/>
        <w:t>time friend F.  At the time, C was living with F and R, who was C’s cousin and F’s common law spouse.  F had a history of physically abusing R.  On the day in question, F was drinking, became angry with R and started to verbally abuse her.  C overheard F tell R that if her back had not been sore, he would have thrown her across the kitchen.  At F’s request, C left the room.  He retrieved a loaded shotgun.  Disturbed by the argument that he was overhearing, C sat in another room, contemplating what to do.  He decided to scare F to teach him a lesson and deter future aggression against R.  He walked up to F, who was talking on the telephone and struck the phone with the muzzle of the shotgun.  He then began to lecture F on his abuse of R.  F reacted by saying, “What are you going to do, shoot me? You don’t have the guts to shoot me”.  F then started to leave the apartment.  When C called out to F to “get back here”, F said: “Fuck you, you goof.  This is none of your business, I’ll do with [R] whatever I want”.  F then walked out of the apartment.  C followed him into the stairwell, where he shot F, killing him.  C was charged with second degree murder and tried before a jury.  He argued that he lacked the necessary intention to be guilty of murder, and in the alternative that he had been provoked by F’s words to him.  The trial judge, apparently concluding that there was some evidence to support all the elements of the defence of provocation, charged the jury on that defence.  The jury acquitted C of second degree murder and convicted him of manslaughter.  The Court of Appeal allowed the Crown’s appeal and ordered a new trial.</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r>
      <w:r w:rsidRPr="0054423D">
        <w:rPr>
          <w:i/>
          <w:sz w:val="20"/>
        </w:rPr>
        <w:t>Held</w:t>
      </w:r>
      <w:r w:rsidRPr="0054423D">
        <w:rPr>
          <w:sz w:val="20"/>
        </w:rPr>
        <w:t xml:space="preserve"> (Fish and Abella JJ. dissenting):  The appeal should be dismissed.</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r>
      <w:r w:rsidRPr="0054423D">
        <w:rPr>
          <w:i/>
          <w:sz w:val="20"/>
        </w:rPr>
        <w:t>Per</w:t>
      </w:r>
      <w:r w:rsidRPr="0054423D">
        <w:rPr>
          <w:sz w:val="20"/>
        </w:rPr>
        <w:t xml:space="preserve"> </w:t>
      </w:r>
      <w:r w:rsidRPr="0054423D">
        <w:rPr>
          <w:b/>
          <w:sz w:val="20"/>
        </w:rPr>
        <w:t>McLachlin</w:t>
      </w:r>
      <w:r w:rsidRPr="0054423D">
        <w:rPr>
          <w:sz w:val="20"/>
        </w:rPr>
        <w:t> C.J. and Rothstein, Cromwell, Moldaver and Wagner JJ.:  The trial judge erred in leaving the defence of provocation with the jury as there was no air of reality to the defence.</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The air of reality test is intended to assess whether a properly instructed jury acting reasonably could have a reasonable doubt as to whether the subjective and objective elements of the defence of provocation are made out.  The objective element of the defence of provocation asks whether there was some evidence upon which a jury could have a reasonable doubt that an ordinary person in C’s circumstances — which include having initiated a confrontation at gunpoint — would be deprived of the power of self</w:t>
      </w:r>
      <w:r w:rsidRPr="0054423D">
        <w:rPr>
          <w:sz w:val="20"/>
        </w:rPr>
        <w:noBreakHyphen/>
        <w:t>control by F’s insults.  The history and background of the relationship between the victim and the accused is relevant and pertinent to the “ordinary person” test”, as are all factors that would give the act or insult special significance to an ordinary person.  However, that does not change the fact that a certain threshold level of self</w:t>
      </w:r>
      <w:r w:rsidRPr="0054423D">
        <w:rPr>
          <w:sz w:val="20"/>
        </w:rPr>
        <w:noBreakHyphen/>
        <w:t>control is always expected of the “ordinary person”.</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While the cases on self</w:t>
      </w:r>
      <w:r w:rsidRPr="0054423D">
        <w:rPr>
          <w:sz w:val="20"/>
        </w:rPr>
        <w:noBreakHyphen/>
        <w:t>induced provocation do not always distinguish between the objective and subjective elements of the defence, read generally they confirm that the accused’s conduct may be relevant to both elements of the defence and that it must be considered with other contextual factors to determine whether there is an air of reality to the defence.  Self</w:t>
      </w:r>
      <w:r w:rsidRPr="0054423D">
        <w:rPr>
          <w:sz w:val="20"/>
        </w:rPr>
        <w:noBreakHyphen/>
        <w:t>induced provocation is not a special category of the defence attracting special principles.  Rather, it describes a particular application of the general principles that govern the defence of provocation.  There is no absolute rule that a person who instigates a confrontation cannot rely on the defence of provocation.  The fact that the victim’s response to the accused’s confrontational conduct fell within a range of reasonably predictable reactions may suggest that an ordinary person would not have lost self</w:t>
      </w:r>
      <w:r w:rsidRPr="0054423D">
        <w:rPr>
          <w:sz w:val="20"/>
        </w:rPr>
        <w:noBreakHyphen/>
        <w:t>control, although it must be weighed together with all other relevant contextual factors.  As in all cases where the defence is raised, whether it goes to the jury depends on whether the evidence provides an air of reality to it.</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In this case, there was evidence sufficient to support the subjective element — that C in fact acted in response to the provocation before his passion had time to cool.  However, there was no air of reality to the objective element of the defence.  C argues that F’s words constituted a threat of imminent domestic abuse sufficient to cause an ordinary person to lose self</w:t>
      </w:r>
      <w:r w:rsidRPr="0054423D">
        <w:rPr>
          <w:sz w:val="20"/>
        </w:rPr>
        <w:noBreakHyphen/>
        <w:t>control.  However, F was no longer behaving aggressively towards R when C approached.  His moment of anger against R had passed.  The record simply does not support the contention that an ordinary person would have viewed the victim’s words as a threat of imminent domestic violence against R, leading to a loss of self</w:t>
      </w:r>
      <w:r w:rsidRPr="0054423D">
        <w:rPr>
          <w:sz w:val="20"/>
        </w:rPr>
        <w:noBreakHyphen/>
        <w:t>control.</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What is left is a concern on C’s part to prevent future abuse against R and C’s declared intention to achieve this by extracting a promise at gunpoint from F to stop abusing her.  An ordinary person who seeks to extract a promise at gunpoint would not be surprised if the person confronted rebuffs the overture as did F here.  There is nothing on the record to support the element of sudden shock required to cause an ordinary person to lose self</w:t>
      </w:r>
      <w:r w:rsidRPr="0054423D">
        <w:rPr>
          <w:sz w:val="20"/>
        </w:rPr>
        <w:noBreakHyphen/>
        <w:t>control.  It follows that a properly instructed jury acting reasonably could not have had a reasonable doubt about whether F’s conduct was sufficient to deprive an ordinary person of self</w:t>
      </w:r>
      <w:r w:rsidRPr="0054423D">
        <w:rPr>
          <w:sz w:val="20"/>
        </w:rPr>
        <w:noBreakHyphen/>
        <w:t>control.</w:t>
      </w:r>
    </w:p>
    <w:p w:rsidR="007C7F39" w:rsidRDefault="007C7F39" w:rsidP="007C7F39">
      <w:pPr>
        <w:pStyle w:val="SCCNormalDoubleSpacing"/>
        <w:spacing w:line="240" w:lineRule="auto"/>
        <w:rPr>
          <w:i/>
          <w:sz w:val="20"/>
        </w:rPr>
      </w:pPr>
    </w:p>
    <w:p w:rsidR="007C7F39" w:rsidRPr="0054423D" w:rsidRDefault="007C7F39" w:rsidP="007C7F39">
      <w:pPr>
        <w:pStyle w:val="SCCNormalDoubleSpacing"/>
        <w:spacing w:line="240" w:lineRule="auto"/>
        <w:rPr>
          <w:sz w:val="20"/>
        </w:rPr>
      </w:pPr>
      <w:r w:rsidRPr="0054423D">
        <w:rPr>
          <w:i/>
          <w:sz w:val="20"/>
        </w:rPr>
        <w:tab/>
        <w:t>Per</w:t>
      </w:r>
      <w:r w:rsidRPr="0054423D">
        <w:rPr>
          <w:sz w:val="20"/>
        </w:rPr>
        <w:t xml:space="preserve"> Fish and </w:t>
      </w:r>
      <w:r w:rsidRPr="0054423D">
        <w:rPr>
          <w:b/>
          <w:sz w:val="20"/>
        </w:rPr>
        <w:t>Abella</w:t>
      </w:r>
      <w:r w:rsidRPr="0054423D">
        <w:rPr>
          <w:sz w:val="20"/>
        </w:rPr>
        <w:t> JJ. (dissenting):  The trial judge must determine whether the evidence is reasonably capable of supporting the inferences necessary to make out the defence of provocation.  In relation to the objective element, the judge must determine whether there is evidence that could raise a reasonable doubt about whether the accused was faced with a wrongful act or insult sufficient to deprive an ordinary person of self</w:t>
      </w:r>
      <w:r w:rsidRPr="0054423D">
        <w:rPr>
          <w:sz w:val="20"/>
        </w:rPr>
        <w:noBreakHyphen/>
        <w:t>control.  To determine how the “ordinary” person would react to a particular insult, it is necessary to take the relevant context and circumstances into account, including the history and background of any relationship between the victim and the accused.  The assessment of the evidence relevant to the objective element should not be skewed by placing predominant emphasis on the aggressive conduct of the accused at the determinative expense of the whole context.</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F’s words and the reaction they would elicit from an ordinary person cannot be appreciated without considering the whole context, and, in particular, the history of the relationship between C and F.  F and C were close friends.  The only source of conflict between them was F’s long history of domestic violence against R, C’s cousin whom he thought of as his “little sister”.  F had been attacking R for over a decade. The assaults were frequent — often weekly.  They were also severe.  C knew all about the assaults since R had repeatedly taken refuge with C and his wife, and R was sometimes so badly injured that she was unable to go to work.</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Removing the defence of provocation from the jury turns on the characterization that C initiated an “aggressive confrontation”.  On another view of these facts, however, F initiated the confrontation when he started verbally abusing and threatening C’s cousin — acts that could, in light of F’s history of relentless domestic abuse, readily and reasonably be interpreted as a prelude to another brutal assault.  A jury might well conclude that the objective element of provocation was met based on a credible threat that F would again abuse C’s cousin, R.</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 xml:space="preserve">While F’s dismissive </w:t>
      </w:r>
      <w:r w:rsidRPr="0054423D">
        <w:rPr>
          <w:i/>
          <w:sz w:val="20"/>
        </w:rPr>
        <w:t>attitude</w:t>
      </w:r>
      <w:r w:rsidRPr="0054423D">
        <w:rPr>
          <w:sz w:val="20"/>
        </w:rPr>
        <w:t xml:space="preserve"> towards C might have been predictable, a jury could infer from the full context of this case that an ordinary person would not predict F’s</w:t>
      </w:r>
      <w:r w:rsidRPr="0054423D">
        <w:rPr>
          <w:b/>
          <w:sz w:val="20"/>
        </w:rPr>
        <w:t xml:space="preserve"> </w:t>
      </w:r>
      <w:r w:rsidRPr="0054423D">
        <w:rPr>
          <w:sz w:val="20"/>
        </w:rPr>
        <w:t xml:space="preserve">response that he would keep beating R if he felt like it.  The objective element of the defence of provocation should be informed by contemporary norms, including </w:t>
      </w:r>
      <w:r w:rsidRPr="0054423D">
        <w:rPr>
          <w:i/>
          <w:sz w:val="20"/>
        </w:rPr>
        <w:t>Charter</w:t>
      </w:r>
      <w:r w:rsidRPr="0054423D">
        <w:rPr>
          <w:sz w:val="20"/>
        </w:rPr>
        <w:t xml:space="preserve"> values.  These do </w:t>
      </w:r>
      <w:r w:rsidRPr="0054423D">
        <w:rPr>
          <w:i/>
          <w:sz w:val="20"/>
        </w:rPr>
        <w:t>not</w:t>
      </w:r>
      <w:r w:rsidRPr="0054423D">
        <w:rPr>
          <w:sz w:val="20"/>
        </w:rPr>
        <w:t xml:space="preserve"> include aggressively proprietary attitudes about a spouse.  It is therefore</w:t>
      </w:r>
      <w:r w:rsidRPr="0054423D">
        <w:rPr>
          <w:b/>
          <w:sz w:val="20"/>
        </w:rPr>
        <w:t xml:space="preserve"> </w:t>
      </w:r>
      <w:r w:rsidRPr="0054423D">
        <w:rPr>
          <w:sz w:val="20"/>
        </w:rPr>
        <w:t>troubling to conclude, as the majority does, that it was “predictable” for F to react to C’s warning by confirming his intention to continue inflicting domestic violence.  It is difficult to accept that an expressed intention to continue assaulting a spouse could ever be considered</w:t>
      </w:r>
      <w:r w:rsidRPr="0054423D">
        <w:rPr>
          <w:b/>
          <w:sz w:val="20"/>
        </w:rPr>
        <w:t xml:space="preserve"> </w:t>
      </w:r>
      <w:r w:rsidRPr="0054423D">
        <w:rPr>
          <w:sz w:val="20"/>
        </w:rPr>
        <w:t>“predictable”.</w:t>
      </w:r>
    </w:p>
    <w:p w:rsidR="007C7F39" w:rsidRDefault="007C7F39" w:rsidP="007C7F39">
      <w:pPr>
        <w:pStyle w:val="SCCNormalDoubleSpacing"/>
        <w:spacing w:line="240" w:lineRule="auto"/>
        <w:rPr>
          <w:sz w:val="20"/>
        </w:rPr>
      </w:pPr>
    </w:p>
    <w:p w:rsidR="007C7F39" w:rsidRDefault="007C7F39" w:rsidP="007C7F39">
      <w:pPr>
        <w:pStyle w:val="SCCNormalDoubleSpacing"/>
        <w:spacing w:line="240" w:lineRule="auto"/>
        <w:rPr>
          <w:sz w:val="20"/>
        </w:rPr>
      </w:pPr>
      <w:r w:rsidRPr="0054423D">
        <w:rPr>
          <w:sz w:val="20"/>
        </w:rPr>
        <w:tab/>
        <w:t>The trial judge’s decision to leave the provocation defence with the jury was therefore proper.</w:t>
      </w:r>
    </w:p>
    <w:p w:rsidR="007C7F39" w:rsidRDefault="007C7F39" w:rsidP="007C7F39">
      <w:pPr>
        <w:pStyle w:val="SCCNormalDoubleSpacing"/>
        <w:spacing w:line="240" w:lineRule="auto"/>
        <w:rPr>
          <w:sz w:val="20"/>
        </w:rPr>
      </w:pPr>
    </w:p>
    <w:p w:rsidR="007C7F39" w:rsidRPr="0054423D" w:rsidRDefault="007C7F39" w:rsidP="007C7F39">
      <w:pPr>
        <w:pStyle w:val="SCCNormalDoubleSpacing"/>
        <w:spacing w:line="240" w:lineRule="auto"/>
        <w:rPr>
          <w:sz w:val="20"/>
        </w:rPr>
      </w:pPr>
      <w:r w:rsidRPr="0054423D">
        <w:rPr>
          <w:sz w:val="20"/>
        </w:rPr>
        <w:tab/>
        <w:t>APPEAL from a judgment of the Alberta Court of Appeal (Côté and O’Brien JJ.A. and Belzil J. (</w:t>
      </w:r>
      <w:r w:rsidRPr="0054423D">
        <w:rPr>
          <w:i/>
          <w:sz w:val="20"/>
        </w:rPr>
        <w:t>ad hoc</w:t>
      </w:r>
      <w:r w:rsidRPr="0054423D">
        <w:rPr>
          <w:sz w:val="20"/>
        </w:rPr>
        <w:t>)), 2011 ABCA 272, 513 A.R. 345, 89 C.R. (6th) 207, 277 C.C.C. (3d) 200, 52 Alta. L.R. (5th) 357, 530 W.A.C. 345, [2011] A.J. No. 1039 (QL), 2011 CarswellAlta 1666, setting aside the accused’s acquittal on a charge of second degree murder and ordering a new trial.  Appeal dismissed, Fish and Abella JJ. dissenting.</w:t>
      </w:r>
    </w:p>
    <w:p w:rsidR="007C7F39" w:rsidRDefault="007C7F39" w:rsidP="007C7F39">
      <w:pPr>
        <w:pStyle w:val="SCCNormalDoubleSpacing"/>
        <w:spacing w:line="240" w:lineRule="auto"/>
        <w:rPr>
          <w:i/>
          <w:sz w:val="20"/>
        </w:rPr>
      </w:pPr>
    </w:p>
    <w:p w:rsidR="007C7F39" w:rsidRPr="0054423D" w:rsidRDefault="007C7F39" w:rsidP="007C7F39">
      <w:pPr>
        <w:pStyle w:val="SCCNormalDoubleSpacing"/>
        <w:spacing w:line="240" w:lineRule="auto"/>
        <w:rPr>
          <w:sz w:val="20"/>
        </w:rPr>
      </w:pPr>
      <w:r w:rsidRPr="0054423D">
        <w:rPr>
          <w:i/>
          <w:sz w:val="20"/>
        </w:rPr>
        <w:tab/>
        <w:t xml:space="preserve">Dino Bottos </w:t>
      </w:r>
      <w:r w:rsidRPr="0054423D">
        <w:rPr>
          <w:sz w:val="20"/>
        </w:rPr>
        <w:t xml:space="preserve">and </w:t>
      </w:r>
      <w:r w:rsidRPr="0054423D">
        <w:rPr>
          <w:i/>
          <w:sz w:val="20"/>
        </w:rPr>
        <w:t>Dane Bullerwell</w:t>
      </w:r>
      <w:r w:rsidRPr="0054423D">
        <w:rPr>
          <w:sz w:val="20"/>
        </w:rPr>
        <w:t>, for the appellant.</w:t>
      </w:r>
    </w:p>
    <w:p w:rsidR="007C7F39" w:rsidRDefault="007C7F39" w:rsidP="007C7F39">
      <w:pPr>
        <w:pStyle w:val="SCCNormalDoubleSpacing"/>
        <w:spacing w:line="240" w:lineRule="auto"/>
        <w:rPr>
          <w:i/>
          <w:sz w:val="20"/>
        </w:rPr>
      </w:pPr>
    </w:p>
    <w:p w:rsidR="007C7F39" w:rsidRPr="0054423D" w:rsidRDefault="007C7F39" w:rsidP="007C7F39">
      <w:pPr>
        <w:pStyle w:val="SCCNormalDoubleSpacing"/>
        <w:spacing w:line="240" w:lineRule="auto"/>
        <w:rPr>
          <w:sz w:val="20"/>
        </w:rPr>
      </w:pPr>
      <w:r w:rsidRPr="0054423D">
        <w:rPr>
          <w:i/>
          <w:sz w:val="20"/>
        </w:rPr>
        <w:tab/>
        <w:t>Susan D. Hughson</w:t>
      </w:r>
      <w:r w:rsidRPr="0054423D">
        <w:rPr>
          <w:sz w:val="20"/>
        </w:rPr>
        <w:t>,</w:t>
      </w:r>
      <w:r w:rsidRPr="0054423D">
        <w:rPr>
          <w:i/>
          <w:sz w:val="20"/>
        </w:rPr>
        <w:t xml:space="preserve"> Q.C.</w:t>
      </w:r>
      <w:r w:rsidRPr="0054423D">
        <w:rPr>
          <w:sz w:val="20"/>
        </w:rPr>
        <w:t xml:space="preserve">, and </w:t>
      </w:r>
      <w:r w:rsidRPr="0054423D">
        <w:rPr>
          <w:i/>
          <w:sz w:val="20"/>
        </w:rPr>
        <w:t>Keith Joyce</w:t>
      </w:r>
      <w:r w:rsidRPr="0054423D">
        <w:rPr>
          <w:sz w:val="20"/>
        </w:rPr>
        <w:t>, for the respondent.</w:t>
      </w:r>
    </w:p>
    <w:p w:rsidR="007C7F39" w:rsidRDefault="007C7F39" w:rsidP="007C7F39">
      <w:pPr>
        <w:pStyle w:val="SCCLawFirm"/>
        <w:spacing w:line="240" w:lineRule="auto"/>
        <w:rPr>
          <w:sz w:val="20"/>
        </w:rPr>
      </w:pPr>
    </w:p>
    <w:p w:rsidR="007C7F39" w:rsidRPr="0054423D" w:rsidRDefault="007C7F39" w:rsidP="007C7F39">
      <w:pPr>
        <w:pStyle w:val="SCCLawFirm"/>
        <w:spacing w:line="240" w:lineRule="auto"/>
        <w:rPr>
          <w:sz w:val="20"/>
        </w:rPr>
      </w:pPr>
      <w:r w:rsidRPr="0054423D">
        <w:rPr>
          <w:sz w:val="20"/>
        </w:rPr>
        <w:tab/>
        <w:t>Solicitors for the appellant:  Depoe and Bottos, Edmonton; Pringle Chivers Sparks, Edmonton.</w:t>
      </w:r>
    </w:p>
    <w:p w:rsidR="007C7F39" w:rsidRDefault="007C7F39" w:rsidP="007C7F39">
      <w:pPr>
        <w:pStyle w:val="SCCLawFirm"/>
        <w:spacing w:line="240" w:lineRule="auto"/>
        <w:rPr>
          <w:sz w:val="20"/>
        </w:rPr>
      </w:pPr>
    </w:p>
    <w:p w:rsidR="007C7F39" w:rsidRDefault="007C7F39" w:rsidP="007C7F39">
      <w:pPr>
        <w:pStyle w:val="SCCLawFirm"/>
        <w:spacing w:line="240" w:lineRule="auto"/>
        <w:rPr>
          <w:sz w:val="20"/>
        </w:rPr>
      </w:pPr>
      <w:r w:rsidRPr="0054423D">
        <w:rPr>
          <w:sz w:val="20"/>
        </w:rPr>
        <w:tab/>
        <w:t>Solicitor for the respondent:  Attorney General of Alberta, Edmonton.</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7C7F39" w:rsidRPr="006C5578" w:rsidRDefault="007C7F39" w:rsidP="007C7F39">
      <w:pPr>
        <w:jc w:val="both"/>
        <w:rPr>
          <w:sz w:val="20"/>
          <w:szCs w:val="20"/>
          <w:lang w:val="fr-CA"/>
        </w:rPr>
      </w:pPr>
      <w:r w:rsidRPr="006C5578">
        <w:rPr>
          <w:sz w:val="20"/>
          <w:szCs w:val="20"/>
          <w:lang w:val="fr-CA"/>
        </w:rPr>
        <w:t>Présents : La juge en chef McLachlin et les juges Fish, Abella, Rothstein, Cromwell, Moldaver et Wagner.</w:t>
      </w:r>
    </w:p>
    <w:p w:rsidR="007C7F39" w:rsidRDefault="007C7F39" w:rsidP="007C7F39">
      <w:pPr>
        <w:jc w:val="both"/>
        <w:rPr>
          <w:smallCaps/>
          <w:sz w:val="20"/>
          <w:lang w:val="fr-CA"/>
        </w:rPr>
      </w:pPr>
    </w:p>
    <w:p w:rsidR="007C7F39" w:rsidRPr="006C5578" w:rsidRDefault="007C7F39" w:rsidP="007C7F39">
      <w:pPr>
        <w:pStyle w:val="SCCNormalDoubleSpacing"/>
        <w:spacing w:line="240" w:lineRule="auto"/>
        <w:rPr>
          <w:sz w:val="20"/>
          <w:lang w:val="fr-FR"/>
        </w:rPr>
      </w:pPr>
      <w:r w:rsidRPr="006C5578">
        <w:rPr>
          <w:sz w:val="20"/>
          <w:lang w:val="fr-CA"/>
        </w:rPr>
        <w:tab/>
      </w:r>
      <w:r w:rsidRPr="006C5578">
        <w:rPr>
          <w:i/>
          <w:sz w:val="20"/>
          <w:lang w:val="fr-CA"/>
        </w:rPr>
        <w:t>Droit criminel — Moyens de défense — Provocation — Provocation induite — Le fait que l’accusé a été à l’origine de l’action ou des paroles qui auraient constitué une provocation empêche</w:t>
      </w:r>
      <w:r w:rsidRPr="006C5578">
        <w:rPr>
          <w:i/>
          <w:sz w:val="20"/>
          <w:lang w:val="fr-CA"/>
        </w:rPr>
        <w:noBreakHyphen/>
        <w:t>t</w:t>
      </w:r>
      <w:r w:rsidRPr="006C5578">
        <w:rPr>
          <w:i/>
          <w:sz w:val="20"/>
          <w:lang w:val="fr-CA"/>
        </w:rPr>
        <w:noBreakHyphen/>
        <w:t>il que la défense de provocation puisse être soumise à l’appréciation du jury? — Les éléments objectif et subjectif de la provocation étaient</w:t>
      </w:r>
      <w:r w:rsidRPr="006C5578">
        <w:rPr>
          <w:i/>
          <w:sz w:val="20"/>
          <w:lang w:val="fr-CA"/>
        </w:rPr>
        <w:noBreakHyphen/>
        <w:t>ils établis et conféraient</w:t>
      </w:r>
      <w:r w:rsidRPr="006C5578">
        <w:rPr>
          <w:i/>
          <w:sz w:val="20"/>
          <w:lang w:val="fr-CA"/>
        </w:rPr>
        <w:noBreakHyphen/>
        <w:t>ils une vraisemblance au moyen de défense? — La défense de provocation aurait</w:t>
      </w:r>
      <w:r w:rsidRPr="006C5578">
        <w:rPr>
          <w:i/>
          <w:sz w:val="20"/>
          <w:lang w:val="fr-CA"/>
        </w:rPr>
        <w:noBreakHyphen/>
        <w:t>elle dû être soumise au jury? — Code criminel, L.R.C. 1985, ch. </w:t>
      </w:r>
      <w:r w:rsidRPr="006C5578">
        <w:rPr>
          <w:i/>
          <w:sz w:val="20"/>
          <w:lang w:val="fr-FR"/>
        </w:rPr>
        <w:t>C</w:t>
      </w:r>
      <w:r w:rsidRPr="006C5578">
        <w:rPr>
          <w:i/>
          <w:sz w:val="20"/>
          <w:lang w:val="fr-FR"/>
        </w:rPr>
        <w:noBreakHyphen/>
        <w:t>46, art. 232.</w:t>
      </w:r>
      <w:r w:rsidRPr="006C5578">
        <w:rPr>
          <w:sz w:val="20"/>
          <w:lang w:val="fr-FR"/>
        </w:rPr>
        <w:t xml:space="preserve"> </w:t>
      </w:r>
    </w:p>
    <w:p w:rsidR="007C7F39" w:rsidRDefault="007C7F39" w:rsidP="007C7F39">
      <w:pPr>
        <w:pStyle w:val="SCCNormalDoubleSpacing"/>
        <w:spacing w:line="240" w:lineRule="auto"/>
        <w:rPr>
          <w:sz w:val="20"/>
          <w:lang w:val="fr-FR"/>
        </w:rPr>
      </w:pPr>
    </w:p>
    <w:p w:rsidR="007C7F39" w:rsidRPr="006C5578" w:rsidRDefault="007C7F39" w:rsidP="007C7F39">
      <w:pPr>
        <w:pStyle w:val="SCCNormalDoubleSpacing"/>
        <w:spacing w:line="240" w:lineRule="auto"/>
        <w:rPr>
          <w:sz w:val="20"/>
          <w:lang w:val="fr-CA"/>
        </w:rPr>
      </w:pPr>
      <w:r w:rsidRPr="006C5578">
        <w:rPr>
          <w:sz w:val="20"/>
          <w:lang w:val="fr-FR"/>
        </w:rPr>
        <w:tab/>
      </w:r>
      <w:r w:rsidRPr="006C5578">
        <w:rPr>
          <w:sz w:val="20"/>
          <w:lang w:val="fr-CA"/>
        </w:rPr>
        <w:t xml:space="preserve">C a abattu d’un coup de feu son ami de longue date, F.  Il vivait alors chez ce dernier et R, sa cousine et conjointe de fait de F.  </w:t>
      </w:r>
      <w:r w:rsidRPr="006C5578">
        <w:rPr>
          <w:sz w:val="20"/>
          <w:lang w:val="fr-FR"/>
        </w:rPr>
        <w:t xml:space="preserve">F brutalisait R depuis longtemps.  </w:t>
      </w:r>
      <w:r w:rsidRPr="006C5578">
        <w:rPr>
          <w:sz w:val="20"/>
          <w:lang w:val="fr-CA"/>
        </w:rPr>
        <w:t>Le jour en question, F avait consommé de l’alcool, s’était mis en colère contre R et avait commencé à l’insulter.  C l’avait entendu dire à R qu’il l’aurait projetée contre le mur de la cuisine si elle n’avait pas eu mal au dos.  C était sorti de la pièce à la demande de F, puis avait récupéré un fusil de chasse chargé.  Ébranlé par la dispute qu’il entendait, il s’était assis dans une autre pièce, se demandant quoi faire.  Il avait décidé de faire peur à F pour lui donner une leçon et le dissuader de brutaliser R à l’avenir.  Il s’était approché de F, qui était au téléphone, et avait fracassé l’appareil avec le canon de l’arme.  Il avait ensuite commencé à le sermonner sur les sévices qu’il infligeait à R.  F avait réagi en disant « Qu’est</w:t>
      </w:r>
      <w:r w:rsidRPr="006C5578">
        <w:rPr>
          <w:sz w:val="20"/>
          <w:lang w:val="fr-CA"/>
        </w:rPr>
        <w:noBreakHyphen/>
        <w:t xml:space="preserve">ce que tu vas faire, me tirer dessus? T’as pas le cran de tirer ».  </w:t>
      </w:r>
      <w:r w:rsidRPr="006C5578">
        <w:rPr>
          <w:sz w:val="20"/>
          <w:lang w:val="fr-FR"/>
        </w:rPr>
        <w:t xml:space="preserve">F avait ensuite entrepris de sortir de l’appartement.  </w:t>
      </w:r>
      <w:r w:rsidRPr="006C5578">
        <w:rPr>
          <w:sz w:val="20"/>
          <w:lang w:val="fr-CA"/>
        </w:rPr>
        <w:t xml:space="preserve">Lorsque C lui avait dit « Reviens ici », F avait répondu « Va te faire foutre, épais.  Ça te regarde pas.  Je vais faire ce que je veux avec [R.] »  F avait ensuite quitté l’appartement.  C l’avait suivi jusqu’à l’escalier, où il l’avait abattu.  Accusé de meurtre au deuxième degré, C a subi son procès devant jury.  Il a soutenu ne pas avoir eu l’intention requise pour être déclaré coupable de meurtre et, subsidiairement, avoir été provoqué par les propos de F.  La juge du procès ayant apparemment conclu à l’existence de quelque preuve de chacun des éléments constitutifs de la provocation, son exposé au jury a fait état du moyen de défense.  Le jury a acquitté C de meurtre au deuxième degré et l’a déclaré coupable d’homicide involontaire coupable.  La Cour d’appel a accueilli l’appel du ministère public et ordonné un nouveau procès. </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CA"/>
        </w:rPr>
      </w:pPr>
      <w:r w:rsidRPr="006C5578">
        <w:rPr>
          <w:sz w:val="20"/>
          <w:lang w:val="fr-CA"/>
        </w:rPr>
        <w:tab/>
      </w:r>
      <w:r w:rsidRPr="006C5578">
        <w:rPr>
          <w:i/>
          <w:sz w:val="20"/>
          <w:lang w:val="fr-CA"/>
        </w:rPr>
        <w:t>Arrêt</w:t>
      </w:r>
      <w:r w:rsidRPr="006C5578">
        <w:rPr>
          <w:sz w:val="20"/>
          <w:lang w:val="fr-CA"/>
        </w:rPr>
        <w:t xml:space="preserve"> (les juges Fish et Abella sont dissidents) : Le pourvoi est rejeté. </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CA"/>
        </w:rPr>
      </w:pPr>
      <w:r w:rsidRPr="006C5578">
        <w:rPr>
          <w:sz w:val="20"/>
          <w:lang w:val="fr-CA"/>
        </w:rPr>
        <w:tab/>
      </w:r>
      <w:r w:rsidRPr="006C5578">
        <w:rPr>
          <w:i/>
          <w:sz w:val="20"/>
          <w:lang w:val="fr-CA"/>
        </w:rPr>
        <w:t>La</w:t>
      </w:r>
      <w:r w:rsidRPr="006C5578">
        <w:rPr>
          <w:sz w:val="20"/>
          <w:lang w:val="fr-CA"/>
        </w:rPr>
        <w:t xml:space="preserve"> juge en chef</w:t>
      </w:r>
      <w:r w:rsidRPr="006C5578">
        <w:rPr>
          <w:b/>
          <w:sz w:val="20"/>
          <w:lang w:val="fr-CA"/>
        </w:rPr>
        <w:t xml:space="preserve"> McLachlin</w:t>
      </w:r>
      <w:r w:rsidRPr="006C5578">
        <w:rPr>
          <w:sz w:val="20"/>
          <w:lang w:val="fr-CA"/>
        </w:rPr>
        <w:t xml:space="preserve"> et les juges Rothstein, Cromwell, Moldaver et Wagner : La juge du procès a eu tort de soumettre la défense de provocation au jury car le moyen de défense n’avait aucune vraisemblance.</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FR"/>
        </w:rPr>
      </w:pPr>
      <w:r w:rsidRPr="006C5578">
        <w:rPr>
          <w:sz w:val="20"/>
          <w:lang w:val="fr-CA"/>
        </w:rPr>
        <w:tab/>
        <w:t xml:space="preserve">Le critère de la vraisemblance vise à déterminer si un jury ayant reçu des directives appropriées et agissant de manière raisonnable pourrait avoir un doute raisonnable quant à savoir si les éléments subjectif et objectif de la défense de provocation sont établis.  L’élément objectif de la défense de provocation veut que l’on détermine si quelque élément de preuve aurait permis à un jury d’avoir un doute raisonnable que les insultes de F auraient privé une personne ordinaire, dans la situation de C — qui inclut le fait d’avoir déclenché un affrontement armé —, du pouvoir de se maîtriser.  L’historique et le contexte des relations entre la victime et l’accusé sont pertinents et utiles dans l’application du critère de la « personne ordinaire », comme toutes les données qui confèrent à l’action ou à l’insulte une importance particulière pour une personne ordinaire.  Néanmoins, il demeure qu’une « personne ordinaire » respecte toujours un seuil minimal de maîtrise de soi.  </w:t>
      </w:r>
    </w:p>
    <w:p w:rsidR="007C7F39" w:rsidRDefault="007C7F39" w:rsidP="007C7F39">
      <w:pPr>
        <w:pStyle w:val="SCCNormalDoubleSpacing"/>
        <w:spacing w:line="240" w:lineRule="auto"/>
        <w:rPr>
          <w:sz w:val="20"/>
          <w:lang w:val="fr-FR"/>
        </w:rPr>
      </w:pPr>
    </w:p>
    <w:p w:rsidR="007C7F39" w:rsidRPr="006C5578" w:rsidRDefault="007C7F39" w:rsidP="007C7F39">
      <w:pPr>
        <w:pStyle w:val="SCCNormalDoubleSpacing"/>
        <w:spacing w:line="240" w:lineRule="auto"/>
        <w:rPr>
          <w:sz w:val="20"/>
          <w:lang w:val="fr-CA"/>
        </w:rPr>
      </w:pPr>
      <w:r w:rsidRPr="006C5578">
        <w:rPr>
          <w:sz w:val="20"/>
          <w:lang w:val="fr-FR"/>
        </w:rPr>
        <w:tab/>
      </w:r>
      <w:r w:rsidRPr="006C5578">
        <w:rPr>
          <w:sz w:val="20"/>
          <w:lang w:val="fr-CA"/>
        </w:rPr>
        <w:t>Bien que les décisions sur la provocation induite ne distinguent pas toutes entre les éléments objectif et subjectif du moyen de défense, elles confirment généralement que la conduite de l’accusé peut importer pour les deux éléments et qu’il faut l’examiner de pair avec les autres données contextuelles pour décider de la vraisemblance du moyen de défense.  La provocation induite ne correspond pas à une catégorie particulière du moyen de défense qui ferait intervenir des principes spéciaux.  Elle commande plutôt une application particulière des principes généraux qui régissent la défense de provocation.  Aucune règle absolue ne veut que la personne qui déclenche un affrontement ne puisse invoquer ce moyen de défense.  Le fait que la réaction de la victime au comportement agressif de l’accusé fasse partie de celles qui sont raisonnablement prévisibles peut indiquer qu’une personne ordinaire n’aurait pas perdu son sang</w:t>
      </w:r>
      <w:r w:rsidRPr="006C5578">
        <w:rPr>
          <w:sz w:val="20"/>
          <w:lang w:val="fr-CA"/>
        </w:rPr>
        <w:noBreakHyphen/>
        <w:t>froid, bien qu’il faille mettre ce fait en balance avec toutes les autres données contextuelles pertinentes.  Comme chaque fois qu’elle est invoquée, la défense de provocation doit être vraisemblable au vu de la preuve pour être soumise au jury.</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CA"/>
        </w:rPr>
      </w:pPr>
      <w:r w:rsidRPr="006C5578">
        <w:rPr>
          <w:sz w:val="20"/>
          <w:lang w:val="fr-CA"/>
        </w:rPr>
        <w:tab/>
        <w:t>En l’espèce, une preuve permettait d’étayer l’élément subjectif, à savoir que C avait en fait réagi à la provocation avant d’avoir eu le temps de reprendre son sang</w:t>
      </w:r>
      <w:r w:rsidRPr="006C5578">
        <w:rPr>
          <w:sz w:val="20"/>
          <w:lang w:val="fr-CA"/>
        </w:rPr>
        <w:noBreakHyphen/>
        <w:t>froid.  Cependant</w:t>
      </w:r>
      <w:r w:rsidRPr="006C5578">
        <w:rPr>
          <w:sz w:val="20"/>
          <w:lang w:val="fr-FR"/>
        </w:rPr>
        <w:t xml:space="preserve">, la provocation objective n’avait aucune vraisemblance.  </w:t>
      </w:r>
      <w:r w:rsidRPr="006C5578">
        <w:rPr>
          <w:sz w:val="20"/>
          <w:lang w:val="fr-CA"/>
        </w:rPr>
        <w:t xml:space="preserve">C prétend que les propos de F constituaient une menace de violence conjugale imminente qui aurait suffi à faire perdre la maîtrise de soi à une personne ordinaire.  Or, F ne se comportait plus de manière agressive envers R lorsque C s’était approché de lui.  </w:t>
      </w:r>
      <w:r w:rsidRPr="006C5578">
        <w:rPr>
          <w:sz w:val="20"/>
          <w:lang w:val="fr-FR"/>
        </w:rPr>
        <w:t xml:space="preserve">Sa colère à l’endroit de R était retombée.  </w:t>
      </w:r>
      <w:r w:rsidRPr="006C5578">
        <w:rPr>
          <w:sz w:val="20"/>
          <w:lang w:val="fr-CA"/>
        </w:rPr>
        <w:t>Le dossier n’étaye tout simplement pas la prétention selon laquelle une personne ordinaire aurait vu dans les paroles de la victime une menace de violence conjugale imminente dirigée contre R et aurait de ce fait perdu sa maîtrise de soi.</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CA"/>
        </w:rPr>
      </w:pPr>
      <w:r w:rsidRPr="006C5578">
        <w:rPr>
          <w:sz w:val="20"/>
          <w:lang w:val="fr-CA"/>
        </w:rPr>
        <w:tab/>
        <w:t xml:space="preserve">Restent donc le souci de C de prévenir la perpétration ultérieure d’actes de violence à l’endroit de R et son intention déclarée d’y parvenir en arrachant à F, à la pointe du fusil, la promesse de ne plus agresser R.  La personne ordinaire qui chercherait à arracher une promesse à la pointe du fusil ne serait pas étonnée de voir son interlocuteur repousser sa demande comme l’a fait F en l’espèce.  Aucune preuve au dossier ne permet de conclure à un choc soudain de nature à faire perdre sa maîtrise de soi à une personne ordinaire.  Un jury ayant reçu des directives appropriées et agissant de manière raisonnable n’aurait donc pu avoir de doute raisonnable quant à savoir si la conduite de F aurait suffi à priver une personne ordinaire du pouvoir de se maîtriser. </w:t>
      </w:r>
    </w:p>
    <w:p w:rsidR="007C7F39" w:rsidRDefault="007C7F39" w:rsidP="007C7F39">
      <w:pPr>
        <w:pStyle w:val="SCCNormalDoubleSpacing"/>
        <w:spacing w:line="240" w:lineRule="auto"/>
        <w:rPr>
          <w:i/>
          <w:sz w:val="20"/>
          <w:lang w:val="fr-CA"/>
        </w:rPr>
      </w:pPr>
    </w:p>
    <w:p w:rsidR="007C7F39" w:rsidRPr="006C5578" w:rsidRDefault="007C7F39" w:rsidP="007C7F39">
      <w:pPr>
        <w:pStyle w:val="SCCNormalDoubleSpacing"/>
        <w:spacing w:line="240" w:lineRule="auto"/>
        <w:rPr>
          <w:sz w:val="20"/>
          <w:lang w:val="fr-CA"/>
        </w:rPr>
      </w:pPr>
      <w:r w:rsidRPr="006C5578">
        <w:rPr>
          <w:i/>
          <w:sz w:val="20"/>
          <w:lang w:val="fr-CA"/>
        </w:rPr>
        <w:tab/>
        <w:t xml:space="preserve">Les </w:t>
      </w:r>
      <w:r w:rsidRPr="006C5578">
        <w:rPr>
          <w:sz w:val="20"/>
          <w:lang w:val="fr-CA"/>
        </w:rPr>
        <w:t xml:space="preserve">juges Fish et </w:t>
      </w:r>
      <w:r w:rsidRPr="006C5578">
        <w:rPr>
          <w:b/>
          <w:sz w:val="20"/>
          <w:lang w:val="fr-CA"/>
        </w:rPr>
        <w:t>Abella</w:t>
      </w:r>
      <w:r w:rsidRPr="006C5578">
        <w:rPr>
          <w:sz w:val="20"/>
          <w:lang w:val="fr-CA"/>
        </w:rPr>
        <w:t xml:space="preserve"> (dissidents) : Le juge du procès doit examiner si la preuve est raisonnablement susceptible d’étayer les inférences nécessaires à l’application de la défense de provocation.  En ce qui a trait à l’élément objectif, il doit se demander si la preuve pourrait soulever un doute raisonnable quant à savoir si l’accusé a été aux prises avec une action injuste ou une insulte suffisante pour priver une personne ordinaire du pouvoir de se maîtriser.  Pour déterminer comment une personne « ordinaire » réagirait à une insulte en particulier, il faut tenir compte des circonstances et du contexte en cause, notamment l’historique et le contexte des relations entre la victime et l’accusé.  Il ne faut pas compromettre l’appréciation de la preuve relative à l’élément objectif en mettant l’accent sur le comportement agressif de l’accusé au détriment du contexte dans son entier.</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CA"/>
        </w:rPr>
      </w:pPr>
      <w:r w:rsidRPr="006C5578">
        <w:rPr>
          <w:sz w:val="20"/>
          <w:lang w:val="fr-CA"/>
        </w:rPr>
        <w:tab/>
        <w:t>Il est impossible de juger des propos de F et de la réaction qu’ils susciteraient chez une personne ordinaire sans tenir compte du contexte global et, en particulier, des rapports antérieurs entre C et F, qui étaient des amis proches.  Le seul sujet de discorde entre eux était la longue histoire de violence conjugale de F vis</w:t>
      </w:r>
      <w:r w:rsidRPr="006C5578">
        <w:rPr>
          <w:sz w:val="20"/>
          <w:lang w:val="fr-CA"/>
        </w:rPr>
        <w:noBreakHyphen/>
        <w:t>à</w:t>
      </w:r>
      <w:r w:rsidRPr="006C5578">
        <w:rPr>
          <w:sz w:val="20"/>
          <w:lang w:val="fr-CA"/>
        </w:rPr>
        <w:noBreakHyphen/>
        <w:t xml:space="preserve">vis de R, la cousine de C, qu’il considérait aussi comme sa « petite sœur ».  F brutalisait R depuis plus de dix ans.  Les agressions avaient lieu fréquemment, souvent chaque semaine.  Aussi, elles étaient graves.  C était bien au fait de la situation, car R avait maintes fois trouvé refuge chez son épouse et lui.  R présentait parfois des contusions dont la gravité l’empêchait d’aller travailler.  </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CA"/>
        </w:rPr>
      </w:pPr>
      <w:r w:rsidRPr="006C5578">
        <w:rPr>
          <w:sz w:val="20"/>
          <w:lang w:val="fr-CA"/>
        </w:rPr>
        <w:tab/>
        <w:t xml:space="preserve">Soustraire la défense de provocation à l’examen du jury revient à conclure que C a déclenché un « affrontement violent ».  Or, un autre point de vue veut que F ait déclenché l’affrontement en se mettant à insulter et à menacer la cousine de C, ce qui, au vu de la violence conjugale à laquelle F s’était inlassablement livré jusqu’alors, pouvait raisonnablement être considéré d’emblée comme le prélude d’une nouvelle agression brutale.  Un jury pourrait fort bien conclure à l’existence du volet objectif de la provocation étant donné le sérieux de la menace proférée par F à l’effet de brutaliser à nouveau R, la cousine de C.   </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CA"/>
        </w:rPr>
      </w:pPr>
      <w:r w:rsidRPr="006C5578">
        <w:rPr>
          <w:sz w:val="20"/>
          <w:lang w:val="fr-CA"/>
        </w:rPr>
        <w:tab/>
        <w:t>L’</w:t>
      </w:r>
      <w:r w:rsidRPr="006C5578">
        <w:rPr>
          <w:i/>
          <w:sz w:val="20"/>
          <w:lang w:val="fr-CA"/>
        </w:rPr>
        <w:t>attitude</w:t>
      </w:r>
      <w:r w:rsidRPr="006C5578">
        <w:rPr>
          <w:sz w:val="20"/>
          <w:lang w:val="fr-CA"/>
        </w:rPr>
        <w:t xml:space="preserve"> méprisante de F à l’endroit de C était peut</w:t>
      </w:r>
      <w:r w:rsidRPr="006C5578">
        <w:rPr>
          <w:sz w:val="20"/>
          <w:lang w:val="fr-CA"/>
        </w:rPr>
        <w:noBreakHyphen/>
        <w:t xml:space="preserve">être prévisible, mais un jury pourrait inférer du contexte global qu’une personne ordinaire n’aurait pas prévu que la réaction de F soit d’affirmer qu’il continuerait de battre R à son gré.  L’élément objectif de la défense de provocation doit être défini en fonction des normes contemporaines, ce qui englobe les valeurs de la </w:t>
      </w:r>
      <w:r w:rsidRPr="006C5578">
        <w:rPr>
          <w:i/>
          <w:sz w:val="20"/>
          <w:lang w:val="fr-CA"/>
        </w:rPr>
        <w:t>Charte</w:t>
      </w:r>
      <w:r w:rsidRPr="006C5578">
        <w:rPr>
          <w:sz w:val="20"/>
          <w:lang w:val="fr-CA"/>
        </w:rPr>
        <w:t xml:space="preserve">, mais </w:t>
      </w:r>
      <w:r w:rsidRPr="006C5578">
        <w:rPr>
          <w:i/>
          <w:sz w:val="20"/>
          <w:lang w:val="fr-CA"/>
        </w:rPr>
        <w:t>non</w:t>
      </w:r>
      <w:r w:rsidRPr="006C5578">
        <w:rPr>
          <w:sz w:val="20"/>
          <w:lang w:val="fr-CA"/>
        </w:rPr>
        <w:t xml:space="preserve"> des attitudes violemment possessives à l’égard d’un conjoint.  Il est donc troublant de conclure, comme le font les juges majoritaires, qu’il était « prévisible » que F réagisse à la mise en garde de C en confirmant son intention de commettre d’autres actes de violence conjugale.  Il est difficile de voir une réaction « prévisible » dans l’intention exprimée de continuer à agresser un conjoint.</w:t>
      </w:r>
    </w:p>
    <w:p w:rsidR="007C7F39" w:rsidRDefault="007C7F39" w:rsidP="007C7F39">
      <w:pPr>
        <w:pStyle w:val="SCCNormalDoubleSpacing"/>
        <w:spacing w:line="240" w:lineRule="auto"/>
        <w:rPr>
          <w:sz w:val="20"/>
          <w:lang w:val="fr-CA"/>
        </w:rPr>
      </w:pPr>
    </w:p>
    <w:p w:rsidR="007C7F39" w:rsidRDefault="007C7F39" w:rsidP="007C7F39">
      <w:pPr>
        <w:pStyle w:val="SCCNormalDoubleSpacing"/>
        <w:spacing w:line="240" w:lineRule="auto"/>
        <w:rPr>
          <w:sz w:val="20"/>
          <w:lang w:val="fr-CA"/>
        </w:rPr>
      </w:pPr>
      <w:r w:rsidRPr="006C5578">
        <w:rPr>
          <w:sz w:val="20"/>
          <w:lang w:val="fr-CA"/>
        </w:rPr>
        <w:tab/>
        <w:t xml:space="preserve">La juge du procès a donc eu raison de soumettre la défense de provocation à l’appréciation du jury. </w:t>
      </w:r>
    </w:p>
    <w:p w:rsidR="007C7F39" w:rsidRDefault="007C7F39" w:rsidP="007C7F39">
      <w:pPr>
        <w:pStyle w:val="SCCNormalDoubleSpacing"/>
        <w:spacing w:line="240" w:lineRule="auto"/>
        <w:rPr>
          <w:sz w:val="20"/>
          <w:lang w:val="fr-CA"/>
        </w:rPr>
      </w:pPr>
    </w:p>
    <w:p w:rsidR="007C7F39" w:rsidRPr="006C5578" w:rsidRDefault="007C7F39" w:rsidP="007C7F39">
      <w:pPr>
        <w:pStyle w:val="SCCNormalDoubleSpacing"/>
        <w:spacing w:line="240" w:lineRule="auto"/>
        <w:rPr>
          <w:sz w:val="20"/>
          <w:lang w:val="fr-CA"/>
        </w:rPr>
      </w:pPr>
      <w:r w:rsidRPr="006C5578">
        <w:rPr>
          <w:sz w:val="20"/>
          <w:lang w:val="fr-CA"/>
        </w:rPr>
        <w:tab/>
        <w:t>POURVOI contre un arrêt de la Cour d’appel de l’Alberta (les juges Côté et O’Brien et le juge Belzil (</w:t>
      </w:r>
      <w:r w:rsidRPr="006C5578">
        <w:rPr>
          <w:i/>
          <w:sz w:val="20"/>
          <w:lang w:val="fr-CA"/>
        </w:rPr>
        <w:t>ad hoc</w:t>
      </w:r>
      <w:r w:rsidRPr="006C5578">
        <w:rPr>
          <w:sz w:val="20"/>
          <w:lang w:val="fr-CA"/>
        </w:rPr>
        <w:t>)), 2011 ABCA 272, 513 A.R. 345, 89 C.R. (6th) 207, 277 C.C.C. (3d) 200, 52 Alta. L.R. (5th) 357, 530 W.A.C. 345, [2011] A.J. No. 1039 (QL), 2011 CarswellAlta 1666, qui a annulé l’acquittement de l’accusé de l’accusation de meurtre au deuxième degré et a ordonné un nouveau procès.  Pourvoi rejeté, les juges Fish et Abella sont dissidents.</w:t>
      </w:r>
    </w:p>
    <w:p w:rsidR="007C7F39" w:rsidRDefault="007C7F39" w:rsidP="007C7F39">
      <w:pPr>
        <w:pStyle w:val="SCCNormalDoubleSpacing"/>
        <w:spacing w:line="240" w:lineRule="auto"/>
        <w:rPr>
          <w:i/>
          <w:sz w:val="20"/>
          <w:lang w:val="fr-CA"/>
        </w:rPr>
      </w:pPr>
    </w:p>
    <w:p w:rsidR="007C7F39" w:rsidRPr="006C5578" w:rsidRDefault="007C7F39" w:rsidP="007C7F39">
      <w:pPr>
        <w:pStyle w:val="SCCNormalDoubleSpacing"/>
        <w:spacing w:line="240" w:lineRule="auto"/>
        <w:rPr>
          <w:sz w:val="20"/>
          <w:lang w:val="fr-CA"/>
        </w:rPr>
      </w:pPr>
      <w:r w:rsidRPr="006C5578">
        <w:rPr>
          <w:i/>
          <w:sz w:val="20"/>
          <w:lang w:val="fr-CA"/>
        </w:rPr>
        <w:tab/>
        <w:t xml:space="preserve">Dino Bottos </w:t>
      </w:r>
      <w:r w:rsidRPr="006C5578">
        <w:rPr>
          <w:sz w:val="20"/>
          <w:lang w:val="fr-CA"/>
        </w:rPr>
        <w:t>et</w:t>
      </w:r>
      <w:r w:rsidRPr="006C5578">
        <w:rPr>
          <w:i/>
          <w:sz w:val="20"/>
          <w:lang w:val="fr-CA"/>
        </w:rPr>
        <w:t xml:space="preserve"> Dane Bullerwell</w:t>
      </w:r>
      <w:r w:rsidRPr="006C5578">
        <w:rPr>
          <w:sz w:val="20"/>
          <w:lang w:val="fr-CA"/>
        </w:rPr>
        <w:t>, pour l’appelant.</w:t>
      </w:r>
    </w:p>
    <w:p w:rsidR="007C7F39" w:rsidRDefault="007C7F39" w:rsidP="007C7F39">
      <w:pPr>
        <w:pStyle w:val="SCCNormalDoubleSpacing"/>
        <w:spacing w:line="240" w:lineRule="auto"/>
        <w:rPr>
          <w:i/>
          <w:sz w:val="20"/>
          <w:lang w:val="fr-CA"/>
        </w:rPr>
      </w:pPr>
    </w:p>
    <w:p w:rsidR="007C7F39" w:rsidRPr="006C5578" w:rsidRDefault="007C7F39" w:rsidP="007C7F39">
      <w:pPr>
        <w:pStyle w:val="SCCNormalDoubleSpacing"/>
        <w:spacing w:line="240" w:lineRule="auto"/>
        <w:rPr>
          <w:sz w:val="20"/>
          <w:lang w:val="fr-CA"/>
        </w:rPr>
      </w:pPr>
      <w:r w:rsidRPr="006C5578">
        <w:rPr>
          <w:i/>
          <w:sz w:val="20"/>
          <w:lang w:val="fr-CA"/>
        </w:rPr>
        <w:tab/>
        <w:t>Susan D. Hughson</w:t>
      </w:r>
      <w:r w:rsidRPr="006C5578">
        <w:rPr>
          <w:sz w:val="20"/>
          <w:lang w:val="fr-CA"/>
        </w:rPr>
        <w:t>,</w:t>
      </w:r>
      <w:r w:rsidRPr="006C5578">
        <w:rPr>
          <w:i/>
          <w:sz w:val="20"/>
          <w:lang w:val="fr-CA"/>
        </w:rPr>
        <w:t xml:space="preserve"> c.r.</w:t>
      </w:r>
      <w:r w:rsidRPr="006C5578">
        <w:rPr>
          <w:sz w:val="20"/>
          <w:lang w:val="fr-CA"/>
        </w:rPr>
        <w:t xml:space="preserve">, et </w:t>
      </w:r>
      <w:r w:rsidRPr="006C5578">
        <w:rPr>
          <w:i/>
          <w:sz w:val="20"/>
          <w:lang w:val="fr-CA"/>
        </w:rPr>
        <w:t>Keith Joyce</w:t>
      </w:r>
      <w:r w:rsidRPr="006C5578">
        <w:rPr>
          <w:sz w:val="20"/>
          <w:lang w:val="fr-CA"/>
        </w:rPr>
        <w:t>, pour l’intimée.</w:t>
      </w:r>
    </w:p>
    <w:p w:rsidR="007C7F39" w:rsidRDefault="007C7F39" w:rsidP="007C7F39">
      <w:pPr>
        <w:pStyle w:val="SCCLawFirm"/>
        <w:spacing w:line="240" w:lineRule="auto"/>
        <w:rPr>
          <w:sz w:val="20"/>
          <w:lang w:val="fr-CA"/>
        </w:rPr>
      </w:pPr>
    </w:p>
    <w:p w:rsidR="007C7F39" w:rsidRPr="006C5578" w:rsidRDefault="007C7F39" w:rsidP="007C7F39">
      <w:pPr>
        <w:pStyle w:val="SCCLawFirm"/>
        <w:spacing w:line="240" w:lineRule="auto"/>
        <w:rPr>
          <w:sz w:val="20"/>
          <w:lang w:val="fr-CA"/>
        </w:rPr>
      </w:pPr>
      <w:r w:rsidRPr="006C5578">
        <w:rPr>
          <w:sz w:val="20"/>
          <w:lang w:val="fr-CA"/>
        </w:rPr>
        <w:tab/>
        <w:t>Procureurs de l’appelant : Depoe and Bottos, Edmonton; Pringle Chivers Sparks, Edmonton.</w:t>
      </w:r>
    </w:p>
    <w:p w:rsidR="007C7F39" w:rsidRDefault="007C7F39" w:rsidP="007C7F39">
      <w:pPr>
        <w:pStyle w:val="SCCLawFirm"/>
        <w:spacing w:line="240" w:lineRule="auto"/>
        <w:rPr>
          <w:sz w:val="20"/>
          <w:lang w:val="fr-CA"/>
        </w:rPr>
      </w:pPr>
    </w:p>
    <w:p w:rsidR="007C7F39" w:rsidRDefault="007C7F39" w:rsidP="007C7F39">
      <w:pPr>
        <w:pStyle w:val="SCCLawFirm"/>
        <w:spacing w:line="240" w:lineRule="auto"/>
        <w:rPr>
          <w:sz w:val="20"/>
          <w:lang w:val="fr-CA"/>
        </w:rPr>
      </w:pPr>
      <w:r w:rsidRPr="006C5578">
        <w:rPr>
          <w:sz w:val="20"/>
          <w:lang w:val="fr-CA"/>
        </w:rPr>
        <w:tab/>
        <w:t>Procureur de l’intimée : Procureur général de l’Alberta, Edmonton.</w:t>
      </w:r>
    </w:p>
    <w:p w:rsidR="003B3977" w:rsidRDefault="003B3977" w:rsidP="005C6840">
      <w:pPr>
        <w:rPr>
          <w:rFonts w:cs="Times New Roman"/>
          <w:sz w:val="20"/>
          <w:szCs w:val="20"/>
          <w:lang w:val="fr-CA"/>
        </w:rPr>
      </w:pPr>
    </w:p>
    <w:p w:rsidR="005C6840" w:rsidRDefault="00CC2008" w:rsidP="005C6840">
      <w:pPr>
        <w:rPr>
          <w:lang w:val="fr-CA"/>
        </w:rPr>
      </w:pPr>
      <w:r w:rsidRPr="00CC2008">
        <w:rPr>
          <w:rFonts w:cs="Times New Roman"/>
          <w:sz w:val="20"/>
          <w:szCs w:val="20"/>
          <w:lang w:val="fr-CA"/>
        </w:rPr>
        <w:pict>
          <v:rect id="_x0000_i1080" style="width:144.3pt;height:1pt" o:hrpct="300" o:hralign="center" o:hrstd="t" o:hrnoshade="t" o:hr="t" fillcolor="black [3213]" stroked="f"/>
        </w:pict>
      </w:r>
      <w:r w:rsidR="005C6840">
        <w:rPr>
          <w:lang w:val="fr-CA"/>
        </w:rPr>
        <w:br w:type="page"/>
      </w:r>
    </w:p>
    <w:p w:rsidR="00AF1F5A" w:rsidRPr="00B0458E" w:rsidRDefault="00AF1F5A" w:rsidP="00AF1F5A">
      <w:pPr>
        <w:widowControl w:val="0"/>
        <w:autoSpaceDE w:val="0"/>
        <w:autoSpaceDN w:val="0"/>
        <w:adjustRightInd w:val="0"/>
        <w:rPr>
          <w:rFonts w:eastAsia="Calibri" w:cs="Times New Roman"/>
          <w:sz w:val="20"/>
          <w:szCs w:val="20"/>
        </w:rPr>
      </w:pPr>
      <w:r w:rsidRPr="00B0458E">
        <w:rPr>
          <w:rFonts w:eastAsia="Calibri" w:cs="Times New Roman"/>
          <w:i/>
          <w:sz w:val="20"/>
          <w:szCs w:val="20"/>
        </w:rPr>
        <w:t>Bill James Pappas v. Her Majesty the Queen</w:t>
      </w:r>
      <w:r w:rsidRPr="00B0458E">
        <w:rPr>
          <w:rFonts w:eastAsia="Calibri" w:cs="Times New Roman"/>
          <w:sz w:val="20"/>
          <w:szCs w:val="20"/>
        </w:rPr>
        <w:t xml:space="preserve"> (Alta.) (34951)</w:t>
      </w:r>
    </w:p>
    <w:p w:rsidR="00AB7CCA" w:rsidRPr="00AB7CCA" w:rsidRDefault="00AB7CCA" w:rsidP="00AB7CCA">
      <w:pPr>
        <w:jc w:val="both"/>
        <w:rPr>
          <w:sz w:val="20"/>
          <w:szCs w:val="20"/>
          <w:lang w:val="fr-CA"/>
        </w:rPr>
      </w:pPr>
      <w:r w:rsidRPr="00AB7CCA">
        <w:rPr>
          <w:b/>
          <w:sz w:val="20"/>
          <w:szCs w:val="20"/>
          <w:lang w:val="fr-CA"/>
        </w:rPr>
        <w:t xml:space="preserve">Indexed as:  R. </w:t>
      </w:r>
      <w:r w:rsidRPr="00AB7CCA">
        <w:rPr>
          <w:b/>
          <w:i/>
          <w:sz w:val="20"/>
          <w:szCs w:val="20"/>
          <w:lang w:val="fr-CA"/>
        </w:rPr>
        <w:t>v.</w:t>
      </w:r>
      <w:r w:rsidRPr="00AB7CCA">
        <w:rPr>
          <w:b/>
          <w:sz w:val="20"/>
          <w:szCs w:val="20"/>
          <w:lang w:val="fr-CA"/>
        </w:rPr>
        <w:t xml:space="preserve"> </w:t>
      </w:r>
      <w:r w:rsidRPr="00AB7CCA">
        <w:rPr>
          <w:b/>
          <w:smallCaps/>
          <w:sz w:val="20"/>
          <w:szCs w:val="20"/>
          <w:lang w:val="fr-CA"/>
        </w:rPr>
        <w:t>P</w:t>
      </w:r>
      <w:r w:rsidRPr="00AB7CCA">
        <w:rPr>
          <w:b/>
          <w:sz w:val="20"/>
          <w:szCs w:val="20"/>
          <w:lang w:val="fr-CA"/>
        </w:rPr>
        <w:t xml:space="preserve">appas / </w:t>
      </w:r>
      <w:r w:rsidRPr="00232A26">
        <w:rPr>
          <w:b/>
          <w:sz w:val="20"/>
          <w:szCs w:val="20"/>
          <w:lang w:val="fr-CA"/>
        </w:rPr>
        <w:t xml:space="preserve">Répertorié : R. </w:t>
      </w:r>
      <w:r w:rsidRPr="00232A26">
        <w:rPr>
          <w:b/>
          <w:i/>
          <w:sz w:val="20"/>
          <w:szCs w:val="20"/>
          <w:lang w:val="fr-CA"/>
        </w:rPr>
        <w:t xml:space="preserve">c. </w:t>
      </w:r>
      <w:r w:rsidRPr="00232A26">
        <w:rPr>
          <w:b/>
          <w:sz w:val="20"/>
          <w:szCs w:val="20"/>
          <w:lang w:val="fr-CA"/>
        </w:rPr>
        <w:t>Pappas</w:t>
      </w:r>
    </w:p>
    <w:p w:rsidR="00902E51" w:rsidRPr="00352A49" w:rsidRDefault="00902E51" w:rsidP="00902E51">
      <w:pPr>
        <w:pStyle w:val="SCCSystemYear"/>
        <w:jc w:val="both"/>
        <w:rPr>
          <w:sz w:val="20"/>
        </w:rPr>
      </w:pPr>
      <w:r w:rsidRPr="00352A49">
        <w:rPr>
          <w:sz w:val="20"/>
        </w:rPr>
        <w:t>Neutral citation:  2013 SCC </w:t>
      </w:r>
      <w:r w:rsidR="00AF1F5A">
        <w:rPr>
          <w:sz w:val="20"/>
        </w:rPr>
        <w:t>56</w:t>
      </w:r>
      <w:r w:rsidRPr="00352A49">
        <w:rPr>
          <w:sz w:val="20"/>
        </w:rPr>
        <w:t xml:space="preserve"> / Référence neutre : 2013 CSC </w:t>
      </w:r>
      <w:r w:rsidR="00AF1F5A">
        <w:rPr>
          <w:sz w:val="20"/>
        </w:rPr>
        <w:t>56</w:t>
      </w:r>
    </w:p>
    <w:p w:rsidR="00902E51" w:rsidRPr="00352A49" w:rsidRDefault="00902E51" w:rsidP="00902E51">
      <w:pPr>
        <w:rPr>
          <w:sz w:val="20"/>
          <w:szCs w:val="20"/>
          <w:lang w:val="fr-CA"/>
        </w:rPr>
      </w:pPr>
      <w:r w:rsidRPr="00352A49">
        <w:rPr>
          <w:sz w:val="20"/>
          <w:szCs w:val="20"/>
          <w:lang w:val="fr-CA"/>
        </w:rPr>
        <w:t xml:space="preserve">Hearing:  </w:t>
      </w:r>
      <w:r w:rsidR="00AB7CCA">
        <w:rPr>
          <w:sz w:val="20"/>
          <w:szCs w:val="20"/>
          <w:lang w:val="fr-CA"/>
        </w:rPr>
        <w:t>April</w:t>
      </w:r>
      <w:r w:rsidRPr="00352A49">
        <w:rPr>
          <w:sz w:val="20"/>
          <w:szCs w:val="20"/>
          <w:lang w:val="fr-CA"/>
        </w:rPr>
        <w:t xml:space="preserve"> 2</w:t>
      </w:r>
      <w:r w:rsidR="00AB7CCA">
        <w:rPr>
          <w:sz w:val="20"/>
          <w:szCs w:val="20"/>
          <w:lang w:val="fr-CA"/>
        </w:rPr>
        <w:t>6</w:t>
      </w:r>
      <w:r w:rsidRPr="00352A49">
        <w:rPr>
          <w:sz w:val="20"/>
          <w:szCs w:val="20"/>
          <w:lang w:val="fr-CA"/>
        </w:rPr>
        <w:t xml:space="preserve">, 2013 / Judgment:  </w:t>
      </w:r>
      <w:r w:rsidR="00AF1F5A">
        <w:rPr>
          <w:sz w:val="20"/>
          <w:szCs w:val="20"/>
          <w:lang w:val="fr-CA"/>
        </w:rPr>
        <w:t>October 25</w:t>
      </w:r>
      <w:r w:rsidRPr="00352A49">
        <w:rPr>
          <w:sz w:val="20"/>
          <w:szCs w:val="20"/>
          <w:lang w:val="fr-CA"/>
        </w:rPr>
        <w:t>, 2013</w:t>
      </w:r>
    </w:p>
    <w:p w:rsidR="00902E51" w:rsidRPr="003B3977" w:rsidRDefault="00902E51" w:rsidP="00902E51">
      <w:pPr>
        <w:rPr>
          <w:sz w:val="20"/>
          <w:szCs w:val="20"/>
          <w:lang w:val="fr-CA"/>
        </w:rPr>
      </w:pPr>
      <w:r w:rsidRPr="003B3977">
        <w:rPr>
          <w:sz w:val="20"/>
          <w:szCs w:val="20"/>
          <w:lang w:val="fr-CA"/>
        </w:rPr>
        <w:t>Audition : Le 2</w:t>
      </w:r>
      <w:r w:rsidR="00AB7CCA">
        <w:rPr>
          <w:sz w:val="20"/>
          <w:szCs w:val="20"/>
          <w:lang w:val="fr-CA"/>
        </w:rPr>
        <w:t>6</w:t>
      </w:r>
      <w:r>
        <w:rPr>
          <w:sz w:val="20"/>
          <w:szCs w:val="20"/>
          <w:lang w:val="fr-CA"/>
        </w:rPr>
        <w:t xml:space="preserve"> </w:t>
      </w:r>
      <w:r w:rsidRPr="003B3977">
        <w:rPr>
          <w:sz w:val="20"/>
          <w:szCs w:val="20"/>
          <w:lang w:val="fr-CA"/>
        </w:rPr>
        <w:t>a</w:t>
      </w:r>
      <w:r w:rsidR="00AB7CCA">
        <w:rPr>
          <w:sz w:val="20"/>
          <w:szCs w:val="20"/>
          <w:lang w:val="fr-CA"/>
        </w:rPr>
        <w:t>v</w:t>
      </w:r>
      <w:r>
        <w:rPr>
          <w:sz w:val="20"/>
          <w:szCs w:val="20"/>
          <w:lang w:val="fr-CA"/>
        </w:rPr>
        <w:t>r</w:t>
      </w:r>
      <w:r w:rsidR="00AB7CCA">
        <w:rPr>
          <w:sz w:val="20"/>
          <w:szCs w:val="20"/>
          <w:lang w:val="fr-CA"/>
        </w:rPr>
        <w:t>il</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AF1F5A">
        <w:rPr>
          <w:sz w:val="20"/>
          <w:szCs w:val="20"/>
          <w:lang w:val="fr-CA"/>
        </w:rPr>
        <w:t>25 octobre</w:t>
      </w:r>
      <w:r w:rsidRPr="003B3977">
        <w:rPr>
          <w:sz w:val="20"/>
          <w:szCs w:val="20"/>
          <w:lang w:val="fr-CA"/>
        </w:rPr>
        <w:t xml:space="preserve"> 201</w:t>
      </w:r>
      <w:r>
        <w:rPr>
          <w:sz w:val="20"/>
          <w:szCs w:val="20"/>
          <w:lang w:val="fr-CA"/>
        </w:rPr>
        <w:t>3</w:t>
      </w:r>
    </w:p>
    <w:p w:rsidR="005C6840" w:rsidRPr="003B3977" w:rsidRDefault="00CC2008" w:rsidP="005C6840">
      <w:pPr>
        <w:rPr>
          <w:sz w:val="20"/>
          <w:szCs w:val="20"/>
          <w:lang w:val="fr-CA"/>
        </w:rPr>
      </w:pPr>
      <w:r w:rsidRPr="00CC2008">
        <w:rPr>
          <w:i/>
          <w:sz w:val="20"/>
          <w:szCs w:val="20"/>
        </w:rPr>
        <w:pict>
          <v:rect id="_x0000_i1081"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AB7CCA" w:rsidRPr="0035321D" w:rsidRDefault="00AB7CCA" w:rsidP="00AB7CCA">
      <w:pPr>
        <w:jc w:val="both"/>
        <w:rPr>
          <w:sz w:val="20"/>
          <w:szCs w:val="20"/>
        </w:rPr>
      </w:pPr>
      <w:r w:rsidRPr="0035321D">
        <w:rPr>
          <w:sz w:val="20"/>
          <w:szCs w:val="20"/>
        </w:rPr>
        <w:t>Present:  McLachlin C.J. and Fish, Abella, Rothstein, Cromwell, Moldaver and Wagner JJ.</w:t>
      </w:r>
    </w:p>
    <w:p w:rsidR="00AB7CCA" w:rsidRDefault="00AB7CCA" w:rsidP="00AB7CCA">
      <w:pPr>
        <w:pStyle w:val="SCCLowerCourtNameLowercase"/>
        <w:spacing w:line="240" w:lineRule="auto"/>
        <w:rPr>
          <w:sz w:val="20"/>
        </w:rPr>
      </w:pPr>
    </w:p>
    <w:p w:rsidR="00AB7CCA" w:rsidRPr="0035321D" w:rsidRDefault="00AB7CCA" w:rsidP="00AB7CCA">
      <w:pPr>
        <w:pStyle w:val="SCCNormalDoubleSpacing"/>
        <w:spacing w:line="240" w:lineRule="auto"/>
        <w:rPr>
          <w:sz w:val="20"/>
        </w:rPr>
      </w:pPr>
      <w:r w:rsidRPr="0035321D">
        <w:rPr>
          <w:sz w:val="20"/>
        </w:rPr>
        <w:tab/>
      </w:r>
      <w:r w:rsidRPr="0035321D">
        <w:rPr>
          <w:i/>
          <w:sz w:val="20"/>
          <w:lang w:val="en-US"/>
        </w:rPr>
        <w:t>Criminal law — Defences — Provocation — Whether objective and subjective elements of provocation established, lending an air of reality to this defence — Whether victim’s provoking comments were sudden, in the sense that accused was caught unprepared and surprised by them — Whether defence of provocation should have been submitted to jury — Criminal Code, R.S.C. 1985, c. C</w:t>
      </w:r>
      <w:r w:rsidRPr="0035321D">
        <w:rPr>
          <w:i/>
          <w:sz w:val="20"/>
          <w:lang w:val="en-US"/>
        </w:rPr>
        <w:noBreakHyphen/>
        <w:t>46, s.  232.</w:t>
      </w:r>
      <w:r w:rsidRPr="0035321D">
        <w:rPr>
          <w:sz w:val="20"/>
        </w:rPr>
        <w:t xml:space="preserve"> </w:t>
      </w:r>
    </w:p>
    <w:p w:rsidR="00AB7CCA" w:rsidRDefault="00AB7CCA" w:rsidP="00AB7CCA">
      <w:pPr>
        <w:pStyle w:val="SCCNormalDoubleSpacing"/>
        <w:spacing w:line="240" w:lineRule="auto"/>
        <w:rPr>
          <w:sz w:val="20"/>
        </w:rPr>
      </w:pPr>
    </w:p>
    <w:p w:rsidR="00AB7CCA" w:rsidRPr="0035321D" w:rsidRDefault="00AB7CCA" w:rsidP="00AB7CCA">
      <w:pPr>
        <w:pStyle w:val="SCCNormalDoubleSpacing"/>
        <w:spacing w:line="240" w:lineRule="auto"/>
        <w:rPr>
          <w:sz w:val="20"/>
          <w:lang w:val="en-US"/>
        </w:rPr>
      </w:pPr>
      <w:r w:rsidRPr="0035321D">
        <w:rPr>
          <w:sz w:val="20"/>
        </w:rPr>
        <w:tab/>
      </w:r>
      <w:r w:rsidRPr="0035321D">
        <w:rPr>
          <w:sz w:val="20"/>
          <w:lang w:val="en-US"/>
        </w:rPr>
        <w:t>In 2006, K’s lifeless body was discovered.  He had been shot twice.  Days later, P was arrested.  He confessed to killing K.  According to P, K had been extorting money from him for 18 months by threatening to reveal details about his offshore investments to the Canada Revenue Agency, and by threatening to harm his mother if he chose to stop paying or went to the police.  P decided that he had had enough.  He went to K’s home to end the extortion and threats.  He brought along a loaded handgun in order to intimidate K but did not immediately take out his gun.  Rather, he attempted to get K to agree to put an end to the extortion.  K responded that he would continue the extortion and that he had “great fucking insurance”, a comment that P took as an implied threat against his mother.  At this point, P said he “snapped”.  He retrieved his gun and shot K in the back and then in the head.</w:t>
      </w:r>
    </w:p>
    <w:p w:rsidR="00AB7CCA" w:rsidRDefault="00AB7CCA" w:rsidP="00AB7CCA">
      <w:pPr>
        <w:pStyle w:val="SCCNormalDoubleSpacing"/>
        <w:spacing w:line="240" w:lineRule="auto"/>
        <w:rPr>
          <w:sz w:val="20"/>
          <w:lang w:val="en-US"/>
        </w:rPr>
      </w:pPr>
    </w:p>
    <w:p w:rsidR="00AB7CCA" w:rsidRPr="0035321D" w:rsidRDefault="00AB7CCA" w:rsidP="00AB7CCA">
      <w:pPr>
        <w:pStyle w:val="SCCNormalDoubleSpacing"/>
        <w:spacing w:line="240" w:lineRule="auto"/>
        <w:rPr>
          <w:sz w:val="20"/>
        </w:rPr>
      </w:pPr>
      <w:r w:rsidRPr="0035321D">
        <w:rPr>
          <w:sz w:val="20"/>
          <w:lang w:val="en-US"/>
        </w:rPr>
        <w:tab/>
        <w:t xml:space="preserve">P was charged with second degree murder.  At the trial by jury, P admitted to killing K but argued that the defence of provocation applied.  Finding that there was some evidence on the objective and subjective elements of the defence of provocation, the trial judge left the defence with the jury.  The jury rejected the defence, and found P guilty of second degree murder.  He appealed his conviction, arguing </w:t>
      </w:r>
      <w:r w:rsidRPr="0035321D">
        <w:rPr>
          <w:i/>
          <w:sz w:val="20"/>
          <w:lang w:val="en-US"/>
        </w:rPr>
        <w:t>inter alia</w:t>
      </w:r>
      <w:r w:rsidRPr="0035321D">
        <w:rPr>
          <w:sz w:val="20"/>
          <w:lang w:val="en-US"/>
        </w:rPr>
        <w:t xml:space="preserve"> that the trial judge erred in her instructions to the jury on provocation.  The majority of the Court of Appeal dismissed the appeal, holding that the defence of provocation was properly left with the jury and that there were no errors in the instructions to the jury.</w:t>
      </w:r>
      <w:r w:rsidRPr="0035321D">
        <w:rPr>
          <w:sz w:val="20"/>
        </w:rPr>
        <w:t xml:space="preserve"> </w:t>
      </w:r>
    </w:p>
    <w:p w:rsidR="00AB7CCA" w:rsidRDefault="00AB7CCA" w:rsidP="00AB7CCA">
      <w:pPr>
        <w:pStyle w:val="SCCNormalDoubleSpacing"/>
        <w:spacing w:line="240" w:lineRule="auto"/>
        <w:rPr>
          <w:sz w:val="20"/>
        </w:rPr>
      </w:pPr>
    </w:p>
    <w:p w:rsidR="00AB7CCA" w:rsidRPr="0035321D" w:rsidRDefault="00AB7CCA" w:rsidP="00AB7CCA">
      <w:pPr>
        <w:pStyle w:val="SCCNormalDoubleSpacing"/>
        <w:spacing w:line="240" w:lineRule="auto"/>
        <w:rPr>
          <w:sz w:val="20"/>
        </w:rPr>
      </w:pPr>
      <w:r w:rsidRPr="0035321D">
        <w:rPr>
          <w:sz w:val="20"/>
        </w:rPr>
        <w:tab/>
      </w:r>
      <w:r w:rsidRPr="0035321D">
        <w:rPr>
          <w:i/>
          <w:sz w:val="20"/>
        </w:rPr>
        <w:t>Held</w:t>
      </w:r>
      <w:r w:rsidRPr="0035321D">
        <w:rPr>
          <w:sz w:val="20"/>
        </w:rPr>
        <w:t>:  The appeal should be dismissed.</w:t>
      </w:r>
    </w:p>
    <w:p w:rsidR="00AB7CCA" w:rsidRDefault="00AB7CCA" w:rsidP="00AB7CCA">
      <w:pPr>
        <w:pStyle w:val="SCCNormalDoubleSpacing"/>
        <w:spacing w:line="240" w:lineRule="auto"/>
        <w:rPr>
          <w:sz w:val="20"/>
        </w:rPr>
      </w:pPr>
    </w:p>
    <w:p w:rsidR="00AB7CCA" w:rsidRPr="0035321D" w:rsidRDefault="00AB7CCA" w:rsidP="00AB7CCA">
      <w:pPr>
        <w:pStyle w:val="SCCNormalDoubleSpacing"/>
        <w:spacing w:line="240" w:lineRule="auto"/>
        <w:rPr>
          <w:sz w:val="20"/>
          <w:lang w:val="en-US"/>
        </w:rPr>
      </w:pPr>
      <w:r w:rsidRPr="0035321D">
        <w:rPr>
          <w:sz w:val="20"/>
        </w:rPr>
        <w:tab/>
      </w:r>
      <w:r w:rsidRPr="0035321D">
        <w:rPr>
          <w:i/>
          <w:sz w:val="20"/>
        </w:rPr>
        <w:t>Per</w:t>
      </w:r>
      <w:r w:rsidRPr="0035321D">
        <w:rPr>
          <w:sz w:val="20"/>
        </w:rPr>
        <w:t xml:space="preserve"> </w:t>
      </w:r>
      <w:r w:rsidRPr="0035321D">
        <w:rPr>
          <w:b/>
          <w:sz w:val="20"/>
        </w:rPr>
        <w:t>McLachlin </w:t>
      </w:r>
      <w:r w:rsidRPr="0035321D">
        <w:rPr>
          <w:sz w:val="20"/>
        </w:rPr>
        <w:t xml:space="preserve">C.J. and Abella, Rothstein, Cromwell, Moldaver and Wagner JJ.:  </w:t>
      </w:r>
      <w:r w:rsidRPr="0035321D">
        <w:rPr>
          <w:sz w:val="20"/>
          <w:lang w:val="en-US"/>
        </w:rPr>
        <w:t>On the evidence in this case, there was no air of reality to the defence of provocation and the defence should not have been left to the jury.  The conviction for second degree murder, however, is affirmed.</w:t>
      </w:r>
    </w:p>
    <w:p w:rsidR="00AB7CCA" w:rsidRDefault="00AB7CCA" w:rsidP="00AB7CCA">
      <w:pPr>
        <w:pStyle w:val="SCCNormalDoubleSpacing"/>
        <w:spacing w:line="240" w:lineRule="auto"/>
        <w:rPr>
          <w:sz w:val="20"/>
          <w:lang w:val="en-US"/>
        </w:rPr>
      </w:pPr>
    </w:p>
    <w:p w:rsidR="00AB7CCA" w:rsidRPr="0035321D" w:rsidRDefault="00AB7CCA" w:rsidP="00AB7CCA">
      <w:pPr>
        <w:pStyle w:val="SCCNormalDoubleSpacing"/>
        <w:spacing w:line="240" w:lineRule="auto"/>
        <w:rPr>
          <w:sz w:val="20"/>
          <w:lang w:val="en-US"/>
        </w:rPr>
      </w:pPr>
      <w:r w:rsidRPr="0035321D">
        <w:rPr>
          <w:sz w:val="20"/>
          <w:lang w:val="en-US"/>
        </w:rPr>
        <w:tab/>
        <w:t>Where the evidence requires the drawing of inferences in order to establish the objective or subjective elements of the defence of provocation, the trial judge may engage in a limited weighing to determine whether the elements of the defence can reasonably be inferred from the evidence.  For the purposes of the application of the air of reality test, we must assume that the version of events described in an accused’s confession is true.  That said, an air of reality cannot spring from bare, unsupported assertions by the accused.  Defences supported only by bald assertions that cannot reasonably be borne out by the evidence, viewed in its totality, should be kept from the jury.</w:t>
      </w:r>
    </w:p>
    <w:p w:rsidR="00AB7CCA" w:rsidRDefault="00AB7CCA" w:rsidP="00AB7CCA">
      <w:pPr>
        <w:pStyle w:val="SCCNormalDoubleSpacing"/>
        <w:spacing w:line="240" w:lineRule="auto"/>
        <w:rPr>
          <w:sz w:val="20"/>
          <w:lang w:val="en-US"/>
        </w:rPr>
      </w:pPr>
    </w:p>
    <w:p w:rsidR="00AB7CCA" w:rsidRPr="0035321D" w:rsidRDefault="00AB7CCA" w:rsidP="00AB7CCA">
      <w:pPr>
        <w:pStyle w:val="SCCNormalDoubleSpacing"/>
        <w:spacing w:line="240" w:lineRule="auto"/>
        <w:rPr>
          <w:sz w:val="20"/>
          <w:lang w:val="en-US"/>
        </w:rPr>
      </w:pPr>
      <w:r w:rsidRPr="0035321D">
        <w:rPr>
          <w:sz w:val="20"/>
          <w:lang w:val="en-US"/>
        </w:rPr>
        <w:tab/>
        <w:t>K’s threat against the safety of P’s mother and the history of the relations between K and P, provide a minimal evidential foundation for the objective element of the defence.  However there was no air of reality to the subjective element of the defence of provocation.  That element includes a requirement of “suddenness” which applies to both the act of provocation and the accused’s reaction to it.  The trial judge committed an error of law by only considering whether there was evidence to support the contention that P had killed K before there was time for his passion to cool.  She did not examine whether the record could support a finding that K’s provoking comments were sudden, in the sense that P was subjectively caught unprepared and surprised by them.</w:t>
      </w:r>
    </w:p>
    <w:p w:rsidR="00AB7CCA" w:rsidRDefault="00AB7CCA" w:rsidP="00AB7CCA">
      <w:pPr>
        <w:pStyle w:val="SCCNormalDoubleSpacing"/>
        <w:spacing w:line="240" w:lineRule="auto"/>
        <w:rPr>
          <w:sz w:val="20"/>
          <w:lang w:val="en-US"/>
        </w:rPr>
      </w:pPr>
    </w:p>
    <w:p w:rsidR="00AB7CCA" w:rsidRPr="0035321D" w:rsidRDefault="00AB7CCA" w:rsidP="00AB7CCA">
      <w:pPr>
        <w:pStyle w:val="SCCNormalDoubleSpacing"/>
        <w:spacing w:line="240" w:lineRule="auto"/>
        <w:rPr>
          <w:sz w:val="20"/>
        </w:rPr>
      </w:pPr>
      <w:r w:rsidRPr="0035321D">
        <w:rPr>
          <w:sz w:val="20"/>
          <w:lang w:val="en-US"/>
        </w:rPr>
        <w:tab/>
        <w:t xml:space="preserve">The record cannot reasonably support an inference that P was caught unprepared by K’s statements as K had made similar statements repeatedly in the past.  Viewed in its totality, the evidence suggests that before setting out to visit K, P contemplated the possibility that K would persist with his extortion and threats, and that in that case, he would need to kill K to end them.  A contention that P was caught unprepared is outside the range of reasonable inferences that can be drawn from this evidence.  It is supported by little more than P’s bald assertions that he “snapped” and “everything was just automatic”.  </w:t>
      </w:r>
    </w:p>
    <w:p w:rsidR="00AB7CCA" w:rsidRDefault="00AB7CCA" w:rsidP="00AB7CCA">
      <w:pPr>
        <w:pStyle w:val="SCCNormalDoubleSpacing"/>
        <w:spacing w:line="240" w:lineRule="auto"/>
        <w:rPr>
          <w:i/>
          <w:sz w:val="20"/>
          <w:lang w:val="en-US"/>
        </w:rPr>
      </w:pPr>
    </w:p>
    <w:p w:rsidR="00AB7CCA" w:rsidRPr="0035321D" w:rsidRDefault="00AB7CCA" w:rsidP="00AB7CCA">
      <w:pPr>
        <w:pStyle w:val="SCCNormalDoubleSpacing"/>
        <w:spacing w:line="240" w:lineRule="auto"/>
        <w:rPr>
          <w:sz w:val="20"/>
          <w:lang w:val="en-US"/>
        </w:rPr>
      </w:pPr>
      <w:r w:rsidRPr="0035321D">
        <w:rPr>
          <w:i/>
          <w:sz w:val="20"/>
          <w:lang w:val="en-US"/>
        </w:rPr>
        <w:tab/>
        <w:t>Per</w:t>
      </w:r>
      <w:r w:rsidRPr="0035321D">
        <w:rPr>
          <w:sz w:val="20"/>
          <w:lang w:val="en-US"/>
        </w:rPr>
        <w:t xml:space="preserve"> </w:t>
      </w:r>
      <w:r w:rsidRPr="0035321D">
        <w:rPr>
          <w:b/>
          <w:sz w:val="20"/>
          <w:lang w:val="en-US"/>
        </w:rPr>
        <w:t>Fish</w:t>
      </w:r>
      <w:r w:rsidRPr="0035321D">
        <w:rPr>
          <w:sz w:val="20"/>
          <w:lang w:val="en-US"/>
        </w:rPr>
        <w:t> J.:  The trial judge did not err in leaving to the jury the defence of provocation, nor did she commit a reviewable error in instructing the jury as she did.</w:t>
      </w:r>
    </w:p>
    <w:p w:rsidR="00AB7CCA" w:rsidRDefault="00AB7CCA" w:rsidP="00AB7CCA">
      <w:pPr>
        <w:pStyle w:val="SCCNormalDoubleSpacing"/>
        <w:spacing w:line="240" w:lineRule="auto"/>
        <w:rPr>
          <w:sz w:val="20"/>
          <w:lang w:val="en-US"/>
        </w:rPr>
      </w:pPr>
    </w:p>
    <w:p w:rsidR="00AB7CCA" w:rsidRDefault="00AB7CCA" w:rsidP="00AB7CCA">
      <w:pPr>
        <w:pStyle w:val="SCCNormalDoubleSpacing"/>
        <w:spacing w:line="240" w:lineRule="auto"/>
        <w:rPr>
          <w:sz w:val="20"/>
          <w:lang w:val="en-US"/>
        </w:rPr>
      </w:pPr>
      <w:r w:rsidRPr="0035321D">
        <w:rPr>
          <w:sz w:val="20"/>
          <w:lang w:val="en-US"/>
        </w:rPr>
        <w:tab/>
        <w:t>Where there is direct evidence as to all elements of a defence, the trial judge must put the defence to the jury.  Whether the evidence is true, or at least raises a reasonable doubt as to the guilt of the accused, is a matter ultimately reserved to the jury.  In this case, the accused’s evidence at trial constitutes direct evidence and relates the facts upon which his defence of provocation rests.  Accordingly, the appellant discharged his evidentiary burden with respect to both the objective and subjective components of his defence of provocation.  The mere fact that the deceased had made similar threats in the past does not mean that the accused would have anticipated, or been prepared for, subsequent threats of the same sort.  A reiterated threat or insult can cause a previously unprovoked person to “snap”.  Here, the alleged provocative act was not the deceased’s failure to end the extortion; rather, it was his sudden utterance — “I got great fucking insurance” — which P understood as a threat to his mother’s life.  P’s detailed evidence of the circumstances surrounding the alleged provocation can hardly be equated with a “bare assertion” that he was provoked.  The passages in P’s confession identified by the Chief Justice as supporting a loss of self</w:t>
      </w:r>
      <w:r w:rsidRPr="0035321D">
        <w:rPr>
          <w:sz w:val="20"/>
          <w:lang w:val="en-US"/>
        </w:rPr>
        <w:noBreakHyphen/>
        <w:t>control constitute direct evidence of the suddenness of the provocation and must be taken as true.  Whether those passages are inconsistent with other evidence, however, is a determination that must properly be left to the jury.  In the result, the appeal fails for the reasons of the majority in the Court of Appeal.</w:t>
      </w:r>
    </w:p>
    <w:p w:rsidR="00AB7CCA" w:rsidRDefault="00AB7CCA" w:rsidP="00AB7CCA">
      <w:pPr>
        <w:pStyle w:val="SCCNormalDoubleSpacing"/>
        <w:spacing w:line="240" w:lineRule="auto"/>
        <w:rPr>
          <w:sz w:val="20"/>
          <w:lang w:val="en-US"/>
        </w:rPr>
      </w:pPr>
    </w:p>
    <w:p w:rsidR="00AB7CCA" w:rsidRPr="0035321D" w:rsidRDefault="00AB7CCA" w:rsidP="00AB7CCA">
      <w:pPr>
        <w:pStyle w:val="SCCNormalDoubleSpacing"/>
        <w:spacing w:line="240" w:lineRule="auto"/>
        <w:rPr>
          <w:sz w:val="20"/>
        </w:rPr>
      </w:pPr>
      <w:r w:rsidRPr="00AB7CCA">
        <w:rPr>
          <w:sz w:val="20"/>
        </w:rPr>
        <w:tab/>
      </w:r>
      <w:r w:rsidRPr="0035321D">
        <w:rPr>
          <w:sz w:val="20"/>
        </w:rPr>
        <w:t>APPEAL from a judgment of the Alberta Court of Appeal (Berger, O’Brien and Rowbotham JJ.A.), 2012 ABCA 221, 533 A.R. 294, 65 Alta. L.R. (5th) 359, 288 C.C.C. (3d) 323, 264 C.R.R. (2d) 211, 557 W.A.C. 294, [2012] A.J. No. 716 (QL), 2012 CarswellAlta 1191, affirming the accused’s conviction for second degree murder.  Appeal dismissed.</w:t>
      </w:r>
    </w:p>
    <w:p w:rsidR="00AB7CCA" w:rsidRDefault="00AB7CCA" w:rsidP="00AB7CCA">
      <w:pPr>
        <w:pStyle w:val="SCCNormalDoubleSpacing"/>
        <w:spacing w:line="240" w:lineRule="auto"/>
        <w:rPr>
          <w:i/>
          <w:sz w:val="20"/>
        </w:rPr>
      </w:pPr>
    </w:p>
    <w:p w:rsidR="00AB7CCA" w:rsidRPr="0035321D" w:rsidRDefault="00AB7CCA" w:rsidP="00AB7CCA">
      <w:pPr>
        <w:pStyle w:val="SCCNormalDoubleSpacing"/>
        <w:spacing w:line="240" w:lineRule="auto"/>
        <w:rPr>
          <w:sz w:val="20"/>
        </w:rPr>
      </w:pPr>
      <w:r w:rsidRPr="0035321D">
        <w:rPr>
          <w:i/>
          <w:sz w:val="20"/>
        </w:rPr>
        <w:tab/>
        <w:t>Michael Bates</w:t>
      </w:r>
      <w:r w:rsidRPr="0035321D">
        <w:rPr>
          <w:sz w:val="20"/>
        </w:rPr>
        <w:t xml:space="preserve">, </w:t>
      </w:r>
      <w:r w:rsidRPr="0035321D">
        <w:rPr>
          <w:i/>
          <w:sz w:val="20"/>
        </w:rPr>
        <w:t xml:space="preserve">Jennifer Ruttan </w:t>
      </w:r>
      <w:r w:rsidRPr="0035321D">
        <w:rPr>
          <w:sz w:val="20"/>
        </w:rPr>
        <w:t>and</w:t>
      </w:r>
      <w:r w:rsidRPr="0035321D">
        <w:rPr>
          <w:i/>
          <w:sz w:val="20"/>
        </w:rPr>
        <w:t xml:space="preserve"> Geoff Ellwand</w:t>
      </w:r>
      <w:r w:rsidRPr="0035321D">
        <w:rPr>
          <w:sz w:val="20"/>
        </w:rPr>
        <w:t>,</w:t>
      </w:r>
      <w:r w:rsidRPr="0035321D">
        <w:rPr>
          <w:i/>
          <w:sz w:val="20"/>
        </w:rPr>
        <w:t xml:space="preserve"> </w:t>
      </w:r>
      <w:r w:rsidRPr="0035321D">
        <w:rPr>
          <w:sz w:val="20"/>
        </w:rPr>
        <w:t>for the appellant.</w:t>
      </w:r>
    </w:p>
    <w:p w:rsidR="00AB7CCA" w:rsidRDefault="00AB7CCA" w:rsidP="00AB7CCA">
      <w:pPr>
        <w:pStyle w:val="SCCNormalDoubleSpacing"/>
        <w:spacing w:line="240" w:lineRule="auto"/>
        <w:rPr>
          <w:i/>
          <w:sz w:val="20"/>
        </w:rPr>
      </w:pPr>
    </w:p>
    <w:p w:rsidR="00AB7CCA" w:rsidRPr="0035321D" w:rsidRDefault="00AB7CCA" w:rsidP="00AB7CCA">
      <w:pPr>
        <w:pStyle w:val="SCCNormalDoubleSpacing"/>
        <w:spacing w:line="240" w:lineRule="auto"/>
        <w:rPr>
          <w:sz w:val="20"/>
        </w:rPr>
      </w:pPr>
      <w:r w:rsidRPr="0035321D">
        <w:rPr>
          <w:i/>
          <w:sz w:val="20"/>
        </w:rPr>
        <w:tab/>
        <w:t>Jolaine Antonio</w:t>
      </w:r>
      <w:r w:rsidRPr="0035321D">
        <w:rPr>
          <w:sz w:val="20"/>
        </w:rPr>
        <w:t>, for the respondent.</w:t>
      </w:r>
    </w:p>
    <w:p w:rsidR="00AB7CCA" w:rsidRDefault="00AB7CCA" w:rsidP="00AB7CCA">
      <w:pPr>
        <w:pStyle w:val="SCCLawFirm"/>
        <w:spacing w:line="240" w:lineRule="auto"/>
        <w:rPr>
          <w:sz w:val="20"/>
        </w:rPr>
      </w:pPr>
    </w:p>
    <w:p w:rsidR="00AB7CCA" w:rsidRPr="0035321D" w:rsidRDefault="00AB7CCA" w:rsidP="00AB7CCA">
      <w:pPr>
        <w:pStyle w:val="SCCLawFirm"/>
        <w:spacing w:line="240" w:lineRule="auto"/>
        <w:rPr>
          <w:sz w:val="20"/>
        </w:rPr>
      </w:pPr>
      <w:r w:rsidRPr="0035321D">
        <w:rPr>
          <w:sz w:val="20"/>
        </w:rPr>
        <w:tab/>
        <w:t>Solicitors for the appellant:  Ruttan Bates, Calgary.</w:t>
      </w:r>
    </w:p>
    <w:p w:rsidR="00AB7CCA" w:rsidRDefault="00AB7CCA" w:rsidP="00AB7CCA">
      <w:pPr>
        <w:pStyle w:val="SCCLawFirm"/>
        <w:spacing w:line="240" w:lineRule="auto"/>
        <w:rPr>
          <w:sz w:val="20"/>
        </w:rPr>
      </w:pPr>
    </w:p>
    <w:p w:rsidR="00AB7CCA" w:rsidRDefault="00AB7CCA" w:rsidP="00AB7CCA">
      <w:pPr>
        <w:pStyle w:val="SCCLawFirm"/>
        <w:spacing w:line="240" w:lineRule="auto"/>
        <w:rPr>
          <w:sz w:val="20"/>
        </w:rPr>
      </w:pPr>
      <w:r w:rsidRPr="0035321D">
        <w:rPr>
          <w:sz w:val="20"/>
        </w:rPr>
        <w:tab/>
        <w:t>Solicitor for the respondent:  Attorney General of Alberta, Calgary.</w:t>
      </w:r>
    </w:p>
    <w:p w:rsidR="00902E51" w:rsidRPr="00AB7CCA" w:rsidRDefault="00902E51" w:rsidP="00902E51">
      <w:pPr>
        <w:rPr>
          <w:sz w:val="20"/>
          <w:szCs w:val="20"/>
          <w:lang w:val="fr-CA"/>
        </w:rPr>
      </w:pPr>
      <w:r w:rsidRPr="00AB7CCA">
        <w:rPr>
          <w:sz w:val="20"/>
          <w:szCs w:val="20"/>
          <w:lang w:val="fr-CA"/>
        </w:rPr>
        <w:t>________________________</w:t>
      </w:r>
    </w:p>
    <w:p w:rsidR="00902E51" w:rsidRPr="00AB7CCA" w:rsidRDefault="00902E51" w:rsidP="00902E51">
      <w:pPr>
        <w:rPr>
          <w:sz w:val="20"/>
          <w:szCs w:val="20"/>
          <w:lang w:val="fr-CA"/>
        </w:rPr>
      </w:pPr>
    </w:p>
    <w:p w:rsidR="00AB7CCA" w:rsidRPr="00232A26" w:rsidRDefault="00AB7CCA" w:rsidP="00AB7CCA">
      <w:pPr>
        <w:jc w:val="both"/>
        <w:rPr>
          <w:sz w:val="20"/>
          <w:szCs w:val="20"/>
          <w:lang w:val="fr-CA"/>
        </w:rPr>
      </w:pPr>
      <w:r w:rsidRPr="00232A26">
        <w:rPr>
          <w:sz w:val="20"/>
          <w:szCs w:val="20"/>
          <w:lang w:val="fr-CA"/>
        </w:rPr>
        <w:t>Présents : La juge en chef McLachlin et les juges Fish, Abella, Rothstein, Cromwell, Moldaver et Wagner.</w:t>
      </w:r>
    </w:p>
    <w:p w:rsidR="00AB7CCA" w:rsidRPr="00232A26" w:rsidRDefault="00AB7CCA" w:rsidP="00AB7CCA">
      <w:pPr>
        <w:jc w:val="both"/>
        <w:rPr>
          <w:sz w:val="20"/>
          <w:szCs w:val="20"/>
          <w:lang w:val="fr-CA"/>
        </w:rPr>
      </w:pPr>
    </w:p>
    <w:p w:rsidR="00AB7CCA" w:rsidRPr="00232A26" w:rsidRDefault="00AB7CCA" w:rsidP="00AB7CCA">
      <w:pPr>
        <w:pStyle w:val="SCCNormalDoubleSpacing"/>
        <w:spacing w:line="240" w:lineRule="auto"/>
        <w:rPr>
          <w:sz w:val="20"/>
          <w:lang w:val="fr-FR"/>
        </w:rPr>
      </w:pPr>
      <w:r w:rsidRPr="00232A26">
        <w:rPr>
          <w:sz w:val="20"/>
          <w:lang w:val="fr-CA"/>
        </w:rPr>
        <w:tab/>
      </w:r>
      <w:r w:rsidRPr="00232A26">
        <w:rPr>
          <w:i/>
          <w:sz w:val="20"/>
          <w:lang w:val="fr-CA"/>
        </w:rPr>
        <w:t>Droit</w:t>
      </w:r>
      <w:r w:rsidRPr="00232A26">
        <w:rPr>
          <w:sz w:val="20"/>
          <w:lang w:val="fr-CA"/>
        </w:rPr>
        <w:t xml:space="preserve"> </w:t>
      </w:r>
      <w:r w:rsidRPr="00232A26">
        <w:rPr>
          <w:i/>
          <w:sz w:val="20"/>
          <w:lang w:val="fr-CA"/>
        </w:rPr>
        <w:t>criminel — Moyens de défense — Provocation — Les éléments objectif et subjectif de la provocation étaient</w:t>
      </w:r>
      <w:r w:rsidRPr="00232A26">
        <w:rPr>
          <w:i/>
          <w:sz w:val="20"/>
          <w:lang w:val="fr-CA"/>
        </w:rPr>
        <w:noBreakHyphen/>
        <w:t>ils établis et rendaient-ils le moyen de défense vraisemblable? — Les remarques provocatrices de la victime ont</w:t>
      </w:r>
      <w:r w:rsidRPr="00232A26">
        <w:rPr>
          <w:i/>
          <w:sz w:val="20"/>
          <w:lang w:val="fr-CA"/>
        </w:rPr>
        <w:noBreakHyphen/>
        <w:t>elles été soudaines au sens où elles étaient inattendues et ont pris l’accusé par surprise? — La défense de provocation aurait</w:t>
      </w:r>
      <w:r w:rsidRPr="00232A26">
        <w:rPr>
          <w:i/>
          <w:sz w:val="20"/>
          <w:lang w:val="fr-CA"/>
        </w:rPr>
        <w:noBreakHyphen/>
        <w:t>elle dû être soumise au jury? — Code criminel, L.R.C. 1985, ch. </w:t>
      </w:r>
      <w:r w:rsidRPr="00232A26">
        <w:rPr>
          <w:i/>
          <w:sz w:val="20"/>
          <w:lang w:val="fr-FR"/>
        </w:rPr>
        <w:t>C</w:t>
      </w:r>
      <w:r w:rsidRPr="00232A26">
        <w:rPr>
          <w:i/>
          <w:sz w:val="20"/>
          <w:lang w:val="fr-FR"/>
        </w:rPr>
        <w:noBreakHyphen/>
        <w:t>46, art. 232.</w:t>
      </w:r>
      <w:r w:rsidRPr="00232A26">
        <w:rPr>
          <w:sz w:val="20"/>
          <w:lang w:val="fr-FR"/>
        </w:rPr>
        <w:t xml:space="preserve"> </w:t>
      </w:r>
    </w:p>
    <w:p w:rsidR="00AB7CCA" w:rsidRPr="00232A26" w:rsidRDefault="00AB7CCA" w:rsidP="00AB7CCA">
      <w:pPr>
        <w:pStyle w:val="SCCNormalDoubleSpacing"/>
        <w:spacing w:line="240" w:lineRule="auto"/>
        <w:rPr>
          <w:sz w:val="20"/>
          <w:lang w:val="fr-FR"/>
        </w:rPr>
      </w:pPr>
    </w:p>
    <w:p w:rsidR="00AB7CCA" w:rsidRPr="00232A26" w:rsidRDefault="00AB7CCA" w:rsidP="00AB7CCA">
      <w:pPr>
        <w:pStyle w:val="SCCNormalDoubleSpacing"/>
        <w:spacing w:line="240" w:lineRule="auto"/>
        <w:rPr>
          <w:sz w:val="20"/>
          <w:lang w:val="fr-CA"/>
        </w:rPr>
      </w:pPr>
      <w:r w:rsidRPr="00232A26">
        <w:rPr>
          <w:sz w:val="20"/>
          <w:lang w:val="fr-FR"/>
        </w:rPr>
        <w:tab/>
        <w:t>E</w:t>
      </w:r>
      <w:r w:rsidRPr="00232A26">
        <w:rPr>
          <w:sz w:val="20"/>
          <w:lang w:val="fr-CA"/>
        </w:rPr>
        <w:t>n 2006, le corps sans vie de K a été découvert.  Il avait été abattu de deux coups de feu.  Quelques jours plus tard, P a été arrêté et a avoué avoir tué K.  Il a déclaré que K lui avait extorqué de l’argent pendant dix</w:t>
      </w:r>
      <w:r w:rsidRPr="00232A26">
        <w:rPr>
          <w:sz w:val="20"/>
          <w:lang w:val="fr-CA"/>
        </w:rPr>
        <w:noBreakHyphen/>
        <w:t>huit mois sous la menace de révéler à l’Agence du revenu du Canada ses placements à l’étranger et de s’en prendre à sa mère s’il cessait de payer ou s’il s’adressait à la police.  Il</w:t>
      </w:r>
      <w:r w:rsidRPr="00232A26">
        <w:rPr>
          <w:sz w:val="20"/>
          <w:lang w:val="fr-FR"/>
        </w:rPr>
        <w:t xml:space="preserve"> en avait eu assez et s’était</w:t>
      </w:r>
      <w:r w:rsidRPr="00232A26">
        <w:rPr>
          <w:sz w:val="20"/>
          <w:lang w:val="fr-CA"/>
        </w:rPr>
        <w:t xml:space="preserve"> rendu chez K pour faire cesser l’extorsion et les menaces.  Il avait emporté un pistolet chargé pour intimider K, mais il ne l’avait pas sorti immédiatement une fois chez ce dernier.  Il avait plutôt tenté de le convaincre de mettre un terme à l’extorsion.  K avait répondu qu’il continuerait de lui extorquer de l’argent et qu’il disposait d’« une super garantie », une mention dans laquelle P avait vu une menace proférée implicitement contre sa mère.  </w:t>
      </w:r>
      <w:r w:rsidRPr="00232A26">
        <w:rPr>
          <w:sz w:val="20"/>
          <w:lang w:val="fr-FR"/>
        </w:rPr>
        <w:t xml:space="preserve">P aurait alors « disjoncté ».  </w:t>
      </w:r>
      <w:r w:rsidRPr="00232A26">
        <w:rPr>
          <w:sz w:val="20"/>
          <w:lang w:val="fr-CA"/>
        </w:rPr>
        <w:t>Il avait sorti son pistolet et tiré sur K, l’atteignant au dos, puis à la tête.</w:t>
      </w:r>
    </w:p>
    <w:p w:rsidR="00AB7CCA" w:rsidRPr="00232A26" w:rsidRDefault="00AB7CCA" w:rsidP="00AB7CCA">
      <w:pPr>
        <w:pStyle w:val="SCCNormalDoubleSpacing"/>
        <w:spacing w:line="240" w:lineRule="auto"/>
        <w:rPr>
          <w:sz w:val="20"/>
          <w:lang w:val="fr-CA"/>
        </w:rPr>
      </w:pPr>
    </w:p>
    <w:p w:rsidR="00AB7CCA" w:rsidRPr="00232A26" w:rsidRDefault="00AB7CCA" w:rsidP="00AB7CCA">
      <w:pPr>
        <w:pStyle w:val="SCCNormalDoubleSpacing"/>
        <w:spacing w:line="240" w:lineRule="auto"/>
        <w:rPr>
          <w:sz w:val="20"/>
          <w:lang w:val="fr-CA"/>
        </w:rPr>
      </w:pPr>
      <w:r w:rsidRPr="00232A26">
        <w:rPr>
          <w:sz w:val="20"/>
          <w:lang w:val="fr-CA"/>
        </w:rPr>
        <w:tab/>
        <w:t xml:space="preserve">P a été accusé de meurtre au deuxième degré.  Lors de son procès devant jury, il a avoué avoir tué K, mais il a fait valoir que la défense de provocation s’appliquait.  Concluant à l’existence d’une certaine preuve des éléments objectif et subjectif de la défense, la juge du procès l’a soumise au jury, qui l’a rejetée et a déclaré P coupable de meurtre au deuxième degré.  P a interjeté appel du verdict de culpabilité au motif, entre autres, que les directives données au jury sur la défense de provocation étaient erronées.  Les juges majoritaires de la Cour d’appel ont rejeté l’appel et conclu que la défense de provocation avait été soumise à juste titre au jury et que les directives de la juge du procès n’étaient entachées d’aucune erreur. </w:t>
      </w:r>
    </w:p>
    <w:p w:rsidR="00AB7CCA" w:rsidRPr="00232A26" w:rsidRDefault="00AB7CCA" w:rsidP="00AB7CCA">
      <w:pPr>
        <w:pStyle w:val="SCCNormalDoubleSpacing"/>
        <w:spacing w:line="240" w:lineRule="auto"/>
        <w:rPr>
          <w:sz w:val="20"/>
          <w:lang w:val="fr-CA"/>
        </w:rPr>
      </w:pPr>
    </w:p>
    <w:p w:rsidR="00AB7CCA" w:rsidRPr="00232A26" w:rsidRDefault="00AB7CCA" w:rsidP="00AB7CCA">
      <w:pPr>
        <w:pStyle w:val="SCCNormalDoubleSpacing"/>
        <w:spacing w:line="240" w:lineRule="auto"/>
        <w:rPr>
          <w:sz w:val="20"/>
          <w:lang w:val="fr-CA"/>
        </w:rPr>
      </w:pPr>
      <w:r w:rsidRPr="00232A26">
        <w:rPr>
          <w:sz w:val="20"/>
          <w:lang w:val="fr-CA"/>
        </w:rPr>
        <w:tab/>
      </w:r>
      <w:r w:rsidRPr="00232A26">
        <w:rPr>
          <w:i/>
          <w:sz w:val="20"/>
          <w:lang w:val="fr-CA"/>
        </w:rPr>
        <w:t>Arrêt</w:t>
      </w:r>
      <w:r w:rsidRPr="00232A26">
        <w:rPr>
          <w:sz w:val="20"/>
          <w:lang w:val="fr-CA"/>
        </w:rPr>
        <w:t> : Le pourvoi est rejeté.</w:t>
      </w:r>
    </w:p>
    <w:p w:rsidR="00AB7CCA" w:rsidRPr="00232A26" w:rsidRDefault="00AB7CCA" w:rsidP="00AB7CCA">
      <w:pPr>
        <w:pStyle w:val="SCCNormalDoubleSpacing"/>
        <w:spacing w:line="240" w:lineRule="auto"/>
        <w:rPr>
          <w:sz w:val="20"/>
          <w:lang w:val="fr-CA"/>
        </w:rPr>
      </w:pPr>
    </w:p>
    <w:p w:rsidR="00AB7CCA" w:rsidRPr="00232A26" w:rsidRDefault="00AB7CCA" w:rsidP="00AB7CCA">
      <w:pPr>
        <w:pStyle w:val="SCCNormalDoubleSpacing"/>
        <w:spacing w:line="240" w:lineRule="auto"/>
        <w:rPr>
          <w:sz w:val="20"/>
          <w:lang w:val="fr-FR"/>
        </w:rPr>
      </w:pPr>
      <w:r w:rsidRPr="00232A26">
        <w:rPr>
          <w:sz w:val="20"/>
          <w:lang w:val="fr-CA"/>
        </w:rPr>
        <w:tab/>
      </w:r>
      <w:r w:rsidRPr="00232A26">
        <w:rPr>
          <w:i/>
          <w:sz w:val="20"/>
          <w:lang w:val="fr-CA"/>
        </w:rPr>
        <w:t>La</w:t>
      </w:r>
      <w:r w:rsidRPr="00232A26">
        <w:rPr>
          <w:sz w:val="20"/>
          <w:lang w:val="fr-CA"/>
        </w:rPr>
        <w:t xml:space="preserve"> juge en chef</w:t>
      </w:r>
      <w:r w:rsidRPr="00232A26">
        <w:rPr>
          <w:b/>
          <w:sz w:val="20"/>
          <w:lang w:val="fr-CA"/>
        </w:rPr>
        <w:t xml:space="preserve"> McLachlin</w:t>
      </w:r>
      <w:r w:rsidRPr="00232A26">
        <w:rPr>
          <w:sz w:val="20"/>
          <w:lang w:val="fr-CA"/>
        </w:rPr>
        <w:t xml:space="preserve"> et les juges Abella, Rothstein, Cromwell, Moldaver et Wagner : Au vu des éléments de preuve au dossier, la défense de provocation était dépourvue de vraisemblance et n’aurait pas dû être soumise à l’appréciation du jury.  </w:t>
      </w:r>
      <w:r w:rsidRPr="00232A26">
        <w:rPr>
          <w:sz w:val="20"/>
          <w:lang w:val="fr-FR"/>
        </w:rPr>
        <w:t>Le verdict de culpabilité pour meurtre au deuxième degré est toutefois confirmé.</w:t>
      </w:r>
    </w:p>
    <w:p w:rsidR="00AB7CCA" w:rsidRPr="00232A26" w:rsidRDefault="00AB7CCA" w:rsidP="00AB7CCA">
      <w:pPr>
        <w:pStyle w:val="SCCNormalDoubleSpacing"/>
        <w:spacing w:line="240" w:lineRule="auto"/>
        <w:rPr>
          <w:sz w:val="20"/>
          <w:lang w:val="fr-FR"/>
        </w:rPr>
      </w:pPr>
    </w:p>
    <w:p w:rsidR="00AB7CCA" w:rsidRPr="00232A26" w:rsidRDefault="00AB7CCA" w:rsidP="00AB7CCA">
      <w:pPr>
        <w:pStyle w:val="SCCNormalDoubleSpacing"/>
        <w:spacing w:line="240" w:lineRule="auto"/>
        <w:rPr>
          <w:sz w:val="20"/>
          <w:lang w:val="fr-CA"/>
        </w:rPr>
      </w:pPr>
      <w:r w:rsidRPr="00232A26">
        <w:rPr>
          <w:sz w:val="20"/>
          <w:lang w:val="fr-FR"/>
        </w:rPr>
        <w:tab/>
      </w:r>
      <w:r w:rsidRPr="00232A26">
        <w:rPr>
          <w:sz w:val="20"/>
          <w:lang w:val="fr-CA"/>
        </w:rPr>
        <w:t xml:space="preserve">Lorsque la preuve exige que des inférences soient tirées pour établir les éléments objectif et subjectif de la défense de provocation, le juge du procès peut se livrer à une évaluation limitée afin de déterminer si ces éléments peuvent raisonnablement être inférés de la preuve.  Aux fins de l’application du critère de la vraisemblance, nous devons tenir pour véridique la version des faits qui figure dans les aveux de l’accusé.  Cela dit, la vraisemblance ne peut découler de ce qui n’est qu’une assertion non étayée de la part de l’accusé.  Le moyen de défense fondé sur de simples affirmations qui ne peuvent pas raisonnablement être étayées par la preuve considérée dans son ensemble ne doit pas être soumis à l’appréciation du jury.  </w:t>
      </w:r>
    </w:p>
    <w:p w:rsidR="00AB7CCA" w:rsidRPr="00232A26" w:rsidRDefault="00AB7CCA" w:rsidP="00AB7CCA">
      <w:pPr>
        <w:pStyle w:val="SCCNormalDoubleSpacing"/>
        <w:spacing w:line="240" w:lineRule="auto"/>
        <w:rPr>
          <w:sz w:val="20"/>
          <w:lang w:val="fr-CA"/>
        </w:rPr>
      </w:pPr>
    </w:p>
    <w:p w:rsidR="00AB7CCA" w:rsidRPr="00232A26" w:rsidRDefault="00AB7CCA" w:rsidP="00AB7CCA">
      <w:pPr>
        <w:pStyle w:val="SCCNormalDoubleSpacing"/>
        <w:spacing w:line="240" w:lineRule="auto"/>
        <w:rPr>
          <w:sz w:val="20"/>
          <w:lang w:val="fr-CA"/>
        </w:rPr>
      </w:pPr>
      <w:r w:rsidRPr="00232A26">
        <w:rPr>
          <w:sz w:val="20"/>
          <w:lang w:val="fr-CA"/>
        </w:rPr>
        <w:tab/>
        <w:t>La menace contre la sécurité de la mère de P et l’historique des relations entre K et lui apportent un fondement probant minimal à l’élément objectif du moyen de défense.  Toutefois, le volet subjectif de la défense de provocation est dépourvu de vraisemblance, car son existence exige la « soudaineté » tant de la provocation que de la réaction de l’accusé à celle</w:t>
      </w:r>
      <w:r w:rsidRPr="00232A26">
        <w:rPr>
          <w:sz w:val="20"/>
          <w:lang w:val="fr-CA"/>
        </w:rPr>
        <w:noBreakHyphen/>
        <w:t>ci.  La juge du procès a commis une erreur de droit en se demandant seulement si une preuve étayait la prétention de P selon laquelle il avait tué K avant d’avoir eu le temps de reprendre son sang</w:t>
      </w:r>
      <w:r w:rsidRPr="00232A26">
        <w:rPr>
          <w:sz w:val="20"/>
          <w:lang w:val="fr-CA"/>
        </w:rPr>
        <w:noBreakHyphen/>
        <w:t>froid.  Elle ne s’est pas demandé si le dossier permettait de conclure que les remarques provocatrices de K avaient été soudaines, c’est</w:t>
      </w:r>
      <w:r w:rsidRPr="00232A26">
        <w:rPr>
          <w:sz w:val="20"/>
          <w:lang w:val="fr-CA"/>
        </w:rPr>
        <w:noBreakHyphen/>
        <w:t>à</w:t>
      </w:r>
      <w:r w:rsidRPr="00232A26">
        <w:rPr>
          <w:sz w:val="20"/>
          <w:lang w:val="fr-CA"/>
        </w:rPr>
        <w:noBreakHyphen/>
        <w:t>dire si elles avaient subjectivement pris P par surprise.</w:t>
      </w:r>
    </w:p>
    <w:p w:rsidR="00AB7CCA" w:rsidRPr="00232A26" w:rsidRDefault="00AB7CCA" w:rsidP="00AB7CCA">
      <w:pPr>
        <w:pStyle w:val="SCCNormalDoubleSpacing"/>
        <w:spacing w:line="240" w:lineRule="auto"/>
        <w:rPr>
          <w:sz w:val="20"/>
          <w:lang w:val="fr-CA"/>
        </w:rPr>
      </w:pPr>
    </w:p>
    <w:p w:rsidR="00AB7CCA" w:rsidRPr="00232A26" w:rsidRDefault="00AB7CCA" w:rsidP="00AB7CCA">
      <w:pPr>
        <w:pStyle w:val="SCCNormalDoubleSpacing"/>
        <w:spacing w:line="240" w:lineRule="auto"/>
        <w:rPr>
          <w:sz w:val="20"/>
          <w:lang w:val="fr-CA"/>
        </w:rPr>
      </w:pPr>
      <w:r w:rsidRPr="00232A26">
        <w:rPr>
          <w:sz w:val="20"/>
          <w:lang w:val="fr-CA"/>
        </w:rPr>
        <w:tab/>
        <w:t>Le dossier ne peut raisonnablement étayer la conclusion selon laquelle les propos de K ont pris P par surprise étant donné que K s’était exprimé dans le même sens maintes fois dans le passé.  Considérée dans son ensemble, la preuve donne à penser qu’avant de se rendre chez K, P avait envisagé la possibilité que K continue de lui extorquer de l’argent et de le menacer et qu’il lui faudrait alors le supprimer pour mettre fin au chantage.  La prétention voulant que P ait été surpris ne fait pas partie des conclusions raisonnables qu’il est possible de tirer de la preuve.  Elle ne prend appui que sur les affirmations de P selon lesquelles il avait « disjoncté », « tout se déroulant ensuite automatiquement ».</w:t>
      </w:r>
    </w:p>
    <w:p w:rsidR="00AB7CCA" w:rsidRPr="00232A26" w:rsidRDefault="00AB7CCA" w:rsidP="00AB7CCA">
      <w:pPr>
        <w:pStyle w:val="SCCNormalDoubleSpacing"/>
        <w:spacing w:line="240" w:lineRule="auto"/>
        <w:rPr>
          <w:i/>
          <w:sz w:val="20"/>
          <w:lang w:val="fr-CA"/>
        </w:rPr>
      </w:pPr>
    </w:p>
    <w:p w:rsidR="00AB7CCA" w:rsidRPr="00232A26" w:rsidRDefault="00AB7CCA" w:rsidP="00AB7CCA">
      <w:pPr>
        <w:pStyle w:val="SCCNormalDoubleSpacing"/>
        <w:spacing w:line="240" w:lineRule="auto"/>
        <w:rPr>
          <w:sz w:val="20"/>
          <w:lang w:val="fr-CA"/>
        </w:rPr>
      </w:pPr>
      <w:r w:rsidRPr="00232A26">
        <w:rPr>
          <w:i/>
          <w:sz w:val="20"/>
          <w:lang w:val="fr-CA"/>
        </w:rPr>
        <w:tab/>
        <w:t>Le</w:t>
      </w:r>
      <w:r w:rsidRPr="00232A26">
        <w:rPr>
          <w:sz w:val="20"/>
          <w:lang w:val="fr-CA"/>
        </w:rPr>
        <w:t xml:space="preserve"> juge </w:t>
      </w:r>
      <w:r w:rsidRPr="00232A26">
        <w:rPr>
          <w:b/>
          <w:sz w:val="20"/>
          <w:lang w:val="fr-CA"/>
        </w:rPr>
        <w:t>Fish</w:t>
      </w:r>
      <w:r w:rsidRPr="00232A26">
        <w:rPr>
          <w:sz w:val="20"/>
          <w:lang w:val="fr-CA"/>
        </w:rPr>
        <w:t xml:space="preserve"> : La juge du procès n’a pas eu tort de soumettre au jury la défense de provocation, et ses directives au jury ne sont pas non plus entachées d’une erreur susceptible de contrôle. </w:t>
      </w:r>
    </w:p>
    <w:p w:rsidR="00AB7CCA" w:rsidRPr="00232A26" w:rsidRDefault="00AB7CCA" w:rsidP="00AB7CCA">
      <w:pPr>
        <w:pStyle w:val="SCCNormalDoubleSpacing"/>
        <w:spacing w:line="240" w:lineRule="auto"/>
        <w:rPr>
          <w:sz w:val="20"/>
          <w:lang w:val="fr-CA"/>
        </w:rPr>
      </w:pPr>
    </w:p>
    <w:p w:rsidR="00AB7CCA" w:rsidRPr="00232A26" w:rsidRDefault="00AB7CCA" w:rsidP="00AB7CCA">
      <w:pPr>
        <w:pStyle w:val="SCCNormalDoubleSpacing"/>
        <w:spacing w:line="240" w:lineRule="auto"/>
        <w:rPr>
          <w:sz w:val="20"/>
          <w:lang w:val="fr-CA"/>
        </w:rPr>
      </w:pPr>
      <w:r w:rsidRPr="00232A26">
        <w:rPr>
          <w:sz w:val="20"/>
          <w:lang w:val="fr-CA"/>
        </w:rPr>
        <w:tab/>
        <w:t>Dans le cas où il y a preuve directe pour chacun des éléments d’un moyen de défense, le juge du procès doit soumettre celui</w:t>
      </w:r>
      <w:r w:rsidRPr="00232A26">
        <w:rPr>
          <w:sz w:val="20"/>
          <w:lang w:val="fr-CA"/>
        </w:rPr>
        <w:noBreakHyphen/>
        <w:t>ci à l’appréciation du jury.  Quant à savoir si la preuve est véridique ou si elle soulève au moins un doute raisonnable en ce qui a trait à la culpabilité de l’accusé, il appartient ultimement au jury d’en décider.  En l’espèce, la preuve présentée au procès par l’appelant est directe et se rapporte aux faits sur lesquels s’appuie sa défense de provocation.  Par conséquent, l’appelant s’est acquitté de sa charge de présentation en ce qui concerne les éléments objectif et subjectif du moyen de défense.  Le seul fait que le défunt a proféré des menaces semblables dans le passé ne permet pas de tenir pour acquis que l’accusé a prévu les mêmes menaces formulées subséquemment ou qu’il y était préparé.  Lorsqu’elle est répétée, une menace ou une insulte peut faire « disjoncter » une personne alors qu’elle ne l’avait pas provoquée auparavant.  En l’espèce, l’acte provocateur allégué n’était pas l’omission du défunt de mettre fin à l’extorsion, mais son affirmation soudaine — « j’ai une super garantie » — que M. Pappas a interprétée comme une menace d’attenter à la vie de sa mère.  On ne saurait voir dans le témoignage détaillé de P sur les circonstances de la provocation alléguée une « simple affirmation » qu’il a été provoqué.  Les extraits de ses aveux qui, selon la Juge en chef, étayent la perte de maîtrise de soi constituent une preuve directe du caractère soudain de la provocation et ils doivent être tenus pour avérés.  Or, déterminer si ces extraits sont conciliables ou non avec d’autres éléments de preuve est une tâche qui incombe bel et bien au jury.  Le pourvoi devrait donc être rejeté pour les motifs sur lesquels se fondent les juges majoritaires de la Cour d’appel.</w:t>
      </w:r>
    </w:p>
    <w:p w:rsidR="00AB7CCA" w:rsidRPr="00232A26" w:rsidRDefault="00AB7CCA" w:rsidP="00AB7CCA">
      <w:pPr>
        <w:pStyle w:val="SCCNormalDoubleSpacing"/>
        <w:spacing w:line="240" w:lineRule="auto"/>
        <w:rPr>
          <w:sz w:val="20"/>
          <w:lang w:val="fr-CA"/>
        </w:rPr>
      </w:pPr>
    </w:p>
    <w:p w:rsidR="00AB7CCA" w:rsidRPr="00232A26" w:rsidRDefault="00AB7CCA" w:rsidP="00AB7CCA">
      <w:pPr>
        <w:pStyle w:val="SCCNormalDoubleSpacing"/>
        <w:spacing w:line="240" w:lineRule="auto"/>
        <w:rPr>
          <w:sz w:val="20"/>
          <w:lang w:val="fr-CA"/>
        </w:rPr>
      </w:pPr>
      <w:r w:rsidRPr="00232A26">
        <w:rPr>
          <w:sz w:val="20"/>
          <w:lang w:val="fr-CA"/>
        </w:rPr>
        <w:tab/>
        <w:t>POURVOI contre un arrêt de la Cour d’appel de l’Alberta (les juges Berger, O’Brien et Rowbotham), 2012 ABCA 221, 533 A.R. 294, 65 Alta. L.R. (5th) 359, 288 C.C.C. (3d) 323, 264 C.R.R. (2d) 211, 557 W.A.C. 294, [2012] A.J. No. 716 (QL), 2012 CarswellAlta 1191, qui a confirmé la déclaration de culpabilité de meurtre au deuxième degré prononcée contre l’accusé.  Pourvoi rejeté.</w:t>
      </w:r>
    </w:p>
    <w:p w:rsidR="00AB7CCA" w:rsidRPr="00232A26" w:rsidRDefault="00AB7CCA" w:rsidP="00AB7CCA">
      <w:pPr>
        <w:pStyle w:val="SCCNormalDoubleSpacing"/>
        <w:spacing w:line="240" w:lineRule="auto"/>
        <w:rPr>
          <w:i/>
          <w:sz w:val="20"/>
          <w:lang w:val="fr-CA"/>
        </w:rPr>
      </w:pPr>
    </w:p>
    <w:p w:rsidR="00AB7CCA" w:rsidRPr="00232A26" w:rsidRDefault="00AB7CCA" w:rsidP="00AB7CCA">
      <w:pPr>
        <w:pStyle w:val="SCCNormalDoubleSpacing"/>
        <w:spacing w:line="240" w:lineRule="auto"/>
        <w:rPr>
          <w:sz w:val="20"/>
          <w:lang w:val="fr-CA"/>
        </w:rPr>
      </w:pPr>
      <w:r w:rsidRPr="00232A26">
        <w:rPr>
          <w:i/>
          <w:sz w:val="20"/>
          <w:lang w:val="fr-CA"/>
        </w:rPr>
        <w:tab/>
        <w:t>Michael Bates</w:t>
      </w:r>
      <w:r w:rsidRPr="00232A26">
        <w:rPr>
          <w:sz w:val="20"/>
          <w:lang w:val="fr-CA"/>
        </w:rPr>
        <w:t xml:space="preserve">, </w:t>
      </w:r>
      <w:r w:rsidRPr="00232A26">
        <w:rPr>
          <w:i/>
          <w:sz w:val="20"/>
          <w:lang w:val="fr-CA"/>
        </w:rPr>
        <w:t xml:space="preserve">Jennifer Ruttan </w:t>
      </w:r>
      <w:r w:rsidRPr="00232A26">
        <w:rPr>
          <w:sz w:val="20"/>
          <w:lang w:val="fr-CA"/>
        </w:rPr>
        <w:t>et</w:t>
      </w:r>
      <w:r w:rsidRPr="00232A26">
        <w:rPr>
          <w:i/>
          <w:sz w:val="20"/>
          <w:lang w:val="fr-CA"/>
        </w:rPr>
        <w:t xml:space="preserve"> Geoff Ellwand</w:t>
      </w:r>
      <w:r w:rsidRPr="00232A26">
        <w:rPr>
          <w:sz w:val="20"/>
          <w:lang w:val="fr-CA"/>
        </w:rPr>
        <w:t>, pour l’appelant.</w:t>
      </w:r>
    </w:p>
    <w:p w:rsidR="00AB7CCA" w:rsidRPr="00232A26" w:rsidRDefault="00AB7CCA" w:rsidP="00AB7CCA">
      <w:pPr>
        <w:pStyle w:val="SCCNormalDoubleSpacing"/>
        <w:spacing w:line="240" w:lineRule="auto"/>
        <w:rPr>
          <w:i/>
          <w:sz w:val="20"/>
          <w:lang w:val="fr-CA"/>
        </w:rPr>
      </w:pPr>
    </w:p>
    <w:p w:rsidR="00AB7CCA" w:rsidRPr="00232A26" w:rsidRDefault="00AB7CCA" w:rsidP="00AB7CCA">
      <w:pPr>
        <w:pStyle w:val="SCCNormalDoubleSpacing"/>
        <w:spacing w:line="240" w:lineRule="auto"/>
        <w:rPr>
          <w:sz w:val="20"/>
          <w:lang w:val="fr-CA"/>
        </w:rPr>
      </w:pPr>
      <w:r w:rsidRPr="00232A26">
        <w:rPr>
          <w:i/>
          <w:sz w:val="20"/>
          <w:lang w:val="fr-CA"/>
        </w:rPr>
        <w:tab/>
        <w:t>Jolaine Antonio</w:t>
      </w:r>
      <w:r w:rsidRPr="00232A26">
        <w:rPr>
          <w:sz w:val="20"/>
          <w:lang w:val="fr-CA"/>
        </w:rPr>
        <w:t>, pour l’intimée.</w:t>
      </w:r>
    </w:p>
    <w:p w:rsidR="00AB7CCA" w:rsidRPr="00232A26" w:rsidRDefault="00AB7CCA" w:rsidP="00AB7CCA">
      <w:pPr>
        <w:pStyle w:val="SCCLawFirm"/>
        <w:spacing w:line="240" w:lineRule="auto"/>
        <w:rPr>
          <w:sz w:val="20"/>
          <w:lang w:val="fr-CA"/>
        </w:rPr>
      </w:pPr>
    </w:p>
    <w:p w:rsidR="00AB7CCA" w:rsidRPr="00232A26" w:rsidRDefault="00AB7CCA" w:rsidP="00AB7CCA">
      <w:pPr>
        <w:pStyle w:val="SCCLawFirm"/>
        <w:spacing w:line="240" w:lineRule="auto"/>
        <w:rPr>
          <w:sz w:val="20"/>
          <w:lang w:val="fr-CA"/>
        </w:rPr>
      </w:pPr>
      <w:r w:rsidRPr="00232A26">
        <w:rPr>
          <w:sz w:val="20"/>
          <w:lang w:val="fr-CA"/>
        </w:rPr>
        <w:tab/>
        <w:t>Procureurs de l’appelant : Ruttan Bates, Calgary.</w:t>
      </w:r>
    </w:p>
    <w:p w:rsidR="00AB7CCA" w:rsidRPr="00232A26" w:rsidRDefault="00AB7CCA" w:rsidP="00AB7CCA">
      <w:pPr>
        <w:pStyle w:val="SCCLawFirm"/>
        <w:spacing w:line="240" w:lineRule="auto"/>
        <w:rPr>
          <w:sz w:val="20"/>
          <w:lang w:val="fr-CA"/>
        </w:rPr>
      </w:pPr>
    </w:p>
    <w:p w:rsidR="00AB7CCA" w:rsidRPr="00232A26" w:rsidRDefault="00AB7CCA" w:rsidP="00AB7CCA">
      <w:pPr>
        <w:pStyle w:val="SCCLawFirm"/>
        <w:spacing w:line="240" w:lineRule="auto"/>
        <w:rPr>
          <w:sz w:val="20"/>
          <w:lang w:val="fr-CA"/>
        </w:rPr>
      </w:pPr>
      <w:r w:rsidRPr="00232A26">
        <w:rPr>
          <w:sz w:val="20"/>
          <w:lang w:val="fr-CA"/>
        </w:rPr>
        <w:tab/>
        <w:t>Procureur de l’intimée : Procureur général de l’Alberta, Calgary.</w:t>
      </w:r>
    </w:p>
    <w:p w:rsidR="00902E51" w:rsidRPr="00352A49" w:rsidRDefault="00902E51" w:rsidP="00902E51">
      <w:pPr>
        <w:rPr>
          <w:sz w:val="20"/>
          <w:szCs w:val="20"/>
          <w:lang w:val="fr-CA"/>
        </w:rPr>
      </w:pPr>
    </w:p>
    <w:p w:rsidR="00902E51" w:rsidRDefault="00CC2008" w:rsidP="00902E51">
      <w:pPr>
        <w:rPr>
          <w:rFonts w:cs="Times New Roman"/>
          <w:sz w:val="20"/>
          <w:szCs w:val="20"/>
          <w:lang w:val="fr-CA"/>
        </w:rPr>
      </w:pPr>
      <w:r w:rsidRPr="00CC2008">
        <w:rPr>
          <w:rFonts w:cs="Times New Roman"/>
          <w:sz w:val="20"/>
          <w:szCs w:val="20"/>
          <w:lang w:val="fr-CA"/>
        </w:rPr>
        <w:pict>
          <v:rect id="_x0000_i1082"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EC3B1A">
            <w:pPr>
              <w:keepNext/>
              <w:keepLines/>
              <w:rPr>
                <w:b/>
                <w:szCs w:val="24"/>
              </w:rPr>
            </w:pPr>
            <w:r w:rsidRPr="00C50A5C">
              <w:rPr>
                <w:b/>
                <w:szCs w:val="24"/>
              </w:rPr>
              <w:t>AGENDA FOR N</w:t>
            </w:r>
            <w:r w:rsidR="00EC3B1A">
              <w:rPr>
                <w:b/>
                <w:szCs w:val="24"/>
              </w:rPr>
              <w:t>OVEMB</w:t>
            </w:r>
            <w:r w:rsidRPr="00C50A5C">
              <w:rPr>
                <w:b/>
                <w:szCs w:val="24"/>
              </w:rPr>
              <w:t>ER</w:t>
            </w:r>
            <w:r w:rsidR="00EC3B1A">
              <w:rPr>
                <w:b/>
                <w:szCs w:val="24"/>
              </w:rPr>
              <w:t xml:space="preserve">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EC3B1A">
            <w:pPr>
              <w:keepNext/>
              <w:keepLines/>
              <w:rPr>
                <w:b/>
                <w:szCs w:val="24"/>
                <w:lang w:val="fr-CA"/>
              </w:rPr>
            </w:pPr>
            <w:r w:rsidRPr="00C50A5C">
              <w:rPr>
                <w:b/>
                <w:szCs w:val="24"/>
                <w:lang w:val="fr-CA"/>
              </w:rPr>
              <w:t>CALENDRIER DE N</w:t>
            </w:r>
            <w:r w:rsidR="00EC3B1A">
              <w:rPr>
                <w:b/>
                <w:szCs w:val="24"/>
                <w:lang w:val="fr-CA"/>
              </w:rPr>
              <w:t>OV</w:t>
            </w:r>
            <w:r w:rsidRPr="00C50A5C">
              <w:rPr>
                <w:b/>
                <w:szCs w:val="24"/>
                <w:lang w:val="fr-CA"/>
              </w:rPr>
              <w:t>E</w:t>
            </w:r>
            <w:r w:rsidR="00EC3B1A">
              <w:rPr>
                <w:b/>
                <w:szCs w:val="24"/>
                <w:lang w:val="fr-CA"/>
              </w:rPr>
              <w:t>MB</w:t>
            </w:r>
            <w:r w:rsidRPr="00C50A5C">
              <w:rPr>
                <w:b/>
                <w:szCs w:val="24"/>
                <w:lang w:val="fr-CA"/>
              </w:rPr>
              <w:t>RE</w:t>
            </w:r>
            <w:r w:rsidR="00EC3B1A">
              <w:rPr>
                <w:b/>
                <w:szCs w:val="24"/>
                <w:lang w:val="fr-CA"/>
              </w:rPr>
              <w:t xml:space="preserve"> 2013</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November </w:t>
      </w:r>
      <w:r w:rsidR="00387F1D">
        <w:rPr>
          <w:b/>
          <w:sz w:val="20"/>
          <w:szCs w:val="20"/>
        </w:rPr>
        <w:t>4</w:t>
      </w:r>
      <w:r w:rsidRPr="00DD0B49">
        <w:rPr>
          <w:b/>
          <w:sz w:val="20"/>
          <w:szCs w:val="20"/>
        </w:rPr>
        <w:t xml:space="preserve"> and </w:t>
      </w:r>
      <w:r w:rsidR="00387F1D">
        <w:rPr>
          <w:b/>
          <w:sz w:val="20"/>
          <w:szCs w:val="20"/>
        </w:rPr>
        <w:t>11</w:t>
      </w:r>
      <w:r w:rsidRPr="00DD0B49">
        <w:rPr>
          <w:b/>
          <w:sz w:val="20"/>
          <w:szCs w:val="20"/>
        </w:rPr>
        <w:t>, 201</w:t>
      </w:r>
      <w:r w:rsidR="00387F1D">
        <w:rPr>
          <w:b/>
          <w:sz w:val="20"/>
          <w:szCs w:val="20"/>
        </w:rPr>
        <w:t>3</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387F1D">
        <w:rPr>
          <w:b/>
          <w:sz w:val="20"/>
          <w:szCs w:val="20"/>
          <w:lang w:val="fr-CA"/>
        </w:rPr>
        <w:t>4</w:t>
      </w:r>
      <w:r w:rsidRPr="00DD0B49">
        <w:rPr>
          <w:b/>
          <w:sz w:val="20"/>
          <w:szCs w:val="20"/>
          <w:lang w:val="fr-CA"/>
        </w:rPr>
        <w:t xml:space="preserve"> novembre et celle du </w:t>
      </w:r>
      <w:r w:rsidR="00387F1D">
        <w:rPr>
          <w:b/>
          <w:sz w:val="20"/>
          <w:szCs w:val="20"/>
          <w:lang w:val="fr-CA"/>
        </w:rPr>
        <w:t>11</w:t>
      </w:r>
      <w:r w:rsidRPr="00DD0B49">
        <w:rPr>
          <w:b/>
          <w:sz w:val="20"/>
          <w:szCs w:val="20"/>
          <w:lang w:val="fr-CA"/>
        </w:rPr>
        <w:t xml:space="preserve"> novembre 201</w:t>
      </w:r>
      <w:r w:rsidR="00387F1D">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The Court will not be sitting during the weeks of November 1</w:t>
      </w:r>
      <w:r w:rsidR="00387F1D">
        <w:rPr>
          <w:sz w:val="20"/>
          <w:szCs w:val="20"/>
        </w:rPr>
        <w:t>8</w:t>
      </w:r>
      <w:r w:rsidRPr="00DD0B49">
        <w:rPr>
          <w:sz w:val="20"/>
          <w:szCs w:val="20"/>
        </w:rPr>
        <w:t xml:space="preserve"> and 2</w:t>
      </w:r>
      <w:r w:rsidR="00387F1D">
        <w:rPr>
          <w:sz w:val="20"/>
          <w:szCs w:val="20"/>
        </w:rPr>
        <w:t>5</w:t>
      </w:r>
      <w:r w:rsidRPr="00DD0B49">
        <w:rPr>
          <w:sz w:val="20"/>
          <w:szCs w:val="20"/>
        </w:rPr>
        <w:t>, 201</w:t>
      </w:r>
      <w:r w:rsidR="00387F1D">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1</w:t>
      </w:r>
      <w:r w:rsidR="00387F1D">
        <w:rPr>
          <w:sz w:val="20"/>
          <w:szCs w:val="20"/>
          <w:lang w:val="fr-CA"/>
        </w:rPr>
        <w:t>8</w:t>
      </w:r>
      <w:r w:rsidRPr="00DD0B49">
        <w:rPr>
          <w:sz w:val="20"/>
          <w:szCs w:val="20"/>
          <w:lang w:val="fr-CA"/>
        </w:rPr>
        <w:t xml:space="preserve"> et du 2</w:t>
      </w:r>
      <w:r w:rsidR="00387F1D">
        <w:rPr>
          <w:sz w:val="20"/>
          <w:szCs w:val="20"/>
          <w:lang w:val="fr-CA"/>
        </w:rPr>
        <w:t>5</w:t>
      </w:r>
      <w:r w:rsidRPr="00DD0B49">
        <w:rPr>
          <w:sz w:val="20"/>
          <w:szCs w:val="20"/>
          <w:lang w:val="fr-CA"/>
        </w:rPr>
        <w:t xml:space="preserve"> novembre 201</w:t>
      </w:r>
      <w:r w:rsidR="00387F1D">
        <w:rPr>
          <w:sz w:val="20"/>
          <w:szCs w:val="20"/>
          <w:lang w:val="fr-CA"/>
        </w:rPr>
        <w:t>3</w:t>
      </w:r>
      <w:r w:rsidRPr="00DD0B49">
        <w:rPr>
          <w:sz w:val="20"/>
          <w:szCs w:val="20"/>
          <w:lang w:val="fr-CA"/>
        </w:rPr>
        <w:t>.</w:t>
      </w:r>
    </w:p>
    <w:p w:rsidR="004B66B4" w:rsidRPr="00DD0B49" w:rsidRDefault="00CC2008" w:rsidP="004B66B4">
      <w:pPr>
        <w:rPr>
          <w:sz w:val="20"/>
          <w:szCs w:val="20"/>
        </w:rPr>
      </w:pPr>
      <w:r w:rsidRPr="00CC2008">
        <w:rPr>
          <w:sz w:val="20"/>
          <w:szCs w:val="20"/>
        </w:rPr>
        <w:pict>
          <v:rect id="_x0000_i1085"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4E1E0A" w:rsidRPr="007C7F39" w:rsidTr="00642AEE">
        <w:trPr>
          <w:cantSplit/>
        </w:trPr>
        <w:tc>
          <w:tcPr>
            <w:tcW w:w="2398" w:type="dxa"/>
          </w:tcPr>
          <w:p w:rsidR="004E1E0A" w:rsidRPr="003A74F5" w:rsidRDefault="004E1E0A" w:rsidP="00642AEE">
            <w:pPr>
              <w:rPr>
                <w:rFonts w:eastAsia="Calibri" w:cs="Times New Roman"/>
                <w:sz w:val="20"/>
                <w:szCs w:val="20"/>
              </w:rPr>
            </w:pPr>
            <w:r w:rsidRPr="003A74F5">
              <w:rPr>
                <w:rFonts w:eastAsia="Calibri" w:cs="Times New Roman"/>
                <w:sz w:val="20"/>
                <w:szCs w:val="20"/>
              </w:rPr>
              <w:t>DATE OF HEARING /</w:t>
            </w:r>
          </w:p>
          <w:p w:rsidR="004E1E0A" w:rsidRPr="003A74F5" w:rsidRDefault="004E1E0A" w:rsidP="00642AEE">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642AEE">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642AEE">
            <w:pPr>
              <w:rPr>
                <w:sz w:val="20"/>
                <w:szCs w:val="20"/>
                <w:lang w:val="fr-CA"/>
              </w:rPr>
            </w:pPr>
            <w:r w:rsidRPr="003A74F5">
              <w:rPr>
                <w:rFonts w:eastAsia="Calibri" w:cs="Times New Roman"/>
                <w:sz w:val="20"/>
                <w:szCs w:val="20"/>
                <w:lang w:val="fr-CA"/>
              </w:rPr>
              <w:t>NOM DE LA CAUSE ET NUMÉRO</w:t>
            </w:r>
          </w:p>
          <w:p w:rsidR="004E1E0A" w:rsidRPr="003A74F5" w:rsidRDefault="004E1E0A" w:rsidP="00642AEE">
            <w:pPr>
              <w:rPr>
                <w:rFonts w:eastAsia="Calibri" w:cs="Times New Roman"/>
                <w:sz w:val="20"/>
                <w:szCs w:val="20"/>
                <w:lang w:val="fr-CA"/>
              </w:rPr>
            </w:pPr>
          </w:p>
        </w:tc>
      </w:tr>
      <w:tr w:rsidR="004E1E0A" w:rsidRPr="003A74F5" w:rsidTr="00642AEE">
        <w:trPr>
          <w:cantSplit/>
          <w:trHeight w:val="288"/>
        </w:trPr>
        <w:tc>
          <w:tcPr>
            <w:tcW w:w="2398" w:type="dxa"/>
          </w:tcPr>
          <w:p w:rsidR="004E1E0A" w:rsidRPr="003A74F5" w:rsidRDefault="004E1E0A" w:rsidP="00387F1D">
            <w:pPr>
              <w:rPr>
                <w:rFonts w:eastAsia="Calibri" w:cs="Times New Roman"/>
                <w:sz w:val="20"/>
                <w:szCs w:val="20"/>
              </w:rPr>
            </w:pPr>
            <w:r w:rsidRPr="003A74F5">
              <w:rPr>
                <w:rFonts w:eastAsia="Calibri" w:cs="Times New Roman"/>
                <w:sz w:val="20"/>
                <w:szCs w:val="20"/>
              </w:rPr>
              <w:t>201</w:t>
            </w:r>
            <w:r w:rsidR="00387F1D">
              <w:rPr>
                <w:rFonts w:eastAsia="Calibri" w:cs="Times New Roman"/>
                <w:sz w:val="20"/>
                <w:szCs w:val="20"/>
              </w:rPr>
              <w:t>3</w:t>
            </w:r>
            <w:r w:rsidRPr="003A74F5">
              <w:rPr>
                <w:rFonts w:eastAsia="Calibri" w:cs="Times New Roman"/>
                <w:sz w:val="20"/>
                <w:szCs w:val="20"/>
              </w:rPr>
              <w:t>-1</w:t>
            </w:r>
            <w:r>
              <w:rPr>
                <w:rFonts w:eastAsia="Calibri" w:cs="Times New Roman"/>
                <w:sz w:val="20"/>
                <w:szCs w:val="20"/>
              </w:rPr>
              <w:t>1</w:t>
            </w:r>
            <w:r w:rsidRPr="003A74F5">
              <w:rPr>
                <w:rFonts w:eastAsia="Calibri" w:cs="Times New Roman"/>
                <w:sz w:val="20"/>
                <w:szCs w:val="20"/>
              </w:rPr>
              <w:t>-0</w:t>
            </w:r>
            <w:r w:rsidR="00387F1D">
              <w:rPr>
                <w:rFonts w:eastAsia="Calibri" w:cs="Times New Roman"/>
                <w:sz w:val="20"/>
                <w:szCs w:val="20"/>
              </w:rPr>
              <w:t>4</w:t>
            </w:r>
          </w:p>
        </w:tc>
        <w:tc>
          <w:tcPr>
            <w:tcW w:w="7178" w:type="dxa"/>
          </w:tcPr>
          <w:p w:rsidR="004E1E0A" w:rsidRDefault="00387F1D" w:rsidP="00642AEE">
            <w:pPr>
              <w:jc w:val="both"/>
              <w:rPr>
                <w:rFonts w:eastAsia="Calibri" w:cs="Times New Roman"/>
                <w:sz w:val="20"/>
                <w:szCs w:val="20"/>
              </w:rPr>
            </w:pPr>
            <w:r>
              <w:rPr>
                <w:rFonts w:eastAsia="Calibri" w:cs="Times New Roman"/>
                <w:i/>
                <w:sz w:val="20"/>
                <w:szCs w:val="20"/>
              </w:rPr>
              <w:t>Elizabeth B</w:t>
            </w:r>
            <w:r w:rsidR="004E1E0A">
              <w:rPr>
                <w:rFonts w:eastAsia="Calibri" w:cs="Times New Roman"/>
                <w:i/>
                <w:sz w:val="20"/>
                <w:szCs w:val="20"/>
              </w:rPr>
              <w:t>er</w:t>
            </w:r>
            <w:r>
              <w:rPr>
                <w:rFonts w:eastAsia="Calibri" w:cs="Times New Roman"/>
                <w:i/>
                <w:sz w:val="20"/>
                <w:szCs w:val="20"/>
              </w:rPr>
              <w:t>n</w:t>
            </w:r>
            <w:r w:rsidR="004E1E0A">
              <w:rPr>
                <w:rFonts w:eastAsia="Calibri" w:cs="Times New Roman"/>
                <w:i/>
                <w:sz w:val="20"/>
                <w:szCs w:val="20"/>
              </w:rPr>
              <w:t>a</w:t>
            </w:r>
            <w:r>
              <w:rPr>
                <w:rFonts w:eastAsia="Calibri" w:cs="Times New Roman"/>
                <w:i/>
                <w:sz w:val="20"/>
                <w:szCs w:val="20"/>
              </w:rPr>
              <w:t>rd</w:t>
            </w:r>
            <w:r w:rsidR="004E1E0A">
              <w:rPr>
                <w:rFonts w:eastAsia="Calibri" w:cs="Times New Roman"/>
                <w:i/>
                <w:sz w:val="20"/>
                <w:szCs w:val="20"/>
              </w:rPr>
              <w:t xml:space="preserve"> </w:t>
            </w:r>
            <w:r w:rsidR="004E1E0A" w:rsidRPr="003A74F5">
              <w:rPr>
                <w:rFonts w:eastAsia="Calibri" w:cs="Times New Roman"/>
                <w:i/>
                <w:sz w:val="20"/>
                <w:szCs w:val="20"/>
              </w:rPr>
              <w:t xml:space="preserve">v. </w:t>
            </w:r>
            <w:r>
              <w:rPr>
                <w:rFonts w:eastAsia="Calibri" w:cs="Times New Roman"/>
                <w:i/>
                <w:sz w:val="20"/>
                <w:szCs w:val="20"/>
              </w:rPr>
              <w:t>Att</w:t>
            </w:r>
            <w:r w:rsidR="004E1E0A">
              <w:rPr>
                <w:rFonts w:eastAsia="Calibri" w:cs="Times New Roman"/>
                <w:i/>
                <w:sz w:val="20"/>
                <w:szCs w:val="20"/>
              </w:rPr>
              <w:t>or</w:t>
            </w:r>
            <w:r>
              <w:rPr>
                <w:rFonts w:eastAsia="Calibri" w:cs="Times New Roman"/>
                <w:i/>
                <w:sz w:val="20"/>
                <w:szCs w:val="20"/>
              </w:rPr>
              <w:t>ney Gener</w:t>
            </w:r>
            <w:r w:rsidR="004E1E0A" w:rsidRPr="003A74F5">
              <w:rPr>
                <w:rFonts w:eastAsia="Calibri" w:cs="Times New Roman"/>
                <w:i/>
                <w:sz w:val="20"/>
                <w:szCs w:val="20"/>
              </w:rPr>
              <w:t>a</w:t>
            </w:r>
            <w:r>
              <w:rPr>
                <w:rFonts w:eastAsia="Calibri" w:cs="Times New Roman"/>
                <w:i/>
                <w:sz w:val="20"/>
                <w:szCs w:val="20"/>
              </w:rPr>
              <w:t>l of Canada</w:t>
            </w:r>
            <w:r w:rsidR="008817C2">
              <w:rPr>
                <w:rFonts w:eastAsia="Calibri" w:cs="Times New Roman"/>
                <w:i/>
                <w:sz w:val="20"/>
                <w:szCs w:val="20"/>
              </w:rPr>
              <w:t xml:space="preserve"> et al.</w:t>
            </w:r>
            <w:r w:rsidR="004E1E0A">
              <w:rPr>
                <w:rFonts w:eastAsia="Calibri" w:cs="Times New Roman"/>
                <w:i/>
                <w:sz w:val="20"/>
                <w:szCs w:val="20"/>
              </w:rPr>
              <w:t xml:space="preserve"> </w:t>
            </w:r>
            <w:r w:rsidR="004E1E0A" w:rsidRPr="003A74F5">
              <w:rPr>
                <w:rFonts w:eastAsia="Calibri" w:cs="Times New Roman"/>
                <w:sz w:val="20"/>
                <w:szCs w:val="20"/>
              </w:rPr>
              <w:t>(</w:t>
            </w:r>
            <w:r w:rsidR="004E1E0A">
              <w:rPr>
                <w:rFonts w:eastAsia="Calibri" w:cs="Times New Roman"/>
                <w:sz w:val="20"/>
                <w:szCs w:val="20"/>
              </w:rPr>
              <w:t>F.C</w:t>
            </w:r>
            <w:r w:rsidR="004E1E0A" w:rsidRPr="003A74F5">
              <w:rPr>
                <w:rFonts w:eastAsia="Calibri" w:cs="Times New Roman"/>
                <w:sz w:val="20"/>
                <w:szCs w:val="20"/>
              </w:rPr>
              <w:t>.) (Ci</w:t>
            </w:r>
            <w:r w:rsidR="004E1E0A">
              <w:rPr>
                <w:rFonts w:eastAsia="Calibri" w:cs="Times New Roman"/>
                <w:sz w:val="20"/>
                <w:szCs w:val="20"/>
              </w:rPr>
              <w:t>v</w:t>
            </w:r>
            <w:r w:rsidR="004E1E0A" w:rsidRPr="003A74F5">
              <w:rPr>
                <w:rFonts w:eastAsia="Calibri" w:cs="Times New Roman"/>
                <w:sz w:val="20"/>
                <w:szCs w:val="20"/>
              </w:rPr>
              <w:t>il) (By Leave) (34</w:t>
            </w:r>
            <w:r>
              <w:rPr>
                <w:rFonts w:eastAsia="Calibri" w:cs="Times New Roman"/>
                <w:sz w:val="20"/>
                <w:szCs w:val="20"/>
              </w:rPr>
              <w:t>8</w:t>
            </w:r>
            <w:r w:rsidR="004E1E0A">
              <w:rPr>
                <w:rFonts w:eastAsia="Calibri" w:cs="Times New Roman"/>
                <w:sz w:val="20"/>
                <w:szCs w:val="20"/>
              </w:rPr>
              <w:t>1</w:t>
            </w:r>
            <w:r>
              <w:rPr>
                <w:rFonts w:eastAsia="Calibri" w:cs="Times New Roman"/>
                <w:sz w:val="20"/>
                <w:szCs w:val="20"/>
              </w:rPr>
              <w:t>9</w:t>
            </w:r>
            <w:r w:rsidR="004E1E0A" w:rsidRPr="003A74F5">
              <w:rPr>
                <w:rFonts w:eastAsia="Calibri" w:cs="Times New Roman"/>
                <w:sz w:val="20"/>
                <w:szCs w:val="20"/>
              </w:rPr>
              <w:t>)</w:t>
            </w:r>
          </w:p>
          <w:p w:rsidR="004E1E0A" w:rsidRDefault="004E1E0A" w:rsidP="00642AEE">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4E1E0A" w:rsidRPr="003A74F5" w:rsidRDefault="004E1E0A" w:rsidP="00642AEE">
            <w:pPr>
              <w:jc w:val="both"/>
              <w:rPr>
                <w:rFonts w:eastAsia="Calibri" w:cs="Times New Roman"/>
                <w:sz w:val="20"/>
                <w:szCs w:val="20"/>
              </w:rPr>
            </w:pPr>
          </w:p>
        </w:tc>
      </w:tr>
      <w:tr w:rsidR="004E1E0A" w:rsidRPr="003A74F5" w:rsidTr="00642AEE">
        <w:trPr>
          <w:cantSplit/>
          <w:trHeight w:val="288"/>
        </w:trPr>
        <w:tc>
          <w:tcPr>
            <w:tcW w:w="2398" w:type="dxa"/>
          </w:tcPr>
          <w:p w:rsidR="004E1E0A" w:rsidRPr="003A74F5" w:rsidRDefault="004E1E0A" w:rsidP="00387F1D">
            <w:pPr>
              <w:rPr>
                <w:rFonts w:eastAsia="Calibri" w:cs="Times New Roman"/>
                <w:sz w:val="20"/>
                <w:szCs w:val="20"/>
              </w:rPr>
            </w:pPr>
            <w:r w:rsidRPr="003A74F5">
              <w:rPr>
                <w:rFonts w:eastAsia="Calibri" w:cs="Times New Roman"/>
                <w:sz w:val="20"/>
                <w:szCs w:val="20"/>
              </w:rPr>
              <w:t>201</w:t>
            </w:r>
            <w:r w:rsidR="00387F1D">
              <w:rPr>
                <w:rFonts w:eastAsia="Calibri" w:cs="Times New Roman"/>
                <w:sz w:val="20"/>
                <w:szCs w:val="20"/>
              </w:rPr>
              <w:t>3</w:t>
            </w:r>
            <w:r w:rsidRPr="003A74F5">
              <w:rPr>
                <w:rFonts w:eastAsia="Calibri" w:cs="Times New Roman"/>
                <w:sz w:val="20"/>
                <w:szCs w:val="20"/>
              </w:rPr>
              <w:t>-1</w:t>
            </w:r>
            <w:r>
              <w:rPr>
                <w:rFonts w:eastAsia="Calibri" w:cs="Times New Roman"/>
                <w:sz w:val="20"/>
                <w:szCs w:val="20"/>
              </w:rPr>
              <w:t>1</w:t>
            </w:r>
            <w:r w:rsidRPr="003A74F5">
              <w:rPr>
                <w:rFonts w:eastAsia="Calibri" w:cs="Times New Roman"/>
                <w:sz w:val="20"/>
                <w:szCs w:val="20"/>
              </w:rPr>
              <w:t>-</w:t>
            </w:r>
            <w:r>
              <w:rPr>
                <w:rFonts w:eastAsia="Calibri" w:cs="Times New Roman"/>
                <w:sz w:val="20"/>
                <w:szCs w:val="20"/>
              </w:rPr>
              <w:t>0</w:t>
            </w:r>
            <w:r w:rsidR="00387F1D">
              <w:rPr>
                <w:rFonts w:eastAsia="Calibri" w:cs="Times New Roman"/>
                <w:sz w:val="20"/>
                <w:szCs w:val="20"/>
              </w:rPr>
              <w:t>6</w:t>
            </w:r>
          </w:p>
        </w:tc>
        <w:tc>
          <w:tcPr>
            <w:tcW w:w="7178" w:type="dxa"/>
          </w:tcPr>
          <w:p w:rsidR="004E1E0A" w:rsidRDefault="00387F1D" w:rsidP="00642AEE">
            <w:pPr>
              <w:jc w:val="both"/>
              <w:rPr>
                <w:rFonts w:eastAsia="Calibri" w:cs="Times New Roman"/>
                <w:sz w:val="20"/>
                <w:szCs w:val="20"/>
              </w:rPr>
            </w:pPr>
            <w:r>
              <w:rPr>
                <w:rFonts w:eastAsia="Calibri" w:cs="Times New Roman"/>
                <w:i/>
                <w:sz w:val="20"/>
                <w:szCs w:val="20"/>
              </w:rPr>
              <w:t>John Do</w:t>
            </w:r>
            <w:r w:rsidR="004E1E0A" w:rsidRPr="003A74F5">
              <w:rPr>
                <w:rFonts w:eastAsia="Calibri" w:cs="Times New Roman"/>
                <w:i/>
                <w:sz w:val="20"/>
                <w:szCs w:val="20"/>
              </w:rPr>
              <w:t>e</w:t>
            </w:r>
            <w:r w:rsidR="008817C2">
              <w:rPr>
                <w:rFonts w:eastAsia="Calibri" w:cs="Times New Roman"/>
                <w:i/>
                <w:sz w:val="20"/>
                <w:szCs w:val="20"/>
              </w:rPr>
              <w:t>,</w:t>
            </w:r>
            <w:r>
              <w:rPr>
                <w:rFonts w:eastAsia="Calibri" w:cs="Times New Roman"/>
                <w:i/>
                <w:sz w:val="20"/>
                <w:szCs w:val="20"/>
              </w:rPr>
              <w:t xml:space="preserve"> </w:t>
            </w:r>
            <w:r w:rsidR="008817C2">
              <w:rPr>
                <w:rFonts w:eastAsia="Calibri" w:cs="Times New Roman"/>
                <w:i/>
                <w:sz w:val="20"/>
                <w:szCs w:val="20"/>
              </w:rPr>
              <w:t xml:space="preserve">Requester </w:t>
            </w:r>
            <w:r w:rsidR="004E1E0A" w:rsidRPr="003A74F5">
              <w:rPr>
                <w:rFonts w:eastAsia="Calibri" w:cs="Times New Roman"/>
                <w:i/>
                <w:sz w:val="20"/>
                <w:szCs w:val="20"/>
              </w:rPr>
              <w:t>et</w:t>
            </w:r>
            <w:r>
              <w:rPr>
                <w:rFonts w:eastAsia="Calibri" w:cs="Times New Roman"/>
                <w:i/>
                <w:sz w:val="20"/>
                <w:szCs w:val="20"/>
              </w:rPr>
              <w:t xml:space="preserve"> al.</w:t>
            </w:r>
            <w:r w:rsidR="004E1E0A" w:rsidRPr="003A74F5">
              <w:rPr>
                <w:rFonts w:eastAsia="Calibri" w:cs="Times New Roman"/>
                <w:i/>
                <w:sz w:val="20"/>
                <w:szCs w:val="20"/>
              </w:rPr>
              <w:t xml:space="preserve"> v. </w:t>
            </w:r>
            <w:r>
              <w:rPr>
                <w:rFonts w:eastAsia="Calibri" w:cs="Times New Roman"/>
                <w:i/>
                <w:sz w:val="20"/>
                <w:szCs w:val="20"/>
              </w:rPr>
              <w:t>M</w:t>
            </w:r>
            <w:r w:rsidR="004E1E0A">
              <w:rPr>
                <w:rFonts w:eastAsia="Calibri" w:cs="Times New Roman"/>
                <w:i/>
                <w:sz w:val="20"/>
                <w:szCs w:val="20"/>
              </w:rPr>
              <w:t>i</w:t>
            </w:r>
            <w:r>
              <w:rPr>
                <w:rFonts w:eastAsia="Calibri" w:cs="Times New Roman"/>
                <w:i/>
                <w:sz w:val="20"/>
                <w:szCs w:val="20"/>
              </w:rPr>
              <w:t>ni</w:t>
            </w:r>
            <w:r w:rsidR="004E1E0A">
              <w:rPr>
                <w:rFonts w:eastAsia="Calibri" w:cs="Times New Roman"/>
                <w:i/>
                <w:sz w:val="20"/>
                <w:szCs w:val="20"/>
              </w:rPr>
              <w:t xml:space="preserve">ster </w:t>
            </w:r>
            <w:r>
              <w:rPr>
                <w:rFonts w:eastAsia="Calibri" w:cs="Times New Roman"/>
                <w:i/>
                <w:sz w:val="20"/>
                <w:szCs w:val="20"/>
              </w:rPr>
              <w:t>of Fin</w:t>
            </w:r>
            <w:r w:rsidR="004E1E0A">
              <w:rPr>
                <w:rFonts w:eastAsia="Calibri" w:cs="Times New Roman"/>
                <w:i/>
                <w:sz w:val="20"/>
                <w:szCs w:val="20"/>
              </w:rPr>
              <w:t>a</w:t>
            </w:r>
            <w:r>
              <w:rPr>
                <w:rFonts w:eastAsia="Calibri" w:cs="Times New Roman"/>
                <w:i/>
                <w:sz w:val="20"/>
                <w:szCs w:val="20"/>
              </w:rPr>
              <w:t xml:space="preserve">nce for the Province of Ontario </w:t>
            </w:r>
            <w:r w:rsidR="004E1E0A" w:rsidRPr="003A74F5">
              <w:rPr>
                <w:rFonts w:eastAsia="Calibri" w:cs="Times New Roman"/>
                <w:sz w:val="20"/>
                <w:szCs w:val="20"/>
              </w:rPr>
              <w:t>(</w:t>
            </w:r>
            <w:r w:rsidR="004E1E0A">
              <w:rPr>
                <w:rFonts w:eastAsia="Calibri" w:cs="Times New Roman"/>
                <w:sz w:val="20"/>
                <w:szCs w:val="20"/>
              </w:rPr>
              <w:t>Ont</w:t>
            </w:r>
            <w:r w:rsidR="004E1E0A" w:rsidRPr="003A74F5">
              <w:rPr>
                <w:rFonts w:eastAsia="Calibri" w:cs="Times New Roman"/>
                <w:sz w:val="20"/>
                <w:szCs w:val="20"/>
              </w:rPr>
              <w:t>.) (Ci</w:t>
            </w:r>
            <w:r>
              <w:rPr>
                <w:rFonts w:eastAsia="Calibri" w:cs="Times New Roman"/>
                <w:sz w:val="20"/>
                <w:szCs w:val="20"/>
              </w:rPr>
              <w:t>v</w:t>
            </w:r>
            <w:r w:rsidR="004E1E0A" w:rsidRPr="003A74F5">
              <w:rPr>
                <w:rFonts w:eastAsia="Calibri" w:cs="Times New Roman"/>
                <w:sz w:val="20"/>
                <w:szCs w:val="20"/>
              </w:rPr>
              <w:t>il) (</w:t>
            </w:r>
            <w:r>
              <w:rPr>
                <w:rFonts w:eastAsia="Calibri" w:cs="Times New Roman"/>
                <w:sz w:val="20"/>
                <w:szCs w:val="20"/>
              </w:rPr>
              <w:t>By Leave</w:t>
            </w:r>
            <w:r w:rsidR="004E1E0A" w:rsidRPr="003A74F5">
              <w:rPr>
                <w:rFonts w:eastAsia="Calibri" w:cs="Times New Roman"/>
                <w:sz w:val="20"/>
                <w:szCs w:val="20"/>
              </w:rPr>
              <w:t>) (34</w:t>
            </w:r>
            <w:r>
              <w:rPr>
                <w:rFonts w:eastAsia="Calibri" w:cs="Times New Roman"/>
                <w:sz w:val="20"/>
                <w:szCs w:val="20"/>
              </w:rPr>
              <w:t>828</w:t>
            </w:r>
            <w:r w:rsidR="004E1E0A" w:rsidRPr="003A74F5">
              <w:rPr>
                <w:rFonts w:eastAsia="Calibri" w:cs="Times New Roman"/>
                <w:sz w:val="20"/>
                <w:szCs w:val="20"/>
              </w:rPr>
              <w:t>)</w:t>
            </w:r>
          </w:p>
          <w:p w:rsidR="004E1E0A" w:rsidRPr="003A74F5" w:rsidRDefault="004E1E0A" w:rsidP="00007C26">
            <w:pPr>
              <w:jc w:val="both"/>
              <w:rPr>
                <w:rFonts w:eastAsia="Calibri" w:cs="Times New Roman"/>
                <w:sz w:val="20"/>
                <w:szCs w:val="20"/>
              </w:rPr>
            </w:pPr>
          </w:p>
        </w:tc>
      </w:tr>
      <w:tr w:rsidR="004E1E0A" w:rsidRPr="00641B75" w:rsidTr="00642AEE">
        <w:trPr>
          <w:cantSplit/>
          <w:trHeight w:val="288"/>
        </w:trPr>
        <w:tc>
          <w:tcPr>
            <w:tcW w:w="2398" w:type="dxa"/>
          </w:tcPr>
          <w:p w:rsidR="004E1E0A" w:rsidRPr="003A74F5" w:rsidRDefault="004E1E0A" w:rsidP="00463A80">
            <w:pPr>
              <w:rPr>
                <w:rFonts w:eastAsia="Calibri" w:cs="Times New Roman"/>
                <w:sz w:val="20"/>
                <w:szCs w:val="20"/>
              </w:rPr>
            </w:pPr>
            <w:r w:rsidRPr="003A74F5">
              <w:rPr>
                <w:rFonts w:eastAsia="Calibri" w:cs="Times New Roman"/>
                <w:sz w:val="20"/>
                <w:szCs w:val="20"/>
              </w:rPr>
              <w:t>201</w:t>
            </w:r>
            <w:r w:rsidR="00463A80">
              <w:rPr>
                <w:rFonts w:eastAsia="Calibri" w:cs="Times New Roman"/>
                <w:sz w:val="20"/>
                <w:szCs w:val="20"/>
              </w:rPr>
              <w:t>3</w:t>
            </w:r>
            <w:r w:rsidRPr="003A74F5">
              <w:rPr>
                <w:rFonts w:eastAsia="Calibri" w:cs="Times New Roman"/>
                <w:sz w:val="20"/>
                <w:szCs w:val="20"/>
              </w:rPr>
              <w:t>-1</w:t>
            </w:r>
            <w:r>
              <w:rPr>
                <w:rFonts w:eastAsia="Calibri" w:cs="Times New Roman"/>
                <w:sz w:val="20"/>
                <w:szCs w:val="20"/>
              </w:rPr>
              <w:t>1</w:t>
            </w:r>
            <w:r w:rsidRPr="003A74F5">
              <w:rPr>
                <w:rFonts w:eastAsia="Calibri" w:cs="Times New Roman"/>
                <w:sz w:val="20"/>
                <w:szCs w:val="20"/>
              </w:rPr>
              <w:t>-</w:t>
            </w:r>
            <w:r>
              <w:rPr>
                <w:rFonts w:eastAsia="Calibri" w:cs="Times New Roman"/>
                <w:sz w:val="20"/>
                <w:szCs w:val="20"/>
              </w:rPr>
              <w:t>0</w:t>
            </w:r>
            <w:r w:rsidR="00387F1D">
              <w:rPr>
                <w:rFonts w:eastAsia="Calibri" w:cs="Times New Roman"/>
                <w:sz w:val="20"/>
                <w:szCs w:val="20"/>
              </w:rPr>
              <w:t>7</w:t>
            </w:r>
          </w:p>
        </w:tc>
        <w:tc>
          <w:tcPr>
            <w:tcW w:w="7178" w:type="dxa"/>
          </w:tcPr>
          <w:p w:rsidR="004E1E0A" w:rsidRPr="00641B75" w:rsidRDefault="00641B75" w:rsidP="00642AEE">
            <w:pPr>
              <w:jc w:val="both"/>
              <w:rPr>
                <w:rFonts w:eastAsia="Calibri" w:cs="Times New Roman"/>
                <w:sz w:val="20"/>
                <w:szCs w:val="20"/>
              </w:rPr>
            </w:pPr>
            <w:r w:rsidRPr="00641B75">
              <w:rPr>
                <w:rFonts w:eastAsia="Calibri" w:cs="Times New Roman"/>
                <w:i/>
                <w:sz w:val="20"/>
                <w:szCs w:val="20"/>
              </w:rPr>
              <w:t>Roger William, on his own behalf and on behalf of all other members of the Xeni Gwet’in First Nations Government and on behalf of all other members of the Tsilhqot’in Nation v</w:t>
            </w:r>
            <w:r w:rsidR="004E1E0A" w:rsidRPr="00641B75">
              <w:rPr>
                <w:rFonts w:eastAsia="Calibri" w:cs="Times New Roman"/>
                <w:i/>
                <w:sz w:val="20"/>
                <w:szCs w:val="20"/>
              </w:rPr>
              <w:t xml:space="preserve">. </w:t>
            </w:r>
            <w:r w:rsidRPr="0085047E">
              <w:rPr>
                <w:rFonts w:eastAsia="Calibri" w:cs="Times New Roman"/>
                <w:i/>
                <w:sz w:val="20"/>
                <w:szCs w:val="20"/>
              </w:rPr>
              <w:t>Her Majesty the Queen</w:t>
            </w:r>
            <w:r w:rsidRPr="00641B75">
              <w:rPr>
                <w:rFonts w:eastAsia="Calibri" w:cs="Times New Roman"/>
                <w:i/>
                <w:sz w:val="20"/>
                <w:szCs w:val="20"/>
              </w:rPr>
              <w:t xml:space="preserve"> </w:t>
            </w:r>
            <w:r>
              <w:rPr>
                <w:rFonts w:eastAsia="Calibri" w:cs="Times New Roman"/>
                <w:i/>
                <w:sz w:val="20"/>
                <w:szCs w:val="20"/>
              </w:rPr>
              <w:t xml:space="preserve">in Right of the Province of British Columbia and the Regional Manager of the Cariboo Forest Region et </w:t>
            </w:r>
            <w:r w:rsidR="004E1E0A" w:rsidRPr="00641B75">
              <w:rPr>
                <w:rFonts w:eastAsia="Calibri" w:cs="Times New Roman"/>
                <w:i/>
                <w:sz w:val="20"/>
                <w:szCs w:val="20"/>
              </w:rPr>
              <w:t>a</w:t>
            </w:r>
            <w:r>
              <w:rPr>
                <w:rFonts w:eastAsia="Calibri" w:cs="Times New Roman"/>
                <w:i/>
                <w:sz w:val="20"/>
                <w:szCs w:val="20"/>
              </w:rPr>
              <w:t>l.</w:t>
            </w:r>
            <w:r w:rsidR="004E1E0A" w:rsidRPr="00641B75">
              <w:rPr>
                <w:rFonts w:eastAsia="Calibri" w:cs="Times New Roman"/>
                <w:i/>
                <w:sz w:val="20"/>
                <w:szCs w:val="20"/>
              </w:rPr>
              <w:t xml:space="preserve"> </w:t>
            </w:r>
            <w:r w:rsidR="004E1E0A" w:rsidRPr="00641B75">
              <w:rPr>
                <w:rFonts w:eastAsia="Calibri" w:cs="Times New Roman"/>
                <w:sz w:val="20"/>
                <w:szCs w:val="20"/>
              </w:rPr>
              <w:t>(</w:t>
            </w:r>
            <w:r>
              <w:rPr>
                <w:rFonts w:eastAsia="Calibri" w:cs="Times New Roman"/>
                <w:sz w:val="20"/>
                <w:szCs w:val="20"/>
              </w:rPr>
              <w:t>B.C.</w:t>
            </w:r>
            <w:r w:rsidR="004E1E0A" w:rsidRPr="00641B75">
              <w:rPr>
                <w:rFonts w:eastAsia="Calibri" w:cs="Times New Roman"/>
                <w:sz w:val="20"/>
                <w:szCs w:val="20"/>
              </w:rPr>
              <w:t>) (Civil) (</w:t>
            </w:r>
            <w:r>
              <w:rPr>
                <w:rFonts w:eastAsia="Calibri" w:cs="Times New Roman"/>
                <w:sz w:val="20"/>
                <w:szCs w:val="20"/>
              </w:rPr>
              <w:t>By Leave</w:t>
            </w:r>
            <w:r w:rsidR="004E1E0A" w:rsidRPr="00641B75">
              <w:rPr>
                <w:rFonts w:eastAsia="Calibri" w:cs="Times New Roman"/>
                <w:sz w:val="20"/>
                <w:szCs w:val="20"/>
              </w:rPr>
              <w:t>) (34</w:t>
            </w:r>
            <w:r>
              <w:rPr>
                <w:rFonts w:eastAsia="Calibri" w:cs="Times New Roman"/>
                <w:sz w:val="20"/>
                <w:szCs w:val="20"/>
              </w:rPr>
              <w:t>986</w:t>
            </w:r>
            <w:r w:rsidR="004E1E0A" w:rsidRPr="00641B75">
              <w:rPr>
                <w:rFonts w:eastAsia="Calibri" w:cs="Times New Roman"/>
                <w:sz w:val="20"/>
                <w:szCs w:val="20"/>
              </w:rPr>
              <w:t>)</w:t>
            </w:r>
          </w:p>
          <w:p w:rsidR="008817C2" w:rsidRDefault="008817C2" w:rsidP="008817C2">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4E1E0A" w:rsidRPr="008817C2" w:rsidRDefault="004E1E0A" w:rsidP="00642AEE">
            <w:pPr>
              <w:jc w:val="both"/>
              <w:rPr>
                <w:rFonts w:eastAsia="Calibri" w:cs="Times New Roman"/>
                <w:sz w:val="20"/>
                <w:szCs w:val="20"/>
                <w:lang w:val="en-US"/>
              </w:rPr>
            </w:pPr>
          </w:p>
        </w:tc>
      </w:tr>
      <w:tr w:rsidR="004E1E0A" w:rsidRPr="00642AEE" w:rsidTr="00642AEE">
        <w:trPr>
          <w:cantSplit/>
          <w:trHeight w:val="288"/>
        </w:trPr>
        <w:tc>
          <w:tcPr>
            <w:tcW w:w="2398" w:type="dxa"/>
          </w:tcPr>
          <w:p w:rsidR="004E1E0A" w:rsidRPr="00216AEB" w:rsidRDefault="004E1E0A" w:rsidP="00463A80">
            <w:pPr>
              <w:rPr>
                <w:rFonts w:eastAsia="Calibri" w:cs="Times New Roman"/>
                <w:sz w:val="20"/>
                <w:szCs w:val="20"/>
                <w:lang w:val="fr-CA"/>
              </w:rPr>
            </w:pPr>
            <w:r w:rsidRPr="00216AEB">
              <w:rPr>
                <w:rFonts w:eastAsia="Calibri" w:cs="Times New Roman"/>
                <w:sz w:val="20"/>
                <w:szCs w:val="20"/>
                <w:lang w:val="fr-CA"/>
              </w:rPr>
              <w:t>201</w:t>
            </w:r>
            <w:r w:rsidR="00463A80">
              <w:rPr>
                <w:rFonts w:eastAsia="Calibri" w:cs="Times New Roman"/>
                <w:sz w:val="20"/>
                <w:szCs w:val="20"/>
                <w:lang w:val="fr-CA"/>
              </w:rPr>
              <w:t>3</w:t>
            </w:r>
            <w:r w:rsidRPr="00216AEB">
              <w:rPr>
                <w:rFonts w:eastAsia="Calibri" w:cs="Times New Roman"/>
                <w:sz w:val="20"/>
                <w:szCs w:val="20"/>
                <w:lang w:val="fr-CA"/>
              </w:rPr>
              <w:t>-11-08</w:t>
            </w:r>
          </w:p>
        </w:tc>
        <w:tc>
          <w:tcPr>
            <w:tcW w:w="7178" w:type="dxa"/>
          </w:tcPr>
          <w:p w:rsidR="004E1E0A" w:rsidRDefault="00641B75" w:rsidP="00642AEE">
            <w:pPr>
              <w:jc w:val="both"/>
              <w:rPr>
                <w:rFonts w:eastAsia="Calibri" w:cs="Times New Roman"/>
                <w:sz w:val="20"/>
                <w:szCs w:val="20"/>
                <w:lang w:val="fr-CA"/>
              </w:rPr>
            </w:pPr>
            <w:r w:rsidRPr="00641B75">
              <w:rPr>
                <w:rFonts w:eastAsia="Calibri" w:cs="Times New Roman"/>
                <w:i/>
                <w:sz w:val="20"/>
                <w:szCs w:val="20"/>
              </w:rPr>
              <w:t>Crai</w:t>
            </w:r>
            <w:r w:rsidR="004E1E0A" w:rsidRPr="00641B75">
              <w:rPr>
                <w:rFonts w:eastAsia="Calibri" w:cs="Times New Roman"/>
                <w:i/>
                <w:sz w:val="20"/>
                <w:szCs w:val="20"/>
              </w:rPr>
              <w:t>g</w:t>
            </w:r>
            <w:r w:rsidRPr="00641B75">
              <w:rPr>
                <w:rFonts w:eastAsia="Calibri" w:cs="Times New Roman"/>
                <w:i/>
                <w:sz w:val="20"/>
                <w:szCs w:val="20"/>
              </w:rPr>
              <w:t xml:space="preserve"> Jar</w:t>
            </w:r>
            <w:r w:rsidR="004E1E0A" w:rsidRPr="00641B75">
              <w:rPr>
                <w:rFonts w:eastAsia="Calibri" w:cs="Times New Roman"/>
                <w:i/>
                <w:sz w:val="20"/>
                <w:szCs w:val="20"/>
              </w:rPr>
              <w:t>e</w:t>
            </w:r>
            <w:r w:rsidRPr="00641B75">
              <w:rPr>
                <w:rFonts w:eastAsia="Calibri" w:cs="Times New Roman"/>
                <w:i/>
                <w:sz w:val="20"/>
                <w:szCs w:val="20"/>
              </w:rPr>
              <w:t>t</w:t>
            </w:r>
            <w:r w:rsidR="004E1E0A" w:rsidRPr="00641B75">
              <w:rPr>
                <w:rFonts w:eastAsia="Calibri" w:cs="Times New Roman"/>
                <w:i/>
                <w:sz w:val="20"/>
                <w:szCs w:val="20"/>
              </w:rPr>
              <w:t xml:space="preserve"> </w:t>
            </w:r>
            <w:r w:rsidRPr="00641B75">
              <w:rPr>
                <w:rFonts w:eastAsia="Calibri" w:cs="Times New Roman"/>
                <w:i/>
                <w:sz w:val="20"/>
                <w:szCs w:val="20"/>
              </w:rPr>
              <w:t>H</w:t>
            </w:r>
            <w:r w:rsidR="004E1E0A" w:rsidRPr="00641B75">
              <w:rPr>
                <w:rFonts w:eastAsia="Calibri" w:cs="Times New Roman"/>
                <w:i/>
                <w:sz w:val="20"/>
                <w:szCs w:val="20"/>
              </w:rPr>
              <w:t>u</w:t>
            </w:r>
            <w:r w:rsidRPr="00641B75">
              <w:rPr>
                <w:rFonts w:eastAsia="Calibri" w:cs="Times New Roman"/>
                <w:i/>
                <w:sz w:val="20"/>
                <w:szCs w:val="20"/>
              </w:rPr>
              <w:t>tchinson</w:t>
            </w:r>
            <w:r w:rsidR="004E1E0A" w:rsidRPr="00641B75">
              <w:rPr>
                <w:rFonts w:eastAsia="Calibri" w:cs="Times New Roman"/>
                <w:i/>
                <w:sz w:val="20"/>
                <w:szCs w:val="20"/>
              </w:rPr>
              <w:t xml:space="preserve"> </w:t>
            </w:r>
            <w:r w:rsidRPr="00641B75">
              <w:rPr>
                <w:rFonts w:eastAsia="Calibri" w:cs="Times New Roman"/>
                <w:i/>
                <w:sz w:val="20"/>
                <w:szCs w:val="20"/>
              </w:rPr>
              <w:t>v</w:t>
            </w:r>
            <w:r w:rsidR="004E1E0A" w:rsidRPr="00641B75">
              <w:rPr>
                <w:rFonts w:eastAsia="Calibri" w:cs="Times New Roman"/>
                <w:i/>
                <w:sz w:val="20"/>
                <w:szCs w:val="20"/>
              </w:rPr>
              <w:t xml:space="preserve">. </w:t>
            </w:r>
            <w:r w:rsidRPr="0085047E">
              <w:rPr>
                <w:rFonts w:eastAsia="Calibri" w:cs="Times New Roman"/>
                <w:i/>
                <w:sz w:val="20"/>
                <w:szCs w:val="20"/>
              </w:rPr>
              <w:t>Her Majesty the Queen</w:t>
            </w:r>
            <w:r w:rsidRPr="0085047E">
              <w:rPr>
                <w:rFonts w:eastAsia="Calibri" w:cs="Times New Roman"/>
                <w:sz w:val="20"/>
                <w:szCs w:val="20"/>
              </w:rPr>
              <w:t xml:space="preserve"> (</w:t>
            </w:r>
            <w:r>
              <w:rPr>
                <w:rFonts w:eastAsia="Calibri" w:cs="Times New Roman"/>
                <w:sz w:val="20"/>
                <w:szCs w:val="20"/>
              </w:rPr>
              <w:t>N.S</w:t>
            </w:r>
            <w:r w:rsidRPr="0085047E">
              <w:rPr>
                <w:rFonts w:eastAsia="Calibri" w:cs="Times New Roman"/>
                <w:sz w:val="20"/>
                <w:szCs w:val="20"/>
              </w:rPr>
              <w:t xml:space="preserve">.) </w:t>
            </w:r>
            <w:r w:rsidRPr="00387F1D">
              <w:rPr>
                <w:rFonts w:eastAsia="Calibri" w:cs="Times New Roman"/>
                <w:sz w:val="20"/>
                <w:szCs w:val="20"/>
              </w:rPr>
              <w:t xml:space="preserve">(Criminal) (As of Right) </w:t>
            </w:r>
            <w:r w:rsidR="004E1E0A" w:rsidRPr="00216AEB">
              <w:rPr>
                <w:rFonts w:eastAsia="Calibri" w:cs="Times New Roman"/>
                <w:sz w:val="20"/>
                <w:szCs w:val="20"/>
                <w:lang w:val="fr-CA"/>
              </w:rPr>
              <w:t>(3</w:t>
            </w:r>
            <w:r>
              <w:rPr>
                <w:rFonts w:eastAsia="Calibri" w:cs="Times New Roman"/>
                <w:sz w:val="20"/>
                <w:szCs w:val="20"/>
                <w:lang w:val="fr-CA"/>
              </w:rPr>
              <w:t>5176</w:t>
            </w:r>
            <w:r w:rsidR="004E1E0A" w:rsidRPr="00216AEB">
              <w:rPr>
                <w:rFonts w:eastAsia="Calibri" w:cs="Times New Roman"/>
                <w:sz w:val="20"/>
                <w:szCs w:val="20"/>
                <w:lang w:val="fr-CA"/>
              </w:rPr>
              <w:t>)</w:t>
            </w:r>
          </w:p>
          <w:p w:rsidR="004E1E0A" w:rsidRPr="00216AEB" w:rsidRDefault="004E1E0A" w:rsidP="00642AEE">
            <w:pPr>
              <w:jc w:val="both"/>
              <w:rPr>
                <w:rFonts w:eastAsia="Calibri" w:cs="Times New Roman"/>
                <w:sz w:val="20"/>
                <w:szCs w:val="20"/>
                <w:lang w:val="fr-CA"/>
              </w:rPr>
            </w:pPr>
          </w:p>
        </w:tc>
      </w:tr>
      <w:tr w:rsidR="004E1E0A" w:rsidRPr="00216AEB" w:rsidTr="00642AEE">
        <w:trPr>
          <w:cantSplit/>
          <w:trHeight w:val="288"/>
        </w:trPr>
        <w:tc>
          <w:tcPr>
            <w:tcW w:w="2398" w:type="dxa"/>
          </w:tcPr>
          <w:p w:rsidR="004E1E0A" w:rsidRPr="00216AEB" w:rsidRDefault="004E1E0A" w:rsidP="00463A80">
            <w:pPr>
              <w:rPr>
                <w:rFonts w:eastAsia="Calibri" w:cs="Times New Roman"/>
                <w:sz w:val="20"/>
                <w:szCs w:val="20"/>
                <w:lang w:val="fr-CA"/>
              </w:rPr>
            </w:pPr>
            <w:r w:rsidRPr="00216AEB">
              <w:rPr>
                <w:rFonts w:eastAsia="Calibri" w:cs="Times New Roman"/>
                <w:sz w:val="20"/>
                <w:szCs w:val="20"/>
                <w:lang w:val="fr-CA"/>
              </w:rPr>
              <w:t>201</w:t>
            </w:r>
            <w:r w:rsidR="00463A80">
              <w:rPr>
                <w:rFonts w:eastAsia="Calibri" w:cs="Times New Roman"/>
                <w:sz w:val="20"/>
                <w:szCs w:val="20"/>
                <w:lang w:val="fr-CA"/>
              </w:rPr>
              <w:t>3</w:t>
            </w:r>
            <w:r w:rsidRPr="00216AEB">
              <w:rPr>
                <w:rFonts w:eastAsia="Calibri" w:cs="Times New Roman"/>
                <w:sz w:val="20"/>
                <w:szCs w:val="20"/>
                <w:lang w:val="fr-CA"/>
              </w:rPr>
              <w:t>-11-0</w:t>
            </w:r>
            <w:r w:rsidR="00387F1D">
              <w:rPr>
                <w:rFonts w:eastAsia="Calibri" w:cs="Times New Roman"/>
                <w:sz w:val="20"/>
                <w:szCs w:val="20"/>
                <w:lang w:val="fr-CA"/>
              </w:rPr>
              <w:t>8</w:t>
            </w:r>
          </w:p>
        </w:tc>
        <w:tc>
          <w:tcPr>
            <w:tcW w:w="7178" w:type="dxa"/>
          </w:tcPr>
          <w:p w:rsidR="004E1E0A" w:rsidRPr="00387F1D" w:rsidRDefault="00641B75" w:rsidP="00642AEE">
            <w:pPr>
              <w:jc w:val="both"/>
              <w:rPr>
                <w:rFonts w:eastAsia="Calibri" w:cs="Times New Roman"/>
                <w:sz w:val="20"/>
                <w:szCs w:val="20"/>
              </w:rPr>
            </w:pPr>
            <w:r>
              <w:rPr>
                <w:rFonts w:eastAsia="Calibri" w:cs="Times New Roman"/>
                <w:i/>
                <w:sz w:val="20"/>
                <w:szCs w:val="20"/>
              </w:rPr>
              <w:t>Ajitpal Singh Sekhon</w:t>
            </w:r>
            <w:r w:rsidR="004E1E0A" w:rsidRPr="0085047E">
              <w:rPr>
                <w:rFonts w:eastAsia="Calibri" w:cs="Times New Roman"/>
                <w:i/>
                <w:sz w:val="20"/>
                <w:szCs w:val="20"/>
              </w:rPr>
              <w:t xml:space="preserve"> v. Her Majesty the Queen</w:t>
            </w:r>
            <w:r w:rsidR="004E1E0A" w:rsidRPr="0085047E">
              <w:rPr>
                <w:rFonts w:eastAsia="Calibri" w:cs="Times New Roman"/>
                <w:sz w:val="20"/>
                <w:szCs w:val="20"/>
              </w:rPr>
              <w:t xml:space="preserve"> (</w:t>
            </w:r>
            <w:r>
              <w:rPr>
                <w:rFonts w:eastAsia="Calibri" w:cs="Times New Roman"/>
                <w:sz w:val="20"/>
                <w:szCs w:val="20"/>
              </w:rPr>
              <w:t>B</w:t>
            </w:r>
            <w:r w:rsidR="004E1E0A" w:rsidRPr="0085047E">
              <w:rPr>
                <w:rFonts w:eastAsia="Calibri" w:cs="Times New Roman"/>
                <w:sz w:val="20"/>
                <w:szCs w:val="20"/>
              </w:rPr>
              <w:t>.</w:t>
            </w:r>
            <w:r>
              <w:rPr>
                <w:rFonts w:eastAsia="Calibri" w:cs="Times New Roman"/>
                <w:sz w:val="20"/>
                <w:szCs w:val="20"/>
              </w:rPr>
              <w:t>C.</w:t>
            </w:r>
            <w:r w:rsidR="004E1E0A" w:rsidRPr="0085047E">
              <w:rPr>
                <w:rFonts w:eastAsia="Calibri" w:cs="Times New Roman"/>
                <w:sz w:val="20"/>
                <w:szCs w:val="20"/>
              </w:rPr>
              <w:t xml:space="preserve">) </w:t>
            </w:r>
            <w:r w:rsidR="004E1E0A" w:rsidRPr="00387F1D">
              <w:rPr>
                <w:rFonts w:eastAsia="Calibri" w:cs="Times New Roman"/>
                <w:sz w:val="20"/>
                <w:szCs w:val="20"/>
              </w:rPr>
              <w:t>(Criminal) (As of Right) (3</w:t>
            </w:r>
            <w:r w:rsidR="00463A80">
              <w:rPr>
                <w:rFonts w:eastAsia="Calibri" w:cs="Times New Roman"/>
                <w:sz w:val="20"/>
                <w:szCs w:val="20"/>
              </w:rPr>
              <w:t>51</w:t>
            </w:r>
            <w:r w:rsidR="004E1E0A" w:rsidRPr="00387F1D">
              <w:rPr>
                <w:rFonts w:eastAsia="Calibri" w:cs="Times New Roman"/>
                <w:sz w:val="20"/>
                <w:szCs w:val="20"/>
              </w:rPr>
              <w:t>80)</w:t>
            </w:r>
          </w:p>
          <w:p w:rsidR="004E1E0A" w:rsidRPr="00387F1D" w:rsidRDefault="004E1E0A" w:rsidP="00642AEE">
            <w:pPr>
              <w:jc w:val="both"/>
              <w:rPr>
                <w:rFonts w:eastAsia="Calibri" w:cs="Times New Roman"/>
                <w:sz w:val="20"/>
                <w:szCs w:val="20"/>
              </w:rPr>
            </w:pPr>
          </w:p>
        </w:tc>
      </w:tr>
      <w:tr w:rsidR="004E1E0A" w:rsidRPr="003A74F5" w:rsidTr="00642AEE">
        <w:trPr>
          <w:cantSplit/>
          <w:trHeight w:val="288"/>
        </w:trPr>
        <w:tc>
          <w:tcPr>
            <w:tcW w:w="2398" w:type="dxa"/>
          </w:tcPr>
          <w:p w:rsidR="004E1E0A" w:rsidRDefault="004E1E0A" w:rsidP="00463A80">
            <w:pPr>
              <w:rPr>
                <w:rFonts w:eastAsia="Calibri" w:cs="Times New Roman"/>
                <w:sz w:val="20"/>
                <w:szCs w:val="20"/>
              </w:rPr>
            </w:pPr>
            <w:r w:rsidRPr="003A74F5">
              <w:rPr>
                <w:rFonts w:eastAsia="Calibri" w:cs="Times New Roman"/>
                <w:sz w:val="20"/>
                <w:szCs w:val="20"/>
              </w:rPr>
              <w:t>201</w:t>
            </w:r>
            <w:r w:rsidR="00463A80">
              <w:rPr>
                <w:rFonts w:eastAsia="Calibri" w:cs="Times New Roman"/>
                <w:sz w:val="20"/>
                <w:szCs w:val="20"/>
              </w:rPr>
              <w:t>3</w:t>
            </w:r>
            <w:r w:rsidRPr="003A74F5">
              <w:rPr>
                <w:rFonts w:eastAsia="Calibri" w:cs="Times New Roman"/>
                <w:sz w:val="20"/>
                <w:szCs w:val="20"/>
              </w:rPr>
              <w:t>-1</w:t>
            </w:r>
            <w:r>
              <w:rPr>
                <w:rFonts w:eastAsia="Calibri" w:cs="Times New Roman"/>
                <w:sz w:val="20"/>
                <w:szCs w:val="20"/>
              </w:rPr>
              <w:t>1</w:t>
            </w:r>
            <w:r w:rsidRPr="003A74F5">
              <w:rPr>
                <w:rFonts w:eastAsia="Calibri" w:cs="Times New Roman"/>
                <w:sz w:val="20"/>
                <w:szCs w:val="20"/>
              </w:rPr>
              <w:t>-1</w:t>
            </w:r>
            <w:r w:rsidR="00463A80">
              <w:rPr>
                <w:rFonts w:eastAsia="Calibri" w:cs="Times New Roman"/>
                <w:sz w:val="20"/>
                <w:szCs w:val="20"/>
              </w:rPr>
              <w:t>2</w:t>
            </w:r>
          </w:p>
          <w:p w:rsidR="00463A80" w:rsidRDefault="00463A80" w:rsidP="00463A80">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-1</w:t>
            </w:r>
            <w:r>
              <w:rPr>
                <w:rFonts w:eastAsia="Calibri" w:cs="Times New Roman"/>
                <w:sz w:val="20"/>
                <w:szCs w:val="20"/>
              </w:rPr>
              <w:t>1</w:t>
            </w:r>
            <w:r w:rsidRPr="003A74F5">
              <w:rPr>
                <w:rFonts w:eastAsia="Calibri" w:cs="Times New Roman"/>
                <w:sz w:val="20"/>
                <w:szCs w:val="20"/>
              </w:rPr>
              <w:t>-1</w:t>
            </w:r>
            <w:r>
              <w:rPr>
                <w:rFonts w:eastAsia="Calibri" w:cs="Times New Roman"/>
                <w:sz w:val="20"/>
                <w:szCs w:val="20"/>
              </w:rPr>
              <w:t>3</w:t>
            </w:r>
          </w:p>
          <w:p w:rsidR="00463A80" w:rsidRPr="003A74F5" w:rsidRDefault="00463A80" w:rsidP="00463A80">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-1</w:t>
            </w:r>
            <w:r>
              <w:rPr>
                <w:rFonts w:eastAsia="Calibri" w:cs="Times New Roman"/>
                <w:sz w:val="20"/>
                <w:szCs w:val="20"/>
              </w:rPr>
              <w:t>1</w:t>
            </w:r>
            <w:r w:rsidRPr="003A74F5">
              <w:rPr>
                <w:rFonts w:eastAsia="Calibri" w:cs="Times New Roman"/>
                <w:sz w:val="20"/>
                <w:szCs w:val="20"/>
              </w:rPr>
              <w:t>-1</w:t>
            </w:r>
            <w:r>
              <w:rPr>
                <w:rFonts w:eastAsia="Calibri" w:cs="Times New Roman"/>
                <w:sz w:val="20"/>
                <w:szCs w:val="20"/>
              </w:rPr>
              <w:t>4</w:t>
            </w:r>
          </w:p>
        </w:tc>
        <w:tc>
          <w:tcPr>
            <w:tcW w:w="7178" w:type="dxa"/>
          </w:tcPr>
          <w:p w:rsidR="004E1E0A" w:rsidRDefault="00463A80" w:rsidP="00642AEE">
            <w:pPr>
              <w:jc w:val="both"/>
              <w:rPr>
                <w:rFonts w:eastAsia="Calibri" w:cs="Times New Roman"/>
                <w:sz w:val="20"/>
                <w:szCs w:val="20"/>
              </w:rPr>
            </w:pPr>
            <w:r>
              <w:rPr>
                <w:rFonts w:eastAsia="Calibri" w:cs="Times New Roman"/>
                <w:i/>
                <w:sz w:val="20"/>
                <w:szCs w:val="20"/>
              </w:rPr>
              <w:t>In the Matter of a Reference by the Governor in C</w:t>
            </w:r>
            <w:r w:rsidR="004E1E0A" w:rsidRPr="0085047E">
              <w:rPr>
                <w:rFonts w:eastAsia="Calibri" w:cs="Times New Roman"/>
                <w:i/>
                <w:sz w:val="20"/>
                <w:szCs w:val="20"/>
              </w:rPr>
              <w:t>ou</w:t>
            </w:r>
            <w:r>
              <w:rPr>
                <w:rFonts w:eastAsia="Calibri" w:cs="Times New Roman"/>
                <w:i/>
                <w:sz w:val="20"/>
                <w:szCs w:val="20"/>
              </w:rPr>
              <w:t>ncil concerning reform of the Sen</w:t>
            </w:r>
            <w:r w:rsidR="004E1E0A" w:rsidRPr="0085047E">
              <w:rPr>
                <w:rFonts w:eastAsia="Calibri" w:cs="Times New Roman"/>
                <w:i/>
                <w:sz w:val="20"/>
                <w:szCs w:val="20"/>
              </w:rPr>
              <w:t>a</w:t>
            </w:r>
            <w:r>
              <w:rPr>
                <w:rFonts w:eastAsia="Calibri" w:cs="Times New Roman"/>
                <w:i/>
                <w:sz w:val="20"/>
                <w:szCs w:val="20"/>
              </w:rPr>
              <w:t>te, as set out in Order P.C. 2013-70, dated February 1, 2013 / Dans l’a</w:t>
            </w:r>
            <w:r w:rsidR="004E1E0A" w:rsidRPr="0085047E">
              <w:rPr>
                <w:rFonts w:eastAsia="Calibri" w:cs="Times New Roman"/>
                <w:i/>
                <w:sz w:val="20"/>
                <w:szCs w:val="20"/>
              </w:rPr>
              <w:t>f</w:t>
            </w:r>
            <w:r>
              <w:rPr>
                <w:rFonts w:eastAsia="Calibri" w:cs="Times New Roman"/>
                <w:i/>
                <w:sz w:val="20"/>
                <w:szCs w:val="20"/>
              </w:rPr>
              <w:t>f</w:t>
            </w:r>
            <w:r w:rsidR="004E1E0A" w:rsidRPr="0085047E">
              <w:rPr>
                <w:rFonts w:eastAsia="Calibri" w:cs="Times New Roman"/>
                <w:i/>
                <w:sz w:val="20"/>
                <w:szCs w:val="20"/>
              </w:rPr>
              <w:t>a</w:t>
            </w:r>
            <w:r>
              <w:rPr>
                <w:rFonts w:eastAsia="Calibri" w:cs="Times New Roman"/>
                <w:i/>
                <w:sz w:val="20"/>
                <w:szCs w:val="20"/>
              </w:rPr>
              <w:t>ire d’u</w:t>
            </w:r>
            <w:r w:rsidR="004E1E0A" w:rsidRPr="0085047E">
              <w:rPr>
                <w:rFonts w:eastAsia="Calibri" w:cs="Times New Roman"/>
                <w:i/>
                <w:sz w:val="20"/>
                <w:szCs w:val="20"/>
              </w:rPr>
              <w:t>n</w:t>
            </w:r>
            <w:r>
              <w:rPr>
                <w:rFonts w:eastAsia="Calibri" w:cs="Times New Roman"/>
                <w:i/>
                <w:sz w:val="20"/>
                <w:szCs w:val="20"/>
              </w:rPr>
              <w:t xml:space="preserve"> re</w:t>
            </w:r>
            <w:r w:rsidR="004E1E0A" w:rsidRPr="0085047E">
              <w:rPr>
                <w:rFonts w:eastAsia="Calibri" w:cs="Times New Roman"/>
                <w:i/>
                <w:sz w:val="20"/>
                <w:szCs w:val="20"/>
              </w:rPr>
              <w:t>n</w:t>
            </w:r>
            <w:r>
              <w:rPr>
                <w:rFonts w:eastAsia="Calibri" w:cs="Times New Roman"/>
                <w:i/>
                <w:sz w:val="20"/>
                <w:szCs w:val="20"/>
              </w:rPr>
              <w:t>voi par le Gouverneur en conseil concern</w:t>
            </w:r>
            <w:r w:rsidR="004E1E0A" w:rsidRPr="0085047E">
              <w:rPr>
                <w:rFonts w:eastAsia="Calibri" w:cs="Times New Roman"/>
                <w:i/>
                <w:sz w:val="20"/>
                <w:szCs w:val="20"/>
              </w:rPr>
              <w:t>a</w:t>
            </w:r>
            <w:r>
              <w:rPr>
                <w:rFonts w:eastAsia="Calibri" w:cs="Times New Roman"/>
                <w:i/>
                <w:sz w:val="20"/>
                <w:szCs w:val="20"/>
              </w:rPr>
              <w:t xml:space="preserve">nt la réforme du Sénat tel que formulé dans le décret </w:t>
            </w:r>
            <w:r w:rsidR="004E1E0A" w:rsidRPr="0085047E">
              <w:rPr>
                <w:rFonts w:eastAsia="Calibri" w:cs="Times New Roman"/>
                <w:i/>
                <w:sz w:val="20"/>
                <w:szCs w:val="20"/>
              </w:rPr>
              <w:t>C</w:t>
            </w:r>
            <w:r>
              <w:rPr>
                <w:rFonts w:eastAsia="Calibri" w:cs="Times New Roman"/>
                <w:i/>
                <w:sz w:val="20"/>
                <w:szCs w:val="20"/>
              </w:rPr>
              <w:t xml:space="preserve">.P. 2013-70 en date du </w:t>
            </w:r>
            <w:r w:rsidRPr="00463A80">
              <w:rPr>
                <w:rFonts w:eastAsia="Calibri" w:cs="Times New Roman"/>
                <w:i/>
                <w:sz w:val="20"/>
                <w:szCs w:val="20"/>
              </w:rPr>
              <w:t>1</w:t>
            </w:r>
            <w:r w:rsidRPr="00463A80">
              <w:rPr>
                <w:rFonts w:eastAsia="Calibri" w:cs="Times New Roman"/>
                <w:i/>
                <w:sz w:val="20"/>
                <w:szCs w:val="20"/>
                <w:vertAlign w:val="superscript"/>
              </w:rPr>
              <w:t>er</w:t>
            </w:r>
            <w:r>
              <w:rPr>
                <w:rFonts w:eastAsia="Calibri" w:cs="Times New Roman"/>
                <w:i/>
                <w:sz w:val="20"/>
                <w:szCs w:val="20"/>
              </w:rPr>
              <w:t xml:space="preserve"> février 2013 </w:t>
            </w:r>
            <w:r w:rsidR="004E1E0A" w:rsidRPr="003A74F5">
              <w:rPr>
                <w:rFonts w:eastAsia="Calibri" w:cs="Times New Roman"/>
                <w:sz w:val="20"/>
                <w:szCs w:val="20"/>
              </w:rPr>
              <w:t>(</w:t>
            </w:r>
            <w:r>
              <w:rPr>
                <w:rFonts w:eastAsia="Calibri" w:cs="Times New Roman"/>
                <w:sz w:val="20"/>
                <w:szCs w:val="20"/>
              </w:rPr>
              <w:t>Can</w:t>
            </w:r>
            <w:r w:rsidR="004E1E0A" w:rsidRPr="003A74F5">
              <w:rPr>
                <w:rFonts w:eastAsia="Calibri" w:cs="Times New Roman"/>
                <w:sz w:val="20"/>
                <w:szCs w:val="20"/>
              </w:rPr>
              <w:t>.) (Civil) (</w:t>
            </w:r>
            <w:r>
              <w:rPr>
                <w:rFonts w:eastAsia="Calibri" w:cs="Times New Roman"/>
                <w:sz w:val="20"/>
                <w:szCs w:val="20"/>
              </w:rPr>
              <w:t>Reference</w:t>
            </w:r>
            <w:r w:rsidR="004E1E0A" w:rsidRPr="003A74F5">
              <w:rPr>
                <w:rFonts w:eastAsia="Calibri" w:cs="Times New Roman"/>
                <w:sz w:val="20"/>
                <w:szCs w:val="20"/>
              </w:rPr>
              <w:t>) (3</w:t>
            </w:r>
            <w:r>
              <w:rPr>
                <w:rFonts w:eastAsia="Calibri" w:cs="Times New Roman"/>
                <w:sz w:val="20"/>
                <w:szCs w:val="20"/>
              </w:rPr>
              <w:t>52</w:t>
            </w:r>
            <w:r w:rsidR="004E1E0A">
              <w:rPr>
                <w:rFonts w:eastAsia="Calibri" w:cs="Times New Roman"/>
                <w:sz w:val="20"/>
                <w:szCs w:val="20"/>
              </w:rPr>
              <w:t>0</w:t>
            </w:r>
            <w:r>
              <w:rPr>
                <w:rFonts w:eastAsia="Calibri" w:cs="Times New Roman"/>
                <w:sz w:val="20"/>
                <w:szCs w:val="20"/>
              </w:rPr>
              <w:t>3</w:t>
            </w:r>
            <w:r w:rsidR="004E1E0A" w:rsidRPr="003A74F5">
              <w:rPr>
                <w:rFonts w:eastAsia="Calibri" w:cs="Times New Roman"/>
                <w:sz w:val="20"/>
                <w:szCs w:val="20"/>
              </w:rPr>
              <w:t>)</w:t>
            </w:r>
          </w:p>
          <w:p w:rsidR="004E1E0A" w:rsidRPr="003A74F5" w:rsidRDefault="004E1E0A" w:rsidP="00642AEE">
            <w:pPr>
              <w:jc w:val="both"/>
              <w:rPr>
                <w:rFonts w:eastAsia="Calibri" w:cs="Times New Roman"/>
                <w:sz w:val="20"/>
                <w:szCs w:val="20"/>
              </w:rPr>
            </w:pPr>
          </w:p>
        </w:tc>
      </w:tr>
      <w:tr w:rsidR="004E1E0A" w:rsidRPr="003A74F5" w:rsidTr="00642AEE">
        <w:trPr>
          <w:cantSplit/>
          <w:trHeight w:val="288"/>
        </w:trPr>
        <w:tc>
          <w:tcPr>
            <w:tcW w:w="2398" w:type="dxa"/>
          </w:tcPr>
          <w:p w:rsidR="004E1E0A" w:rsidRPr="003A74F5" w:rsidRDefault="004E1E0A" w:rsidP="00463A80">
            <w:pPr>
              <w:rPr>
                <w:rFonts w:eastAsia="Calibri" w:cs="Times New Roman"/>
                <w:sz w:val="20"/>
                <w:szCs w:val="20"/>
              </w:rPr>
            </w:pPr>
            <w:r w:rsidRPr="003A74F5">
              <w:rPr>
                <w:rFonts w:eastAsia="Calibri" w:cs="Times New Roman"/>
                <w:sz w:val="20"/>
                <w:szCs w:val="20"/>
              </w:rPr>
              <w:t>201</w:t>
            </w:r>
            <w:r w:rsidR="00463A80">
              <w:rPr>
                <w:rFonts w:eastAsia="Calibri" w:cs="Times New Roman"/>
                <w:sz w:val="20"/>
                <w:szCs w:val="20"/>
              </w:rPr>
              <w:t>3</w:t>
            </w:r>
            <w:r w:rsidRPr="003A74F5">
              <w:rPr>
                <w:rFonts w:eastAsia="Calibri" w:cs="Times New Roman"/>
                <w:sz w:val="20"/>
                <w:szCs w:val="20"/>
              </w:rPr>
              <w:t>-1</w:t>
            </w:r>
            <w:r>
              <w:rPr>
                <w:rFonts w:eastAsia="Calibri" w:cs="Times New Roman"/>
                <w:sz w:val="20"/>
                <w:szCs w:val="20"/>
              </w:rPr>
              <w:t>1</w:t>
            </w:r>
            <w:r w:rsidRPr="003A74F5">
              <w:rPr>
                <w:rFonts w:eastAsia="Calibri" w:cs="Times New Roman"/>
                <w:sz w:val="20"/>
                <w:szCs w:val="20"/>
              </w:rPr>
              <w:t>-1</w:t>
            </w:r>
            <w:r w:rsidR="00463A80">
              <w:rPr>
                <w:rFonts w:eastAsia="Calibri" w:cs="Times New Roman"/>
                <w:sz w:val="20"/>
                <w:szCs w:val="20"/>
              </w:rPr>
              <w:t>5</w:t>
            </w:r>
          </w:p>
        </w:tc>
        <w:tc>
          <w:tcPr>
            <w:tcW w:w="7178" w:type="dxa"/>
          </w:tcPr>
          <w:p w:rsidR="004E1E0A" w:rsidRPr="003A74F5" w:rsidRDefault="00463A80" w:rsidP="008817C2">
            <w:pPr>
              <w:jc w:val="both"/>
              <w:rPr>
                <w:rFonts w:eastAsia="Calibri" w:cs="Times New Roman"/>
                <w:sz w:val="20"/>
                <w:szCs w:val="20"/>
              </w:rPr>
            </w:pPr>
            <w:r w:rsidRPr="001E2B5C">
              <w:rPr>
                <w:rFonts w:eastAsia="Calibri" w:cs="Times New Roman"/>
                <w:i/>
                <w:sz w:val="20"/>
                <w:szCs w:val="20"/>
                <w:lang w:val="fr-CA"/>
              </w:rPr>
              <w:t xml:space="preserve">Peracomo Inc. et al. </w:t>
            </w:r>
            <w:r w:rsidR="004E1E0A" w:rsidRPr="001E2B5C">
              <w:rPr>
                <w:rFonts w:eastAsia="Calibri" w:cs="Times New Roman"/>
                <w:i/>
                <w:sz w:val="20"/>
                <w:szCs w:val="20"/>
                <w:lang w:val="fr-CA"/>
              </w:rPr>
              <w:t xml:space="preserve">v. </w:t>
            </w:r>
            <w:r w:rsidR="002E7C57" w:rsidRPr="001E2B5C">
              <w:rPr>
                <w:rFonts w:eastAsia="Calibri" w:cs="Times New Roman"/>
                <w:i/>
                <w:sz w:val="20"/>
                <w:szCs w:val="20"/>
                <w:lang w:val="fr-CA"/>
              </w:rPr>
              <w:t>T</w:t>
            </w:r>
            <w:r w:rsidR="004E1E0A" w:rsidRPr="001E2B5C">
              <w:rPr>
                <w:rFonts w:eastAsia="Calibri" w:cs="Times New Roman"/>
                <w:i/>
                <w:sz w:val="20"/>
                <w:szCs w:val="20"/>
                <w:lang w:val="fr-CA"/>
              </w:rPr>
              <w:t>e</w:t>
            </w:r>
            <w:r w:rsidR="002E7C57" w:rsidRPr="001E2B5C">
              <w:rPr>
                <w:rFonts w:eastAsia="Calibri" w:cs="Times New Roman"/>
                <w:i/>
                <w:sz w:val="20"/>
                <w:szCs w:val="20"/>
                <w:lang w:val="fr-CA"/>
              </w:rPr>
              <w:t>lu</w:t>
            </w:r>
            <w:r w:rsidR="004E1E0A" w:rsidRPr="001E2B5C">
              <w:rPr>
                <w:rFonts w:eastAsia="Calibri" w:cs="Times New Roman"/>
                <w:i/>
                <w:sz w:val="20"/>
                <w:szCs w:val="20"/>
                <w:lang w:val="fr-CA"/>
              </w:rPr>
              <w:t>s</w:t>
            </w:r>
            <w:r w:rsidR="002E7C57" w:rsidRPr="001E2B5C">
              <w:rPr>
                <w:rFonts w:eastAsia="Calibri" w:cs="Times New Roman"/>
                <w:i/>
                <w:sz w:val="20"/>
                <w:szCs w:val="20"/>
                <w:lang w:val="fr-CA"/>
              </w:rPr>
              <w:t xml:space="preserve"> Commu</w:t>
            </w:r>
            <w:r w:rsidR="004E1E0A" w:rsidRPr="001E2B5C">
              <w:rPr>
                <w:rFonts w:eastAsia="Calibri" w:cs="Times New Roman"/>
                <w:i/>
                <w:sz w:val="20"/>
                <w:szCs w:val="20"/>
                <w:lang w:val="fr-CA"/>
              </w:rPr>
              <w:t>n</w:t>
            </w:r>
            <w:r w:rsidR="002E7C57" w:rsidRPr="001E2B5C">
              <w:rPr>
                <w:rFonts w:eastAsia="Calibri" w:cs="Times New Roman"/>
                <w:i/>
                <w:sz w:val="20"/>
                <w:szCs w:val="20"/>
                <w:lang w:val="fr-CA"/>
              </w:rPr>
              <w:t>ica</w:t>
            </w:r>
            <w:r w:rsidR="004E1E0A" w:rsidRPr="001E2B5C">
              <w:rPr>
                <w:rFonts w:eastAsia="Calibri" w:cs="Times New Roman"/>
                <w:i/>
                <w:sz w:val="20"/>
                <w:szCs w:val="20"/>
                <w:lang w:val="fr-CA"/>
              </w:rPr>
              <w:t>t</w:t>
            </w:r>
            <w:r w:rsidR="002E7C57" w:rsidRPr="001E2B5C">
              <w:rPr>
                <w:rFonts w:eastAsia="Calibri" w:cs="Times New Roman"/>
                <w:i/>
                <w:sz w:val="20"/>
                <w:szCs w:val="20"/>
                <w:lang w:val="fr-CA"/>
              </w:rPr>
              <w:t>i</w:t>
            </w:r>
            <w:r w:rsidR="004E1E0A" w:rsidRPr="001E2B5C">
              <w:rPr>
                <w:rFonts w:eastAsia="Calibri" w:cs="Times New Roman"/>
                <w:i/>
                <w:sz w:val="20"/>
                <w:szCs w:val="20"/>
                <w:lang w:val="fr-CA"/>
              </w:rPr>
              <w:t>ons</w:t>
            </w:r>
            <w:r w:rsidR="002E7C57" w:rsidRPr="001E2B5C">
              <w:rPr>
                <w:rFonts w:eastAsia="Calibri" w:cs="Times New Roman"/>
                <w:i/>
                <w:sz w:val="20"/>
                <w:szCs w:val="20"/>
                <w:lang w:val="fr-CA"/>
              </w:rPr>
              <w:t xml:space="preserve"> Compan</w:t>
            </w:r>
            <w:r w:rsidR="004E1E0A" w:rsidRPr="001E2B5C">
              <w:rPr>
                <w:rFonts w:eastAsia="Calibri" w:cs="Times New Roman"/>
                <w:i/>
                <w:sz w:val="20"/>
                <w:szCs w:val="20"/>
                <w:lang w:val="fr-CA"/>
              </w:rPr>
              <w:t xml:space="preserve">y </w:t>
            </w:r>
            <w:r w:rsidR="002E7C57" w:rsidRPr="001E2B5C">
              <w:rPr>
                <w:rFonts w:eastAsia="Calibri" w:cs="Times New Roman"/>
                <w:i/>
                <w:sz w:val="20"/>
                <w:szCs w:val="20"/>
                <w:lang w:val="fr-CA"/>
              </w:rPr>
              <w:t>e</w:t>
            </w:r>
            <w:r w:rsidR="004E1E0A" w:rsidRPr="001E2B5C">
              <w:rPr>
                <w:rFonts w:eastAsia="Calibri" w:cs="Times New Roman"/>
                <w:i/>
                <w:sz w:val="20"/>
                <w:szCs w:val="20"/>
                <w:lang w:val="fr-CA"/>
              </w:rPr>
              <w:t>t</w:t>
            </w:r>
            <w:r w:rsidR="002E7C57" w:rsidRPr="001E2B5C">
              <w:rPr>
                <w:rFonts w:eastAsia="Calibri" w:cs="Times New Roman"/>
                <w:i/>
                <w:sz w:val="20"/>
                <w:szCs w:val="20"/>
                <w:lang w:val="fr-CA"/>
              </w:rPr>
              <w:t xml:space="preserve"> </w:t>
            </w:r>
            <w:r w:rsidR="004E1E0A" w:rsidRPr="001E2B5C">
              <w:rPr>
                <w:rFonts w:eastAsia="Calibri" w:cs="Times New Roman"/>
                <w:i/>
                <w:sz w:val="20"/>
                <w:szCs w:val="20"/>
                <w:lang w:val="fr-CA"/>
              </w:rPr>
              <w:t>a</w:t>
            </w:r>
            <w:r w:rsidR="002E7C57" w:rsidRPr="001E2B5C">
              <w:rPr>
                <w:rFonts w:eastAsia="Calibri" w:cs="Times New Roman"/>
                <w:i/>
                <w:sz w:val="20"/>
                <w:szCs w:val="20"/>
                <w:lang w:val="fr-CA"/>
              </w:rPr>
              <w:t>l.</w:t>
            </w:r>
            <w:r w:rsidR="004E1E0A" w:rsidRPr="001E2B5C">
              <w:rPr>
                <w:rFonts w:eastAsia="Calibri" w:cs="Times New Roman"/>
                <w:i/>
                <w:sz w:val="20"/>
                <w:szCs w:val="20"/>
                <w:lang w:val="fr-CA"/>
              </w:rPr>
              <w:t xml:space="preserve"> </w:t>
            </w:r>
            <w:r w:rsidR="004E1E0A" w:rsidRPr="00202908">
              <w:rPr>
                <w:rFonts w:eastAsia="Calibri" w:cs="Times New Roman"/>
                <w:sz w:val="20"/>
                <w:szCs w:val="20"/>
              </w:rPr>
              <w:t>(</w:t>
            </w:r>
            <w:r w:rsidR="002E7C57">
              <w:rPr>
                <w:rFonts w:eastAsia="Calibri" w:cs="Times New Roman"/>
                <w:sz w:val="20"/>
                <w:szCs w:val="20"/>
              </w:rPr>
              <w:t>F.C</w:t>
            </w:r>
            <w:r w:rsidR="004E1E0A" w:rsidRPr="00202908">
              <w:rPr>
                <w:rFonts w:eastAsia="Calibri" w:cs="Times New Roman"/>
                <w:sz w:val="20"/>
                <w:szCs w:val="20"/>
              </w:rPr>
              <w:t xml:space="preserve">.) </w:t>
            </w:r>
            <w:r w:rsidR="004E1E0A" w:rsidRPr="00463A80">
              <w:rPr>
                <w:rFonts w:eastAsia="Calibri" w:cs="Times New Roman"/>
                <w:sz w:val="20"/>
                <w:szCs w:val="20"/>
              </w:rPr>
              <w:t>(Civil) (By Leave) (34</w:t>
            </w:r>
            <w:r w:rsidR="002E7C57">
              <w:rPr>
                <w:rFonts w:eastAsia="Calibri" w:cs="Times New Roman"/>
                <w:sz w:val="20"/>
                <w:szCs w:val="20"/>
              </w:rPr>
              <w:t>99</w:t>
            </w:r>
            <w:r w:rsidR="004E1E0A" w:rsidRPr="00463A80">
              <w:rPr>
                <w:rFonts w:eastAsia="Calibri" w:cs="Times New Roman"/>
                <w:sz w:val="20"/>
                <w:szCs w:val="20"/>
              </w:rPr>
              <w:t>1)</w:t>
            </w:r>
          </w:p>
        </w:tc>
      </w:tr>
    </w:tbl>
    <w:p w:rsidR="004B66B4" w:rsidRPr="00DD0B49" w:rsidRDefault="004B66B4" w:rsidP="004B66B4">
      <w:pPr>
        <w:ind w:left="1890" w:hanging="1890"/>
        <w:jc w:val="both"/>
        <w:rPr>
          <w:sz w:val="20"/>
          <w:szCs w:val="20"/>
        </w:rPr>
      </w:pPr>
    </w:p>
    <w:p w:rsidR="004B66B4" w:rsidRPr="00DD0B49" w:rsidRDefault="00CC2008" w:rsidP="002868D0">
      <w:pPr>
        <w:jc w:val="both"/>
        <w:rPr>
          <w:sz w:val="20"/>
          <w:szCs w:val="20"/>
        </w:rPr>
      </w:pPr>
      <w:r w:rsidRPr="00CC2008">
        <w:rPr>
          <w:sz w:val="20"/>
          <w:szCs w:val="20"/>
          <w:lang w:val="fr-CA"/>
        </w:rPr>
        <w:pict>
          <v:rect id="_x0000_i1086"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2" w:name="1"/>
    <w:bookmarkEnd w:id="2"/>
    <w:p w:rsidR="00C77493" w:rsidRPr="002F6853" w:rsidRDefault="00CC2008" w:rsidP="00C77493">
      <w:pPr>
        <w:widowControl w:val="0"/>
        <w:ind w:left="720" w:hanging="720"/>
        <w:jc w:val="both"/>
        <w:rPr>
          <w:sz w:val="20"/>
          <w:szCs w:val="20"/>
        </w:rPr>
      </w:pPr>
      <w:r w:rsidRPr="002F6853">
        <w:rPr>
          <w:b/>
          <w:sz w:val="20"/>
          <w:szCs w:val="20"/>
        </w:rPr>
        <w:fldChar w:fldCharType="begin"/>
      </w:r>
      <w:r w:rsidR="00C77493" w:rsidRPr="002F6853">
        <w:rPr>
          <w:b/>
          <w:sz w:val="20"/>
          <w:szCs w:val="20"/>
        </w:rPr>
        <w:instrText xml:space="preserve"> SEQ CHAPTER \h \r 1</w:instrText>
      </w:r>
      <w:r w:rsidRPr="002F6853">
        <w:rPr>
          <w:b/>
          <w:sz w:val="20"/>
          <w:szCs w:val="20"/>
        </w:rPr>
        <w:fldChar w:fldCharType="end"/>
      </w:r>
      <w:r w:rsidR="00C77493" w:rsidRPr="002F6853">
        <w:rPr>
          <w:b/>
          <w:sz w:val="20"/>
          <w:szCs w:val="20"/>
        </w:rPr>
        <w:t>34819</w:t>
      </w:r>
      <w:r w:rsidR="00C77493" w:rsidRPr="002F6853">
        <w:rPr>
          <w:sz w:val="20"/>
          <w:szCs w:val="20"/>
        </w:rPr>
        <w:tab/>
      </w:r>
      <w:bookmarkStart w:id="3" w:name="3"/>
      <w:bookmarkEnd w:id="3"/>
      <w:r w:rsidR="00C77493" w:rsidRPr="002F6853">
        <w:rPr>
          <w:b/>
          <w:i/>
          <w:sz w:val="20"/>
          <w:szCs w:val="20"/>
        </w:rPr>
        <w:t>Elizabeth Bernard v. Attorney General of Canada and Professional Institute of the Public Service of Canada</w:t>
      </w:r>
    </w:p>
    <w:p w:rsidR="00C77493" w:rsidRPr="002F6853" w:rsidRDefault="00C77493" w:rsidP="00C77493">
      <w:pPr>
        <w:widowControl w:val="0"/>
        <w:jc w:val="both"/>
        <w:rPr>
          <w:sz w:val="20"/>
          <w:szCs w:val="20"/>
        </w:rPr>
      </w:pPr>
    </w:p>
    <w:p w:rsidR="00C77493" w:rsidRPr="002F6853" w:rsidRDefault="00C77493" w:rsidP="00C77493">
      <w:pPr>
        <w:widowControl w:val="0"/>
        <w:jc w:val="both"/>
        <w:rPr>
          <w:b/>
          <w:sz w:val="20"/>
          <w:szCs w:val="20"/>
        </w:rPr>
      </w:pPr>
      <w:r w:rsidRPr="002F6853">
        <w:rPr>
          <w:i/>
          <w:sz w:val="20"/>
          <w:szCs w:val="20"/>
        </w:rPr>
        <w:t>Charter</w:t>
      </w:r>
      <w:r w:rsidRPr="002F6853">
        <w:rPr>
          <w:sz w:val="20"/>
          <w:szCs w:val="20"/>
        </w:rPr>
        <w:t xml:space="preserve"> </w:t>
      </w:r>
      <w:r w:rsidRPr="002F6853">
        <w:rPr>
          <w:sz w:val="20"/>
          <w:szCs w:val="20"/>
        </w:rPr>
        <w:noBreakHyphen/>
        <w:t xml:space="preserve"> Freedom of association </w:t>
      </w:r>
      <w:r w:rsidRPr="002F6853">
        <w:rPr>
          <w:sz w:val="20"/>
          <w:szCs w:val="20"/>
        </w:rPr>
        <w:noBreakHyphen/>
        <w:t xml:space="preserve"> Privacy law </w:t>
      </w:r>
      <w:r w:rsidRPr="002F6853">
        <w:rPr>
          <w:sz w:val="20"/>
          <w:szCs w:val="20"/>
        </w:rPr>
        <w:noBreakHyphen/>
        <w:t xml:space="preserve"> Labour relations </w:t>
      </w:r>
      <w:r w:rsidRPr="002F6853">
        <w:rPr>
          <w:sz w:val="20"/>
          <w:szCs w:val="20"/>
        </w:rPr>
        <w:noBreakHyphen/>
        <w:t xml:space="preserve"> Administrative law </w:t>
      </w:r>
      <w:r w:rsidRPr="002F6853">
        <w:rPr>
          <w:sz w:val="20"/>
          <w:szCs w:val="20"/>
        </w:rPr>
        <w:noBreakHyphen/>
        <w:t xml:space="preserve"> Judicial review </w:t>
      </w:r>
      <w:r w:rsidRPr="002F6853">
        <w:rPr>
          <w:sz w:val="20"/>
          <w:szCs w:val="20"/>
        </w:rPr>
        <w:noBreakHyphen/>
        <w:t xml:space="preserve"> Standard of review </w:t>
      </w:r>
      <w:r w:rsidRPr="002F6853">
        <w:rPr>
          <w:sz w:val="20"/>
          <w:szCs w:val="20"/>
        </w:rPr>
        <w:noBreakHyphen/>
        <w:t xml:space="preserve"> What is the appropriate standard of review? </w:t>
      </w:r>
      <w:r w:rsidRPr="002F6853">
        <w:rPr>
          <w:sz w:val="20"/>
          <w:szCs w:val="20"/>
        </w:rPr>
        <w:noBreakHyphen/>
        <w:t xml:space="preserve"> Whether the provision of home contact information to the unions is a consistent use under para. 8(2)(a) of the </w:t>
      </w:r>
      <w:r w:rsidRPr="002F6853">
        <w:rPr>
          <w:i/>
          <w:sz w:val="20"/>
          <w:szCs w:val="20"/>
        </w:rPr>
        <w:t>Privacy Act</w:t>
      </w:r>
      <w:r w:rsidRPr="002F6853">
        <w:rPr>
          <w:sz w:val="20"/>
          <w:szCs w:val="20"/>
        </w:rPr>
        <w:t>, R.S.C. 1985, c. P</w:t>
      </w:r>
      <w:r w:rsidRPr="002F6853">
        <w:rPr>
          <w:sz w:val="20"/>
          <w:szCs w:val="20"/>
        </w:rPr>
        <w:noBreakHyphen/>
        <w:t xml:space="preserve">21 </w:t>
      </w:r>
      <w:r w:rsidRPr="002F6853">
        <w:rPr>
          <w:sz w:val="20"/>
          <w:szCs w:val="20"/>
        </w:rPr>
        <w:noBreakHyphen/>
      </w:r>
      <w:r w:rsidRPr="002F6853">
        <w:rPr>
          <w:b/>
          <w:sz w:val="20"/>
          <w:szCs w:val="20"/>
        </w:rPr>
        <w:t xml:space="preserve"> </w:t>
      </w:r>
      <w:r w:rsidRPr="002F6853">
        <w:rPr>
          <w:sz w:val="20"/>
          <w:szCs w:val="20"/>
        </w:rPr>
        <w:t xml:space="preserve">Do sections 185 and 186(1)(a) of the </w:t>
      </w:r>
      <w:r w:rsidRPr="002F6853">
        <w:rPr>
          <w:i/>
          <w:sz w:val="20"/>
          <w:szCs w:val="20"/>
        </w:rPr>
        <w:t>Public Service Labour Relations Act</w:t>
      </w:r>
      <w:r w:rsidRPr="002F6853">
        <w:rPr>
          <w:sz w:val="20"/>
          <w:szCs w:val="20"/>
        </w:rPr>
        <w:t xml:space="preserve">, S.C. 2003, c. 22, violate s. 2(d) of the </w:t>
      </w:r>
      <w:r w:rsidRPr="002F6853">
        <w:rPr>
          <w:i/>
          <w:sz w:val="20"/>
          <w:szCs w:val="20"/>
        </w:rPr>
        <w:t>Canadian Charter of Rights and Freedoms</w:t>
      </w:r>
      <w:r w:rsidRPr="002F6853">
        <w:rPr>
          <w:sz w:val="20"/>
          <w:szCs w:val="20"/>
        </w:rPr>
        <w:t xml:space="preserve"> insofar as they have the effect of requiring an employer to provide a bargaining agent with the home address and home phone number of its employees? </w:t>
      </w:r>
      <w:r w:rsidRPr="002F6853">
        <w:rPr>
          <w:sz w:val="20"/>
          <w:szCs w:val="20"/>
        </w:rPr>
        <w:noBreakHyphen/>
        <w:t xml:space="preserve"> If so, is the infringement a reasonable limit prescribed by law, which can be demonstrably justified in a free and democratic society under s. 1 of the </w:t>
      </w:r>
      <w:r w:rsidRPr="002F6853">
        <w:rPr>
          <w:i/>
          <w:sz w:val="20"/>
          <w:szCs w:val="20"/>
        </w:rPr>
        <w:t>Canadian Charter of Rights and Freedoms</w:t>
      </w:r>
      <w:r w:rsidRPr="002F6853">
        <w:rPr>
          <w:sz w:val="20"/>
          <w:szCs w:val="20"/>
        </w:rPr>
        <w:t xml:space="preserve">? </w:t>
      </w:r>
    </w:p>
    <w:p w:rsidR="00C77493" w:rsidRPr="002F6853" w:rsidRDefault="00C77493" w:rsidP="00C77493">
      <w:pPr>
        <w:widowControl w:val="0"/>
        <w:jc w:val="both"/>
        <w:rPr>
          <w:sz w:val="20"/>
          <w:szCs w:val="20"/>
        </w:rPr>
      </w:pPr>
    </w:p>
    <w:p w:rsidR="00C77493" w:rsidRPr="002F6853" w:rsidRDefault="00C77493" w:rsidP="00C77493">
      <w:pPr>
        <w:widowControl w:val="0"/>
        <w:jc w:val="both"/>
        <w:rPr>
          <w:sz w:val="20"/>
          <w:szCs w:val="20"/>
        </w:rPr>
      </w:pPr>
      <w:r w:rsidRPr="002F6853">
        <w:rPr>
          <w:sz w:val="20"/>
          <w:szCs w:val="20"/>
        </w:rPr>
        <w:t xml:space="preserve">The appellant is an employee of the Canada Revenue Agency (“CRA”), in a job classification for which the Professional Institute of the Public Service of Canada (the “Union”) is the bargaining agent.  Ms. Bernard has declined to join the Union, and she seeks to prevent CRA from disclosing her home contact information to the Union.  She brought an application for judicial review of a consent order by the Public Service Labour Relations Board (the “Board”) which authorized the disclosure of her home contact information to the Union subject to certain safeguards.  The Federal Court of Appeal remitted the matter for a decision of the Board on what information the employer must provide to enable the Union to discharge its obligations under the </w:t>
      </w:r>
      <w:r w:rsidRPr="002F6853">
        <w:rPr>
          <w:i/>
          <w:sz w:val="20"/>
          <w:szCs w:val="20"/>
        </w:rPr>
        <w:t>Public Service Labour Relations Act</w:t>
      </w:r>
      <w:r w:rsidRPr="002F6853">
        <w:rPr>
          <w:sz w:val="20"/>
          <w:szCs w:val="20"/>
        </w:rPr>
        <w:t xml:space="preserve">, S.C. 2003, c. 22, s. 2, without breaching the employees’ rights under the </w:t>
      </w:r>
      <w:r w:rsidRPr="002F6853">
        <w:rPr>
          <w:i/>
          <w:sz w:val="20"/>
          <w:szCs w:val="20"/>
        </w:rPr>
        <w:t>Privacy Act:</w:t>
      </w:r>
      <w:r w:rsidRPr="002F6853">
        <w:rPr>
          <w:sz w:val="20"/>
          <w:szCs w:val="20"/>
        </w:rPr>
        <w:t xml:space="preserve">  </w:t>
      </w:r>
      <w:r w:rsidRPr="002F6853">
        <w:rPr>
          <w:i/>
          <w:sz w:val="20"/>
          <w:szCs w:val="20"/>
        </w:rPr>
        <w:t>Bernard v. Canada</w:t>
      </w:r>
      <w:r w:rsidRPr="002F6853">
        <w:rPr>
          <w:sz w:val="20"/>
          <w:szCs w:val="20"/>
        </w:rPr>
        <w:t xml:space="preserve">, 2010 FCA 40.  The Board found the appellate court’s instructions were limited to assessing the privacy rights of employees and refused to consider the appellant’s </w:t>
      </w:r>
      <w:r w:rsidRPr="002F6853">
        <w:rPr>
          <w:i/>
          <w:sz w:val="20"/>
          <w:szCs w:val="20"/>
        </w:rPr>
        <w:t>Charter</w:t>
      </w:r>
      <w:r w:rsidRPr="002F6853">
        <w:rPr>
          <w:sz w:val="20"/>
          <w:szCs w:val="20"/>
        </w:rPr>
        <w:t xml:space="preserve"> argument that disclosure of the information violated her freedom not to associate.  It went on to determine that disclosure of the information was authorized by para. 8(2)(a) of the </w:t>
      </w:r>
      <w:r w:rsidRPr="002F6853">
        <w:rPr>
          <w:i/>
          <w:sz w:val="20"/>
          <w:szCs w:val="20"/>
        </w:rPr>
        <w:t>Privacy Act</w:t>
      </w:r>
      <w:r w:rsidRPr="002F6853">
        <w:rPr>
          <w:sz w:val="20"/>
          <w:szCs w:val="20"/>
        </w:rPr>
        <w:t>, because the Union’s intended use of it was consistent with the purpose for which it was obtained by the CRA.  Its original order was amended to add further safeguards.  The Federal Court of Appeal dismissed the appellant’s application for judicial review on the basis that the Board’s decision was reasonable.</w:t>
      </w:r>
    </w:p>
    <w:p w:rsidR="00C77493" w:rsidRPr="002F6853" w:rsidRDefault="00C77493" w:rsidP="00C77493">
      <w:pPr>
        <w:widowControl w:val="0"/>
        <w:jc w:val="both"/>
        <w:rPr>
          <w:sz w:val="20"/>
          <w:szCs w:val="20"/>
        </w:rPr>
      </w:pPr>
    </w:p>
    <w:p w:rsidR="00C77493" w:rsidRPr="002F6853" w:rsidRDefault="00C77493" w:rsidP="00C77493">
      <w:pPr>
        <w:widowControl w:val="0"/>
        <w:jc w:val="both"/>
        <w:rPr>
          <w:sz w:val="20"/>
          <w:szCs w:val="20"/>
        </w:rPr>
      </w:pPr>
    </w:p>
    <w:p w:rsidR="00C77493" w:rsidRPr="002F6853" w:rsidRDefault="00C77493" w:rsidP="00C77493">
      <w:pPr>
        <w:widowControl w:val="0"/>
        <w:ind w:left="2880" w:hanging="2880"/>
        <w:jc w:val="both"/>
        <w:rPr>
          <w:sz w:val="20"/>
          <w:szCs w:val="20"/>
        </w:rPr>
      </w:pPr>
      <w:r w:rsidRPr="002F6853">
        <w:rPr>
          <w:sz w:val="20"/>
          <w:szCs w:val="20"/>
        </w:rPr>
        <w:t>Origin of the case:</w:t>
      </w:r>
      <w:r w:rsidRPr="002F6853">
        <w:rPr>
          <w:sz w:val="20"/>
          <w:szCs w:val="20"/>
        </w:rPr>
        <w:tab/>
      </w:r>
      <w:bookmarkStart w:id="4" w:name="4"/>
      <w:bookmarkEnd w:id="4"/>
      <w:r w:rsidRPr="002F6853">
        <w:rPr>
          <w:sz w:val="20"/>
          <w:szCs w:val="20"/>
        </w:rPr>
        <w:t>Federal Court of Appeal</w:t>
      </w:r>
    </w:p>
    <w:p w:rsidR="00C77493" w:rsidRPr="002F6853" w:rsidRDefault="00C77493" w:rsidP="00C77493">
      <w:pPr>
        <w:widowControl w:val="0"/>
        <w:ind w:left="2880" w:hanging="2880"/>
        <w:jc w:val="both"/>
        <w:rPr>
          <w:sz w:val="20"/>
          <w:szCs w:val="20"/>
        </w:rPr>
      </w:pPr>
    </w:p>
    <w:p w:rsidR="00C77493" w:rsidRPr="002F6853" w:rsidRDefault="00C77493" w:rsidP="00C77493">
      <w:pPr>
        <w:widowControl w:val="0"/>
        <w:ind w:left="2880" w:hanging="2880"/>
        <w:jc w:val="both"/>
        <w:rPr>
          <w:sz w:val="20"/>
          <w:szCs w:val="20"/>
        </w:rPr>
      </w:pPr>
      <w:r w:rsidRPr="002F6853">
        <w:rPr>
          <w:sz w:val="20"/>
          <w:szCs w:val="20"/>
        </w:rPr>
        <w:t>File No.:</w:t>
      </w:r>
      <w:r w:rsidRPr="002F6853">
        <w:rPr>
          <w:sz w:val="20"/>
          <w:szCs w:val="20"/>
        </w:rPr>
        <w:tab/>
      </w:r>
      <w:bookmarkStart w:id="5" w:name="2"/>
      <w:bookmarkEnd w:id="5"/>
      <w:r w:rsidRPr="002F6853">
        <w:rPr>
          <w:sz w:val="20"/>
          <w:szCs w:val="20"/>
        </w:rPr>
        <w:t>34819</w:t>
      </w:r>
    </w:p>
    <w:p w:rsidR="00C77493" w:rsidRPr="002F6853" w:rsidRDefault="00C77493" w:rsidP="00C77493">
      <w:pPr>
        <w:widowControl w:val="0"/>
        <w:ind w:left="2880" w:hanging="2880"/>
        <w:jc w:val="both"/>
        <w:rPr>
          <w:sz w:val="20"/>
          <w:szCs w:val="20"/>
        </w:rPr>
      </w:pPr>
    </w:p>
    <w:p w:rsidR="00C77493" w:rsidRPr="002F6853" w:rsidRDefault="00C77493" w:rsidP="00C77493">
      <w:pPr>
        <w:widowControl w:val="0"/>
        <w:ind w:left="2880" w:hanging="2880"/>
        <w:jc w:val="both"/>
        <w:rPr>
          <w:sz w:val="20"/>
          <w:szCs w:val="20"/>
        </w:rPr>
      </w:pPr>
      <w:r w:rsidRPr="002F6853">
        <w:rPr>
          <w:sz w:val="20"/>
          <w:szCs w:val="20"/>
        </w:rPr>
        <w:t>Judgment of the Court of Appeal:</w:t>
      </w:r>
      <w:r w:rsidRPr="002F6853">
        <w:rPr>
          <w:sz w:val="20"/>
          <w:szCs w:val="20"/>
        </w:rPr>
        <w:tab/>
      </w:r>
      <w:bookmarkStart w:id="6" w:name="5"/>
      <w:bookmarkEnd w:id="6"/>
      <w:r w:rsidRPr="002F6853">
        <w:rPr>
          <w:sz w:val="20"/>
          <w:szCs w:val="20"/>
        </w:rPr>
        <w:t>March 16, 2012</w:t>
      </w:r>
    </w:p>
    <w:p w:rsidR="00C77493" w:rsidRPr="002F6853" w:rsidRDefault="00C77493" w:rsidP="00C77493">
      <w:pPr>
        <w:widowControl w:val="0"/>
        <w:ind w:left="2880" w:hanging="2880"/>
        <w:jc w:val="both"/>
        <w:rPr>
          <w:sz w:val="20"/>
          <w:szCs w:val="20"/>
        </w:rPr>
      </w:pPr>
    </w:p>
    <w:p w:rsidR="00C77493" w:rsidRPr="002F6853" w:rsidRDefault="00C77493" w:rsidP="00C77493">
      <w:pPr>
        <w:widowControl w:val="0"/>
        <w:ind w:left="2880" w:hanging="2880"/>
        <w:jc w:val="both"/>
        <w:rPr>
          <w:sz w:val="20"/>
          <w:szCs w:val="20"/>
        </w:rPr>
      </w:pPr>
      <w:r w:rsidRPr="002F6853">
        <w:rPr>
          <w:sz w:val="20"/>
          <w:szCs w:val="20"/>
        </w:rPr>
        <w:t>Counsel:</w:t>
      </w:r>
      <w:r w:rsidRPr="002F6853">
        <w:rPr>
          <w:sz w:val="20"/>
          <w:szCs w:val="20"/>
        </w:rPr>
        <w:tab/>
      </w:r>
      <w:bookmarkStart w:id="7" w:name="6"/>
      <w:bookmarkEnd w:id="7"/>
      <w:r w:rsidRPr="002F6853">
        <w:rPr>
          <w:sz w:val="20"/>
          <w:szCs w:val="20"/>
        </w:rPr>
        <w:t>Elizabeth Bernard, unrepresented</w:t>
      </w:r>
    </w:p>
    <w:p w:rsidR="00C77493" w:rsidRPr="002F6853" w:rsidRDefault="00C77493" w:rsidP="00C77493">
      <w:pPr>
        <w:widowControl w:val="0"/>
        <w:ind w:left="2880" w:hanging="2880"/>
        <w:jc w:val="both"/>
        <w:rPr>
          <w:sz w:val="20"/>
          <w:szCs w:val="20"/>
        </w:rPr>
      </w:pPr>
      <w:r w:rsidRPr="002F6853">
        <w:rPr>
          <w:sz w:val="20"/>
          <w:szCs w:val="20"/>
        </w:rPr>
        <w:tab/>
      </w:r>
      <w:bookmarkStart w:id="8" w:name="7"/>
      <w:bookmarkEnd w:id="8"/>
      <w:r w:rsidRPr="002F6853">
        <w:rPr>
          <w:sz w:val="20"/>
          <w:szCs w:val="20"/>
        </w:rPr>
        <w:t>Anne Turley for the respondent Attorney General of Canada</w:t>
      </w:r>
    </w:p>
    <w:p w:rsidR="00C77493" w:rsidRPr="002F6853" w:rsidRDefault="00C77493" w:rsidP="00C77493">
      <w:pPr>
        <w:widowControl w:val="0"/>
        <w:ind w:left="2880" w:hanging="2880"/>
        <w:jc w:val="both"/>
        <w:rPr>
          <w:sz w:val="20"/>
          <w:szCs w:val="20"/>
        </w:rPr>
      </w:pPr>
      <w:r w:rsidRPr="002F6853">
        <w:rPr>
          <w:sz w:val="20"/>
          <w:szCs w:val="20"/>
        </w:rPr>
        <w:tab/>
        <w:t>Peter C. Engelmann for the respondent Professional Institute of the Public Service</w:t>
      </w:r>
    </w:p>
    <w:p w:rsidR="00C77493" w:rsidRPr="002F6853" w:rsidRDefault="00C77493" w:rsidP="00C77493">
      <w:pPr>
        <w:widowControl w:val="0"/>
        <w:ind w:left="2880" w:hanging="2880"/>
        <w:jc w:val="both"/>
        <w:rPr>
          <w:sz w:val="20"/>
          <w:szCs w:val="20"/>
        </w:rPr>
      </w:pPr>
      <w:r w:rsidRPr="002F6853">
        <w:rPr>
          <w:sz w:val="20"/>
          <w:szCs w:val="20"/>
        </w:rPr>
        <w:tab/>
        <w:t xml:space="preserve">Michael A. Feder, </w:t>
      </w:r>
      <w:r w:rsidRPr="002F6853">
        <w:rPr>
          <w:i/>
          <w:sz w:val="20"/>
          <w:szCs w:val="20"/>
        </w:rPr>
        <w:t>Amicus Curiae</w:t>
      </w:r>
    </w:p>
    <w:p w:rsidR="00691760" w:rsidRPr="00DD0B49" w:rsidRDefault="00691760" w:rsidP="00691760">
      <w:pPr>
        <w:tabs>
          <w:tab w:val="left" w:pos="-1440"/>
          <w:tab w:val="left" w:pos="-720"/>
        </w:tabs>
        <w:jc w:val="both"/>
        <w:rPr>
          <w:sz w:val="20"/>
          <w:szCs w:val="20"/>
          <w:lang w:val="fr-CA"/>
        </w:rPr>
      </w:pPr>
    </w:p>
    <w:p w:rsidR="00691760" w:rsidRPr="00DD0B49" w:rsidRDefault="00CC2008" w:rsidP="00691760">
      <w:pPr>
        <w:tabs>
          <w:tab w:val="left" w:pos="-1440"/>
          <w:tab w:val="left" w:pos="-720"/>
        </w:tabs>
        <w:jc w:val="both"/>
        <w:rPr>
          <w:sz w:val="20"/>
          <w:szCs w:val="20"/>
          <w:lang w:val="fr-CA"/>
        </w:rPr>
      </w:pPr>
      <w:r w:rsidRPr="00CC2008">
        <w:rPr>
          <w:sz w:val="20"/>
          <w:szCs w:val="20"/>
          <w:lang w:val="fr-CA"/>
        </w:rPr>
        <w:pict>
          <v:rect id="_x0000_i1089"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C77493" w:rsidRPr="00C77493" w:rsidRDefault="00CC2008" w:rsidP="00C77493">
      <w:pPr>
        <w:widowControl w:val="0"/>
        <w:ind w:left="720" w:hanging="720"/>
        <w:jc w:val="both"/>
        <w:rPr>
          <w:rFonts w:eastAsia="Times New Roman" w:cs="Times New Roman"/>
          <w:sz w:val="20"/>
          <w:szCs w:val="20"/>
          <w:lang w:val="fr-CA" w:eastAsia="en-CA"/>
        </w:rPr>
      </w:pPr>
      <w:r w:rsidRPr="00C77493">
        <w:rPr>
          <w:rFonts w:eastAsia="Times New Roman" w:cs="Times New Roman"/>
          <w:b/>
          <w:sz w:val="20"/>
          <w:szCs w:val="20"/>
          <w:lang w:val="fr-CA" w:eastAsia="en-CA"/>
        </w:rPr>
        <w:fldChar w:fldCharType="begin"/>
      </w:r>
      <w:r w:rsidR="00C77493" w:rsidRPr="00C77493">
        <w:rPr>
          <w:rFonts w:eastAsia="Times New Roman" w:cs="Times New Roman"/>
          <w:b/>
          <w:sz w:val="20"/>
          <w:szCs w:val="20"/>
          <w:lang w:val="fr-CA" w:eastAsia="en-CA"/>
        </w:rPr>
        <w:instrText xml:space="preserve"> SEQ CHAPTER \h \r 1</w:instrText>
      </w:r>
      <w:r w:rsidRPr="00C77493">
        <w:rPr>
          <w:rFonts w:eastAsia="Times New Roman" w:cs="Times New Roman"/>
          <w:b/>
          <w:sz w:val="20"/>
          <w:szCs w:val="20"/>
          <w:lang w:val="fr-CA" w:eastAsia="en-CA"/>
        </w:rPr>
        <w:fldChar w:fldCharType="end"/>
      </w:r>
      <w:r w:rsidR="00C77493" w:rsidRPr="00C77493">
        <w:rPr>
          <w:rFonts w:eastAsia="Times New Roman" w:cs="Times New Roman"/>
          <w:b/>
          <w:sz w:val="20"/>
          <w:szCs w:val="20"/>
          <w:lang w:val="fr-CA" w:eastAsia="en-CA"/>
        </w:rPr>
        <w:t>34819</w:t>
      </w:r>
      <w:r w:rsidR="00C77493" w:rsidRPr="00C77493">
        <w:rPr>
          <w:rFonts w:eastAsia="Times New Roman" w:cs="Times New Roman"/>
          <w:sz w:val="20"/>
          <w:szCs w:val="20"/>
          <w:lang w:val="fr-CA" w:eastAsia="en-CA"/>
        </w:rPr>
        <w:tab/>
      </w:r>
      <w:r w:rsidR="00C77493" w:rsidRPr="00C77493">
        <w:rPr>
          <w:rFonts w:eastAsia="Times New Roman" w:cs="Times New Roman"/>
          <w:b/>
          <w:i/>
          <w:sz w:val="20"/>
          <w:szCs w:val="20"/>
          <w:lang w:val="fr-CA" w:eastAsia="en-CA"/>
        </w:rPr>
        <w:t>Elizabeth Bernard c. Procureur général du Canada et Institut professionnel de la fonction publique du Canada</w:t>
      </w:r>
    </w:p>
    <w:p w:rsidR="00C77493" w:rsidRPr="00C77493" w:rsidRDefault="00C77493" w:rsidP="00C77493">
      <w:pPr>
        <w:widowControl w:val="0"/>
        <w:jc w:val="both"/>
        <w:rPr>
          <w:rFonts w:eastAsia="Times New Roman" w:cs="Times New Roman"/>
          <w:sz w:val="20"/>
          <w:szCs w:val="20"/>
          <w:lang w:val="fr-CA" w:eastAsia="en-CA"/>
        </w:rPr>
      </w:pPr>
    </w:p>
    <w:p w:rsidR="00C77493" w:rsidRPr="00C77493" w:rsidRDefault="00C77493" w:rsidP="00C77493">
      <w:pPr>
        <w:widowControl w:val="0"/>
        <w:jc w:val="both"/>
        <w:rPr>
          <w:rFonts w:eastAsia="Times New Roman" w:cs="Times New Roman"/>
          <w:b/>
          <w:sz w:val="20"/>
          <w:szCs w:val="20"/>
          <w:lang w:val="fr-CA" w:eastAsia="en-CA"/>
        </w:rPr>
      </w:pPr>
      <w:r w:rsidRPr="00C77493">
        <w:rPr>
          <w:rFonts w:eastAsia="Times New Roman" w:cs="Times New Roman"/>
          <w:i/>
          <w:sz w:val="20"/>
          <w:szCs w:val="20"/>
          <w:lang w:val="fr-CA" w:eastAsia="en-CA"/>
        </w:rPr>
        <w:t>Charte</w:t>
      </w:r>
      <w:r w:rsidRPr="00C77493">
        <w:rPr>
          <w:rFonts w:eastAsia="Times New Roman" w:cs="Times New Roman"/>
          <w:sz w:val="20"/>
          <w:szCs w:val="20"/>
          <w:lang w:val="fr-CA" w:eastAsia="en-CA"/>
        </w:rPr>
        <w:t xml:space="preserve"> </w:t>
      </w:r>
      <w:r w:rsidRPr="00C77493">
        <w:rPr>
          <w:rFonts w:eastAsia="Times New Roman" w:cs="Times New Roman"/>
          <w:sz w:val="20"/>
          <w:szCs w:val="20"/>
          <w:lang w:val="fr-CA" w:eastAsia="en-CA"/>
        </w:rPr>
        <w:noBreakHyphen/>
        <w:t xml:space="preserve"> Liberté d’association </w:t>
      </w:r>
      <w:r w:rsidRPr="00C77493">
        <w:rPr>
          <w:rFonts w:eastAsia="Times New Roman" w:cs="Times New Roman"/>
          <w:sz w:val="20"/>
          <w:szCs w:val="20"/>
          <w:lang w:val="fr-CA" w:eastAsia="en-CA"/>
        </w:rPr>
        <w:noBreakHyphen/>
        <w:t xml:space="preserve"> Droit relatif au respect de la vie privée </w:t>
      </w:r>
      <w:r w:rsidRPr="00C77493">
        <w:rPr>
          <w:rFonts w:eastAsia="Times New Roman" w:cs="Times New Roman"/>
          <w:sz w:val="20"/>
          <w:szCs w:val="20"/>
          <w:lang w:val="fr-CA" w:eastAsia="en-CA"/>
        </w:rPr>
        <w:noBreakHyphen/>
        <w:t xml:space="preserve"> Relations du travail </w:t>
      </w:r>
      <w:r w:rsidRPr="00C77493">
        <w:rPr>
          <w:rFonts w:eastAsia="Times New Roman" w:cs="Times New Roman"/>
          <w:sz w:val="20"/>
          <w:szCs w:val="20"/>
          <w:lang w:val="fr-CA" w:eastAsia="en-CA"/>
        </w:rPr>
        <w:noBreakHyphen/>
        <w:t xml:space="preserve"> Droit administratif </w:t>
      </w:r>
      <w:r w:rsidRPr="00C77493">
        <w:rPr>
          <w:rFonts w:eastAsia="Times New Roman" w:cs="Times New Roman"/>
          <w:sz w:val="20"/>
          <w:szCs w:val="20"/>
          <w:lang w:val="fr-CA" w:eastAsia="en-CA"/>
        </w:rPr>
        <w:noBreakHyphen/>
        <w:t xml:space="preserve"> Contrôle judiciaire </w:t>
      </w:r>
      <w:r w:rsidRPr="00C77493">
        <w:rPr>
          <w:rFonts w:eastAsia="Times New Roman" w:cs="Times New Roman"/>
          <w:sz w:val="20"/>
          <w:szCs w:val="20"/>
          <w:lang w:val="fr-CA" w:eastAsia="en-CA"/>
        </w:rPr>
        <w:noBreakHyphen/>
        <w:t xml:space="preserve"> Norme de contrôle </w:t>
      </w:r>
      <w:r w:rsidRPr="00C77493">
        <w:rPr>
          <w:rFonts w:eastAsia="Times New Roman" w:cs="Times New Roman"/>
          <w:sz w:val="20"/>
          <w:szCs w:val="20"/>
          <w:lang w:val="fr-CA" w:eastAsia="en-CA"/>
        </w:rPr>
        <w:noBreakHyphen/>
        <w:t xml:space="preserve"> Quelle est la norme de contrôle appropriée? </w:t>
      </w:r>
      <w:r w:rsidRPr="00C77493">
        <w:rPr>
          <w:rFonts w:eastAsia="Times New Roman" w:cs="Times New Roman"/>
          <w:sz w:val="20"/>
          <w:szCs w:val="20"/>
          <w:lang w:val="fr-CA" w:eastAsia="en-CA"/>
        </w:rPr>
        <w:noBreakHyphen/>
        <w:t xml:space="preserve"> La communication de coordonnées personnelles aux syndicats est</w:t>
      </w:r>
      <w:r w:rsidRPr="00C77493">
        <w:rPr>
          <w:rFonts w:eastAsia="Times New Roman" w:cs="Times New Roman"/>
          <w:sz w:val="20"/>
          <w:szCs w:val="20"/>
          <w:lang w:val="fr-CA" w:eastAsia="en-CA"/>
        </w:rPr>
        <w:noBreakHyphen/>
        <w:t>elle un usage compatible au sens de l’al. 8(2)</w:t>
      </w:r>
      <w:r w:rsidRPr="00C77493">
        <w:rPr>
          <w:rFonts w:eastAsia="Times New Roman" w:cs="Times New Roman"/>
          <w:i/>
          <w:sz w:val="20"/>
          <w:szCs w:val="20"/>
          <w:lang w:val="fr-CA" w:eastAsia="en-CA"/>
        </w:rPr>
        <w:t>a)</w:t>
      </w:r>
      <w:r w:rsidRPr="00C77493">
        <w:rPr>
          <w:rFonts w:eastAsia="Times New Roman" w:cs="Times New Roman"/>
          <w:sz w:val="20"/>
          <w:szCs w:val="20"/>
          <w:lang w:val="fr-CA" w:eastAsia="en-CA"/>
        </w:rPr>
        <w:t xml:space="preserve"> de la </w:t>
      </w:r>
      <w:r w:rsidRPr="00C77493">
        <w:rPr>
          <w:rFonts w:eastAsia="Times New Roman" w:cs="Times New Roman"/>
          <w:i/>
          <w:sz w:val="20"/>
          <w:szCs w:val="20"/>
          <w:lang w:val="fr-CA" w:eastAsia="en-CA"/>
        </w:rPr>
        <w:t>Loi sur la protection des renseignements personnels</w:t>
      </w:r>
      <w:r w:rsidRPr="00C77493">
        <w:rPr>
          <w:rFonts w:eastAsia="Times New Roman" w:cs="Times New Roman"/>
          <w:sz w:val="20"/>
          <w:szCs w:val="20"/>
          <w:lang w:val="fr-CA" w:eastAsia="en-CA"/>
        </w:rPr>
        <w:t>, L.R.C. 1985, ch. P</w:t>
      </w:r>
      <w:r w:rsidRPr="00C77493">
        <w:rPr>
          <w:rFonts w:eastAsia="Times New Roman" w:cs="Times New Roman"/>
          <w:sz w:val="20"/>
          <w:szCs w:val="20"/>
          <w:lang w:val="fr-CA" w:eastAsia="en-CA"/>
        </w:rPr>
        <w:noBreakHyphen/>
        <w:t xml:space="preserve">21? </w:t>
      </w:r>
      <w:r w:rsidRPr="00C77493">
        <w:rPr>
          <w:rFonts w:eastAsia="Times New Roman" w:cs="Times New Roman"/>
          <w:sz w:val="20"/>
          <w:szCs w:val="20"/>
          <w:lang w:val="fr-CA" w:eastAsia="en-CA"/>
        </w:rPr>
        <w:noBreakHyphen/>
        <w:t xml:space="preserve"> L’article 185 et l’alinéa 186(1)a) de la </w:t>
      </w:r>
      <w:r w:rsidRPr="00C77493">
        <w:rPr>
          <w:rFonts w:eastAsia="Times New Roman" w:cs="Times New Roman"/>
          <w:i/>
          <w:sz w:val="20"/>
          <w:szCs w:val="20"/>
          <w:lang w:val="fr-CA" w:eastAsia="en-CA"/>
        </w:rPr>
        <w:t>Loi sur les relations de travail dans la fonction publique</w:t>
      </w:r>
      <w:r w:rsidRPr="00C77493">
        <w:rPr>
          <w:rFonts w:eastAsia="Times New Roman" w:cs="Times New Roman"/>
          <w:sz w:val="20"/>
          <w:szCs w:val="20"/>
          <w:lang w:val="fr-CA" w:eastAsia="en-CA"/>
        </w:rPr>
        <w:t>, L.C. 2003, ch. 22 violent</w:t>
      </w:r>
      <w:r w:rsidRPr="00C77493">
        <w:rPr>
          <w:rFonts w:eastAsia="Times New Roman" w:cs="Times New Roman"/>
          <w:sz w:val="20"/>
          <w:szCs w:val="20"/>
          <w:lang w:val="fr-CA" w:eastAsia="en-CA"/>
        </w:rPr>
        <w:noBreakHyphen/>
        <w:t>ils l’al. 2</w:t>
      </w:r>
      <w:r w:rsidRPr="00C77493">
        <w:rPr>
          <w:rFonts w:eastAsia="Times New Roman" w:cs="Times New Roman"/>
          <w:i/>
          <w:sz w:val="20"/>
          <w:szCs w:val="20"/>
          <w:lang w:val="fr-CA" w:eastAsia="en-CA"/>
        </w:rPr>
        <w:t>d)</w:t>
      </w:r>
      <w:r w:rsidRPr="00C77493">
        <w:rPr>
          <w:rFonts w:eastAsia="Times New Roman" w:cs="Times New Roman"/>
          <w:sz w:val="20"/>
          <w:szCs w:val="20"/>
          <w:lang w:val="fr-CA" w:eastAsia="en-CA"/>
        </w:rPr>
        <w:t xml:space="preserve"> de la </w:t>
      </w:r>
      <w:r w:rsidRPr="00C77493">
        <w:rPr>
          <w:rFonts w:eastAsia="Times New Roman" w:cs="Times New Roman"/>
          <w:i/>
          <w:sz w:val="20"/>
          <w:szCs w:val="20"/>
          <w:lang w:val="fr-CA" w:eastAsia="en-CA"/>
        </w:rPr>
        <w:t>Charte canadienne des droits et libertés</w:t>
      </w:r>
      <w:r w:rsidRPr="00C77493">
        <w:rPr>
          <w:rFonts w:eastAsia="Times New Roman" w:cs="Times New Roman"/>
          <w:sz w:val="20"/>
          <w:szCs w:val="20"/>
          <w:lang w:val="fr-CA" w:eastAsia="en-CA"/>
        </w:rPr>
        <w:t xml:space="preserve"> dans la mesure où ils ont pour effet d’obliger l’employeur à fournir à un agent négociateur l’adresse domiciliaire et le numéro de téléphone résidentiel de ses employés? </w:t>
      </w:r>
      <w:r w:rsidRPr="00C77493">
        <w:rPr>
          <w:rFonts w:eastAsia="Times New Roman" w:cs="Times New Roman"/>
          <w:sz w:val="20"/>
          <w:szCs w:val="20"/>
          <w:lang w:val="fr-CA" w:eastAsia="en-CA"/>
        </w:rPr>
        <w:noBreakHyphen/>
        <w:t xml:space="preserve"> Dans l’affirmative, cette violation constitue</w:t>
      </w:r>
      <w:r w:rsidRPr="00C77493">
        <w:rPr>
          <w:rFonts w:eastAsia="Times New Roman" w:cs="Times New Roman"/>
          <w:sz w:val="20"/>
          <w:szCs w:val="20"/>
          <w:lang w:val="fr-CA" w:eastAsia="en-CA"/>
        </w:rPr>
        <w:noBreakHyphen/>
        <w:t>t</w:t>
      </w:r>
      <w:r w:rsidRPr="00C77493">
        <w:rPr>
          <w:rFonts w:eastAsia="Times New Roman" w:cs="Times New Roman"/>
          <w:sz w:val="20"/>
          <w:szCs w:val="20"/>
          <w:lang w:val="fr-CA" w:eastAsia="en-CA"/>
        </w:rPr>
        <w:noBreakHyphen/>
        <w:t>elle une limite raisonnable prescrite par une règle de droit et dont la justification peut se démontrer dans le cadre d’une société libre et démocratique, au sens de l’article premier de la </w:t>
      </w:r>
      <w:r w:rsidRPr="00C77493">
        <w:rPr>
          <w:rFonts w:eastAsia="Times New Roman" w:cs="Times New Roman"/>
          <w:i/>
          <w:iCs/>
          <w:sz w:val="20"/>
          <w:szCs w:val="20"/>
          <w:lang w:val="fr-CA" w:eastAsia="en-CA"/>
        </w:rPr>
        <w:t>Charte canadienne des droits et libertés</w:t>
      </w:r>
      <w:r w:rsidRPr="00C77493">
        <w:rPr>
          <w:rFonts w:eastAsia="Times New Roman" w:cs="Times New Roman"/>
          <w:sz w:val="20"/>
          <w:szCs w:val="20"/>
          <w:lang w:val="fr-CA" w:eastAsia="en-CA"/>
        </w:rPr>
        <w:t xml:space="preserve">? </w:t>
      </w:r>
    </w:p>
    <w:p w:rsidR="00C77493" w:rsidRPr="00C77493" w:rsidRDefault="00C77493" w:rsidP="00C77493">
      <w:pPr>
        <w:widowControl w:val="0"/>
        <w:jc w:val="both"/>
        <w:rPr>
          <w:rFonts w:eastAsia="Times New Roman" w:cs="Times New Roman"/>
          <w:sz w:val="20"/>
          <w:szCs w:val="20"/>
          <w:lang w:val="fr-CA" w:eastAsia="en-CA"/>
        </w:rPr>
      </w:pPr>
    </w:p>
    <w:p w:rsidR="00C77493" w:rsidRPr="00C77493" w:rsidRDefault="00C77493" w:rsidP="00C77493">
      <w:pPr>
        <w:widowControl w:val="0"/>
        <w:jc w:val="both"/>
        <w:rPr>
          <w:rFonts w:eastAsia="Times New Roman" w:cs="Times New Roman"/>
          <w:sz w:val="20"/>
          <w:szCs w:val="20"/>
          <w:lang w:val="fr-CA" w:eastAsia="en-CA"/>
        </w:rPr>
      </w:pPr>
      <w:r w:rsidRPr="00C77493">
        <w:rPr>
          <w:rFonts w:eastAsia="Times New Roman" w:cs="Times New Roman"/>
          <w:sz w:val="20"/>
          <w:szCs w:val="20"/>
          <w:lang w:val="fr-CA" w:eastAsia="en-CA"/>
        </w:rPr>
        <w:t xml:space="preserve">L’appelante était une employée de l’Agence de revenu du Canada (« CRA »), dans une catégorie d’emploi pour laquelle l’Institut professionnel de la fonction publique du Canada (le « syndicat ») était l’agent négociateur.  Madame Bernard avait refusé de devenir membre du syndicat et elle cherche à empêcher l’ARC de communiquer ses coordonnées personnelles au syndicat.  Elle a présenté une demande de contrôle judiciaire d’une ordonnance sur consentement rendue par la Commission des relations de travail dans la fonction publique (la « Commission ») qui a autorisé la communication de ses coordonnées personnelles au syndicat sous réserve de certaines mesures de protection.  La Cour d’appel fédérale a renvoyé l’affaire à la Commission pour qu’elle rende une décision quant aux renseignements que l’employeur doit fournir pour permettre au syndicat de s’acquitter des obligations que lui impose la </w:t>
      </w:r>
      <w:r w:rsidRPr="00C77493">
        <w:rPr>
          <w:rFonts w:eastAsia="Times New Roman" w:cs="Times New Roman"/>
          <w:i/>
          <w:sz w:val="20"/>
          <w:szCs w:val="20"/>
          <w:lang w:val="fr-CA" w:eastAsia="en-CA"/>
        </w:rPr>
        <w:t>Loi sur les relations de travail dans la fonction publique</w:t>
      </w:r>
      <w:r w:rsidRPr="00C77493">
        <w:rPr>
          <w:rFonts w:eastAsia="Times New Roman" w:cs="Times New Roman"/>
          <w:sz w:val="20"/>
          <w:szCs w:val="20"/>
          <w:lang w:val="fr-CA" w:eastAsia="en-CA"/>
        </w:rPr>
        <w:t>, L.C. 2003, ch. 22, art. 2, sans porter atteinte aux droits qui sont conférés aux employés par la </w:t>
      </w:r>
      <w:r w:rsidRPr="00C77493">
        <w:rPr>
          <w:rFonts w:eastAsia="Times New Roman" w:cs="Times New Roman"/>
          <w:i/>
          <w:iCs/>
          <w:sz w:val="20"/>
          <w:szCs w:val="20"/>
          <w:lang w:val="fr-CA" w:eastAsia="en-CA"/>
        </w:rPr>
        <w:t>Loi sur la protection des renseignements personnels</w:t>
      </w:r>
      <w:r w:rsidRPr="00C77493">
        <w:rPr>
          <w:rFonts w:eastAsia="Times New Roman" w:cs="Times New Roman"/>
          <w:sz w:val="20"/>
          <w:szCs w:val="20"/>
          <w:lang w:val="fr-CA" w:eastAsia="en-CA"/>
        </w:rPr>
        <w:t xml:space="preserve"> : </w:t>
      </w:r>
      <w:r w:rsidRPr="00C77493">
        <w:rPr>
          <w:rFonts w:eastAsia="Times New Roman" w:cs="Times New Roman"/>
          <w:i/>
          <w:sz w:val="20"/>
          <w:szCs w:val="20"/>
          <w:lang w:val="fr-CA" w:eastAsia="en-CA"/>
        </w:rPr>
        <w:t>Bernard c. Canada</w:t>
      </w:r>
      <w:r w:rsidRPr="00C77493">
        <w:rPr>
          <w:rFonts w:eastAsia="Times New Roman" w:cs="Times New Roman"/>
          <w:sz w:val="20"/>
          <w:szCs w:val="20"/>
          <w:lang w:val="fr-CA" w:eastAsia="en-CA"/>
        </w:rPr>
        <w:t xml:space="preserve">, 2010 CAF 40.  La Commission a conclu que les directives de la Cour d’appel se limitaient à l’évaluation des droits à la vie privée des employés et a refusé de considérer l’argument de l’appelante fondée sur la </w:t>
      </w:r>
      <w:r w:rsidRPr="00C77493">
        <w:rPr>
          <w:rFonts w:eastAsia="Times New Roman" w:cs="Times New Roman"/>
          <w:i/>
          <w:sz w:val="20"/>
          <w:szCs w:val="20"/>
          <w:lang w:val="fr-CA" w:eastAsia="en-CA"/>
        </w:rPr>
        <w:t>Charte</w:t>
      </w:r>
      <w:r w:rsidRPr="00C77493">
        <w:rPr>
          <w:rFonts w:eastAsia="Times New Roman" w:cs="Times New Roman"/>
          <w:sz w:val="20"/>
          <w:szCs w:val="20"/>
          <w:lang w:val="fr-CA" w:eastAsia="en-CA"/>
        </w:rPr>
        <w:t xml:space="preserve"> selon lequel la communication des renseignements violait sa liberté de ne pas s’associer.  La Commission a conclu en outre que la communication des renseignements était autorisée par l’al. 8(2)</w:t>
      </w:r>
      <w:r w:rsidRPr="00C77493">
        <w:rPr>
          <w:rFonts w:eastAsia="Times New Roman" w:cs="Times New Roman"/>
          <w:i/>
          <w:iCs/>
          <w:sz w:val="20"/>
          <w:szCs w:val="20"/>
          <w:lang w:val="fr-CA" w:eastAsia="en-CA"/>
        </w:rPr>
        <w:t>a</w:t>
      </w:r>
      <w:r w:rsidRPr="00C77493">
        <w:rPr>
          <w:rFonts w:eastAsia="Times New Roman" w:cs="Times New Roman"/>
          <w:sz w:val="20"/>
          <w:szCs w:val="20"/>
          <w:lang w:val="fr-CA" w:eastAsia="en-CA"/>
        </w:rPr>
        <w:t xml:space="preserve">) de la </w:t>
      </w:r>
      <w:r w:rsidRPr="00C77493">
        <w:rPr>
          <w:rFonts w:eastAsia="Times New Roman" w:cs="Times New Roman"/>
          <w:i/>
          <w:iCs/>
          <w:sz w:val="20"/>
          <w:szCs w:val="20"/>
          <w:lang w:val="fr-CA" w:eastAsia="en-CA"/>
        </w:rPr>
        <w:t>Loi sur la protection des renseignements personnels</w:t>
      </w:r>
      <w:r w:rsidRPr="00C77493">
        <w:rPr>
          <w:rFonts w:eastAsia="Times New Roman" w:cs="Times New Roman"/>
          <w:sz w:val="20"/>
          <w:szCs w:val="20"/>
          <w:lang w:val="fr-CA" w:eastAsia="en-CA"/>
        </w:rPr>
        <w:t>, étant donné que l’usage qu’elle entendait faire de ceux</w:t>
      </w:r>
      <w:r w:rsidRPr="00C77493">
        <w:rPr>
          <w:rFonts w:eastAsia="Times New Roman" w:cs="Times New Roman"/>
          <w:sz w:val="20"/>
          <w:szCs w:val="20"/>
          <w:lang w:val="fr-CA" w:eastAsia="en-CA"/>
        </w:rPr>
        <w:noBreakHyphen/>
        <w:t>ci était compatible avec les fins auxquelles ils ont été recueillis par l’ARC.  Sa première ordonnance a été modifiée par l’ajout de mesures de protection supplémentaires.  La Cour d’appel fédérale a rejeté la demande de contrôle judiciaire de l’appelante, jugeant que la décision de la Commission était raisonnable.</w:t>
      </w:r>
    </w:p>
    <w:p w:rsidR="00C77493" w:rsidRPr="00C77493" w:rsidRDefault="00C77493" w:rsidP="00C77493">
      <w:pPr>
        <w:widowControl w:val="0"/>
        <w:jc w:val="both"/>
        <w:rPr>
          <w:rFonts w:eastAsia="Times New Roman" w:cs="Times New Roman"/>
          <w:sz w:val="20"/>
          <w:szCs w:val="20"/>
          <w:lang w:val="fr-CA" w:eastAsia="en-CA"/>
        </w:rPr>
      </w:pPr>
    </w:p>
    <w:p w:rsidR="00C77493" w:rsidRPr="00C77493" w:rsidRDefault="00C77493" w:rsidP="00C77493">
      <w:pPr>
        <w:widowControl w:val="0"/>
        <w:jc w:val="both"/>
        <w:rPr>
          <w:rFonts w:eastAsia="Times New Roman" w:cs="Times New Roman"/>
          <w:sz w:val="20"/>
          <w:szCs w:val="20"/>
          <w:lang w:val="fr-CA" w:eastAsia="en-CA"/>
        </w:rPr>
      </w:pPr>
    </w:p>
    <w:p w:rsidR="00C77493" w:rsidRPr="00C77493" w:rsidRDefault="00C77493" w:rsidP="00C77493">
      <w:pPr>
        <w:widowControl w:val="0"/>
        <w:ind w:left="2880" w:hanging="2880"/>
        <w:jc w:val="both"/>
        <w:rPr>
          <w:rFonts w:eastAsia="Times New Roman" w:cs="Times New Roman"/>
          <w:sz w:val="20"/>
          <w:szCs w:val="20"/>
          <w:lang w:val="fr-CA" w:eastAsia="en-CA"/>
        </w:rPr>
      </w:pPr>
      <w:r w:rsidRPr="00C77493">
        <w:rPr>
          <w:rFonts w:eastAsia="Times New Roman" w:cs="Times New Roman"/>
          <w:sz w:val="20"/>
          <w:szCs w:val="20"/>
          <w:lang w:val="fr-CA" w:eastAsia="en-CA"/>
        </w:rPr>
        <w:t>Origine :</w:t>
      </w:r>
      <w:r w:rsidRPr="00C77493">
        <w:rPr>
          <w:rFonts w:eastAsia="Times New Roman" w:cs="Times New Roman"/>
          <w:sz w:val="20"/>
          <w:szCs w:val="20"/>
          <w:lang w:val="fr-CA" w:eastAsia="en-CA"/>
        </w:rPr>
        <w:tab/>
        <w:t>Cour d’appel fédérale</w:t>
      </w:r>
    </w:p>
    <w:p w:rsidR="00C77493" w:rsidRPr="00C77493" w:rsidRDefault="00C77493" w:rsidP="00C77493">
      <w:pPr>
        <w:widowControl w:val="0"/>
        <w:ind w:left="2880" w:hanging="2880"/>
        <w:jc w:val="both"/>
        <w:rPr>
          <w:rFonts w:eastAsia="Times New Roman" w:cs="Times New Roman"/>
          <w:sz w:val="20"/>
          <w:szCs w:val="20"/>
          <w:lang w:val="fr-CA" w:eastAsia="en-CA"/>
        </w:rPr>
      </w:pPr>
    </w:p>
    <w:p w:rsidR="00C77493" w:rsidRPr="00C77493" w:rsidRDefault="00C77493" w:rsidP="00C77493">
      <w:pPr>
        <w:widowControl w:val="0"/>
        <w:ind w:left="2880" w:hanging="2880"/>
        <w:jc w:val="both"/>
        <w:rPr>
          <w:rFonts w:eastAsia="Times New Roman" w:cs="Times New Roman"/>
          <w:sz w:val="20"/>
          <w:szCs w:val="20"/>
          <w:lang w:val="fr-CA" w:eastAsia="en-CA"/>
        </w:rPr>
      </w:pPr>
      <w:r w:rsidRPr="00C77493">
        <w:rPr>
          <w:rFonts w:eastAsia="Times New Roman" w:cs="Times New Roman"/>
          <w:sz w:val="20"/>
          <w:szCs w:val="20"/>
          <w:lang w:val="fr-CA" w:eastAsia="en-CA"/>
        </w:rPr>
        <w:t>N</w:t>
      </w:r>
      <w:r w:rsidRPr="00C77493">
        <w:rPr>
          <w:rFonts w:eastAsia="Times New Roman" w:cs="Times New Roman"/>
          <w:sz w:val="20"/>
          <w:szCs w:val="20"/>
          <w:vertAlign w:val="superscript"/>
          <w:lang w:val="fr-CA" w:eastAsia="en-CA"/>
        </w:rPr>
        <w:t>o</w:t>
      </w:r>
      <w:r w:rsidRPr="00C77493">
        <w:rPr>
          <w:rFonts w:eastAsia="Times New Roman" w:cs="Times New Roman"/>
          <w:sz w:val="20"/>
          <w:szCs w:val="20"/>
          <w:lang w:val="fr-CA" w:eastAsia="en-CA"/>
        </w:rPr>
        <w:t xml:space="preserve"> du greffe :</w:t>
      </w:r>
      <w:r w:rsidRPr="00C77493">
        <w:rPr>
          <w:rFonts w:eastAsia="Times New Roman" w:cs="Times New Roman"/>
          <w:sz w:val="20"/>
          <w:szCs w:val="20"/>
          <w:lang w:val="fr-CA" w:eastAsia="en-CA"/>
        </w:rPr>
        <w:tab/>
        <w:t>34819</w:t>
      </w:r>
    </w:p>
    <w:p w:rsidR="00C77493" w:rsidRPr="00C77493" w:rsidRDefault="00C77493" w:rsidP="00C77493">
      <w:pPr>
        <w:widowControl w:val="0"/>
        <w:ind w:left="2880" w:hanging="2880"/>
        <w:jc w:val="both"/>
        <w:rPr>
          <w:rFonts w:eastAsia="Times New Roman" w:cs="Times New Roman"/>
          <w:sz w:val="20"/>
          <w:szCs w:val="20"/>
          <w:lang w:val="fr-CA" w:eastAsia="en-CA"/>
        </w:rPr>
      </w:pPr>
    </w:p>
    <w:p w:rsidR="00C77493" w:rsidRPr="00C77493" w:rsidRDefault="00C77493" w:rsidP="00C77493">
      <w:pPr>
        <w:widowControl w:val="0"/>
        <w:ind w:left="2880" w:hanging="2880"/>
        <w:jc w:val="both"/>
        <w:rPr>
          <w:rFonts w:eastAsia="Times New Roman" w:cs="Times New Roman"/>
          <w:sz w:val="20"/>
          <w:szCs w:val="20"/>
          <w:lang w:val="fr-CA" w:eastAsia="en-CA"/>
        </w:rPr>
      </w:pPr>
      <w:r w:rsidRPr="00C77493">
        <w:rPr>
          <w:rFonts w:eastAsia="Times New Roman" w:cs="Times New Roman"/>
          <w:sz w:val="20"/>
          <w:szCs w:val="20"/>
          <w:lang w:val="fr-CA" w:eastAsia="en-CA"/>
        </w:rPr>
        <w:t>Arrêt de la Cour d’appel :</w:t>
      </w:r>
      <w:r w:rsidRPr="00C77493">
        <w:rPr>
          <w:rFonts w:eastAsia="Times New Roman" w:cs="Times New Roman"/>
          <w:sz w:val="20"/>
          <w:szCs w:val="20"/>
          <w:lang w:val="fr-CA" w:eastAsia="en-CA"/>
        </w:rPr>
        <w:tab/>
        <w:t>le 16 mars 2012</w:t>
      </w:r>
    </w:p>
    <w:p w:rsidR="00C77493" w:rsidRPr="00C77493" w:rsidRDefault="00C77493" w:rsidP="00C77493">
      <w:pPr>
        <w:widowControl w:val="0"/>
        <w:ind w:left="2880" w:hanging="2880"/>
        <w:jc w:val="both"/>
        <w:rPr>
          <w:rFonts w:eastAsia="Times New Roman" w:cs="Times New Roman"/>
          <w:sz w:val="20"/>
          <w:szCs w:val="20"/>
          <w:lang w:val="fr-CA" w:eastAsia="en-CA"/>
        </w:rPr>
      </w:pPr>
    </w:p>
    <w:p w:rsidR="00C77493" w:rsidRPr="00C77493" w:rsidRDefault="00C77493" w:rsidP="00C77493">
      <w:pPr>
        <w:widowControl w:val="0"/>
        <w:ind w:left="2880" w:hanging="2880"/>
        <w:jc w:val="both"/>
        <w:rPr>
          <w:rFonts w:eastAsia="Times New Roman" w:cs="Times New Roman"/>
          <w:sz w:val="20"/>
          <w:szCs w:val="20"/>
          <w:lang w:val="fr-CA" w:eastAsia="en-CA"/>
        </w:rPr>
      </w:pPr>
      <w:r w:rsidRPr="00C77493">
        <w:rPr>
          <w:rFonts w:eastAsia="Times New Roman" w:cs="Times New Roman"/>
          <w:sz w:val="20"/>
          <w:szCs w:val="20"/>
          <w:lang w:val="fr-CA" w:eastAsia="en-CA"/>
        </w:rPr>
        <w:t>Avocats :</w:t>
      </w:r>
      <w:r w:rsidRPr="00C77493">
        <w:rPr>
          <w:rFonts w:eastAsia="Times New Roman" w:cs="Times New Roman"/>
          <w:sz w:val="20"/>
          <w:szCs w:val="20"/>
          <w:lang w:val="fr-CA" w:eastAsia="en-CA"/>
        </w:rPr>
        <w:tab/>
        <w:t>Elizabeth Bernard, non représentée</w:t>
      </w:r>
    </w:p>
    <w:p w:rsidR="00C77493" w:rsidRPr="00C77493" w:rsidRDefault="00C77493" w:rsidP="00C77493">
      <w:pPr>
        <w:widowControl w:val="0"/>
        <w:ind w:left="2880" w:hanging="2880"/>
        <w:jc w:val="both"/>
        <w:rPr>
          <w:rFonts w:eastAsia="Times New Roman" w:cs="Times New Roman"/>
          <w:sz w:val="20"/>
          <w:szCs w:val="20"/>
          <w:lang w:val="fr-CA" w:eastAsia="en-CA"/>
        </w:rPr>
      </w:pPr>
      <w:r w:rsidRPr="00C77493">
        <w:rPr>
          <w:rFonts w:eastAsia="Times New Roman" w:cs="Times New Roman"/>
          <w:sz w:val="20"/>
          <w:szCs w:val="20"/>
          <w:lang w:val="fr-CA" w:eastAsia="en-CA"/>
        </w:rPr>
        <w:tab/>
        <w:t>Anne Turley pour l’intimé le procureur général du Canada</w:t>
      </w:r>
    </w:p>
    <w:p w:rsidR="00C77493" w:rsidRPr="00C77493" w:rsidRDefault="00C77493" w:rsidP="00C77493">
      <w:pPr>
        <w:widowControl w:val="0"/>
        <w:ind w:left="2880" w:hanging="2880"/>
        <w:jc w:val="both"/>
        <w:rPr>
          <w:rFonts w:eastAsia="Times New Roman" w:cs="Times New Roman"/>
          <w:sz w:val="20"/>
          <w:szCs w:val="20"/>
          <w:lang w:val="fr-CA" w:eastAsia="en-CA"/>
        </w:rPr>
      </w:pPr>
      <w:r w:rsidRPr="00C77493">
        <w:rPr>
          <w:rFonts w:eastAsia="Times New Roman" w:cs="Times New Roman"/>
          <w:sz w:val="20"/>
          <w:szCs w:val="20"/>
          <w:lang w:val="fr-CA" w:eastAsia="en-CA"/>
        </w:rPr>
        <w:tab/>
        <w:t>Peter C. Engelmann pour l’intimé l’Institut professionnel de la fonction publique du Canada</w:t>
      </w:r>
    </w:p>
    <w:p w:rsidR="00C77493" w:rsidRPr="00C77493" w:rsidRDefault="00C77493" w:rsidP="00C77493">
      <w:pPr>
        <w:widowControl w:val="0"/>
        <w:ind w:left="2880" w:hanging="2880"/>
        <w:jc w:val="both"/>
        <w:rPr>
          <w:rFonts w:eastAsia="Times New Roman" w:cs="Times New Roman"/>
          <w:sz w:val="20"/>
          <w:szCs w:val="20"/>
          <w:lang w:val="fr-CA" w:eastAsia="en-CA"/>
        </w:rPr>
      </w:pPr>
      <w:r w:rsidRPr="00C77493">
        <w:rPr>
          <w:rFonts w:eastAsia="Times New Roman" w:cs="Times New Roman"/>
          <w:sz w:val="20"/>
          <w:szCs w:val="20"/>
          <w:lang w:val="fr-CA" w:eastAsia="en-CA"/>
        </w:rPr>
        <w:tab/>
        <w:t xml:space="preserve">Michael A. Feder, </w:t>
      </w:r>
      <w:r w:rsidRPr="00C77493">
        <w:rPr>
          <w:rFonts w:eastAsia="Times New Roman" w:cs="Times New Roman"/>
          <w:i/>
          <w:sz w:val="20"/>
          <w:szCs w:val="20"/>
          <w:lang w:val="fr-CA" w:eastAsia="en-CA"/>
        </w:rPr>
        <w:t>amicus curiae</w:t>
      </w:r>
    </w:p>
    <w:p w:rsidR="00C77493" w:rsidRPr="00DD0B49" w:rsidRDefault="00C77493" w:rsidP="000B3C9A">
      <w:pPr>
        <w:tabs>
          <w:tab w:val="left" w:pos="-1440"/>
          <w:tab w:val="left" w:pos="-720"/>
        </w:tabs>
        <w:jc w:val="both"/>
        <w:rPr>
          <w:sz w:val="20"/>
          <w:szCs w:val="20"/>
          <w:lang w:val="fr-CA"/>
        </w:rPr>
      </w:pPr>
    </w:p>
    <w:p w:rsidR="000B3C9A" w:rsidRDefault="00CC2008" w:rsidP="000B3C9A">
      <w:pPr>
        <w:tabs>
          <w:tab w:val="left" w:pos="-1440"/>
          <w:tab w:val="left" w:pos="-720"/>
        </w:tabs>
        <w:jc w:val="both"/>
        <w:rPr>
          <w:sz w:val="20"/>
          <w:szCs w:val="20"/>
          <w:lang w:val="fr-CA"/>
        </w:rPr>
      </w:pPr>
      <w:r w:rsidRPr="00CC2008">
        <w:rPr>
          <w:sz w:val="20"/>
          <w:szCs w:val="20"/>
          <w:lang w:val="fr-CA"/>
        </w:rPr>
        <w:pict>
          <v:rect id="_x0000_i1090" style="width:2in;height:1pt" o:hrpct="0" o:hralign="center" o:hrstd="t" o:hrnoshade="t" o:hr="t" fillcolor="black [3213]" stroked="f"/>
        </w:pict>
      </w:r>
    </w:p>
    <w:p w:rsidR="00C77493" w:rsidRDefault="00C77493" w:rsidP="000B3C9A">
      <w:pPr>
        <w:tabs>
          <w:tab w:val="left" w:pos="-1440"/>
          <w:tab w:val="left" w:pos="-720"/>
        </w:tabs>
        <w:jc w:val="both"/>
        <w:rPr>
          <w:sz w:val="20"/>
          <w:szCs w:val="20"/>
          <w:lang w:val="fr-CA"/>
        </w:rPr>
      </w:pPr>
    </w:p>
    <w:p w:rsidR="00C77493" w:rsidRDefault="00C77493">
      <w:pPr>
        <w:rPr>
          <w:sz w:val="20"/>
          <w:szCs w:val="20"/>
          <w:lang w:val="fr-CA"/>
        </w:rPr>
      </w:pPr>
      <w:r>
        <w:rPr>
          <w:sz w:val="20"/>
          <w:szCs w:val="20"/>
          <w:lang w:val="fr-CA"/>
        </w:rPr>
        <w:br w:type="page"/>
      </w:r>
    </w:p>
    <w:p w:rsidR="00C77493" w:rsidRPr="003A2299" w:rsidRDefault="00CC2008" w:rsidP="00C77493">
      <w:pPr>
        <w:widowControl w:val="0"/>
        <w:ind w:left="720" w:hanging="720"/>
        <w:jc w:val="both"/>
        <w:rPr>
          <w:b/>
          <w:i/>
          <w:sz w:val="20"/>
          <w:szCs w:val="20"/>
        </w:rPr>
      </w:pPr>
      <w:r w:rsidRPr="003A2299">
        <w:rPr>
          <w:b/>
          <w:sz w:val="20"/>
          <w:szCs w:val="20"/>
        </w:rPr>
        <w:fldChar w:fldCharType="begin"/>
      </w:r>
      <w:r w:rsidR="00C77493" w:rsidRPr="003A2299">
        <w:rPr>
          <w:b/>
          <w:sz w:val="20"/>
          <w:szCs w:val="20"/>
        </w:rPr>
        <w:instrText xml:space="preserve"> SEQ CHAPTER \h \r 1</w:instrText>
      </w:r>
      <w:r w:rsidRPr="003A2299">
        <w:rPr>
          <w:b/>
          <w:sz w:val="20"/>
          <w:szCs w:val="20"/>
        </w:rPr>
        <w:fldChar w:fldCharType="end"/>
      </w:r>
      <w:r w:rsidR="00C77493" w:rsidRPr="003A2299">
        <w:rPr>
          <w:b/>
          <w:sz w:val="20"/>
          <w:szCs w:val="20"/>
        </w:rPr>
        <w:t>34828</w:t>
      </w:r>
      <w:r w:rsidR="00C77493" w:rsidRPr="003A2299">
        <w:rPr>
          <w:sz w:val="20"/>
          <w:szCs w:val="20"/>
        </w:rPr>
        <w:tab/>
      </w:r>
      <w:r w:rsidR="00C77493" w:rsidRPr="003A2299">
        <w:rPr>
          <w:b/>
          <w:i/>
          <w:sz w:val="20"/>
          <w:szCs w:val="20"/>
        </w:rPr>
        <w:t xml:space="preserve">John Doe, Requester v. Minister of Finance for the Province of Ontario </w:t>
      </w:r>
      <w:r w:rsidR="00C77493" w:rsidRPr="003A2299">
        <w:rPr>
          <w:b/>
          <w:i/>
          <w:sz w:val="20"/>
          <w:szCs w:val="20"/>
        </w:rPr>
        <w:noBreakHyphen/>
        <w:t xml:space="preserve"> and between </w:t>
      </w:r>
      <w:r w:rsidR="00C77493" w:rsidRPr="003A2299">
        <w:rPr>
          <w:b/>
          <w:i/>
          <w:sz w:val="20"/>
          <w:szCs w:val="20"/>
        </w:rPr>
        <w:noBreakHyphen/>
        <w:t xml:space="preserve"> Information and Privacy Commissioner of Ontario (Diane Smith, Adjudicator) v. Minister of Finance for the Province of Ontario</w:t>
      </w:r>
    </w:p>
    <w:p w:rsidR="00C77493" w:rsidRPr="003A2299" w:rsidRDefault="00C77493" w:rsidP="00C77493">
      <w:pPr>
        <w:widowControl w:val="0"/>
        <w:jc w:val="both"/>
        <w:rPr>
          <w:sz w:val="20"/>
          <w:szCs w:val="20"/>
        </w:rPr>
      </w:pPr>
    </w:p>
    <w:p w:rsidR="00C77493" w:rsidRPr="003A2299" w:rsidRDefault="00C77493" w:rsidP="00C77493">
      <w:pPr>
        <w:widowControl w:val="0"/>
        <w:jc w:val="both"/>
        <w:rPr>
          <w:smallCaps/>
          <w:sz w:val="20"/>
          <w:szCs w:val="20"/>
        </w:rPr>
      </w:pPr>
      <w:r w:rsidRPr="003A2299">
        <w:rPr>
          <w:smallCaps/>
          <w:sz w:val="20"/>
          <w:szCs w:val="20"/>
        </w:rPr>
        <w:t xml:space="preserve">(Sealing </w:t>
      </w:r>
      <w:r>
        <w:rPr>
          <w:smallCaps/>
          <w:sz w:val="20"/>
          <w:szCs w:val="20"/>
        </w:rPr>
        <w:t>O</w:t>
      </w:r>
      <w:r w:rsidRPr="003A2299">
        <w:rPr>
          <w:smallCaps/>
          <w:sz w:val="20"/>
          <w:szCs w:val="20"/>
        </w:rPr>
        <w:t>rder)</w:t>
      </w:r>
      <w:bookmarkStart w:id="9" w:name="_GoBack"/>
      <w:bookmarkEnd w:id="9"/>
    </w:p>
    <w:p w:rsidR="00C77493" w:rsidRPr="003A2299" w:rsidRDefault="00C77493" w:rsidP="00C77493">
      <w:pPr>
        <w:widowControl w:val="0"/>
        <w:jc w:val="both"/>
        <w:rPr>
          <w:sz w:val="20"/>
          <w:szCs w:val="20"/>
        </w:rPr>
      </w:pPr>
    </w:p>
    <w:p w:rsidR="00C77493" w:rsidRPr="003A2299" w:rsidRDefault="00C77493" w:rsidP="00C77493">
      <w:pPr>
        <w:widowControl w:val="0"/>
        <w:jc w:val="both"/>
        <w:rPr>
          <w:sz w:val="20"/>
          <w:szCs w:val="20"/>
        </w:rPr>
      </w:pPr>
      <w:r w:rsidRPr="003A2299">
        <w:rPr>
          <w:sz w:val="20"/>
          <w:szCs w:val="20"/>
        </w:rPr>
        <w:t xml:space="preserve">Access to information </w:t>
      </w:r>
      <w:r w:rsidRPr="003A2299">
        <w:rPr>
          <w:sz w:val="20"/>
          <w:szCs w:val="20"/>
        </w:rPr>
        <w:noBreakHyphen/>
        <w:t xml:space="preserve"> Exemptions </w:t>
      </w:r>
      <w:r w:rsidRPr="003A2299">
        <w:rPr>
          <w:sz w:val="20"/>
          <w:szCs w:val="20"/>
        </w:rPr>
        <w:noBreakHyphen/>
        <w:t xml:space="preserve"> Advice or recommendations to Minister </w:t>
      </w:r>
      <w:r w:rsidRPr="003A2299">
        <w:rPr>
          <w:sz w:val="20"/>
          <w:szCs w:val="20"/>
        </w:rPr>
        <w:noBreakHyphen/>
        <w:t xml:space="preserve"> Whether the exemption for “advice and recommendations” at s. 13(1) of the </w:t>
      </w:r>
      <w:r w:rsidRPr="003A2299">
        <w:rPr>
          <w:i/>
          <w:sz w:val="20"/>
          <w:szCs w:val="20"/>
        </w:rPr>
        <w:t>Freedom of Information and Protection of Privacy Act</w:t>
      </w:r>
      <w:r w:rsidRPr="003A2299">
        <w:rPr>
          <w:sz w:val="20"/>
          <w:szCs w:val="20"/>
        </w:rPr>
        <w:t xml:space="preserve">, R.S.O. 1990 c. F.31, encompasses the presentation of a range of policy options and evaluative or analytical commentary that does not reveal a suggested course of action or a preferred option </w:t>
      </w:r>
      <w:r w:rsidRPr="003A2299">
        <w:rPr>
          <w:sz w:val="20"/>
          <w:szCs w:val="20"/>
        </w:rPr>
        <w:noBreakHyphen/>
        <w:t xml:space="preserve"> Whether the exemption for “advice and recommendations” at s. 13(1) of the </w:t>
      </w:r>
      <w:r w:rsidRPr="003A2299">
        <w:rPr>
          <w:i/>
          <w:sz w:val="20"/>
          <w:szCs w:val="20"/>
        </w:rPr>
        <w:t>Freedom of Information and Protection of Privacy Act</w:t>
      </w:r>
      <w:r w:rsidRPr="003A2299">
        <w:rPr>
          <w:sz w:val="20"/>
          <w:szCs w:val="20"/>
        </w:rPr>
        <w:t>, R.S.O. 1990 c. F.31, encompasses information which is not communication to a decision</w:t>
      </w:r>
      <w:r w:rsidRPr="003A2299">
        <w:rPr>
          <w:sz w:val="20"/>
          <w:szCs w:val="20"/>
        </w:rPr>
        <w:noBreakHyphen/>
        <w:t>maker, and does not reveal advice or recommendations communicated to a decision</w:t>
      </w:r>
      <w:r w:rsidRPr="003A2299">
        <w:rPr>
          <w:sz w:val="20"/>
          <w:szCs w:val="20"/>
        </w:rPr>
        <w:noBreakHyphen/>
        <w:t xml:space="preserve">maker </w:t>
      </w:r>
      <w:r w:rsidRPr="003A2299">
        <w:rPr>
          <w:sz w:val="20"/>
          <w:szCs w:val="20"/>
        </w:rPr>
        <w:noBreakHyphen/>
        <w:t xml:space="preserve"> Whether the Court of Appeal erred in concluding that the Information and Privacy Commissioner was unreasonable in answering each of the above questions in the negative in this case </w:t>
      </w:r>
      <w:r w:rsidRPr="003A2299">
        <w:rPr>
          <w:sz w:val="20"/>
          <w:szCs w:val="20"/>
        </w:rPr>
        <w:noBreakHyphen/>
        <w:t xml:space="preserve"> </w:t>
      </w:r>
      <w:r w:rsidRPr="003A2299">
        <w:rPr>
          <w:i/>
          <w:sz w:val="20"/>
          <w:szCs w:val="20"/>
        </w:rPr>
        <w:t>Freedom of Information and Protection of Privacy Act</w:t>
      </w:r>
      <w:r w:rsidRPr="003A2299">
        <w:rPr>
          <w:sz w:val="20"/>
          <w:szCs w:val="20"/>
        </w:rPr>
        <w:t>, R.S.O. 1990, c. F.31, s. 13(1).</w:t>
      </w:r>
    </w:p>
    <w:p w:rsidR="00C77493" w:rsidRPr="003A2299" w:rsidRDefault="00C77493" w:rsidP="00C77493">
      <w:pPr>
        <w:widowControl w:val="0"/>
        <w:jc w:val="both"/>
        <w:rPr>
          <w:sz w:val="20"/>
          <w:szCs w:val="20"/>
        </w:rPr>
      </w:pPr>
    </w:p>
    <w:p w:rsidR="00C77493" w:rsidRPr="003A2299" w:rsidRDefault="00C77493" w:rsidP="00C77493">
      <w:pPr>
        <w:widowControl w:val="0"/>
        <w:jc w:val="both"/>
        <w:rPr>
          <w:sz w:val="20"/>
          <w:szCs w:val="20"/>
        </w:rPr>
      </w:pPr>
      <w:r w:rsidRPr="003A2299">
        <w:rPr>
          <w:sz w:val="20"/>
          <w:szCs w:val="20"/>
        </w:rPr>
        <w:t xml:space="preserve">Pursuant to the </w:t>
      </w:r>
      <w:r w:rsidRPr="003A2299">
        <w:rPr>
          <w:i/>
          <w:sz w:val="20"/>
          <w:szCs w:val="20"/>
        </w:rPr>
        <w:t>Freedom of Information and Protection of Privacy Act</w:t>
      </w:r>
      <w:r w:rsidRPr="003A2299">
        <w:rPr>
          <w:sz w:val="20"/>
          <w:szCs w:val="20"/>
        </w:rPr>
        <w:t xml:space="preserve"> (“</w:t>
      </w:r>
      <w:r w:rsidRPr="003A2299">
        <w:rPr>
          <w:i/>
          <w:sz w:val="20"/>
          <w:szCs w:val="20"/>
        </w:rPr>
        <w:t>Act</w:t>
      </w:r>
      <w:r w:rsidRPr="003A2299">
        <w:rPr>
          <w:sz w:val="20"/>
          <w:szCs w:val="20"/>
        </w:rPr>
        <w:t xml:space="preserve">”), the appellant requested records from the Minister of Finance that concerned the issue of retroactivity and the effective date of amendments made to s. 2 of the </w:t>
      </w:r>
      <w:r w:rsidRPr="003A2299">
        <w:rPr>
          <w:i/>
          <w:sz w:val="20"/>
          <w:szCs w:val="20"/>
        </w:rPr>
        <w:t>Corporations Tax Act</w:t>
      </w:r>
      <w:r w:rsidRPr="003A2299">
        <w:rPr>
          <w:sz w:val="20"/>
          <w:szCs w:val="20"/>
        </w:rPr>
        <w:t>, R.S.O. 1990, c. C</w:t>
      </w:r>
      <w:r w:rsidRPr="003A2299">
        <w:rPr>
          <w:sz w:val="20"/>
          <w:szCs w:val="20"/>
        </w:rPr>
        <w:noBreakHyphen/>
        <w:t xml:space="preserve">40.  The records were sought as part of a dispute over tax liability.  The Minister denied access to the records arguing, among other things, that they contained advice or recommendations which meant they were exempt from disclosure pursuant to s. 13(1) of the </w:t>
      </w:r>
      <w:r w:rsidRPr="003A2299">
        <w:rPr>
          <w:i/>
          <w:sz w:val="20"/>
          <w:szCs w:val="20"/>
        </w:rPr>
        <w:t>Act</w:t>
      </w:r>
      <w:r w:rsidRPr="003A2299">
        <w:rPr>
          <w:sz w:val="20"/>
          <w:szCs w:val="20"/>
        </w:rPr>
        <w:t>.  The Information and Privacy Commissioner subsequently ordered disclosure of the records on the basis that they were in draft form, did not contain a suggested course of action, and that there was no evidence that they had been communicated to the decision</w:t>
      </w:r>
      <w:r w:rsidRPr="003A2299">
        <w:rPr>
          <w:sz w:val="20"/>
          <w:szCs w:val="20"/>
        </w:rPr>
        <w:noBreakHyphen/>
        <w:t>maker and therefore no evidence they had been used in the Minister’s deliberative process.  The Divisional Court dismissed the Minister’s application for judicial review in part.  The Court of Appeal allowed the appeal.</w:t>
      </w:r>
    </w:p>
    <w:p w:rsidR="00C77493" w:rsidRPr="003A2299" w:rsidRDefault="00C77493" w:rsidP="00C77493">
      <w:pPr>
        <w:widowControl w:val="0"/>
        <w:jc w:val="both"/>
        <w:rPr>
          <w:sz w:val="20"/>
          <w:szCs w:val="20"/>
        </w:rPr>
      </w:pPr>
    </w:p>
    <w:p w:rsidR="00C77493" w:rsidRPr="003A2299" w:rsidRDefault="00C77493" w:rsidP="00C77493">
      <w:pPr>
        <w:widowControl w:val="0"/>
        <w:jc w:val="both"/>
        <w:rPr>
          <w:sz w:val="20"/>
          <w:szCs w:val="20"/>
        </w:rPr>
      </w:pPr>
    </w:p>
    <w:p w:rsidR="00C77493" w:rsidRPr="003A2299" w:rsidRDefault="00C77493" w:rsidP="00C77493">
      <w:pPr>
        <w:widowControl w:val="0"/>
        <w:ind w:left="2880" w:hanging="2880"/>
        <w:jc w:val="both"/>
        <w:rPr>
          <w:sz w:val="20"/>
          <w:szCs w:val="20"/>
        </w:rPr>
      </w:pPr>
      <w:r w:rsidRPr="003A2299">
        <w:rPr>
          <w:sz w:val="20"/>
          <w:szCs w:val="20"/>
        </w:rPr>
        <w:t>Origin of the case:</w:t>
      </w:r>
      <w:r w:rsidRPr="003A2299">
        <w:rPr>
          <w:sz w:val="20"/>
          <w:szCs w:val="20"/>
        </w:rPr>
        <w:tab/>
        <w:t>Ontario</w:t>
      </w:r>
    </w:p>
    <w:p w:rsidR="00C77493" w:rsidRPr="003A2299" w:rsidRDefault="00C77493" w:rsidP="00C77493">
      <w:pPr>
        <w:widowControl w:val="0"/>
        <w:ind w:left="2880" w:hanging="2880"/>
        <w:jc w:val="both"/>
        <w:rPr>
          <w:sz w:val="20"/>
          <w:szCs w:val="20"/>
        </w:rPr>
      </w:pPr>
    </w:p>
    <w:p w:rsidR="00C77493" w:rsidRPr="003A2299" w:rsidRDefault="00C77493" w:rsidP="00C77493">
      <w:pPr>
        <w:widowControl w:val="0"/>
        <w:ind w:left="2880" w:hanging="2880"/>
        <w:jc w:val="both"/>
        <w:rPr>
          <w:sz w:val="20"/>
          <w:szCs w:val="20"/>
        </w:rPr>
      </w:pPr>
      <w:r w:rsidRPr="003A2299">
        <w:rPr>
          <w:sz w:val="20"/>
          <w:szCs w:val="20"/>
        </w:rPr>
        <w:t>File No.:</w:t>
      </w:r>
      <w:r w:rsidRPr="003A2299">
        <w:rPr>
          <w:sz w:val="20"/>
          <w:szCs w:val="20"/>
        </w:rPr>
        <w:tab/>
        <w:t>34828</w:t>
      </w:r>
    </w:p>
    <w:p w:rsidR="00C77493" w:rsidRPr="003A2299" w:rsidRDefault="00C77493" w:rsidP="00C77493">
      <w:pPr>
        <w:widowControl w:val="0"/>
        <w:ind w:left="2880" w:hanging="2880"/>
        <w:jc w:val="both"/>
        <w:rPr>
          <w:sz w:val="20"/>
          <w:szCs w:val="20"/>
        </w:rPr>
      </w:pPr>
    </w:p>
    <w:p w:rsidR="00C77493" w:rsidRPr="003A2299" w:rsidRDefault="00C77493" w:rsidP="00C77493">
      <w:pPr>
        <w:widowControl w:val="0"/>
        <w:ind w:left="2880" w:hanging="2880"/>
        <w:jc w:val="both"/>
        <w:rPr>
          <w:sz w:val="20"/>
          <w:szCs w:val="20"/>
        </w:rPr>
      </w:pPr>
      <w:r w:rsidRPr="003A2299">
        <w:rPr>
          <w:sz w:val="20"/>
          <w:szCs w:val="20"/>
        </w:rPr>
        <w:t>Judgment of the Court of Appeal:</w:t>
      </w:r>
      <w:r w:rsidRPr="003A2299">
        <w:rPr>
          <w:sz w:val="20"/>
          <w:szCs w:val="20"/>
        </w:rPr>
        <w:tab/>
        <w:t>February 24, 2012</w:t>
      </w:r>
    </w:p>
    <w:p w:rsidR="00C77493" w:rsidRPr="003A2299" w:rsidRDefault="00C77493" w:rsidP="00C77493">
      <w:pPr>
        <w:widowControl w:val="0"/>
        <w:ind w:left="2880" w:hanging="2880"/>
        <w:jc w:val="both"/>
        <w:rPr>
          <w:sz w:val="20"/>
          <w:szCs w:val="20"/>
        </w:rPr>
      </w:pPr>
    </w:p>
    <w:p w:rsidR="00C77493" w:rsidRPr="003A2299" w:rsidRDefault="00C77493" w:rsidP="00C77493">
      <w:pPr>
        <w:widowControl w:val="0"/>
        <w:ind w:left="2880" w:hanging="2880"/>
        <w:jc w:val="both"/>
        <w:rPr>
          <w:sz w:val="20"/>
          <w:szCs w:val="20"/>
        </w:rPr>
      </w:pPr>
      <w:r w:rsidRPr="003A2299">
        <w:rPr>
          <w:sz w:val="20"/>
          <w:szCs w:val="20"/>
        </w:rPr>
        <w:t>Counsel:</w:t>
      </w:r>
      <w:r w:rsidRPr="003A2299">
        <w:rPr>
          <w:sz w:val="20"/>
          <w:szCs w:val="20"/>
        </w:rPr>
        <w:tab/>
        <w:t>Alan M. Schwartz, Q.C., Alex D. Cameron and Kevin H. Yip for the appellant John Doe</w:t>
      </w:r>
    </w:p>
    <w:p w:rsidR="00C77493" w:rsidRPr="003A2299" w:rsidRDefault="00C77493" w:rsidP="00C77493">
      <w:pPr>
        <w:widowControl w:val="0"/>
        <w:ind w:left="2880" w:hanging="2880"/>
        <w:jc w:val="both"/>
        <w:rPr>
          <w:sz w:val="20"/>
          <w:szCs w:val="20"/>
        </w:rPr>
      </w:pPr>
      <w:r w:rsidRPr="003A2299">
        <w:rPr>
          <w:sz w:val="20"/>
          <w:szCs w:val="20"/>
        </w:rPr>
        <w:tab/>
        <w:t>William S. Challis for the appellant Information and Privacy Commissioner of Ontario</w:t>
      </w:r>
    </w:p>
    <w:p w:rsidR="00C77493" w:rsidRPr="003A2299" w:rsidRDefault="00C77493" w:rsidP="00C77493">
      <w:pPr>
        <w:widowControl w:val="0"/>
        <w:ind w:left="2880" w:hanging="2880"/>
        <w:jc w:val="both"/>
        <w:rPr>
          <w:sz w:val="20"/>
          <w:szCs w:val="20"/>
        </w:rPr>
      </w:pPr>
      <w:r w:rsidRPr="003A2299">
        <w:rPr>
          <w:sz w:val="20"/>
          <w:szCs w:val="20"/>
        </w:rPr>
        <w:tab/>
        <w:t>Sara Blake and Kisha Chatterjee for the respondent</w:t>
      </w:r>
    </w:p>
    <w:p w:rsidR="00C77493" w:rsidRPr="00C77493" w:rsidRDefault="00C77493" w:rsidP="00C77493">
      <w:pPr>
        <w:tabs>
          <w:tab w:val="left" w:pos="-1440"/>
          <w:tab w:val="left" w:pos="-720"/>
        </w:tabs>
        <w:jc w:val="both"/>
        <w:rPr>
          <w:sz w:val="20"/>
          <w:szCs w:val="20"/>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1"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Default="00C77493">
      <w:pPr>
        <w:rPr>
          <w:sz w:val="20"/>
          <w:szCs w:val="20"/>
          <w:lang w:val="fr-CA"/>
        </w:rPr>
      </w:pPr>
    </w:p>
    <w:p w:rsidR="00C77493" w:rsidRDefault="00C77493">
      <w:pPr>
        <w:rPr>
          <w:sz w:val="20"/>
          <w:szCs w:val="20"/>
          <w:lang w:val="fr-CA"/>
        </w:rPr>
      </w:pPr>
      <w:r>
        <w:rPr>
          <w:sz w:val="20"/>
          <w:szCs w:val="20"/>
          <w:lang w:val="fr-CA"/>
        </w:rPr>
        <w:br w:type="page"/>
      </w:r>
    </w:p>
    <w:p w:rsidR="00C77493" w:rsidRPr="00AD3226" w:rsidRDefault="00CC2008" w:rsidP="00C77493">
      <w:pPr>
        <w:widowControl w:val="0"/>
        <w:ind w:left="720" w:hanging="720"/>
        <w:jc w:val="both"/>
        <w:rPr>
          <w:b/>
          <w:i/>
          <w:sz w:val="20"/>
          <w:szCs w:val="20"/>
          <w:lang w:val="fr-CA"/>
        </w:rPr>
      </w:pPr>
      <w:r w:rsidRPr="00AD3226">
        <w:rPr>
          <w:b/>
          <w:sz w:val="20"/>
          <w:szCs w:val="20"/>
          <w:lang w:val="fr-CA"/>
        </w:rPr>
        <w:fldChar w:fldCharType="begin"/>
      </w:r>
      <w:r w:rsidR="00C77493" w:rsidRPr="00AD3226">
        <w:rPr>
          <w:b/>
          <w:sz w:val="20"/>
          <w:szCs w:val="20"/>
          <w:lang w:val="fr-CA"/>
        </w:rPr>
        <w:instrText xml:space="preserve"> SEQ CHAPTER \h \r 1</w:instrText>
      </w:r>
      <w:r w:rsidRPr="00AD3226">
        <w:rPr>
          <w:b/>
          <w:sz w:val="20"/>
          <w:szCs w:val="20"/>
          <w:lang w:val="fr-CA"/>
        </w:rPr>
        <w:fldChar w:fldCharType="end"/>
      </w:r>
      <w:r w:rsidR="00C77493" w:rsidRPr="00AD3226">
        <w:rPr>
          <w:b/>
          <w:sz w:val="20"/>
          <w:szCs w:val="20"/>
          <w:lang w:val="fr-CA"/>
        </w:rPr>
        <w:t>34828</w:t>
      </w:r>
      <w:r w:rsidR="00C77493" w:rsidRPr="00AD3226">
        <w:rPr>
          <w:sz w:val="20"/>
          <w:szCs w:val="20"/>
          <w:lang w:val="fr-CA"/>
        </w:rPr>
        <w:tab/>
      </w:r>
      <w:r w:rsidR="00C77493" w:rsidRPr="00AD3226">
        <w:rPr>
          <w:b/>
          <w:i/>
          <w:sz w:val="20"/>
          <w:szCs w:val="20"/>
          <w:lang w:val="fr-CA"/>
        </w:rPr>
        <w:t xml:space="preserve">M. Untel, requérant c. Ministre des Finances de la province d’Ontario  </w:t>
      </w:r>
      <w:r w:rsidR="00C77493" w:rsidRPr="00AD3226">
        <w:rPr>
          <w:b/>
          <w:i/>
          <w:sz w:val="20"/>
          <w:szCs w:val="20"/>
          <w:lang w:val="fr-CA"/>
        </w:rPr>
        <w:noBreakHyphen/>
        <w:t xml:space="preserve"> et entre </w:t>
      </w:r>
      <w:r w:rsidR="00C77493" w:rsidRPr="00AD3226">
        <w:rPr>
          <w:b/>
          <w:i/>
          <w:sz w:val="20"/>
          <w:szCs w:val="20"/>
          <w:lang w:val="fr-CA"/>
        </w:rPr>
        <w:noBreakHyphen/>
        <w:t xml:space="preserve"> Commissaire à l’information et à la protection de la vie privée de l’Ontario (Diane Smith, arbitre) c. Ministre des Finances de la province d’Ontario</w:t>
      </w:r>
    </w:p>
    <w:p w:rsidR="00C77493" w:rsidRPr="00AD3226" w:rsidRDefault="00C77493" w:rsidP="00C77493">
      <w:pPr>
        <w:widowControl w:val="0"/>
        <w:jc w:val="both"/>
        <w:rPr>
          <w:sz w:val="20"/>
          <w:szCs w:val="20"/>
          <w:lang w:val="fr-CA"/>
        </w:rPr>
      </w:pPr>
    </w:p>
    <w:p w:rsidR="00C77493" w:rsidRPr="00AD3226" w:rsidRDefault="00C77493" w:rsidP="00C77493">
      <w:pPr>
        <w:widowControl w:val="0"/>
        <w:jc w:val="both"/>
        <w:rPr>
          <w:smallCaps/>
          <w:sz w:val="20"/>
          <w:szCs w:val="20"/>
          <w:lang w:val="fr-CA"/>
        </w:rPr>
      </w:pPr>
      <w:r w:rsidRPr="00AD3226">
        <w:rPr>
          <w:smallCaps/>
          <w:sz w:val="20"/>
          <w:szCs w:val="20"/>
          <w:lang w:val="fr-CA"/>
        </w:rPr>
        <w:t>(Ordonnance de mise sous scellés)</w:t>
      </w:r>
    </w:p>
    <w:p w:rsidR="00C77493" w:rsidRPr="00AD3226" w:rsidRDefault="00C77493" w:rsidP="00C77493">
      <w:pPr>
        <w:widowControl w:val="0"/>
        <w:jc w:val="both"/>
        <w:rPr>
          <w:sz w:val="20"/>
          <w:szCs w:val="20"/>
          <w:lang w:val="fr-CA"/>
        </w:rPr>
      </w:pPr>
    </w:p>
    <w:p w:rsidR="00C77493" w:rsidRPr="00AD3226" w:rsidRDefault="00C77493" w:rsidP="00C77493">
      <w:pPr>
        <w:widowControl w:val="0"/>
        <w:jc w:val="both"/>
        <w:rPr>
          <w:sz w:val="20"/>
          <w:szCs w:val="20"/>
          <w:lang w:val="fr-CA"/>
        </w:rPr>
      </w:pPr>
      <w:r w:rsidRPr="00AD3226">
        <w:rPr>
          <w:sz w:val="20"/>
          <w:szCs w:val="20"/>
          <w:lang w:val="fr-CA"/>
        </w:rPr>
        <w:t xml:space="preserve">Accès à l’information </w:t>
      </w:r>
      <w:r w:rsidRPr="00AD3226">
        <w:rPr>
          <w:sz w:val="20"/>
          <w:szCs w:val="20"/>
          <w:lang w:val="fr-CA"/>
        </w:rPr>
        <w:noBreakHyphen/>
        <w:t xml:space="preserve"> Exceptions </w:t>
      </w:r>
      <w:r w:rsidRPr="00AD3226">
        <w:rPr>
          <w:sz w:val="20"/>
          <w:szCs w:val="20"/>
          <w:lang w:val="fr-CA"/>
        </w:rPr>
        <w:noBreakHyphen/>
        <w:t xml:space="preserve"> Avis ou recommandations au ministre </w:t>
      </w:r>
      <w:r w:rsidRPr="00AD3226">
        <w:rPr>
          <w:sz w:val="20"/>
          <w:szCs w:val="20"/>
          <w:lang w:val="fr-CA"/>
        </w:rPr>
        <w:noBreakHyphen/>
        <w:t xml:space="preserve"> L’exception relative aux « avis et recommandations » au par</w:t>
      </w:r>
      <w:r w:rsidR="00CF55C5">
        <w:rPr>
          <w:sz w:val="20"/>
          <w:szCs w:val="20"/>
          <w:lang w:val="fr-CA"/>
        </w:rPr>
        <w:t>.</w:t>
      </w:r>
      <w:r w:rsidRPr="00AD3226">
        <w:rPr>
          <w:sz w:val="20"/>
          <w:szCs w:val="20"/>
          <w:lang w:val="fr-CA"/>
        </w:rPr>
        <w:t xml:space="preserve"> 13(1) de la </w:t>
      </w:r>
      <w:r w:rsidRPr="00AD3226">
        <w:rPr>
          <w:i/>
          <w:sz w:val="20"/>
          <w:szCs w:val="20"/>
          <w:lang w:val="fr-CA"/>
        </w:rPr>
        <w:t>Loi sur l’accès à l’information et la protection de la vie privée</w:t>
      </w:r>
      <w:r w:rsidRPr="00AD3226">
        <w:rPr>
          <w:sz w:val="20"/>
          <w:szCs w:val="20"/>
          <w:lang w:val="fr-CA"/>
        </w:rPr>
        <w:t>, L.R.O. 1990, ch. F.31 englobe</w:t>
      </w:r>
      <w:r w:rsidRPr="00AD3226">
        <w:rPr>
          <w:sz w:val="20"/>
          <w:szCs w:val="20"/>
          <w:lang w:val="fr-CA"/>
        </w:rPr>
        <w:noBreakHyphen/>
        <w:t>t</w:t>
      </w:r>
      <w:r w:rsidRPr="00AD3226">
        <w:rPr>
          <w:sz w:val="20"/>
          <w:szCs w:val="20"/>
          <w:lang w:val="fr-CA"/>
        </w:rPr>
        <w:noBreakHyphen/>
        <w:t xml:space="preserve">elle la présentation d’un éventail d’options stratégiques et de commentaires d’appréciation ou analytiques qui ne révèlent aucune orientation ou option à privilégier?  </w:t>
      </w:r>
      <w:r w:rsidRPr="00AD3226">
        <w:rPr>
          <w:sz w:val="20"/>
          <w:szCs w:val="20"/>
          <w:lang w:val="fr-CA"/>
        </w:rPr>
        <w:noBreakHyphen/>
        <w:t xml:space="preserve"> L’exception relative aux « avis et recommandations » au pa</w:t>
      </w:r>
      <w:r w:rsidR="00CF55C5">
        <w:rPr>
          <w:sz w:val="20"/>
          <w:szCs w:val="20"/>
          <w:lang w:val="fr-CA"/>
        </w:rPr>
        <w:t>.</w:t>
      </w:r>
      <w:r w:rsidRPr="00AD3226">
        <w:rPr>
          <w:sz w:val="20"/>
          <w:szCs w:val="20"/>
          <w:lang w:val="fr-CA"/>
        </w:rPr>
        <w:t xml:space="preserve">r 13(1) de la </w:t>
      </w:r>
      <w:r w:rsidRPr="00AD3226">
        <w:rPr>
          <w:i/>
          <w:sz w:val="20"/>
          <w:szCs w:val="20"/>
          <w:lang w:val="fr-CA"/>
        </w:rPr>
        <w:t>Loi sur l’accès à l’information et la protection de la vie privée</w:t>
      </w:r>
      <w:r w:rsidRPr="00AD3226">
        <w:rPr>
          <w:sz w:val="20"/>
          <w:szCs w:val="20"/>
          <w:lang w:val="fr-CA"/>
        </w:rPr>
        <w:t>, L.R.O. 1990, ch. F.31 englobe</w:t>
      </w:r>
      <w:r w:rsidRPr="00AD3226">
        <w:rPr>
          <w:sz w:val="20"/>
          <w:szCs w:val="20"/>
          <w:lang w:val="fr-CA"/>
        </w:rPr>
        <w:noBreakHyphen/>
        <w:t>t</w:t>
      </w:r>
      <w:r w:rsidRPr="00AD3226">
        <w:rPr>
          <w:sz w:val="20"/>
          <w:szCs w:val="20"/>
          <w:lang w:val="fr-CA"/>
        </w:rPr>
        <w:noBreakHyphen/>
        <w:t xml:space="preserve">elle les renseignements qui ne sont pas un communication à un décideur et ne révèlent aucun avis ou recommandation communiqué à un décideur? </w:t>
      </w:r>
      <w:r w:rsidRPr="00AD3226">
        <w:rPr>
          <w:sz w:val="20"/>
          <w:szCs w:val="20"/>
          <w:lang w:val="fr-CA"/>
        </w:rPr>
        <w:noBreakHyphen/>
        <w:t xml:space="preserve"> La Cour d’appel a</w:t>
      </w:r>
      <w:r w:rsidRPr="00AD3226">
        <w:rPr>
          <w:sz w:val="20"/>
          <w:szCs w:val="20"/>
          <w:lang w:val="fr-CA"/>
        </w:rPr>
        <w:noBreakHyphen/>
        <w:t>t</w:t>
      </w:r>
      <w:r w:rsidRPr="00AD3226">
        <w:rPr>
          <w:sz w:val="20"/>
          <w:szCs w:val="20"/>
          <w:lang w:val="fr-CA"/>
        </w:rPr>
        <w:noBreakHyphen/>
        <w:t>elle commis une erreur en concluant que le commissaire à l’information et à la protection de la vie privée a agi de façon déraisonnable en répondant à chacune des questions ci</w:t>
      </w:r>
      <w:r w:rsidRPr="00AD3226">
        <w:rPr>
          <w:sz w:val="20"/>
          <w:szCs w:val="20"/>
          <w:lang w:val="fr-CA"/>
        </w:rPr>
        <w:noBreakHyphen/>
        <w:t xml:space="preserve">dessus par la négative dans la présente affaire? </w:t>
      </w:r>
      <w:r w:rsidRPr="00AD3226">
        <w:rPr>
          <w:sz w:val="20"/>
          <w:szCs w:val="20"/>
          <w:lang w:val="fr-CA"/>
        </w:rPr>
        <w:noBreakHyphen/>
        <w:t xml:space="preserve"> </w:t>
      </w:r>
      <w:r w:rsidRPr="00AD3226">
        <w:rPr>
          <w:i/>
          <w:sz w:val="20"/>
          <w:szCs w:val="20"/>
          <w:lang w:val="fr-CA"/>
        </w:rPr>
        <w:t>Loi sur l’accès à l’information et la protection de la vie privée</w:t>
      </w:r>
      <w:r w:rsidRPr="00AD3226">
        <w:rPr>
          <w:sz w:val="20"/>
          <w:szCs w:val="20"/>
          <w:lang w:val="fr-CA"/>
        </w:rPr>
        <w:t>, L.R.O. 1990, ch. F.31, par. 13(1).</w:t>
      </w:r>
    </w:p>
    <w:p w:rsidR="00C77493" w:rsidRPr="00AD3226" w:rsidRDefault="00C77493" w:rsidP="00C77493">
      <w:pPr>
        <w:widowControl w:val="0"/>
        <w:jc w:val="both"/>
        <w:rPr>
          <w:sz w:val="20"/>
          <w:szCs w:val="20"/>
          <w:lang w:val="fr-CA"/>
        </w:rPr>
      </w:pPr>
    </w:p>
    <w:p w:rsidR="00C77493" w:rsidRPr="00AD3226" w:rsidRDefault="00C77493" w:rsidP="00C77493">
      <w:pPr>
        <w:widowControl w:val="0"/>
        <w:jc w:val="both"/>
        <w:rPr>
          <w:sz w:val="20"/>
          <w:szCs w:val="20"/>
          <w:lang w:val="fr-CA"/>
        </w:rPr>
      </w:pPr>
      <w:r w:rsidRPr="00AD3226">
        <w:rPr>
          <w:sz w:val="20"/>
          <w:szCs w:val="20"/>
          <w:lang w:val="fr-CA"/>
        </w:rPr>
        <w:t xml:space="preserve">Conformément à la </w:t>
      </w:r>
      <w:r w:rsidRPr="00AD3226">
        <w:rPr>
          <w:i/>
          <w:sz w:val="20"/>
          <w:szCs w:val="20"/>
          <w:lang w:val="fr-CA"/>
        </w:rPr>
        <w:t xml:space="preserve">Loi sur l’accès à l’information et à la protection de la vie privée </w:t>
      </w:r>
      <w:r w:rsidRPr="00AD3226">
        <w:rPr>
          <w:sz w:val="20"/>
          <w:szCs w:val="20"/>
          <w:lang w:val="fr-CA"/>
        </w:rPr>
        <w:t xml:space="preserve">(la « Loi »), l’appelant a demandé au ministre des Finances de lui communiquer des documents portant sur la question de la rétroactivité et de la date de prise d’effet des modifications apportées à l’art. 2 de la </w:t>
      </w:r>
      <w:r w:rsidRPr="00AD3226">
        <w:rPr>
          <w:i/>
          <w:sz w:val="20"/>
          <w:szCs w:val="20"/>
          <w:lang w:val="fr-CA"/>
        </w:rPr>
        <w:t>Loi sur l’imposition des sociétés</w:t>
      </w:r>
      <w:r w:rsidRPr="00AD3226">
        <w:rPr>
          <w:sz w:val="20"/>
          <w:szCs w:val="20"/>
          <w:lang w:val="fr-CA"/>
        </w:rPr>
        <w:t>, L.R.O. 1990, ch. C</w:t>
      </w:r>
      <w:r w:rsidRPr="00AD3226">
        <w:rPr>
          <w:sz w:val="20"/>
          <w:szCs w:val="20"/>
          <w:lang w:val="fr-CA"/>
        </w:rPr>
        <w:noBreakHyphen/>
        <w:t>40.  Les documents étaient demandés dans le cadre d’un litige fiscal.  Le ministre a refusé de produire les documents, soutenant entre autres qu’ils contenaient des avis ou recommandations, ce qui les soustrayait à la divulgation conformément au par. 13(1) de la Loi.  Le commissaire à l’information et à la protection de la vie privée a par la suite ordonné que les documents soient divulgués parce qu’ils étaient à l’état d’ébauche, qu’ils ne contenaient aucun plan d’action, et parce que rien n’indiquait qu’ils avaient été communiqués au décideur et, par conséquent, qu’ils avaient servi dans le cadre du processus de délibération du ministre.  La Cour divisionnaire a rejeté en partie la demande de contrôle judiciaire du ministre.  La Cour d’appel a accueilli l’appel.</w:t>
      </w:r>
    </w:p>
    <w:p w:rsidR="00C77493" w:rsidRPr="00AD3226" w:rsidRDefault="00C77493" w:rsidP="00C77493">
      <w:pPr>
        <w:widowControl w:val="0"/>
        <w:jc w:val="both"/>
        <w:rPr>
          <w:sz w:val="20"/>
          <w:szCs w:val="20"/>
          <w:lang w:val="fr-CA"/>
        </w:rPr>
      </w:pPr>
    </w:p>
    <w:p w:rsidR="00C77493" w:rsidRPr="00AD3226" w:rsidRDefault="00C77493" w:rsidP="00C77493">
      <w:pPr>
        <w:widowControl w:val="0"/>
        <w:jc w:val="both"/>
        <w:rPr>
          <w:sz w:val="20"/>
          <w:szCs w:val="20"/>
          <w:lang w:val="fr-CA"/>
        </w:rPr>
      </w:pPr>
    </w:p>
    <w:p w:rsidR="00C77493" w:rsidRPr="00AD3226" w:rsidRDefault="00C77493" w:rsidP="00C77493">
      <w:pPr>
        <w:widowControl w:val="0"/>
        <w:ind w:left="2880" w:hanging="2880"/>
        <w:jc w:val="both"/>
        <w:rPr>
          <w:sz w:val="20"/>
          <w:szCs w:val="20"/>
          <w:lang w:val="fr-CA"/>
        </w:rPr>
      </w:pPr>
      <w:r w:rsidRPr="00AD3226">
        <w:rPr>
          <w:sz w:val="20"/>
          <w:szCs w:val="20"/>
          <w:lang w:val="fr-CA"/>
        </w:rPr>
        <w:t>Origine :</w:t>
      </w:r>
      <w:r w:rsidRPr="00AD3226">
        <w:rPr>
          <w:sz w:val="20"/>
          <w:szCs w:val="20"/>
          <w:lang w:val="fr-CA"/>
        </w:rPr>
        <w:tab/>
        <w:t>Ontario</w:t>
      </w:r>
    </w:p>
    <w:p w:rsidR="00C77493" w:rsidRPr="00AD3226" w:rsidRDefault="00C77493" w:rsidP="00C77493">
      <w:pPr>
        <w:widowControl w:val="0"/>
        <w:ind w:left="2880" w:hanging="2880"/>
        <w:jc w:val="both"/>
        <w:rPr>
          <w:sz w:val="20"/>
          <w:szCs w:val="20"/>
          <w:lang w:val="fr-CA"/>
        </w:rPr>
      </w:pPr>
    </w:p>
    <w:p w:rsidR="00C77493" w:rsidRPr="00AD3226" w:rsidRDefault="00C77493" w:rsidP="00C77493">
      <w:pPr>
        <w:widowControl w:val="0"/>
        <w:ind w:left="2880" w:hanging="2880"/>
        <w:jc w:val="both"/>
        <w:rPr>
          <w:sz w:val="20"/>
          <w:szCs w:val="20"/>
          <w:lang w:val="fr-CA"/>
        </w:rPr>
      </w:pPr>
      <w:r w:rsidRPr="00AD3226">
        <w:rPr>
          <w:sz w:val="20"/>
          <w:szCs w:val="20"/>
          <w:lang w:val="fr-CA"/>
        </w:rPr>
        <w:t>N</w:t>
      </w:r>
      <w:r w:rsidRPr="00AD3226">
        <w:rPr>
          <w:sz w:val="20"/>
          <w:szCs w:val="20"/>
          <w:vertAlign w:val="superscript"/>
          <w:lang w:val="fr-CA"/>
        </w:rPr>
        <w:t>o</w:t>
      </w:r>
      <w:r w:rsidRPr="00AD3226">
        <w:rPr>
          <w:sz w:val="20"/>
          <w:szCs w:val="20"/>
          <w:lang w:val="fr-CA"/>
        </w:rPr>
        <w:t xml:space="preserve"> du greffe :</w:t>
      </w:r>
      <w:r w:rsidRPr="00AD3226">
        <w:rPr>
          <w:sz w:val="20"/>
          <w:szCs w:val="20"/>
          <w:lang w:val="fr-CA"/>
        </w:rPr>
        <w:tab/>
        <w:t>34828</w:t>
      </w:r>
    </w:p>
    <w:p w:rsidR="00C77493" w:rsidRPr="00AD3226" w:rsidRDefault="00C77493" w:rsidP="00C77493">
      <w:pPr>
        <w:widowControl w:val="0"/>
        <w:ind w:left="2880" w:hanging="2880"/>
        <w:jc w:val="both"/>
        <w:rPr>
          <w:sz w:val="20"/>
          <w:szCs w:val="20"/>
          <w:lang w:val="fr-CA"/>
        </w:rPr>
      </w:pPr>
    </w:p>
    <w:p w:rsidR="00C77493" w:rsidRPr="00AD3226" w:rsidRDefault="00C77493" w:rsidP="00C77493">
      <w:pPr>
        <w:widowControl w:val="0"/>
        <w:ind w:left="2880" w:hanging="2880"/>
        <w:jc w:val="both"/>
        <w:rPr>
          <w:sz w:val="20"/>
          <w:szCs w:val="20"/>
          <w:lang w:val="fr-CA"/>
        </w:rPr>
      </w:pPr>
      <w:r w:rsidRPr="00AD3226">
        <w:rPr>
          <w:sz w:val="20"/>
          <w:szCs w:val="20"/>
          <w:lang w:val="fr-CA"/>
        </w:rPr>
        <w:t>Arrêt de la Cour d’appel :</w:t>
      </w:r>
      <w:r w:rsidRPr="00AD3226">
        <w:rPr>
          <w:sz w:val="20"/>
          <w:szCs w:val="20"/>
          <w:lang w:val="fr-CA"/>
        </w:rPr>
        <w:tab/>
        <w:t>le 24 février 2012</w:t>
      </w:r>
    </w:p>
    <w:p w:rsidR="00C77493" w:rsidRPr="00AD3226" w:rsidRDefault="00C77493" w:rsidP="00C77493">
      <w:pPr>
        <w:widowControl w:val="0"/>
        <w:ind w:left="2880" w:hanging="2880"/>
        <w:jc w:val="both"/>
        <w:rPr>
          <w:sz w:val="20"/>
          <w:szCs w:val="20"/>
          <w:lang w:val="fr-CA"/>
        </w:rPr>
      </w:pPr>
    </w:p>
    <w:p w:rsidR="00C77493" w:rsidRPr="00AD3226" w:rsidRDefault="00C77493" w:rsidP="00C77493">
      <w:pPr>
        <w:widowControl w:val="0"/>
        <w:ind w:left="2880" w:hanging="2880"/>
        <w:jc w:val="both"/>
        <w:rPr>
          <w:sz w:val="20"/>
          <w:szCs w:val="20"/>
          <w:lang w:val="fr-CA"/>
        </w:rPr>
      </w:pPr>
      <w:r w:rsidRPr="00AD3226">
        <w:rPr>
          <w:sz w:val="20"/>
          <w:szCs w:val="20"/>
          <w:lang w:val="fr-CA"/>
        </w:rPr>
        <w:t>Avocats :</w:t>
      </w:r>
      <w:r w:rsidRPr="00AD3226">
        <w:rPr>
          <w:sz w:val="20"/>
          <w:szCs w:val="20"/>
          <w:lang w:val="fr-CA"/>
        </w:rPr>
        <w:tab/>
        <w:t>Alan M. Schwartz, c.r., Alex D. Cameron et Kevin H. Yip pour l’appelant M. Untel</w:t>
      </w:r>
    </w:p>
    <w:p w:rsidR="00C77493" w:rsidRPr="00AD3226" w:rsidRDefault="00C77493" w:rsidP="00C77493">
      <w:pPr>
        <w:widowControl w:val="0"/>
        <w:ind w:left="2880" w:hanging="2880"/>
        <w:jc w:val="both"/>
        <w:rPr>
          <w:sz w:val="20"/>
          <w:szCs w:val="20"/>
          <w:lang w:val="fr-CA"/>
        </w:rPr>
      </w:pPr>
      <w:r w:rsidRPr="00AD3226">
        <w:rPr>
          <w:sz w:val="20"/>
          <w:szCs w:val="20"/>
          <w:lang w:val="fr-CA"/>
        </w:rPr>
        <w:tab/>
        <w:t>William S. Challis pour l’appelant Commissaire à l’information et à la protection de la vie privée de l’Ontario</w:t>
      </w:r>
    </w:p>
    <w:p w:rsidR="00C77493" w:rsidRPr="00AD3226" w:rsidRDefault="00C77493" w:rsidP="00C77493">
      <w:pPr>
        <w:widowControl w:val="0"/>
        <w:ind w:left="2880" w:hanging="2880"/>
        <w:jc w:val="both"/>
        <w:rPr>
          <w:sz w:val="20"/>
          <w:szCs w:val="20"/>
          <w:lang w:val="fr-CA"/>
        </w:rPr>
      </w:pPr>
      <w:r w:rsidRPr="00AD3226">
        <w:rPr>
          <w:sz w:val="20"/>
          <w:szCs w:val="20"/>
          <w:lang w:val="fr-CA"/>
        </w:rPr>
        <w:tab/>
        <w:t>Sara Blake et Kisha Chatterjee pour l’intimé</w:t>
      </w:r>
    </w:p>
    <w:p w:rsidR="00C77493" w:rsidRPr="00DD0B49" w:rsidRDefault="00C77493" w:rsidP="00C77493">
      <w:pPr>
        <w:tabs>
          <w:tab w:val="left" w:pos="-1440"/>
          <w:tab w:val="left" w:pos="-720"/>
        </w:tabs>
        <w:jc w:val="both"/>
        <w:rPr>
          <w:sz w:val="20"/>
          <w:szCs w:val="20"/>
          <w:lang w:val="fr-CA"/>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2"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C77493" w:rsidRDefault="00C77493">
      <w:pPr>
        <w:rPr>
          <w:sz w:val="20"/>
          <w:szCs w:val="20"/>
          <w:lang w:val="fr-CA"/>
        </w:rPr>
      </w:pPr>
    </w:p>
    <w:p w:rsidR="00C77493" w:rsidRDefault="00C77493">
      <w:pPr>
        <w:rPr>
          <w:sz w:val="20"/>
          <w:szCs w:val="20"/>
          <w:lang w:val="fr-CA"/>
        </w:rPr>
      </w:pPr>
      <w:r>
        <w:rPr>
          <w:sz w:val="20"/>
          <w:szCs w:val="20"/>
          <w:lang w:val="fr-CA"/>
        </w:rPr>
        <w:br w:type="page"/>
      </w:r>
    </w:p>
    <w:p w:rsidR="00065A2E" w:rsidRPr="002F24F8" w:rsidRDefault="00CC2008" w:rsidP="00065A2E">
      <w:pPr>
        <w:widowControl w:val="0"/>
        <w:ind w:left="567" w:hanging="567"/>
        <w:jc w:val="both"/>
        <w:rPr>
          <w:sz w:val="20"/>
          <w:szCs w:val="20"/>
        </w:rPr>
      </w:pPr>
      <w:r w:rsidRPr="002F24F8">
        <w:rPr>
          <w:b/>
          <w:sz w:val="20"/>
          <w:szCs w:val="20"/>
        </w:rPr>
        <w:fldChar w:fldCharType="begin"/>
      </w:r>
      <w:r w:rsidR="00065A2E" w:rsidRPr="002F24F8">
        <w:rPr>
          <w:b/>
          <w:sz w:val="20"/>
          <w:szCs w:val="20"/>
        </w:rPr>
        <w:instrText xml:space="preserve"> SEQ CHAPTER \h \r 1</w:instrText>
      </w:r>
      <w:r w:rsidRPr="002F24F8">
        <w:rPr>
          <w:b/>
          <w:sz w:val="20"/>
          <w:szCs w:val="20"/>
        </w:rPr>
        <w:fldChar w:fldCharType="end"/>
      </w:r>
      <w:r w:rsidR="00065A2E" w:rsidRPr="002F24F8">
        <w:rPr>
          <w:b/>
          <w:sz w:val="20"/>
          <w:szCs w:val="20"/>
        </w:rPr>
        <w:t>34986</w:t>
      </w:r>
      <w:r w:rsidR="00065A2E" w:rsidRPr="002F24F8">
        <w:rPr>
          <w:sz w:val="20"/>
          <w:szCs w:val="20"/>
        </w:rPr>
        <w:tab/>
      </w:r>
      <w:r w:rsidR="00065A2E" w:rsidRPr="002F24F8">
        <w:rPr>
          <w:b/>
          <w:i/>
          <w:sz w:val="20"/>
          <w:szCs w:val="20"/>
        </w:rPr>
        <w:t>Roger William, on his own behalf and on behalf of all other members of the Xeni Gwet’in First Nations Government and on behalf of all other members of the Tsilhqot’in Nation v. Her Majesty the Queen in Right of the Province of British Columbia and the Regional Manager of the Cariboo Forest Region, and the Attorney General of Canada</w:t>
      </w:r>
    </w:p>
    <w:p w:rsidR="00065A2E" w:rsidRPr="002F24F8" w:rsidRDefault="00065A2E" w:rsidP="00065A2E">
      <w:pPr>
        <w:widowControl w:val="0"/>
        <w:jc w:val="both"/>
        <w:rPr>
          <w:sz w:val="20"/>
          <w:szCs w:val="20"/>
        </w:rPr>
      </w:pPr>
    </w:p>
    <w:p w:rsidR="00065A2E" w:rsidRPr="002F24F8" w:rsidRDefault="00065A2E" w:rsidP="00065A2E">
      <w:pPr>
        <w:widowControl w:val="0"/>
        <w:jc w:val="both"/>
        <w:rPr>
          <w:sz w:val="20"/>
          <w:szCs w:val="20"/>
        </w:rPr>
      </w:pPr>
      <w:r w:rsidRPr="002F24F8">
        <w:rPr>
          <w:sz w:val="20"/>
          <w:szCs w:val="20"/>
        </w:rPr>
        <w:t xml:space="preserve">Aboriginal law </w:t>
      </w:r>
      <w:r w:rsidRPr="002F24F8">
        <w:rPr>
          <w:sz w:val="20"/>
          <w:szCs w:val="20"/>
        </w:rPr>
        <w:noBreakHyphen/>
        <w:t xml:space="preserve"> Aboriginal title </w:t>
      </w:r>
      <w:r w:rsidRPr="002F24F8">
        <w:rPr>
          <w:sz w:val="20"/>
          <w:szCs w:val="20"/>
        </w:rPr>
        <w:noBreakHyphen/>
        <w:t xml:space="preserve"> Manner in which courts must proceed to identify “definite tracts of land” to which Aboriginal title applies </w:t>
      </w:r>
      <w:r w:rsidRPr="002F24F8">
        <w:rPr>
          <w:sz w:val="20"/>
          <w:szCs w:val="20"/>
        </w:rPr>
        <w:noBreakHyphen/>
        <w:t xml:space="preserve"> Whether the Court of Appeal erred by creating a new test that restricts all Aboriginal title claims to particular sites </w:t>
      </w:r>
      <w:r w:rsidRPr="002F24F8">
        <w:rPr>
          <w:sz w:val="20"/>
          <w:szCs w:val="20"/>
        </w:rPr>
        <w:noBreakHyphen/>
        <w:t xml:space="preserve"> Whether the </w:t>
      </w:r>
      <w:r w:rsidRPr="002F24F8">
        <w:rPr>
          <w:i/>
          <w:sz w:val="20"/>
          <w:szCs w:val="20"/>
        </w:rPr>
        <w:t>Forest Act</w:t>
      </w:r>
      <w:r w:rsidRPr="002F24F8">
        <w:rPr>
          <w:sz w:val="20"/>
          <w:szCs w:val="20"/>
        </w:rPr>
        <w:t xml:space="preserve">, R.S.B.C. 1996, c. 157, provides statutory authority to manage and dispose of timber assets on Aboriginal title lands </w:t>
      </w:r>
      <w:r w:rsidRPr="002F24F8">
        <w:rPr>
          <w:sz w:val="20"/>
          <w:szCs w:val="20"/>
        </w:rPr>
        <w:noBreakHyphen/>
        <w:t xml:space="preserve"> Whether the </w:t>
      </w:r>
      <w:r w:rsidRPr="002F24F8">
        <w:rPr>
          <w:i/>
          <w:sz w:val="20"/>
          <w:szCs w:val="20"/>
        </w:rPr>
        <w:t>Forest Act</w:t>
      </w:r>
      <w:r w:rsidRPr="002F24F8">
        <w:rPr>
          <w:sz w:val="20"/>
          <w:szCs w:val="20"/>
        </w:rPr>
        <w:t xml:space="preserve">, R.S.B.C. 1996, c. 157, or the </w:t>
      </w:r>
      <w:r w:rsidRPr="002F24F8">
        <w:rPr>
          <w:i/>
          <w:sz w:val="20"/>
          <w:szCs w:val="20"/>
        </w:rPr>
        <w:t>Forest Practices Code of British Columbia Act</w:t>
      </w:r>
      <w:r w:rsidRPr="002F24F8">
        <w:rPr>
          <w:sz w:val="20"/>
          <w:szCs w:val="20"/>
        </w:rPr>
        <w:t xml:space="preserve">, R.S.B.C. 1996, c. 159, or their predecessor legislation, are constitutionally inapplicable in whole or in part to Tsilhqot’in Aboriginal title lands, in view of Parliament’s exclusive legislative authority set out in s. 91(24) of the </w:t>
      </w:r>
      <w:r w:rsidRPr="002F24F8">
        <w:rPr>
          <w:i/>
          <w:sz w:val="20"/>
          <w:szCs w:val="20"/>
        </w:rPr>
        <w:t>Constitution Act, 1867</w:t>
      </w:r>
      <w:r w:rsidRPr="002F24F8">
        <w:rPr>
          <w:sz w:val="20"/>
          <w:szCs w:val="20"/>
        </w:rPr>
        <w:t xml:space="preserve"> </w:t>
      </w:r>
      <w:r w:rsidRPr="002F24F8">
        <w:rPr>
          <w:sz w:val="20"/>
          <w:szCs w:val="20"/>
        </w:rPr>
        <w:noBreakHyphen/>
        <w:t xml:space="preserve"> Whether the </w:t>
      </w:r>
      <w:r w:rsidRPr="002F24F8">
        <w:rPr>
          <w:i/>
          <w:sz w:val="20"/>
          <w:szCs w:val="20"/>
        </w:rPr>
        <w:t>Forest Act</w:t>
      </w:r>
      <w:r w:rsidRPr="002F24F8">
        <w:rPr>
          <w:sz w:val="20"/>
          <w:szCs w:val="20"/>
        </w:rPr>
        <w:t xml:space="preserve">, R.S.B.C. 1996, c. 157, or the </w:t>
      </w:r>
      <w:r w:rsidRPr="002F24F8">
        <w:rPr>
          <w:i/>
          <w:sz w:val="20"/>
          <w:szCs w:val="20"/>
        </w:rPr>
        <w:t>Forest Practices Code of British Columbia Act</w:t>
      </w:r>
      <w:r w:rsidRPr="002F24F8">
        <w:rPr>
          <w:sz w:val="20"/>
          <w:szCs w:val="20"/>
        </w:rPr>
        <w:t xml:space="preserve">, R.S.B.C. 1996, c. 159, or their predecessor legislation, are constitutionally inapplicable in whole or in part to Tsilhqot’in Aboriginal title lands to the extent that they authorize unjustified infringements of Tsilhqot’in Aboriginal title, by virtue of ss. 35(1) and 52 of the </w:t>
      </w:r>
      <w:r w:rsidRPr="002F24F8">
        <w:rPr>
          <w:i/>
          <w:sz w:val="20"/>
          <w:szCs w:val="20"/>
        </w:rPr>
        <w:t>Constitution Act, 1982</w:t>
      </w:r>
      <w:r w:rsidRPr="002F24F8">
        <w:rPr>
          <w:sz w:val="20"/>
          <w:szCs w:val="20"/>
        </w:rPr>
        <w:t>.</w:t>
      </w:r>
    </w:p>
    <w:p w:rsidR="00065A2E" w:rsidRPr="002F24F8" w:rsidRDefault="00065A2E" w:rsidP="00065A2E">
      <w:pPr>
        <w:widowControl w:val="0"/>
        <w:jc w:val="both"/>
        <w:rPr>
          <w:sz w:val="20"/>
          <w:szCs w:val="20"/>
        </w:rPr>
      </w:pPr>
    </w:p>
    <w:p w:rsidR="00065A2E" w:rsidRPr="002F24F8" w:rsidRDefault="00065A2E" w:rsidP="00065A2E">
      <w:pPr>
        <w:widowControl w:val="0"/>
        <w:jc w:val="both"/>
        <w:rPr>
          <w:sz w:val="20"/>
          <w:szCs w:val="20"/>
        </w:rPr>
      </w:pPr>
      <w:r w:rsidRPr="002F24F8">
        <w:rPr>
          <w:sz w:val="20"/>
          <w:szCs w:val="20"/>
        </w:rPr>
        <w:t xml:space="preserve">Roger William is the former chief of the Xeni Gwet’in First Nation.  On behalf of the Xeni Gwet’in First Nations Government and all Tsilhqot’in people, he filed a claim seeking, among other things, recognition of Aboriginal title to two tracts of land in the Tsilhqot’in traditional territory.  The tracts of land are located in a remote part of the Chilcotin region of central British Columbia and consist mainly of undeveloped land.  </w:t>
      </w:r>
    </w:p>
    <w:p w:rsidR="00065A2E" w:rsidRPr="002F24F8" w:rsidRDefault="00065A2E" w:rsidP="00065A2E">
      <w:pPr>
        <w:widowControl w:val="0"/>
        <w:jc w:val="both"/>
        <w:rPr>
          <w:sz w:val="20"/>
          <w:szCs w:val="20"/>
        </w:rPr>
      </w:pPr>
    </w:p>
    <w:p w:rsidR="00065A2E" w:rsidRPr="002F24F8" w:rsidRDefault="00065A2E" w:rsidP="00065A2E">
      <w:pPr>
        <w:widowControl w:val="0"/>
        <w:jc w:val="both"/>
        <w:rPr>
          <w:sz w:val="20"/>
          <w:szCs w:val="20"/>
        </w:rPr>
      </w:pPr>
    </w:p>
    <w:p w:rsidR="00065A2E" w:rsidRPr="002F24F8" w:rsidRDefault="00065A2E" w:rsidP="00065A2E">
      <w:pPr>
        <w:widowControl w:val="0"/>
        <w:ind w:left="2880" w:hanging="2880"/>
        <w:jc w:val="both"/>
        <w:rPr>
          <w:sz w:val="20"/>
          <w:szCs w:val="20"/>
        </w:rPr>
      </w:pPr>
      <w:r w:rsidRPr="002F24F8">
        <w:rPr>
          <w:sz w:val="20"/>
          <w:szCs w:val="20"/>
        </w:rPr>
        <w:t>Origin of the case:</w:t>
      </w:r>
      <w:r w:rsidRPr="002F24F8">
        <w:rPr>
          <w:sz w:val="20"/>
          <w:szCs w:val="20"/>
        </w:rPr>
        <w:tab/>
        <w:t>British Columbia</w:t>
      </w:r>
    </w:p>
    <w:p w:rsidR="00065A2E" w:rsidRPr="002F24F8" w:rsidRDefault="00065A2E" w:rsidP="00065A2E">
      <w:pPr>
        <w:widowControl w:val="0"/>
        <w:ind w:left="2880" w:hanging="2880"/>
        <w:jc w:val="both"/>
        <w:rPr>
          <w:sz w:val="20"/>
          <w:szCs w:val="20"/>
        </w:rPr>
      </w:pPr>
    </w:p>
    <w:p w:rsidR="00065A2E" w:rsidRPr="002F24F8" w:rsidRDefault="00065A2E" w:rsidP="00065A2E">
      <w:pPr>
        <w:widowControl w:val="0"/>
        <w:ind w:left="2880" w:hanging="2880"/>
        <w:jc w:val="both"/>
        <w:rPr>
          <w:sz w:val="20"/>
          <w:szCs w:val="20"/>
        </w:rPr>
      </w:pPr>
      <w:r w:rsidRPr="002F24F8">
        <w:rPr>
          <w:sz w:val="20"/>
          <w:szCs w:val="20"/>
        </w:rPr>
        <w:t>File No.:</w:t>
      </w:r>
      <w:r w:rsidRPr="002F24F8">
        <w:rPr>
          <w:sz w:val="20"/>
          <w:szCs w:val="20"/>
        </w:rPr>
        <w:tab/>
        <w:t>34986</w:t>
      </w:r>
    </w:p>
    <w:p w:rsidR="00065A2E" w:rsidRPr="002F24F8" w:rsidRDefault="00065A2E" w:rsidP="00065A2E">
      <w:pPr>
        <w:widowControl w:val="0"/>
        <w:ind w:left="2880" w:hanging="2880"/>
        <w:jc w:val="both"/>
        <w:rPr>
          <w:sz w:val="20"/>
          <w:szCs w:val="20"/>
        </w:rPr>
      </w:pPr>
    </w:p>
    <w:p w:rsidR="00065A2E" w:rsidRPr="002F24F8" w:rsidRDefault="00065A2E" w:rsidP="00065A2E">
      <w:pPr>
        <w:widowControl w:val="0"/>
        <w:ind w:left="2880" w:hanging="2880"/>
        <w:jc w:val="both"/>
        <w:rPr>
          <w:sz w:val="20"/>
          <w:szCs w:val="20"/>
        </w:rPr>
      </w:pPr>
      <w:r w:rsidRPr="002F24F8">
        <w:rPr>
          <w:sz w:val="20"/>
          <w:szCs w:val="20"/>
        </w:rPr>
        <w:t>Judgment of the Court of Appeal:</w:t>
      </w:r>
      <w:r w:rsidRPr="002F24F8">
        <w:rPr>
          <w:sz w:val="20"/>
          <w:szCs w:val="20"/>
        </w:rPr>
        <w:tab/>
        <w:t>June 27, 2012</w:t>
      </w:r>
    </w:p>
    <w:p w:rsidR="00065A2E" w:rsidRPr="002F24F8" w:rsidRDefault="00065A2E" w:rsidP="00065A2E">
      <w:pPr>
        <w:widowControl w:val="0"/>
        <w:ind w:left="2880" w:hanging="2880"/>
        <w:jc w:val="both"/>
        <w:rPr>
          <w:sz w:val="20"/>
          <w:szCs w:val="20"/>
        </w:rPr>
      </w:pPr>
    </w:p>
    <w:p w:rsidR="00065A2E" w:rsidRPr="002F24F8" w:rsidRDefault="00065A2E" w:rsidP="00065A2E">
      <w:pPr>
        <w:widowControl w:val="0"/>
        <w:ind w:left="2880" w:hanging="2880"/>
        <w:jc w:val="both"/>
        <w:rPr>
          <w:sz w:val="20"/>
          <w:szCs w:val="20"/>
        </w:rPr>
      </w:pPr>
      <w:r w:rsidRPr="002F24F8">
        <w:rPr>
          <w:sz w:val="20"/>
          <w:szCs w:val="20"/>
        </w:rPr>
        <w:t>Counsel:</w:t>
      </w:r>
      <w:r w:rsidRPr="002F24F8">
        <w:rPr>
          <w:sz w:val="20"/>
          <w:szCs w:val="20"/>
        </w:rPr>
        <w:tab/>
        <w:t>David M. Rosenberg, Q.C. and Jay Nelson for the appellant</w:t>
      </w:r>
    </w:p>
    <w:p w:rsidR="00065A2E" w:rsidRPr="002F24F8" w:rsidRDefault="00065A2E" w:rsidP="00065A2E">
      <w:pPr>
        <w:widowControl w:val="0"/>
        <w:ind w:left="2880" w:hanging="2880"/>
        <w:jc w:val="both"/>
        <w:rPr>
          <w:sz w:val="20"/>
          <w:szCs w:val="20"/>
        </w:rPr>
      </w:pPr>
      <w:r>
        <w:rPr>
          <w:sz w:val="20"/>
          <w:szCs w:val="20"/>
        </w:rPr>
        <w:tab/>
      </w:r>
      <w:r w:rsidRPr="002F24F8">
        <w:rPr>
          <w:sz w:val="20"/>
          <w:szCs w:val="20"/>
        </w:rPr>
        <w:t>Mark Kindrachuk, Q.C., Brian McLaughlin and Jan Brongers for the respondent Attorney General of Canada</w:t>
      </w:r>
    </w:p>
    <w:p w:rsidR="00065A2E" w:rsidRPr="002F24F8" w:rsidRDefault="00065A2E" w:rsidP="00065A2E">
      <w:pPr>
        <w:widowControl w:val="0"/>
        <w:ind w:left="2880" w:hanging="2880"/>
        <w:jc w:val="both"/>
        <w:rPr>
          <w:sz w:val="20"/>
          <w:szCs w:val="20"/>
        </w:rPr>
      </w:pPr>
      <w:r>
        <w:rPr>
          <w:sz w:val="20"/>
          <w:szCs w:val="20"/>
        </w:rPr>
        <w:tab/>
      </w:r>
      <w:r w:rsidRPr="002F24F8">
        <w:rPr>
          <w:sz w:val="20"/>
          <w:szCs w:val="20"/>
        </w:rPr>
        <w:t>Patrick G. Foy, Q.C. and Kenneth J. Tyler for the respondents Her Majesty the Queen in Right of the Province of British Columbia and the Regional Manager of the Cariboo Forest Region</w:t>
      </w:r>
    </w:p>
    <w:p w:rsidR="00C77493" w:rsidRPr="00065A2E" w:rsidRDefault="00C77493" w:rsidP="00C77493">
      <w:pPr>
        <w:tabs>
          <w:tab w:val="left" w:pos="-1440"/>
          <w:tab w:val="left" w:pos="-720"/>
        </w:tabs>
        <w:jc w:val="both"/>
        <w:rPr>
          <w:sz w:val="20"/>
          <w:szCs w:val="20"/>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3"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C77493" w:rsidRDefault="00C77493">
      <w:pPr>
        <w:rPr>
          <w:sz w:val="20"/>
          <w:szCs w:val="20"/>
          <w:lang w:val="fr-CA"/>
        </w:rPr>
      </w:pPr>
    </w:p>
    <w:p w:rsidR="00C77493" w:rsidRDefault="00C77493">
      <w:pPr>
        <w:rPr>
          <w:sz w:val="20"/>
          <w:szCs w:val="20"/>
          <w:lang w:val="fr-CA"/>
        </w:rPr>
      </w:pPr>
      <w:r>
        <w:rPr>
          <w:sz w:val="20"/>
          <w:szCs w:val="20"/>
          <w:lang w:val="fr-CA"/>
        </w:rPr>
        <w:br w:type="page"/>
      </w:r>
    </w:p>
    <w:p w:rsidR="00065A2E" w:rsidRPr="007D272D" w:rsidRDefault="00CC2008" w:rsidP="00065A2E">
      <w:pPr>
        <w:widowControl w:val="0"/>
        <w:ind w:left="567" w:hanging="567"/>
        <w:jc w:val="both"/>
        <w:rPr>
          <w:sz w:val="20"/>
          <w:szCs w:val="20"/>
          <w:lang w:val="fr-CA"/>
        </w:rPr>
      </w:pPr>
      <w:r w:rsidRPr="007D272D">
        <w:rPr>
          <w:b/>
          <w:sz w:val="20"/>
          <w:szCs w:val="20"/>
          <w:lang w:val="fr-CA"/>
        </w:rPr>
        <w:fldChar w:fldCharType="begin"/>
      </w:r>
      <w:r w:rsidR="00065A2E" w:rsidRPr="007D272D">
        <w:rPr>
          <w:b/>
          <w:sz w:val="20"/>
          <w:szCs w:val="20"/>
          <w:lang w:val="fr-CA"/>
        </w:rPr>
        <w:instrText xml:space="preserve"> SEQ CHAPTER \h \r 1</w:instrText>
      </w:r>
      <w:r w:rsidRPr="007D272D">
        <w:rPr>
          <w:b/>
          <w:sz w:val="20"/>
          <w:szCs w:val="20"/>
          <w:lang w:val="fr-CA"/>
        </w:rPr>
        <w:fldChar w:fldCharType="end"/>
      </w:r>
      <w:r w:rsidR="00065A2E" w:rsidRPr="007D272D">
        <w:rPr>
          <w:b/>
          <w:sz w:val="20"/>
          <w:szCs w:val="20"/>
          <w:lang w:val="fr-CA"/>
        </w:rPr>
        <w:t>34986</w:t>
      </w:r>
      <w:r w:rsidR="00065A2E" w:rsidRPr="007D272D">
        <w:rPr>
          <w:sz w:val="20"/>
          <w:szCs w:val="20"/>
          <w:lang w:val="fr-CA"/>
        </w:rPr>
        <w:tab/>
      </w:r>
      <w:r w:rsidR="00065A2E" w:rsidRPr="007D272D">
        <w:rPr>
          <w:b/>
          <w:i/>
          <w:sz w:val="20"/>
          <w:szCs w:val="20"/>
          <w:lang w:val="fr-CA"/>
        </w:rPr>
        <w:t>Roger William, en son propre nom et au nom de tous les autres membres du Xeni Gwet’in First Nations Government et au nom de tous les autres membres de la Nation Tsilhqot’in c. Sa Majesté la Reine du chef de la Province de Colombie</w:t>
      </w:r>
      <w:r w:rsidR="00065A2E" w:rsidRPr="007D272D">
        <w:rPr>
          <w:b/>
          <w:i/>
          <w:sz w:val="20"/>
          <w:szCs w:val="20"/>
          <w:lang w:val="fr-CA"/>
        </w:rPr>
        <w:noBreakHyphen/>
        <w:t>Britannique et le chef régional de la région de Cariboo Forest et le procureur général du Canada</w:t>
      </w:r>
    </w:p>
    <w:p w:rsidR="00065A2E" w:rsidRPr="007D272D" w:rsidRDefault="00065A2E" w:rsidP="00065A2E">
      <w:pPr>
        <w:widowControl w:val="0"/>
        <w:jc w:val="both"/>
        <w:rPr>
          <w:sz w:val="20"/>
          <w:szCs w:val="20"/>
          <w:lang w:val="fr-CA"/>
        </w:rPr>
      </w:pPr>
    </w:p>
    <w:p w:rsidR="00065A2E" w:rsidRPr="007D272D" w:rsidRDefault="00065A2E" w:rsidP="00065A2E">
      <w:pPr>
        <w:widowControl w:val="0"/>
        <w:jc w:val="both"/>
        <w:rPr>
          <w:sz w:val="20"/>
          <w:szCs w:val="20"/>
          <w:lang w:val="fr-CA"/>
        </w:rPr>
      </w:pPr>
      <w:r w:rsidRPr="007D272D">
        <w:rPr>
          <w:sz w:val="20"/>
          <w:szCs w:val="20"/>
          <w:lang w:val="fr-CA"/>
        </w:rPr>
        <w:t xml:space="preserve">Droits des Autochtones </w:t>
      </w:r>
      <w:r w:rsidRPr="007D272D">
        <w:rPr>
          <w:sz w:val="20"/>
          <w:szCs w:val="20"/>
          <w:lang w:val="fr-CA"/>
        </w:rPr>
        <w:noBreakHyphen/>
        <w:t xml:space="preserve"> Titre aborigène </w:t>
      </w:r>
      <w:r w:rsidRPr="007D272D">
        <w:rPr>
          <w:sz w:val="20"/>
          <w:szCs w:val="20"/>
          <w:lang w:val="fr-CA"/>
        </w:rPr>
        <w:noBreakHyphen/>
        <w:t xml:space="preserve"> Manière dont les tribunaux doivent procéder pour identifier les « secteurs biens définis du territoire » auxquels le titre aborigène s’applique </w:t>
      </w:r>
      <w:r w:rsidRPr="007D272D">
        <w:rPr>
          <w:sz w:val="20"/>
          <w:szCs w:val="20"/>
          <w:lang w:val="fr-CA"/>
        </w:rPr>
        <w:noBreakHyphen/>
        <w:t xml:space="preserve"> La Cour d’appel a</w:t>
      </w:r>
      <w:r w:rsidRPr="007D272D">
        <w:rPr>
          <w:sz w:val="20"/>
          <w:szCs w:val="20"/>
          <w:lang w:val="fr-CA"/>
        </w:rPr>
        <w:noBreakHyphen/>
        <w:t>t</w:t>
      </w:r>
      <w:r w:rsidRPr="007D272D">
        <w:rPr>
          <w:sz w:val="20"/>
          <w:szCs w:val="20"/>
          <w:lang w:val="fr-CA"/>
        </w:rPr>
        <w:noBreakHyphen/>
        <w:t xml:space="preserve">elle eu tort de créer un nouveau critère qui limite toutes les revendications fondées sur le titre aborigène à des emplacements particuliers? </w:t>
      </w:r>
      <w:r w:rsidRPr="007D272D">
        <w:rPr>
          <w:sz w:val="20"/>
          <w:szCs w:val="20"/>
          <w:lang w:val="fr-CA"/>
        </w:rPr>
        <w:noBreakHyphen/>
        <w:t xml:space="preserve"> La </w:t>
      </w:r>
      <w:r w:rsidRPr="007D272D">
        <w:rPr>
          <w:i/>
          <w:sz w:val="20"/>
          <w:szCs w:val="20"/>
          <w:lang w:val="fr-CA"/>
        </w:rPr>
        <w:t>Forest Act</w:t>
      </w:r>
      <w:r w:rsidRPr="007D272D">
        <w:rPr>
          <w:sz w:val="20"/>
          <w:szCs w:val="20"/>
          <w:lang w:val="fr-CA"/>
        </w:rPr>
        <w:t>, R.S.B.C. 1996, ch. 157 confère</w:t>
      </w:r>
      <w:r w:rsidRPr="007D272D">
        <w:rPr>
          <w:sz w:val="20"/>
          <w:szCs w:val="20"/>
          <w:lang w:val="fr-CA"/>
        </w:rPr>
        <w:noBreakHyphen/>
        <w:t>t</w:t>
      </w:r>
      <w:r w:rsidRPr="007D272D">
        <w:rPr>
          <w:sz w:val="20"/>
          <w:szCs w:val="20"/>
          <w:lang w:val="fr-CA"/>
        </w:rPr>
        <w:noBreakHyphen/>
        <w:t xml:space="preserve">elle le pouvoir légal de gérer et d’aliéner des avoir forestiers sur des terres visées par un titre aborigène? </w:t>
      </w:r>
      <w:r w:rsidRPr="007D272D">
        <w:rPr>
          <w:sz w:val="20"/>
          <w:szCs w:val="20"/>
          <w:lang w:val="fr-CA"/>
        </w:rPr>
        <w:noBreakHyphen/>
        <w:t xml:space="preserve"> La </w:t>
      </w:r>
      <w:r w:rsidRPr="007D272D">
        <w:rPr>
          <w:i/>
          <w:sz w:val="20"/>
          <w:szCs w:val="20"/>
          <w:lang w:val="fr-CA"/>
        </w:rPr>
        <w:t>Forest Act</w:t>
      </w:r>
      <w:r w:rsidRPr="007D272D">
        <w:rPr>
          <w:sz w:val="20"/>
          <w:szCs w:val="20"/>
          <w:lang w:val="fr-CA"/>
        </w:rPr>
        <w:t xml:space="preserve">, R.S.B.C. 1996, ch. 157 ou la </w:t>
      </w:r>
      <w:r w:rsidRPr="007D272D">
        <w:rPr>
          <w:i/>
          <w:sz w:val="20"/>
          <w:szCs w:val="20"/>
          <w:lang w:val="fr-CA"/>
        </w:rPr>
        <w:t>Forest Practices Code of British Columbia Act</w:t>
      </w:r>
      <w:r w:rsidRPr="007D272D">
        <w:rPr>
          <w:sz w:val="20"/>
          <w:szCs w:val="20"/>
          <w:lang w:val="fr-CA"/>
        </w:rPr>
        <w:t>, R.S.B.C. 1996, ch. 159, ou les lois qu’elles ont remplacées, sont</w:t>
      </w:r>
      <w:r w:rsidRPr="007D272D">
        <w:rPr>
          <w:sz w:val="20"/>
          <w:szCs w:val="20"/>
          <w:lang w:val="fr-CA"/>
        </w:rPr>
        <w:noBreakHyphen/>
        <w:t xml:space="preserve">elles constitutionnellement inapplicables en tout ou en partie aux terres des Tsilhqot’in visées par un titre aborigène, vu l’autorité législative exclusive du Parlement prévue au par. 91(24) de la </w:t>
      </w:r>
      <w:r w:rsidRPr="007D272D">
        <w:rPr>
          <w:i/>
          <w:sz w:val="20"/>
          <w:szCs w:val="20"/>
          <w:lang w:val="fr-CA"/>
        </w:rPr>
        <w:t>Loi constitutionnelle de 1867</w:t>
      </w:r>
      <w:r w:rsidRPr="007D272D">
        <w:rPr>
          <w:sz w:val="20"/>
          <w:szCs w:val="20"/>
          <w:lang w:val="fr-CA"/>
        </w:rPr>
        <w:t xml:space="preserve">? </w:t>
      </w:r>
      <w:r w:rsidRPr="007D272D">
        <w:rPr>
          <w:sz w:val="20"/>
          <w:szCs w:val="20"/>
          <w:lang w:val="fr-CA"/>
        </w:rPr>
        <w:noBreakHyphen/>
        <w:t xml:space="preserve"> La </w:t>
      </w:r>
      <w:r w:rsidRPr="007D272D">
        <w:rPr>
          <w:i/>
          <w:sz w:val="20"/>
          <w:szCs w:val="20"/>
          <w:lang w:val="fr-CA"/>
        </w:rPr>
        <w:t>Forest Act</w:t>
      </w:r>
      <w:r w:rsidRPr="007D272D">
        <w:rPr>
          <w:sz w:val="20"/>
          <w:szCs w:val="20"/>
          <w:lang w:val="fr-CA"/>
        </w:rPr>
        <w:t xml:space="preserve">, R.S.B.C. 1996, ch. 157 ou la </w:t>
      </w:r>
      <w:r w:rsidRPr="007D272D">
        <w:rPr>
          <w:i/>
          <w:sz w:val="20"/>
          <w:szCs w:val="20"/>
          <w:lang w:val="fr-CA"/>
        </w:rPr>
        <w:t>Forest Practices Code of British Columbia Act</w:t>
      </w:r>
      <w:r w:rsidRPr="007D272D">
        <w:rPr>
          <w:sz w:val="20"/>
          <w:szCs w:val="20"/>
          <w:lang w:val="fr-CA"/>
        </w:rPr>
        <w:t>, R.S.B.C. 1996, ch. 159, ou les lois qu’elles ont remplacées, sont</w:t>
      </w:r>
      <w:r w:rsidRPr="007D272D">
        <w:rPr>
          <w:sz w:val="20"/>
          <w:szCs w:val="20"/>
          <w:lang w:val="fr-CA"/>
        </w:rPr>
        <w:noBreakHyphen/>
        <w:t xml:space="preserve">elles constitutionnellement inapplicables en tout ou en partie aux terres des Tsilhqot’in visées par un titre aborigène dans la mesure où elles autorisent des atteintes injustifiées au titre aborigène des Tsilhqot’in, en vertu des art. 35(1) et 52 de la </w:t>
      </w:r>
      <w:r w:rsidRPr="007D272D">
        <w:rPr>
          <w:i/>
          <w:sz w:val="20"/>
          <w:szCs w:val="20"/>
          <w:lang w:val="fr-CA"/>
        </w:rPr>
        <w:t>Loi constitutionnelle de 1982</w:t>
      </w:r>
      <w:r w:rsidRPr="007D272D">
        <w:rPr>
          <w:sz w:val="20"/>
          <w:szCs w:val="20"/>
          <w:lang w:val="fr-CA"/>
        </w:rPr>
        <w:t>?</w:t>
      </w:r>
    </w:p>
    <w:p w:rsidR="00065A2E" w:rsidRPr="007D272D" w:rsidRDefault="00065A2E" w:rsidP="00065A2E">
      <w:pPr>
        <w:widowControl w:val="0"/>
        <w:jc w:val="both"/>
        <w:rPr>
          <w:sz w:val="20"/>
          <w:szCs w:val="20"/>
          <w:lang w:val="fr-CA"/>
        </w:rPr>
      </w:pPr>
    </w:p>
    <w:p w:rsidR="00065A2E" w:rsidRPr="007D272D" w:rsidRDefault="00065A2E" w:rsidP="00065A2E">
      <w:pPr>
        <w:widowControl w:val="0"/>
        <w:jc w:val="both"/>
        <w:rPr>
          <w:sz w:val="20"/>
          <w:szCs w:val="20"/>
          <w:lang w:val="fr-CA"/>
        </w:rPr>
      </w:pPr>
      <w:r w:rsidRPr="007D272D">
        <w:rPr>
          <w:sz w:val="20"/>
          <w:szCs w:val="20"/>
          <w:lang w:val="fr-CA"/>
        </w:rPr>
        <w:t>Roger William est l’ancien chef de la Première nation des Xeni Gwet’in.  Au nom du gouvernement des Premières nations de Xeni Gwet’in et de tout le peuple Tsilhqot’in, il a déposé une demande sollicitant notamment la reconnaissance du titre aborigène à l’égard de deux secteurs dans le territoire traditionnel des Tsilhqot’in.  Les secteurs du territoire sont situés dans une partie éloignée de la région de Chilcotin du centre de la Colombie</w:t>
      </w:r>
      <w:r w:rsidRPr="007D272D">
        <w:rPr>
          <w:sz w:val="20"/>
          <w:szCs w:val="20"/>
          <w:lang w:val="fr-CA"/>
        </w:rPr>
        <w:noBreakHyphen/>
        <w:t xml:space="preserve">Britannique et sont constitués principalement de terres non mises en valeur.  </w:t>
      </w:r>
    </w:p>
    <w:p w:rsidR="00065A2E" w:rsidRPr="007D272D" w:rsidRDefault="00065A2E" w:rsidP="00065A2E">
      <w:pPr>
        <w:widowControl w:val="0"/>
        <w:jc w:val="both"/>
        <w:rPr>
          <w:sz w:val="20"/>
          <w:szCs w:val="20"/>
          <w:lang w:val="fr-CA"/>
        </w:rPr>
      </w:pPr>
    </w:p>
    <w:p w:rsidR="00065A2E" w:rsidRPr="007D272D" w:rsidRDefault="00065A2E" w:rsidP="00065A2E">
      <w:pPr>
        <w:widowControl w:val="0"/>
        <w:jc w:val="both"/>
        <w:rPr>
          <w:sz w:val="20"/>
          <w:szCs w:val="20"/>
          <w:lang w:val="fr-CA"/>
        </w:rPr>
      </w:pPr>
    </w:p>
    <w:p w:rsidR="00065A2E" w:rsidRPr="007D272D" w:rsidRDefault="00065A2E" w:rsidP="00065A2E">
      <w:pPr>
        <w:widowControl w:val="0"/>
        <w:ind w:left="2880" w:hanging="2880"/>
        <w:jc w:val="both"/>
        <w:rPr>
          <w:sz w:val="20"/>
          <w:szCs w:val="20"/>
          <w:lang w:val="fr-CA"/>
        </w:rPr>
      </w:pPr>
      <w:r w:rsidRPr="007D272D">
        <w:rPr>
          <w:sz w:val="20"/>
          <w:szCs w:val="20"/>
          <w:lang w:val="fr-CA"/>
        </w:rPr>
        <w:t>Origine :</w:t>
      </w:r>
      <w:r w:rsidRPr="007D272D">
        <w:rPr>
          <w:sz w:val="20"/>
          <w:szCs w:val="20"/>
          <w:lang w:val="fr-CA"/>
        </w:rPr>
        <w:tab/>
        <w:t>Colombie</w:t>
      </w:r>
      <w:r w:rsidRPr="007D272D">
        <w:rPr>
          <w:sz w:val="20"/>
          <w:szCs w:val="20"/>
          <w:lang w:val="fr-CA"/>
        </w:rPr>
        <w:noBreakHyphen/>
        <w:t>Britannique</w:t>
      </w:r>
    </w:p>
    <w:p w:rsidR="00065A2E" w:rsidRPr="007D272D" w:rsidRDefault="00065A2E" w:rsidP="00065A2E">
      <w:pPr>
        <w:widowControl w:val="0"/>
        <w:ind w:left="2880" w:hanging="2880"/>
        <w:jc w:val="both"/>
        <w:rPr>
          <w:sz w:val="20"/>
          <w:szCs w:val="20"/>
          <w:lang w:val="fr-CA"/>
        </w:rPr>
      </w:pPr>
    </w:p>
    <w:p w:rsidR="00065A2E" w:rsidRPr="007D272D" w:rsidRDefault="00065A2E" w:rsidP="00065A2E">
      <w:pPr>
        <w:widowControl w:val="0"/>
        <w:ind w:left="2880" w:hanging="2880"/>
        <w:jc w:val="both"/>
        <w:rPr>
          <w:sz w:val="20"/>
          <w:szCs w:val="20"/>
          <w:lang w:val="fr-CA"/>
        </w:rPr>
      </w:pPr>
      <w:r w:rsidRPr="007D272D">
        <w:rPr>
          <w:sz w:val="20"/>
          <w:szCs w:val="20"/>
          <w:lang w:val="fr-CA"/>
        </w:rPr>
        <w:t>N</w:t>
      </w:r>
      <w:r w:rsidRPr="007D272D">
        <w:rPr>
          <w:sz w:val="20"/>
          <w:szCs w:val="20"/>
          <w:vertAlign w:val="superscript"/>
          <w:lang w:val="fr-CA"/>
        </w:rPr>
        <w:t>o</w:t>
      </w:r>
      <w:r w:rsidRPr="007D272D">
        <w:rPr>
          <w:sz w:val="20"/>
          <w:szCs w:val="20"/>
          <w:lang w:val="fr-CA"/>
        </w:rPr>
        <w:t xml:space="preserve"> du greffe :</w:t>
      </w:r>
      <w:r w:rsidRPr="007D272D">
        <w:rPr>
          <w:sz w:val="20"/>
          <w:szCs w:val="20"/>
          <w:lang w:val="fr-CA"/>
        </w:rPr>
        <w:tab/>
        <w:t>34986</w:t>
      </w:r>
    </w:p>
    <w:p w:rsidR="00065A2E" w:rsidRPr="007D272D" w:rsidRDefault="00065A2E" w:rsidP="00065A2E">
      <w:pPr>
        <w:widowControl w:val="0"/>
        <w:ind w:left="2880" w:hanging="2880"/>
        <w:jc w:val="both"/>
        <w:rPr>
          <w:sz w:val="20"/>
          <w:szCs w:val="20"/>
          <w:lang w:val="fr-CA"/>
        </w:rPr>
      </w:pPr>
    </w:p>
    <w:p w:rsidR="00065A2E" w:rsidRPr="007D272D" w:rsidRDefault="00065A2E" w:rsidP="00065A2E">
      <w:pPr>
        <w:widowControl w:val="0"/>
        <w:ind w:left="2880" w:hanging="2880"/>
        <w:jc w:val="both"/>
        <w:rPr>
          <w:sz w:val="20"/>
          <w:szCs w:val="20"/>
          <w:lang w:val="fr-CA"/>
        </w:rPr>
      </w:pPr>
      <w:r w:rsidRPr="007D272D">
        <w:rPr>
          <w:sz w:val="20"/>
          <w:szCs w:val="20"/>
          <w:lang w:val="fr-CA"/>
        </w:rPr>
        <w:t>Arrêt de la Cour d’appel :</w:t>
      </w:r>
      <w:r w:rsidRPr="007D272D">
        <w:rPr>
          <w:sz w:val="20"/>
          <w:szCs w:val="20"/>
          <w:lang w:val="fr-CA"/>
        </w:rPr>
        <w:tab/>
        <w:t>le 27 juin 2012</w:t>
      </w:r>
    </w:p>
    <w:p w:rsidR="00065A2E" w:rsidRPr="007D272D" w:rsidRDefault="00065A2E" w:rsidP="00065A2E">
      <w:pPr>
        <w:widowControl w:val="0"/>
        <w:ind w:left="2880" w:hanging="2880"/>
        <w:jc w:val="both"/>
        <w:rPr>
          <w:sz w:val="20"/>
          <w:szCs w:val="20"/>
          <w:lang w:val="fr-CA"/>
        </w:rPr>
      </w:pPr>
    </w:p>
    <w:p w:rsidR="00065A2E" w:rsidRPr="007D272D" w:rsidRDefault="00065A2E" w:rsidP="00065A2E">
      <w:pPr>
        <w:widowControl w:val="0"/>
        <w:ind w:left="2880" w:hanging="2880"/>
        <w:jc w:val="both"/>
        <w:rPr>
          <w:sz w:val="20"/>
          <w:szCs w:val="20"/>
          <w:lang w:val="fr-CA"/>
        </w:rPr>
      </w:pPr>
      <w:r w:rsidRPr="007D272D">
        <w:rPr>
          <w:sz w:val="20"/>
          <w:szCs w:val="20"/>
          <w:lang w:val="fr-CA"/>
        </w:rPr>
        <w:t>Avocats :</w:t>
      </w:r>
      <w:r w:rsidRPr="007D272D">
        <w:rPr>
          <w:sz w:val="20"/>
          <w:szCs w:val="20"/>
          <w:lang w:val="fr-CA"/>
        </w:rPr>
        <w:tab/>
        <w:t>David M. Rosenberg, c.r. et Jay Nelson pour l’appelant</w:t>
      </w:r>
    </w:p>
    <w:p w:rsidR="00065A2E" w:rsidRPr="007D272D" w:rsidRDefault="00065A2E" w:rsidP="00065A2E">
      <w:pPr>
        <w:widowControl w:val="0"/>
        <w:ind w:left="2880" w:hanging="2880"/>
        <w:jc w:val="both"/>
        <w:rPr>
          <w:sz w:val="20"/>
          <w:szCs w:val="20"/>
          <w:lang w:val="fr-CA"/>
        </w:rPr>
      </w:pPr>
      <w:r>
        <w:rPr>
          <w:sz w:val="20"/>
          <w:szCs w:val="20"/>
          <w:lang w:val="fr-CA"/>
        </w:rPr>
        <w:tab/>
      </w:r>
      <w:r w:rsidRPr="007D272D">
        <w:rPr>
          <w:sz w:val="20"/>
          <w:szCs w:val="20"/>
          <w:lang w:val="fr-CA"/>
        </w:rPr>
        <w:t>Mark Kindrachuk, c.r., Brian McLaughlin et Jan Brongers pour l’intimé procureur général du Canada</w:t>
      </w:r>
    </w:p>
    <w:p w:rsidR="00065A2E" w:rsidRPr="007D272D" w:rsidRDefault="00065A2E" w:rsidP="00065A2E">
      <w:pPr>
        <w:widowControl w:val="0"/>
        <w:ind w:left="2880" w:hanging="2880"/>
        <w:jc w:val="both"/>
        <w:rPr>
          <w:sz w:val="20"/>
          <w:szCs w:val="20"/>
          <w:lang w:val="fr-CA"/>
        </w:rPr>
      </w:pPr>
      <w:r>
        <w:rPr>
          <w:sz w:val="20"/>
          <w:szCs w:val="20"/>
          <w:lang w:val="fr-CA"/>
        </w:rPr>
        <w:tab/>
      </w:r>
      <w:r w:rsidRPr="007D272D">
        <w:rPr>
          <w:sz w:val="20"/>
          <w:szCs w:val="20"/>
          <w:lang w:val="fr-CA"/>
        </w:rPr>
        <w:t>Patrick G. Foy, c.r. et Kenneth J. Tyler pour les intimés Sa Majesté la Reine du chef de la Province de Colombie</w:t>
      </w:r>
      <w:r w:rsidRPr="007D272D">
        <w:rPr>
          <w:sz w:val="20"/>
          <w:szCs w:val="20"/>
          <w:lang w:val="fr-CA"/>
        </w:rPr>
        <w:noBreakHyphen/>
        <w:t>Britannique et le chef régional de la région de Cariboo Forest</w:t>
      </w:r>
    </w:p>
    <w:p w:rsidR="00C77493" w:rsidRPr="00DD0B49" w:rsidRDefault="00C77493" w:rsidP="00C77493">
      <w:pPr>
        <w:tabs>
          <w:tab w:val="left" w:pos="-1440"/>
          <w:tab w:val="left" w:pos="-720"/>
        </w:tabs>
        <w:jc w:val="both"/>
        <w:rPr>
          <w:sz w:val="20"/>
          <w:szCs w:val="20"/>
          <w:lang w:val="fr-CA"/>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4"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C77493" w:rsidRDefault="00C77493">
      <w:pPr>
        <w:rPr>
          <w:sz w:val="20"/>
          <w:szCs w:val="20"/>
          <w:lang w:val="fr-CA"/>
        </w:rPr>
      </w:pPr>
    </w:p>
    <w:p w:rsidR="00C77493" w:rsidRDefault="00C77493">
      <w:pPr>
        <w:rPr>
          <w:sz w:val="20"/>
          <w:szCs w:val="20"/>
          <w:lang w:val="fr-CA"/>
        </w:rPr>
      </w:pPr>
      <w:r>
        <w:rPr>
          <w:sz w:val="20"/>
          <w:szCs w:val="20"/>
          <w:lang w:val="fr-CA"/>
        </w:rPr>
        <w:br w:type="page"/>
      </w:r>
    </w:p>
    <w:p w:rsidR="00065A2E" w:rsidRPr="00E1420E" w:rsidRDefault="00CC2008" w:rsidP="00065A2E">
      <w:pPr>
        <w:widowControl w:val="0"/>
        <w:ind w:left="720" w:hanging="720"/>
        <w:jc w:val="both"/>
        <w:rPr>
          <w:sz w:val="20"/>
          <w:szCs w:val="20"/>
        </w:rPr>
      </w:pPr>
      <w:r w:rsidRPr="00E1420E">
        <w:rPr>
          <w:b/>
          <w:sz w:val="20"/>
          <w:szCs w:val="20"/>
        </w:rPr>
        <w:fldChar w:fldCharType="begin"/>
      </w:r>
      <w:r w:rsidR="00065A2E" w:rsidRPr="00E1420E">
        <w:rPr>
          <w:b/>
          <w:sz w:val="20"/>
          <w:szCs w:val="20"/>
        </w:rPr>
        <w:instrText xml:space="preserve"> SEQ CHAPTER \h \r 1</w:instrText>
      </w:r>
      <w:r w:rsidRPr="00E1420E">
        <w:rPr>
          <w:b/>
          <w:sz w:val="20"/>
          <w:szCs w:val="20"/>
        </w:rPr>
        <w:fldChar w:fldCharType="end"/>
      </w:r>
      <w:r w:rsidR="00065A2E" w:rsidRPr="00E1420E">
        <w:rPr>
          <w:b/>
          <w:sz w:val="20"/>
          <w:szCs w:val="20"/>
        </w:rPr>
        <w:t>35176</w:t>
      </w:r>
      <w:r w:rsidR="00065A2E" w:rsidRPr="00E1420E">
        <w:rPr>
          <w:sz w:val="20"/>
          <w:szCs w:val="20"/>
        </w:rPr>
        <w:tab/>
      </w:r>
      <w:r w:rsidR="00065A2E" w:rsidRPr="00E1420E">
        <w:rPr>
          <w:b/>
          <w:i/>
          <w:sz w:val="20"/>
          <w:szCs w:val="20"/>
        </w:rPr>
        <w:t>Craig Jaret Hutchinson v. Her Majesty the Queen</w:t>
      </w:r>
    </w:p>
    <w:p w:rsidR="00065A2E" w:rsidRPr="00E1420E" w:rsidRDefault="00065A2E" w:rsidP="00065A2E">
      <w:pPr>
        <w:widowControl w:val="0"/>
        <w:jc w:val="both"/>
        <w:rPr>
          <w:sz w:val="20"/>
          <w:szCs w:val="20"/>
        </w:rPr>
      </w:pPr>
    </w:p>
    <w:p w:rsidR="00065A2E" w:rsidRPr="00E1420E" w:rsidRDefault="00065A2E" w:rsidP="00065A2E">
      <w:pPr>
        <w:widowControl w:val="0"/>
        <w:jc w:val="both"/>
        <w:rPr>
          <w:smallCaps/>
          <w:sz w:val="20"/>
          <w:szCs w:val="20"/>
        </w:rPr>
      </w:pPr>
      <w:r w:rsidRPr="00E1420E">
        <w:rPr>
          <w:smallCaps/>
          <w:sz w:val="20"/>
          <w:szCs w:val="20"/>
        </w:rPr>
        <w:t xml:space="preserve">(Publication </w:t>
      </w:r>
      <w:r>
        <w:rPr>
          <w:smallCaps/>
          <w:sz w:val="20"/>
        </w:rPr>
        <w:t>B</w:t>
      </w:r>
      <w:r w:rsidRPr="00E1420E">
        <w:rPr>
          <w:smallCaps/>
          <w:sz w:val="20"/>
          <w:szCs w:val="20"/>
        </w:rPr>
        <w:t xml:space="preserve">an in </w:t>
      </w:r>
      <w:r>
        <w:rPr>
          <w:smallCaps/>
          <w:sz w:val="20"/>
        </w:rPr>
        <w:t>C</w:t>
      </w:r>
      <w:r w:rsidRPr="00E1420E">
        <w:rPr>
          <w:smallCaps/>
          <w:sz w:val="20"/>
          <w:szCs w:val="20"/>
        </w:rPr>
        <w:t>ase)</w:t>
      </w:r>
    </w:p>
    <w:p w:rsidR="00065A2E" w:rsidRPr="00E1420E" w:rsidRDefault="00065A2E" w:rsidP="00065A2E">
      <w:pPr>
        <w:widowControl w:val="0"/>
        <w:jc w:val="both"/>
        <w:rPr>
          <w:sz w:val="20"/>
          <w:szCs w:val="20"/>
        </w:rPr>
      </w:pPr>
    </w:p>
    <w:p w:rsidR="00065A2E" w:rsidRPr="00E1420E" w:rsidRDefault="00065A2E" w:rsidP="00065A2E">
      <w:pPr>
        <w:widowControl w:val="0"/>
        <w:jc w:val="both"/>
        <w:rPr>
          <w:sz w:val="20"/>
          <w:szCs w:val="20"/>
        </w:rPr>
      </w:pPr>
      <w:r w:rsidRPr="00E1420E">
        <w:rPr>
          <w:sz w:val="20"/>
          <w:szCs w:val="20"/>
        </w:rPr>
        <w:t xml:space="preserve">Criminal law </w:t>
      </w:r>
      <w:r w:rsidRPr="00E1420E">
        <w:rPr>
          <w:sz w:val="20"/>
          <w:szCs w:val="20"/>
        </w:rPr>
        <w:noBreakHyphen/>
        <w:t xml:space="preserve"> Sexual assault </w:t>
      </w:r>
      <w:r w:rsidRPr="00E1420E">
        <w:rPr>
          <w:sz w:val="20"/>
          <w:szCs w:val="20"/>
        </w:rPr>
        <w:noBreakHyphen/>
        <w:t xml:space="preserve"> Consent </w:t>
      </w:r>
      <w:r w:rsidRPr="00E1420E">
        <w:rPr>
          <w:sz w:val="20"/>
          <w:szCs w:val="20"/>
        </w:rPr>
        <w:noBreakHyphen/>
        <w:t xml:space="preserve"> Meaning of “sexual activity in question” in s. 273.1(1) of </w:t>
      </w:r>
      <w:r w:rsidRPr="00E1420E">
        <w:rPr>
          <w:i/>
          <w:sz w:val="20"/>
          <w:szCs w:val="20"/>
        </w:rPr>
        <w:t>Criminal Code</w:t>
      </w:r>
      <w:r w:rsidRPr="00E1420E">
        <w:rPr>
          <w:sz w:val="20"/>
          <w:szCs w:val="20"/>
        </w:rPr>
        <w:t xml:space="preserve"> </w:t>
      </w:r>
      <w:r w:rsidRPr="00E1420E">
        <w:rPr>
          <w:sz w:val="20"/>
          <w:szCs w:val="20"/>
        </w:rPr>
        <w:noBreakHyphen/>
        <w:t xml:space="preserve"> Whether the Court of Appeal erred in law by incorrectly interpreting the definition of consent in s. 273.1 of the </w:t>
      </w:r>
      <w:r w:rsidRPr="00E1420E">
        <w:rPr>
          <w:i/>
          <w:sz w:val="20"/>
          <w:szCs w:val="20"/>
        </w:rPr>
        <w:t>Criminal Code</w:t>
      </w:r>
      <w:r w:rsidRPr="00E1420E">
        <w:rPr>
          <w:sz w:val="20"/>
          <w:szCs w:val="20"/>
        </w:rPr>
        <w:t>, R.S.C. 1985, c. C</w:t>
      </w:r>
      <w:r w:rsidRPr="00E1420E">
        <w:rPr>
          <w:sz w:val="20"/>
          <w:szCs w:val="20"/>
        </w:rPr>
        <w:noBreakHyphen/>
        <w:t xml:space="preserve">46, and the circumstances in which consent is vitiated, as set out in s. 265(3) of the </w:t>
      </w:r>
      <w:r w:rsidRPr="00E1420E">
        <w:rPr>
          <w:i/>
          <w:sz w:val="20"/>
          <w:szCs w:val="20"/>
        </w:rPr>
        <w:t>Criminal Code</w:t>
      </w:r>
      <w:r w:rsidRPr="00E1420E">
        <w:rPr>
          <w:sz w:val="20"/>
          <w:szCs w:val="20"/>
        </w:rPr>
        <w:t xml:space="preserve">. </w:t>
      </w:r>
    </w:p>
    <w:p w:rsidR="00065A2E" w:rsidRPr="00E1420E" w:rsidRDefault="00065A2E" w:rsidP="00065A2E">
      <w:pPr>
        <w:widowControl w:val="0"/>
        <w:jc w:val="both"/>
        <w:rPr>
          <w:sz w:val="20"/>
          <w:szCs w:val="20"/>
        </w:rPr>
      </w:pPr>
    </w:p>
    <w:p w:rsidR="00065A2E" w:rsidRPr="00E1420E" w:rsidRDefault="00065A2E" w:rsidP="00065A2E">
      <w:pPr>
        <w:widowControl w:val="0"/>
        <w:jc w:val="both"/>
        <w:rPr>
          <w:sz w:val="20"/>
          <w:szCs w:val="20"/>
        </w:rPr>
      </w:pPr>
      <w:r w:rsidRPr="00E1420E">
        <w:rPr>
          <w:sz w:val="20"/>
          <w:szCs w:val="20"/>
        </w:rPr>
        <w:t xml:space="preserve">Mr. Hutchinson was charged with aggravated sexual assault for poking holes in the condoms he used with his partner, knowing she did not want to get pregnant.  At his first trial, he was acquitted on a directed verdict, but the Court of Appeal reversed that decision and ordered a new trial.  At retrial, Mr. Hutchinson was convicted of sexual assault because the trial judge found that while the complainant may have consented to the sexual intercourse, she did not consent to unprotected sexual intercourse.  Mr. Hutchinson appealed his conviction, arguing that the complainant freely and voluntarily consented to having sexual intercourse with him and that his deception over the condoms, however reprehensible, was not enough to vitiate that consent.  The majority of the Court of Appeal dismissed the appeal.  Farrar J.A. would have allowed the appeal and ordered a new trial on the basis that the trial judge erred in finding that there was no consent under s. 273.1(1) of the </w:t>
      </w:r>
      <w:r w:rsidRPr="00E1420E">
        <w:rPr>
          <w:i/>
          <w:sz w:val="20"/>
          <w:szCs w:val="20"/>
        </w:rPr>
        <w:t>Criminal Code</w:t>
      </w:r>
      <w:r w:rsidRPr="00E1420E">
        <w:rPr>
          <w:sz w:val="20"/>
          <w:szCs w:val="20"/>
        </w:rPr>
        <w:t>, and that the proper approach would have been to determine whether consent was vitiated by fraud under s. 265(3)(</w:t>
      </w:r>
      <w:r w:rsidRPr="00E1420E">
        <w:rPr>
          <w:i/>
          <w:sz w:val="20"/>
          <w:szCs w:val="20"/>
        </w:rPr>
        <w:t>c</w:t>
      </w:r>
      <w:r w:rsidRPr="00E1420E">
        <w:rPr>
          <w:sz w:val="20"/>
          <w:szCs w:val="20"/>
        </w:rPr>
        <w:t>).</w:t>
      </w:r>
    </w:p>
    <w:p w:rsidR="00065A2E" w:rsidRPr="00E1420E" w:rsidRDefault="00065A2E" w:rsidP="00065A2E">
      <w:pPr>
        <w:widowControl w:val="0"/>
        <w:jc w:val="both"/>
        <w:rPr>
          <w:sz w:val="20"/>
          <w:szCs w:val="20"/>
        </w:rPr>
      </w:pPr>
    </w:p>
    <w:p w:rsidR="00065A2E" w:rsidRPr="00E1420E" w:rsidRDefault="00065A2E" w:rsidP="00065A2E">
      <w:pPr>
        <w:widowControl w:val="0"/>
        <w:jc w:val="both"/>
        <w:rPr>
          <w:sz w:val="20"/>
          <w:szCs w:val="20"/>
        </w:rPr>
      </w:pPr>
    </w:p>
    <w:p w:rsidR="00065A2E" w:rsidRPr="00E1420E" w:rsidRDefault="00065A2E" w:rsidP="00065A2E">
      <w:pPr>
        <w:widowControl w:val="0"/>
        <w:ind w:left="2880" w:hanging="2880"/>
        <w:jc w:val="both"/>
        <w:rPr>
          <w:sz w:val="20"/>
          <w:szCs w:val="20"/>
        </w:rPr>
      </w:pPr>
      <w:r w:rsidRPr="00E1420E">
        <w:rPr>
          <w:sz w:val="20"/>
          <w:szCs w:val="20"/>
        </w:rPr>
        <w:t>Origin of the case:</w:t>
      </w:r>
      <w:r w:rsidRPr="00E1420E">
        <w:rPr>
          <w:sz w:val="20"/>
          <w:szCs w:val="20"/>
        </w:rPr>
        <w:tab/>
        <w:t>Nova Scotia</w:t>
      </w:r>
    </w:p>
    <w:p w:rsidR="00065A2E" w:rsidRPr="00E1420E" w:rsidRDefault="00065A2E" w:rsidP="00065A2E">
      <w:pPr>
        <w:widowControl w:val="0"/>
        <w:ind w:left="2880" w:hanging="2880"/>
        <w:jc w:val="both"/>
        <w:rPr>
          <w:sz w:val="20"/>
          <w:szCs w:val="20"/>
        </w:rPr>
      </w:pPr>
    </w:p>
    <w:p w:rsidR="00065A2E" w:rsidRPr="00E1420E" w:rsidRDefault="00065A2E" w:rsidP="00065A2E">
      <w:pPr>
        <w:widowControl w:val="0"/>
        <w:ind w:left="2880" w:hanging="2880"/>
        <w:jc w:val="both"/>
        <w:rPr>
          <w:sz w:val="20"/>
          <w:szCs w:val="20"/>
        </w:rPr>
      </w:pPr>
      <w:r w:rsidRPr="00E1420E">
        <w:rPr>
          <w:sz w:val="20"/>
          <w:szCs w:val="20"/>
        </w:rPr>
        <w:t>File No.:</w:t>
      </w:r>
      <w:r w:rsidRPr="00E1420E">
        <w:rPr>
          <w:sz w:val="20"/>
          <w:szCs w:val="20"/>
        </w:rPr>
        <w:tab/>
        <w:t>35176</w:t>
      </w:r>
    </w:p>
    <w:p w:rsidR="00065A2E" w:rsidRPr="00E1420E" w:rsidRDefault="00065A2E" w:rsidP="00065A2E">
      <w:pPr>
        <w:widowControl w:val="0"/>
        <w:ind w:left="2880" w:hanging="2880"/>
        <w:jc w:val="both"/>
        <w:rPr>
          <w:sz w:val="20"/>
          <w:szCs w:val="20"/>
        </w:rPr>
      </w:pPr>
    </w:p>
    <w:p w:rsidR="00065A2E" w:rsidRPr="00E1420E" w:rsidRDefault="00065A2E" w:rsidP="00065A2E">
      <w:pPr>
        <w:widowControl w:val="0"/>
        <w:ind w:left="2880" w:hanging="2880"/>
        <w:jc w:val="both"/>
        <w:rPr>
          <w:sz w:val="20"/>
          <w:szCs w:val="20"/>
        </w:rPr>
      </w:pPr>
      <w:r w:rsidRPr="00E1420E">
        <w:rPr>
          <w:sz w:val="20"/>
          <w:szCs w:val="20"/>
        </w:rPr>
        <w:t>Judgment of the Court of Appeal:</w:t>
      </w:r>
      <w:r w:rsidRPr="00E1420E">
        <w:rPr>
          <w:sz w:val="20"/>
          <w:szCs w:val="20"/>
        </w:rPr>
        <w:tab/>
        <w:t>January 3, 2013</w:t>
      </w:r>
    </w:p>
    <w:p w:rsidR="00065A2E" w:rsidRPr="00E1420E" w:rsidRDefault="00065A2E" w:rsidP="00065A2E">
      <w:pPr>
        <w:widowControl w:val="0"/>
        <w:ind w:left="2880" w:hanging="2880"/>
        <w:jc w:val="both"/>
        <w:rPr>
          <w:sz w:val="20"/>
          <w:szCs w:val="20"/>
        </w:rPr>
      </w:pPr>
    </w:p>
    <w:p w:rsidR="00065A2E" w:rsidRPr="00E1420E" w:rsidRDefault="00065A2E" w:rsidP="00065A2E">
      <w:pPr>
        <w:widowControl w:val="0"/>
        <w:ind w:left="2880" w:hanging="2880"/>
        <w:jc w:val="both"/>
        <w:rPr>
          <w:sz w:val="20"/>
          <w:szCs w:val="20"/>
        </w:rPr>
      </w:pPr>
      <w:r w:rsidRPr="00E1420E">
        <w:rPr>
          <w:sz w:val="20"/>
          <w:szCs w:val="20"/>
        </w:rPr>
        <w:t>Counsel:</w:t>
      </w:r>
      <w:r w:rsidRPr="00E1420E">
        <w:rPr>
          <w:sz w:val="20"/>
          <w:szCs w:val="20"/>
        </w:rPr>
        <w:tab/>
        <w:t>Luke A. Craggs for the appellant</w:t>
      </w:r>
    </w:p>
    <w:p w:rsidR="00065A2E" w:rsidRPr="00E1420E" w:rsidRDefault="00065A2E" w:rsidP="00065A2E">
      <w:pPr>
        <w:widowControl w:val="0"/>
        <w:ind w:left="2880" w:hanging="2880"/>
        <w:jc w:val="both"/>
        <w:rPr>
          <w:sz w:val="20"/>
          <w:szCs w:val="20"/>
        </w:rPr>
      </w:pPr>
      <w:r w:rsidRPr="00E1420E">
        <w:rPr>
          <w:sz w:val="20"/>
          <w:szCs w:val="20"/>
        </w:rPr>
        <w:tab/>
        <w:t>Kenneth W.F. Fiske, Q.C. for the respondent</w:t>
      </w:r>
    </w:p>
    <w:p w:rsidR="00C77493" w:rsidRPr="00065A2E" w:rsidRDefault="00C77493" w:rsidP="00C77493">
      <w:pPr>
        <w:tabs>
          <w:tab w:val="left" w:pos="-1440"/>
          <w:tab w:val="left" w:pos="-720"/>
        </w:tabs>
        <w:jc w:val="both"/>
        <w:rPr>
          <w:sz w:val="20"/>
          <w:szCs w:val="20"/>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5"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C77493" w:rsidRDefault="00C77493">
      <w:pPr>
        <w:rPr>
          <w:sz w:val="20"/>
          <w:szCs w:val="20"/>
          <w:lang w:val="fr-CA"/>
        </w:rPr>
      </w:pPr>
    </w:p>
    <w:p w:rsidR="00C77493" w:rsidRDefault="00C77493">
      <w:pPr>
        <w:rPr>
          <w:sz w:val="20"/>
          <w:szCs w:val="20"/>
          <w:lang w:val="fr-CA"/>
        </w:rPr>
      </w:pPr>
      <w:r>
        <w:rPr>
          <w:sz w:val="20"/>
          <w:szCs w:val="20"/>
          <w:lang w:val="fr-CA"/>
        </w:rPr>
        <w:br w:type="page"/>
      </w:r>
    </w:p>
    <w:p w:rsidR="00065A2E" w:rsidRPr="005614D4" w:rsidRDefault="00CC2008" w:rsidP="00065A2E">
      <w:pPr>
        <w:widowControl w:val="0"/>
        <w:ind w:left="720" w:hanging="720"/>
        <w:jc w:val="both"/>
        <w:rPr>
          <w:sz w:val="20"/>
          <w:szCs w:val="20"/>
          <w:lang w:val="fr-CA"/>
        </w:rPr>
      </w:pPr>
      <w:r w:rsidRPr="005614D4">
        <w:rPr>
          <w:b/>
          <w:sz w:val="20"/>
          <w:szCs w:val="20"/>
          <w:lang w:val="fr-CA"/>
        </w:rPr>
        <w:fldChar w:fldCharType="begin"/>
      </w:r>
      <w:r w:rsidR="00065A2E" w:rsidRPr="005614D4">
        <w:rPr>
          <w:b/>
          <w:sz w:val="20"/>
          <w:szCs w:val="20"/>
          <w:lang w:val="fr-CA"/>
        </w:rPr>
        <w:instrText xml:space="preserve"> SEQ CHAPTER \h \r 1</w:instrText>
      </w:r>
      <w:r w:rsidRPr="005614D4">
        <w:rPr>
          <w:b/>
          <w:sz w:val="20"/>
          <w:szCs w:val="20"/>
          <w:lang w:val="fr-CA"/>
        </w:rPr>
        <w:fldChar w:fldCharType="end"/>
      </w:r>
      <w:r w:rsidR="00065A2E" w:rsidRPr="005614D4">
        <w:rPr>
          <w:b/>
          <w:sz w:val="20"/>
          <w:szCs w:val="20"/>
          <w:lang w:val="fr-CA"/>
        </w:rPr>
        <w:t>35176</w:t>
      </w:r>
      <w:r w:rsidR="00065A2E" w:rsidRPr="005614D4">
        <w:rPr>
          <w:sz w:val="20"/>
          <w:szCs w:val="20"/>
          <w:lang w:val="fr-CA"/>
        </w:rPr>
        <w:tab/>
      </w:r>
      <w:r w:rsidR="00065A2E" w:rsidRPr="005614D4">
        <w:rPr>
          <w:b/>
          <w:i/>
          <w:sz w:val="20"/>
          <w:szCs w:val="20"/>
          <w:lang w:val="fr-CA"/>
        </w:rPr>
        <w:t>Craig Jaret Hutchinson c. Sa Majesté la Reine</w:t>
      </w:r>
    </w:p>
    <w:p w:rsidR="00065A2E" w:rsidRPr="005614D4" w:rsidRDefault="00065A2E" w:rsidP="00065A2E">
      <w:pPr>
        <w:widowControl w:val="0"/>
        <w:jc w:val="both"/>
        <w:rPr>
          <w:sz w:val="20"/>
          <w:szCs w:val="20"/>
          <w:lang w:val="fr-CA"/>
        </w:rPr>
      </w:pPr>
    </w:p>
    <w:p w:rsidR="00065A2E" w:rsidRPr="005614D4" w:rsidRDefault="00065A2E" w:rsidP="00065A2E">
      <w:pPr>
        <w:widowControl w:val="0"/>
        <w:jc w:val="both"/>
        <w:rPr>
          <w:smallCaps/>
          <w:sz w:val="20"/>
          <w:szCs w:val="20"/>
          <w:lang w:val="fr-CA"/>
        </w:rPr>
      </w:pPr>
      <w:r w:rsidRPr="005614D4">
        <w:rPr>
          <w:smallCaps/>
          <w:sz w:val="20"/>
          <w:szCs w:val="20"/>
          <w:lang w:val="fr-CA"/>
        </w:rPr>
        <w:t>(Ordonnance de non</w:t>
      </w:r>
      <w:r w:rsidRPr="005614D4">
        <w:rPr>
          <w:smallCaps/>
          <w:sz w:val="20"/>
          <w:szCs w:val="20"/>
          <w:lang w:val="fr-CA"/>
        </w:rPr>
        <w:noBreakHyphen/>
        <w:t>publication dans le dossier)</w:t>
      </w:r>
    </w:p>
    <w:p w:rsidR="00065A2E" w:rsidRPr="005614D4" w:rsidRDefault="00065A2E" w:rsidP="00065A2E">
      <w:pPr>
        <w:widowControl w:val="0"/>
        <w:jc w:val="both"/>
        <w:rPr>
          <w:sz w:val="20"/>
          <w:szCs w:val="20"/>
          <w:lang w:val="fr-CA"/>
        </w:rPr>
      </w:pPr>
    </w:p>
    <w:p w:rsidR="00065A2E" w:rsidRPr="005614D4" w:rsidRDefault="00065A2E" w:rsidP="00065A2E">
      <w:pPr>
        <w:widowControl w:val="0"/>
        <w:jc w:val="both"/>
        <w:rPr>
          <w:sz w:val="20"/>
          <w:szCs w:val="20"/>
          <w:lang w:val="fr-CA"/>
        </w:rPr>
      </w:pPr>
      <w:r w:rsidRPr="005614D4">
        <w:rPr>
          <w:sz w:val="20"/>
          <w:szCs w:val="20"/>
          <w:lang w:val="fr-CA"/>
        </w:rPr>
        <w:t xml:space="preserve">Droit criminel </w:t>
      </w:r>
      <w:r w:rsidRPr="005614D4">
        <w:rPr>
          <w:sz w:val="20"/>
          <w:szCs w:val="20"/>
          <w:lang w:val="fr-CA"/>
        </w:rPr>
        <w:noBreakHyphen/>
        <w:t xml:space="preserve"> Agression sexuelle </w:t>
      </w:r>
      <w:r w:rsidRPr="005614D4">
        <w:rPr>
          <w:sz w:val="20"/>
          <w:szCs w:val="20"/>
          <w:lang w:val="fr-CA"/>
        </w:rPr>
        <w:noBreakHyphen/>
        <w:t xml:space="preserve"> Consentement </w:t>
      </w:r>
      <w:r w:rsidRPr="005614D4">
        <w:rPr>
          <w:sz w:val="20"/>
          <w:szCs w:val="20"/>
          <w:lang w:val="fr-CA"/>
        </w:rPr>
        <w:noBreakHyphen/>
        <w:t xml:space="preserve"> Sens des mots « activité sexuelle » au par. 273.1(1) du </w:t>
      </w:r>
      <w:r w:rsidRPr="005614D4">
        <w:rPr>
          <w:i/>
          <w:sz w:val="20"/>
          <w:szCs w:val="20"/>
          <w:lang w:val="fr-CA"/>
        </w:rPr>
        <w:t>Code criminel</w:t>
      </w:r>
      <w:r w:rsidRPr="005614D4">
        <w:rPr>
          <w:sz w:val="20"/>
          <w:szCs w:val="20"/>
          <w:lang w:val="fr-CA"/>
        </w:rPr>
        <w:t xml:space="preserve"> </w:t>
      </w:r>
      <w:r w:rsidRPr="005614D4">
        <w:rPr>
          <w:sz w:val="20"/>
          <w:szCs w:val="20"/>
          <w:lang w:val="fr-CA"/>
        </w:rPr>
        <w:noBreakHyphen/>
        <w:t xml:space="preserve"> La Cour d’appel a</w:t>
      </w:r>
      <w:r w:rsidRPr="005614D4">
        <w:rPr>
          <w:sz w:val="20"/>
          <w:szCs w:val="20"/>
          <w:lang w:val="fr-CA"/>
        </w:rPr>
        <w:noBreakHyphen/>
        <w:t>t</w:t>
      </w:r>
      <w:r w:rsidRPr="005614D4">
        <w:rPr>
          <w:sz w:val="20"/>
          <w:szCs w:val="20"/>
          <w:lang w:val="fr-CA"/>
        </w:rPr>
        <w:noBreakHyphen/>
        <w:t xml:space="preserve">elle commis une erreur de droit en interprétant mal la définition du consentement à l’art. 273.1 du </w:t>
      </w:r>
      <w:r w:rsidRPr="005614D4">
        <w:rPr>
          <w:i/>
          <w:sz w:val="20"/>
          <w:szCs w:val="20"/>
          <w:lang w:val="fr-CA"/>
        </w:rPr>
        <w:t>Code criminel</w:t>
      </w:r>
      <w:r w:rsidRPr="005614D4">
        <w:rPr>
          <w:sz w:val="20"/>
          <w:szCs w:val="20"/>
          <w:lang w:val="fr-CA"/>
        </w:rPr>
        <w:t>, L.R.C. 1985, ch. C</w:t>
      </w:r>
      <w:r w:rsidRPr="005614D4">
        <w:rPr>
          <w:sz w:val="20"/>
          <w:szCs w:val="20"/>
          <w:lang w:val="fr-CA"/>
        </w:rPr>
        <w:noBreakHyphen/>
        <w:t xml:space="preserve">46, et les circonstances dans lesquelles le consentement est vicié, aux termes du par. 265(3) du </w:t>
      </w:r>
      <w:r w:rsidRPr="005614D4">
        <w:rPr>
          <w:i/>
          <w:sz w:val="20"/>
          <w:szCs w:val="20"/>
          <w:lang w:val="fr-CA"/>
        </w:rPr>
        <w:t>Code criminel</w:t>
      </w:r>
      <w:r w:rsidRPr="005614D4">
        <w:rPr>
          <w:sz w:val="20"/>
          <w:szCs w:val="20"/>
          <w:lang w:val="fr-CA"/>
        </w:rPr>
        <w:t xml:space="preserve">? </w:t>
      </w:r>
    </w:p>
    <w:p w:rsidR="00065A2E" w:rsidRPr="005614D4" w:rsidRDefault="00065A2E" w:rsidP="00065A2E">
      <w:pPr>
        <w:widowControl w:val="0"/>
        <w:jc w:val="both"/>
        <w:rPr>
          <w:sz w:val="20"/>
          <w:szCs w:val="20"/>
          <w:lang w:val="fr-CA"/>
        </w:rPr>
      </w:pPr>
    </w:p>
    <w:p w:rsidR="00065A2E" w:rsidRPr="005614D4" w:rsidRDefault="00065A2E" w:rsidP="00065A2E">
      <w:pPr>
        <w:widowControl w:val="0"/>
        <w:jc w:val="both"/>
        <w:rPr>
          <w:sz w:val="20"/>
          <w:szCs w:val="20"/>
          <w:lang w:val="fr-CA"/>
        </w:rPr>
      </w:pPr>
      <w:r w:rsidRPr="005614D4">
        <w:rPr>
          <w:sz w:val="20"/>
          <w:szCs w:val="20"/>
          <w:lang w:val="fr-CA"/>
        </w:rPr>
        <w:t xml:space="preserve">Monsieur Hutchinson a été accusé d’agression sexuelle grave pour avoir percé des trous dans les condoms qu’il utilisait avec sa partenaire, sachant qu’elle ne voulait pas tomber enceinte.  À son premier procès, il a été acquitté suite à un verdict imposé, mais la Cour d’appel a infirmé cette décision et a ordonné un nouveau procès.  Au second procès, M. Hutchinson a été déclaré coupable d’agression sexuelle parce que le juge du procès a conclu que même si la plaignante a pu consentir aux rapports sexuels, elle n’avait pas consenti à des rapports sexuels non protégés.  Monsieur Hutchinson a interjeté appel de sa déclaration de culpabilité, plaidant que la plaignante avait librement et volontairement consenti à avoir des rapports sexuels avec lui et que sa tromperie au sujet des condoms, bien que répréhensible, ne suffisait pas à vicier ce consentement.  Les juges majoritaires de la Cour d’appel ont rejeté l’appel.  Le juge Farrar aurait accueilli l’appel et ordonné un nouveau procès au motif que le juge du procès avait eu tort de conclure qu’il n’y avait pas eu de consentement au sens du par. 273.1(1) du </w:t>
      </w:r>
      <w:r w:rsidRPr="005614D4">
        <w:rPr>
          <w:i/>
          <w:sz w:val="20"/>
          <w:szCs w:val="20"/>
          <w:lang w:val="fr-CA"/>
        </w:rPr>
        <w:t>Code criminel</w:t>
      </w:r>
      <w:r w:rsidRPr="005614D4">
        <w:rPr>
          <w:sz w:val="20"/>
          <w:szCs w:val="20"/>
          <w:lang w:val="fr-CA"/>
        </w:rPr>
        <w:t>, et qu’il aurait plutôt fallu se demander si le consentement avait été vicié par la fraude aux termes de l’al. 265(3)</w:t>
      </w:r>
      <w:r w:rsidRPr="005614D4">
        <w:rPr>
          <w:i/>
          <w:sz w:val="20"/>
          <w:szCs w:val="20"/>
          <w:lang w:val="fr-CA"/>
        </w:rPr>
        <w:t>c)</w:t>
      </w:r>
      <w:r w:rsidRPr="005614D4">
        <w:rPr>
          <w:sz w:val="20"/>
          <w:szCs w:val="20"/>
          <w:lang w:val="fr-CA"/>
        </w:rPr>
        <w:t>.</w:t>
      </w:r>
    </w:p>
    <w:p w:rsidR="00065A2E" w:rsidRPr="005614D4" w:rsidRDefault="00065A2E" w:rsidP="00065A2E">
      <w:pPr>
        <w:widowControl w:val="0"/>
        <w:jc w:val="both"/>
        <w:rPr>
          <w:sz w:val="20"/>
          <w:szCs w:val="20"/>
          <w:lang w:val="fr-CA"/>
        </w:rPr>
      </w:pPr>
    </w:p>
    <w:p w:rsidR="00065A2E" w:rsidRPr="005614D4" w:rsidRDefault="00065A2E" w:rsidP="00065A2E">
      <w:pPr>
        <w:widowControl w:val="0"/>
        <w:jc w:val="both"/>
        <w:rPr>
          <w:sz w:val="20"/>
          <w:szCs w:val="20"/>
          <w:lang w:val="fr-CA"/>
        </w:rPr>
      </w:pPr>
    </w:p>
    <w:p w:rsidR="00065A2E" w:rsidRPr="005614D4" w:rsidRDefault="00065A2E" w:rsidP="00065A2E">
      <w:pPr>
        <w:widowControl w:val="0"/>
        <w:ind w:left="2880" w:hanging="2880"/>
        <w:jc w:val="both"/>
        <w:rPr>
          <w:sz w:val="20"/>
          <w:szCs w:val="20"/>
          <w:lang w:val="fr-CA"/>
        </w:rPr>
      </w:pPr>
      <w:r w:rsidRPr="005614D4">
        <w:rPr>
          <w:sz w:val="20"/>
          <w:szCs w:val="20"/>
          <w:lang w:val="fr-CA"/>
        </w:rPr>
        <w:t>Origine :</w:t>
      </w:r>
      <w:r w:rsidRPr="005614D4">
        <w:rPr>
          <w:sz w:val="20"/>
          <w:szCs w:val="20"/>
          <w:lang w:val="fr-CA"/>
        </w:rPr>
        <w:tab/>
        <w:t>Nouvelle</w:t>
      </w:r>
      <w:r w:rsidRPr="005614D4">
        <w:rPr>
          <w:sz w:val="20"/>
          <w:szCs w:val="20"/>
          <w:lang w:val="fr-CA"/>
        </w:rPr>
        <w:noBreakHyphen/>
        <w:t>Écosse</w:t>
      </w:r>
    </w:p>
    <w:p w:rsidR="00065A2E" w:rsidRPr="005614D4" w:rsidRDefault="00065A2E" w:rsidP="00065A2E">
      <w:pPr>
        <w:widowControl w:val="0"/>
        <w:ind w:left="2880" w:hanging="2880"/>
        <w:jc w:val="both"/>
        <w:rPr>
          <w:sz w:val="20"/>
          <w:szCs w:val="20"/>
          <w:lang w:val="fr-CA"/>
        </w:rPr>
      </w:pPr>
    </w:p>
    <w:p w:rsidR="00065A2E" w:rsidRPr="005614D4" w:rsidRDefault="00065A2E" w:rsidP="00065A2E">
      <w:pPr>
        <w:widowControl w:val="0"/>
        <w:ind w:left="2880" w:hanging="2880"/>
        <w:jc w:val="both"/>
        <w:rPr>
          <w:sz w:val="20"/>
          <w:szCs w:val="20"/>
          <w:lang w:val="fr-CA"/>
        </w:rPr>
      </w:pPr>
      <w:r w:rsidRPr="005614D4">
        <w:rPr>
          <w:sz w:val="20"/>
          <w:szCs w:val="20"/>
          <w:lang w:val="fr-CA"/>
        </w:rPr>
        <w:t>N</w:t>
      </w:r>
      <w:r w:rsidRPr="005614D4">
        <w:rPr>
          <w:sz w:val="20"/>
          <w:szCs w:val="20"/>
          <w:vertAlign w:val="superscript"/>
          <w:lang w:val="fr-CA"/>
        </w:rPr>
        <w:t>o</w:t>
      </w:r>
      <w:r w:rsidRPr="005614D4">
        <w:rPr>
          <w:sz w:val="20"/>
          <w:szCs w:val="20"/>
          <w:lang w:val="fr-CA"/>
        </w:rPr>
        <w:t xml:space="preserve"> du greffe :</w:t>
      </w:r>
      <w:r w:rsidRPr="005614D4">
        <w:rPr>
          <w:sz w:val="20"/>
          <w:szCs w:val="20"/>
          <w:lang w:val="fr-CA"/>
        </w:rPr>
        <w:tab/>
        <w:t>35176</w:t>
      </w:r>
    </w:p>
    <w:p w:rsidR="00065A2E" w:rsidRPr="005614D4" w:rsidRDefault="00065A2E" w:rsidP="00065A2E">
      <w:pPr>
        <w:widowControl w:val="0"/>
        <w:ind w:left="2880" w:hanging="2880"/>
        <w:jc w:val="both"/>
        <w:rPr>
          <w:sz w:val="20"/>
          <w:szCs w:val="20"/>
          <w:lang w:val="fr-CA"/>
        </w:rPr>
      </w:pPr>
    </w:p>
    <w:p w:rsidR="00065A2E" w:rsidRPr="005614D4" w:rsidRDefault="00065A2E" w:rsidP="00065A2E">
      <w:pPr>
        <w:widowControl w:val="0"/>
        <w:ind w:left="2880" w:hanging="2880"/>
        <w:jc w:val="both"/>
        <w:rPr>
          <w:sz w:val="20"/>
          <w:szCs w:val="20"/>
          <w:lang w:val="fr-CA"/>
        </w:rPr>
      </w:pPr>
      <w:r w:rsidRPr="005614D4">
        <w:rPr>
          <w:sz w:val="20"/>
          <w:szCs w:val="20"/>
          <w:lang w:val="fr-CA"/>
        </w:rPr>
        <w:t>Arrêt de la Cour d’appel :</w:t>
      </w:r>
      <w:r w:rsidRPr="005614D4">
        <w:rPr>
          <w:sz w:val="20"/>
          <w:szCs w:val="20"/>
          <w:lang w:val="fr-CA"/>
        </w:rPr>
        <w:tab/>
        <w:t>le 3 janvier 2013</w:t>
      </w:r>
    </w:p>
    <w:p w:rsidR="00065A2E" w:rsidRPr="005614D4" w:rsidRDefault="00065A2E" w:rsidP="00065A2E">
      <w:pPr>
        <w:widowControl w:val="0"/>
        <w:ind w:left="2880" w:hanging="2880"/>
        <w:jc w:val="both"/>
        <w:rPr>
          <w:sz w:val="20"/>
          <w:szCs w:val="20"/>
          <w:lang w:val="fr-CA"/>
        </w:rPr>
      </w:pPr>
    </w:p>
    <w:p w:rsidR="00065A2E" w:rsidRPr="005614D4" w:rsidRDefault="00065A2E" w:rsidP="00065A2E">
      <w:pPr>
        <w:widowControl w:val="0"/>
        <w:ind w:left="2880" w:hanging="2880"/>
        <w:jc w:val="both"/>
        <w:rPr>
          <w:sz w:val="20"/>
          <w:szCs w:val="20"/>
          <w:lang w:val="fr-CA"/>
        </w:rPr>
      </w:pPr>
      <w:r w:rsidRPr="005614D4">
        <w:rPr>
          <w:sz w:val="20"/>
          <w:szCs w:val="20"/>
          <w:lang w:val="fr-CA"/>
        </w:rPr>
        <w:t>Avocats :</w:t>
      </w:r>
      <w:r w:rsidRPr="005614D4">
        <w:rPr>
          <w:sz w:val="20"/>
          <w:szCs w:val="20"/>
          <w:lang w:val="fr-CA"/>
        </w:rPr>
        <w:tab/>
        <w:t>Luke A. Craggs pour l’appelant</w:t>
      </w:r>
    </w:p>
    <w:p w:rsidR="00065A2E" w:rsidRPr="005614D4" w:rsidRDefault="00065A2E" w:rsidP="00065A2E">
      <w:pPr>
        <w:widowControl w:val="0"/>
        <w:ind w:left="2880" w:hanging="2880"/>
        <w:jc w:val="both"/>
        <w:rPr>
          <w:sz w:val="20"/>
          <w:szCs w:val="20"/>
          <w:lang w:val="fr-CA"/>
        </w:rPr>
      </w:pPr>
      <w:r w:rsidRPr="005614D4">
        <w:rPr>
          <w:sz w:val="20"/>
          <w:szCs w:val="20"/>
          <w:lang w:val="fr-CA"/>
        </w:rPr>
        <w:tab/>
        <w:t>Kenneth W.F. Fiske, c.r. pour l’intimée</w:t>
      </w:r>
    </w:p>
    <w:p w:rsidR="00C77493" w:rsidRPr="00DD0B49" w:rsidRDefault="00C77493" w:rsidP="00C77493">
      <w:pPr>
        <w:tabs>
          <w:tab w:val="left" w:pos="-1440"/>
          <w:tab w:val="left" w:pos="-720"/>
        </w:tabs>
        <w:jc w:val="both"/>
        <w:rPr>
          <w:sz w:val="20"/>
          <w:szCs w:val="20"/>
          <w:lang w:val="fr-CA"/>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6"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C77493" w:rsidRDefault="00C77493">
      <w:pPr>
        <w:rPr>
          <w:sz w:val="20"/>
          <w:szCs w:val="20"/>
          <w:lang w:val="fr-CA"/>
        </w:rPr>
      </w:pPr>
    </w:p>
    <w:p w:rsidR="00C77493" w:rsidRDefault="00C77493">
      <w:pPr>
        <w:rPr>
          <w:sz w:val="20"/>
          <w:szCs w:val="20"/>
          <w:lang w:val="fr-CA"/>
        </w:rPr>
      </w:pPr>
      <w:r>
        <w:rPr>
          <w:sz w:val="20"/>
          <w:szCs w:val="20"/>
          <w:lang w:val="fr-CA"/>
        </w:rPr>
        <w:br w:type="page"/>
      </w:r>
    </w:p>
    <w:p w:rsidR="000D4F74" w:rsidRPr="00F23ED6" w:rsidRDefault="00CC2008" w:rsidP="000D4F74">
      <w:pPr>
        <w:widowControl w:val="0"/>
        <w:ind w:left="720" w:hanging="720"/>
        <w:jc w:val="both"/>
        <w:rPr>
          <w:sz w:val="20"/>
          <w:szCs w:val="20"/>
        </w:rPr>
      </w:pPr>
      <w:r w:rsidRPr="00F23ED6">
        <w:rPr>
          <w:b/>
          <w:sz w:val="20"/>
          <w:szCs w:val="20"/>
        </w:rPr>
        <w:fldChar w:fldCharType="begin"/>
      </w:r>
      <w:r w:rsidR="000D4F74" w:rsidRPr="00F23ED6">
        <w:rPr>
          <w:b/>
          <w:sz w:val="20"/>
          <w:szCs w:val="20"/>
        </w:rPr>
        <w:instrText xml:space="preserve"> SEQ CHAPTER \h \r 1</w:instrText>
      </w:r>
      <w:r w:rsidRPr="00F23ED6">
        <w:rPr>
          <w:b/>
          <w:sz w:val="20"/>
          <w:szCs w:val="20"/>
        </w:rPr>
        <w:fldChar w:fldCharType="end"/>
      </w:r>
      <w:r w:rsidR="000D4F74" w:rsidRPr="00F23ED6">
        <w:rPr>
          <w:b/>
          <w:sz w:val="20"/>
          <w:szCs w:val="20"/>
        </w:rPr>
        <w:t>35180</w:t>
      </w:r>
      <w:r w:rsidR="000D4F74" w:rsidRPr="00F23ED6">
        <w:rPr>
          <w:sz w:val="20"/>
          <w:szCs w:val="20"/>
        </w:rPr>
        <w:tab/>
      </w:r>
      <w:r w:rsidR="000D4F74" w:rsidRPr="00F23ED6">
        <w:rPr>
          <w:b/>
          <w:i/>
          <w:sz w:val="20"/>
          <w:szCs w:val="20"/>
        </w:rPr>
        <w:t>Ajitpal Singh Sekhon v. Her Majesty the Queen</w:t>
      </w:r>
    </w:p>
    <w:p w:rsidR="000D4F74" w:rsidRPr="00F23ED6" w:rsidRDefault="000D4F74" w:rsidP="000D4F74">
      <w:pPr>
        <w:widowControl w:val="0"/>
        <w:jc w:val="both"/>
        <w:rPr>
          <w:sz w:val="20"/>
          <w:szCs w:val="20"/>
        </w:rPr>
      </w:pPr>
    </w:p>
    <w:p w:rsidR="000D4F74" w:rsidRPr="00F23ED6" w:rsidRDefault="000D4F74" w:rsidP="000D4F74">
      <w:pPr>
        <w:widowControl w:val="0"/>
        <w:jc w:val="both"/>
        <w:rPr>
          <w:sz w:val="20"/>
          <w:szCs w:val="20"/>
        </w:rPr>
      </w:pPr>
      <w:r w:rsidRPr="00F23ED6">
        <w:rPr>
          <w:sz w:val="20"/>
          <w:szCs w:val="20"/>
        </w:rPr>
        <w:t xml:space="preserve">Criminal law </w:t>
      </w:r>
      <w:r w:rsidRPr="00F23ED6">
        <w:rPr>
          <w:sz w:val="20"/>
          <w:szCs w:val="20"/>
        </w:rPr>
        <w:noBreakHyphen/>
        <w:t xml:space="preserve"> Expert evidence </w:t>
      </w:r>
      <w:r w:rsidRPr="00F23ED6">
        <w:rPr>
          <w:sz w:val="20"/>
          <w:szCs w:val="20"/>
        </w:rPr>
        <w:noBreakHyphen/>
        <w:t xml:space="preserve"> Admissibility </w:t>
      </w:r>
      <w:r w:rsidRPr="00F23ED6">
        <w:rPr>
          <w:sz w:val="20"/>
          <w:szCs w:val="20"/>
        </w:rPr>
        <w:noBreakHyphen/>
        <w:t xml:space="preserve"> Whether the trial judge erred in admitting and relying on the expert evidence of the police officer. </w:t>
      </w:r>
    </w:p>
    <w:p w:rsidR="000D4F74" w:rsidRPr="00F23ED6" w:rsidRDefault="000D4F74" w:rsidP="000D4F74">
      <w:pPr>
        <w:widowControl w:val="0"/>
        <w:jc w:val="both"/>
        <w:rPr>
          <w:sz w:val="20"/>
          <w:szCs w:val="20"/>
        </w:rPr>
      </w:pPr>
    </w:p>
    <w:p w:rsidR="000D4F74" w:rsidRPr="00F23ED6" w:rsidRDefault="000D4F74" w:rsidP="000D4F74">
      <w:pPr>
        <w:widowControl w:val="0"/>
        <w:jc w:val="both"/>
        <w:rPr>
          <w:sz w:val="20"/>
          <w:szCs w:val="20"/>
        </w:rPr>
      </w:pPr>
      <w:r w:rsidRPr="00F23ED6">
        <w:rPr>
          <w:sz w:val="20"/>
          <w:szCs w:val="20"/>
        </w:rPr>
        <w:t>Mr. Sekhon was convicted of importation and possession for the purposes of trafficking of 50 kilos of cocaine that was seized by border officers who found it hidden in the compartment of a pickup truck he tried to drive from the United States into Canada.  The case against Mr. Sekhon was entirely circumstantial, and the only issue at trial was whether he knew of the cocaine in the truck, such that it was in his custody and control.  On appeal, Mr. Sekhon argued among other things that the trial judge should not have admitted or relied on the expert evidence of a police officer who testified that in his experience as an investigator he had never encountered a blind courier and that individuals tasked with importing controlled substances in such large amounts would be part of a closely</w:t>
      </w:r>
      <w:r w:rsidRPr="00F23ED6">
        <w:rPr>
          <w:sz w:val="20"/>
          <w:szCs w:val="20"/>
        </w:rPr>
        <w:noBreakHyphen/>
        <w:t>knit organization and would know what commodity they were importing because it would be factored into the fee they would have negotiated.  The majority of the Court of Appeal dismissed the appeal.  Newbury J.A., dissenting, would have allowed the appeal and ordered a new trial.  In her view, the expert evidence should never have been admitted or relied upon because it was anecdotal, and even if relevant, was highly prejudicial. </w:t>
      </w:r>
    </w:p>
    <w:p w:rsidR="000D4F74" w:rsidRPr="00F23ED6" w:rsidRDefault="000D4F74" w:rsidP="000D4F74">
      <w:pPr>
        <w:widowControl w:val="0"/>
        <w:jc w:val="both"/>
        <w:rPr>
          <w:sz w:val="20"/>
          <w:szCs w:val="20"/>
        </w:rPr>
      </w:pPr>
    </w:p>
    <w:p w:rsidR="000D4F74" w:rsidRPr="00F23ED6" w:rsidRDefault="000D4F74" w:rsidP="000D4F74">
      <w:pPr>
        <w:widowControl w:val="0"/>
        <w:jc w:val="both"/>
        <w:rPr>
          <w:sz w:val="20"/>
          <w:szCs w:val="20"/>
        </w:rPr>
      </w:pPr>
    </w:p>
    <w:p w:rsidR="000D4F74" w:rsidRPr="00F23ED6" w:rsidRDefault="000D4F74" w:rsidP="000D4F74">
      <w:pPr>
        <w:widowControl w:val="0"/>
        <w:ind w:left="2880" w:hanging="2880"/>
        <w:jc w:val="both"/>
        <w:rPr>
          <w:sz w:val="20"/>
          <w:szCs w:val="20"/>
        </w:rPr>
      </w:pPr>
      <w:r w:rsidRPr="00F23ED6">
        <w:rPr>
          <w:sz w:val="20"/>
          <w:szCs w:val="20"/>
        </w:rPr>
        <w:t>Origin of the case:</w:t>
      </w:r>
      <w:r w:rsidRPr="00F23ED6">
        <w:rPr>
          <w:sz w:val="20"/>
          <w:szCs w:val="20"/>
        </w:rPr>
        <w:tab/>
        <w:t>British Columbia</w:t>
      </w:r>
    </w:p>
    <w:p w:rsidR="000D4F74" w:rsidRPr="00F23ED6" w:rsidRDefault="000D4F74" w:rsidP="000D4F74">
      <w:pPr>
        <w:widowControl w:val="0"/>
        <w:ind w:left="2880" w:hanging="2880"/>
        <w:jc w:val="both"/>
        <w:rPr>
          <w:sz w:val="20"/>
          <w:szCs w:val="20"/>
        </w:rPr>
      </w:pPr>
    </w:p>
    <w:p w:rsidR="000D4F74" w:rsidRPr="00F23ED6" w:rsidRDefault="000D4F74" w:rsidP="000D4F74">
      <w:pPr>
        <w:widowControl w:val="0"/>
        <w:ind w:left="2880" w:hanging="2880"/>
        <w:jc w:val="both"/>
        <w:rPr>
          <w:sz w:val="20"/>
          <w:szCs w:val="20"/>
        </w:rPr>
      </w:pPr>
      <w:r w:rsidRPr="00F23ED6">
        <w:rPr>
          <w:sz w:val="20"/>
          <w:szCs w:val="20"/>
        </w:rPr>
        <w:t>File No.:</w:t>
      </w:r>
      <w:r w:rsidRPr="00F23ED6">
        <w:rPr>
          <w:sz w:val="20"/>
          <w:szCs w:val="20"/>
        </w:rPr>
        <w:tab/>
        <w:t>35180</w:t>
      </w:r>
    </w:p>
    <w:p w:rsidR="000D4F74" w:rsidRPr="00F23ED6" w:rsidRDefault="000D4F74" w:rsidP="000D4F74">
      <w:pPr>
        <w:widowControl w:val="0"/>
        <w:ind w:left="2880" w:hanging="2880"/>
        <w:jc w:val="both"/>
        <w:rPr>
          <w:sz w:val="20"/>
          <w:szCs w:val="20"/>
        </w:rPr>
      </w:pPr>
    </w:p>
    <w:p w:rsidR="000D4F74" w:rsidRPr="00F23ED6" w:rsidRDefault="000D4F74" w:rsidP="000D4F74">
      <w:pPr>
        <w:widowControl w:val="0"/>
        <w:ind w:left="2880" w:hanging="2880"/>
        <w:jc w:val="both"/>
        <w:rPr>
          <w:sz w:val="20"/>
          <w:szCs w:val="20"/>
        </w:rPr>
      </w:pPr>
      <w:r w:rsidRPr="00F23ED6">
        <w:rPr>
          <w:sz w:val="20"/>
          <w:szCs w:val="20"/>
        </w:rPr>
        <w:t>Judgment of the Court of Appeal:</w:t>
      </w:r>
      <w:r w:rsidRPr="00F23ED6">
        <w:rPr>
          <w:sz w:val="20"/>
          <w:szCs w:val="20"/>
        </w:rPr>
        <w:tab/>
        <w:t>December 19, 2012</w:t>
      </w:r>
    </w:p>
    <w:p w:rsidR="000D4F74" w:rsidRPr="00F23ED6" w:rsidRDefault="000D4F74" w:rsidP="000D4F74">
      <w:pPr>
        <w:widowControl w:val="0"/>
        <w:ind w:left="2880" w:hanging="2880"/>
        <w:jc w:val="both"/>
        <w:rPr>
          <w:sz w:val="20"/>
          <w:szCs w:val="20"/>
        </w:rPr>
      </w:pPr>
    </w:p>
    <w:p w:rsidR="000D4F74" w:rsidRPr="00F23ED6" w:rsidRDefault="000D4F74" w:rsidP="000D4F74">
      <w:pPr>
        <w:widowControl w:val="0"/>
        <w:ind w:left="2880" w:hanging="2880"/>
        <w:jc w:val="both"/>
        <w:rPr>
          <w:sz w:val="20"/>
          <w:szCs w:val="20"/>
        </w:rPr>
      </w:pPr>
      <w:r w:rsidRPr="00F23ED6">
        <w:rPr>
          <w:sz w:val="20"/>
          <w:szCs w:val="20"/>
        </w:rPr>
        <w:t>Counsel:</w:t>
      </w:r>
      <w:r w:rsidRPr="00F23ED6">
        <w:rPr>
          <w:sz w:val="20"/>
          <w:szCs w:val="20"/>
        </w:rPr>
        <w:tab/>
        <w:t>Richard C.C. Peck, Q.C. for the appellant</w:t>
      </w:r>
    </w:p>
    <w:p w:rsidR="000D4F74" w:rsidRPr="00F23ED6" w:rsidRDefault="000D4F74" w:rsidP="000D4F74">
      <w:pPr>
        <w:widowControl w:val="0"/>
        <w:ind w:left="2880" w:hanging="2880"/>
        <w:jc w:val="both"/>
        <w:rPr>
          <w:sz w:val="20"/>
          <w:szCs w:val="20"/>
        </w:rPr>
      </w:pPr>
      <w:r w:rsidRPr="00F23ED6">
        <w:rPr>
          <w:sz w:val="20"/>
          <w:szCs w:val="20"/>
        </w:rPr>
        <w:tab/>
        <w:t>C.W. Greenwood for the respondent</w:t>
      </w:r>
    </w:p>
    <w:p w:rsidR="00C77493" w:rsidRPr="000D4F74" w:rsidRDefault="00C77493" w:rsidP="00C77493">
      <w:pPr>
        <w:tabs>
          <w:tab w:val="left" w:pos="-1440"/>
          <w:tab w:val="left" w:pos="-720"/>
        </w:tabs>
        <w:jc w:val="both"/>
        <w:rPr>
          <w:sz w:val="20"/>
          <w:szCs w:val="20"/>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7"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C77493" w:rsidRDefault="00C77493">
      <w:pPr>
        <w:rPr>
          <w:sz w:val="20"/>
          <w:szCs w:val="20"/>
          <w:lang w:val="fr-CA"/>
        </w:rPr>
      </w:pPr>
      <w:r>
        <w:rPr>
          <w:sz w:val="20"/>
          <w:szCs w:val="20"/>
          <w:lang w:val="fr-CA"/>
        </w:rPr>
        <w:br w:type="page"/>
      </w:r>
    </w:p>
    <w:p w:rsidR="000D4F74" w:rsidRPr="00C1736B" w:rsidRDefault="00CC2008" w:rsidP="000D4F74">
      <w:pPr>
        <w:widowControl w:val="0"/>
        <w:ind w:left="720" w:hanging="720"/>
        <w:jc w:val="both"/>
        <w:rPr>
          <w:sz w:val="20"/>
          <w:szCs w:val="20"/>
          <w:lang w:val="fr-CA"/>
        </w:rPr>
      </w:pPr>
      <w:r w:rsidRPr="00C1736B">
        <w:rPr>
          <w:b/>
          <w:sz w:val="20"/>
          <w:szCs w:val="20"/>
          <w:lang w:val="fr-CA"/>
        </w:rPr>
        <w:fldChar w:fldCharType="begin"/>
      </w:r>
      <w:r w:rsidR="000D4F74" w:rsidRPr="00C1736B">
        <w:rPr>
          <w:b/>
          <w:sz w:val="20"/>
          <w:szCs w:val="20"/>
          <w:lang w:val="fr-CA"/>
        </w:rPr>
        <w:instrText xml:space="preserve"> SEQ CHAPTER \h \r 1</w:instrText>
      </w:r>
      <w:r w:rsidRPr="00C1736B">
        <w:rPr>
          <w:b/>
          <w:sz w:val="20"/>
          <w:szCs w:val="20"/>
          <w:lang w:val="fr-CA"/>
        </w:rPr>
        <w:fldChar w:fldCharType="end"/>
      </w:r>
      <w:r w:rsidR="000D4F74" w:rsidRPr="00C1736B">
        <w:rPr>
          <w:b/>
          <w:sz w:val="20"/>
          <w:szCs w:val="20"/>
          <w:lang w:val="fr-CA"/>
        </w:rPr>
        <w:t>35180</w:t>
      </w:r>
      <w:r w:rsidR="000D4F74" w:rsidRPr="00C1736B">
        <w:rPr>
          <w:sz w:val="20"/>
          <w:szCs w:val="20"/>
          <w:lang w:val="fr-CA"/>
        </w:rPr>
        <w:tab/>
      </w:r>
      <w:r w:rsidR="000D4F74" w:rsidRPr="00C1736B">
        <w:rPr>
          <w:b/>
          <w:i/>
          <w:sz w:val="20"/>
          <w:szCs w:val="20"/>
          <w:lang w:val="fr-CA"/>
        </w:rPr>
        <w:t>Ajitpal Singh Sekhon c. Sa Majesté la Reine</w:t>
      </w:r>
    </w:p>
    <w:p w:rsidR="000D4F74" w:rsidRPr="00C1736B" w:rsidRDefault="000D4F74" w:rsidP="000D4F74">
      <w:pPr>
        <w:widowControl w:val="0"/>
        <w:jc w:val="both"/>
        <w:rPr>
          <w:sz w:val="20"/>
          <w:szCs w:val="20"/>
          <w:lang w:val="fr-CA"/>
        </w:rPr>
      </w:pPr>
    </w:p>
    <w:p w:rsidR="000D4F74" w:rsidRPr="00C1736B" w:rsidRDefault="000D4F74" w:rsidP="000D4F74">
      <w:pPr>
        <w:widowControl w:val="0"/>
        <w:jc w:val="both"/>
        <w:rPr>
          <w:sz w:val="20"/>
          <w:szCs w:val="20"/>
          <w:lang w:val="fr-CA"/>
        </w:rPr>
      </w:pPr>
      <w:r w:rsidRPr="00C1736B">
        <w:rPr>
          <w:sz w:val="20"/>
          <w:szCs w:val="20"/>
          <w:lang w:val="fr-CA"/>
        </w:rPr>
        <w:t xml:space="preserve">Droit criminel </w:t>
      </w:r>
      <w:r w:rsidRPr="00C1736B">
        <w:rPr>
          <w:sz w:val="20"/>
          <w:szCs w:val="20"/>
          <w:lang w:val="fr-CA"/>
        </w:rPr>
        <w:noBreakHyphen/>
        <w:t xml:space="preserve"> Preuve d’expert </w:t>
      </w:r>
      <w:r w:rsidRPr="00C1736B">
        <w:rPr>
          <w:sz w:val="20"/>
          <w:szCs w:val="20"/>
          <w:lang w:val="fr-CA"/>
        </w:rPr>
        <w:noBreakHyphen/>
        <w:t xml:space="preserve"> Admissibilité </w:t>
      </w:r>
      <w:r w:rsidRPr="00C1736B">
        <w:rPr>
          <w:sz w:val="20"/>
          <w:szCs w:val="20"/>
          <w:lang w:val="fr-CA"/>
        </w:rPr>
        <w:noBreakHyphen/>
        <w:t xml:space="preserve"> Le juge du procès a</w:t>
      </w:r>
      <w:r w:rsidRPr="00C1736B">
        <w:rPr>
          <w:sz w:val="20"/>
          <w:szCs w:val="20"/>
          <w:lang w:val="fr-CA"/>
        </w:rPr>
        <w:noBreakHyphen/>
        <w:t>t</w:t>
      </w:r>
      <w:r w:rsidRPr="00C1736B">
        <w:rPr>
          <w:sz w:val="20"/>
          <w:szCs w:val="20"/>
          <w:lang w:val="fr-CA"/>
        </w:rPr>
        <w:noBreakHyphen/>
        <w:t xml:space="preserve">il eu tort d’admettre la preuve d’expert du policier et de se fonder sur cette preuve? </w:t>
      </w:r>
    </w:p>
    <w:p w:rsidR="000D4F74" w:rsidRPr="00C1736B" w:rsidRDefault="000D4F74" w:rsidP="000D4F74">
      <w:pPr>
        <w:widowControl w:val="0"/>
        <w:jc w:val="both"/>
        <w:rPr>
          <w:sz w:val="20"/>
          <w:szCs w:val="20"/>
          <w:lang w:val="fr-CA"/>
        </w:rPr>
      </w:pPr>
    </w:p>
    <w:p w:rsidR="000D4F74" w:rsidRPr="00C1736B" w:rsidRDefault="00CF55C5" w:rsidP="000D4F74">
      <w:pPr>
        <w:widowControl w:val="0"/>
        <w:jc w:val="both"/>
        <w:rPr>
          <w:sz w:val="20"/>
          <w:szCs w:val="20"/>
          <w:lang w:val="fr-CA"/>
        </w:rPr>
      </w:pPr>
      <w:r w:rsidRPr="00D344AE">
        <w:rPr>
          <w:sz w:val="20"/>
          <w:szCs w:val="20"/>
          <w:lang w:val="fr-CA"/>
        </w:rPr>
        <w:t>Monsieur Sekhon a été déclaré coupable d’importation et de possession en vue du trafic de 50 kilos de cocaïne saisie par des agents des services frontaliers qui l’avaient trouvée cachée dans le compartiment d’une camionnette qu’il avait essayé de conduire des États</w:t>
      </w:r>
      <w:r w:rsidRPr="00D344AE">
        <w:rPr>
          <w:sz w:val="20"/>
          <w:szCs w:val="20"/>
          <w:lang w:val="fr-CA"/>
        </w:rPr>
        <w:noBreakHyphen/>
        <w:t>Unis au Canada.  La preuve contre M. Sekhon était entièrement circonstancielle et la seule question en cause au procès était de savoir s’il savait que la cocaïne se trouvait dans la camionnette, de sorte qu’il en avait la garde et le contrôle.  En appel, M. Sekhon a notamment plaidé que le juge du procès n’aurait pas dû admettre — ni se fonder sur — la preuve d’expert d’un policier qui a affirmé, dans son témoignage, que dans sa carrière d’enquêteur, il n’avait jamais vu de passeurs qui ne savaient pas ce qu’ils transportaient et que les personnes chargées d’importer des substances désignées en si grandes quantités faisaient partie d’une organisation tissée serrée et qu’elles savaient ce qu’elles importaient parce que la nature de la marchandise était prise en compte dans le tarif qu’elles avaient négocié.  Les juges majoritaires de la Cour d’appel ont rejeté l’appel.  La juge Newbury, dissidente, aurait accueilli l’appel et ordonné un nouveau procès.  À son avis, le juge du procès n’aurait jamais dû admettre la preuve d’expert ou se fonder sur cette preuve parce qu’elle était anecdotique et que même si elle était pertinente, elle était très préjudiciable.</w:t>
      </w:r>
    </w:p>
    <w:p w:rsidR="000D4F74" w:rsidRPr="00C1736B" w:rsidRDefault="000D4F74" w:rsidP="000D4F74">
      <w:pPr>
        <w:widowControl w:val="0"/>
        <w:jc w:val="both"/>
        <w:rPr>
          <w:sz w:val="20"/>
          <w:szCs w:val="20"/>
          <w:lang w:val="fr-CA"/>
        </w:rPr>
      </w:pPr>
    </w:p>
    <w:p w:rsidR="000D4F74" w:rsidRPr="00C1736B" w:rsidRDefault="000D4F74" w:rsidP="000D4F74">
      <w:pPr>
        <w:widowControl w:val="0"/>
        <w:ind w:left="2880" w:hanging="2880"/>
        <w:jc w:val="both"/>
        <w:rPr>
          <w:sz w:val="20"/>
          <w:szCs w:val="20"/>
          <w:lang w:val="fr-CA"/>
        </w:rPr>
      </w:pPr>
      <w:r w:rsidRPr="00C1736B">
        <w:rPr>
          <w:sz w:val="20"/>
          <w:szCs w:val="20"/>
          <w:lang w:val="fr-CA"/>
        </w:rPr>
        <w:t>Origine :</w:t>
      </w:r>
      <w:r w:rsidRPr="00C1736B">
        <w:rPr>
          <w:sz w:val="20"/>
          <w:szCs w:val="20"/>
          <w:lang w:val="fr-CA"/>
        </w:rPr>
        <w:tab/>
        <w:t>Colombie</w:t>
      </w:r>
      <w:r w:rsidRPr="00C1736B">
        <w:rPr>
          <w:sz w:val="20"/>
          <w:szCs w:val="20"/>
          <w:lang w:val="fr-CA"/>
        </w:rPr>
        <w:noBreakHyphen/>
        <w:t>Britannique</w:t>
      </w:r>
    </w:p>
    <w:p w:rsidR="000D4F74" w:rsidRPr="00C1736B" w:rsidRDefault="000D4F74" w:rsidP="000D4F74">
      <w:pPr>
        <w:widowControl w:val="0"/>
        <w:ind w:left="2880" w:hanging="2880"/>
        <w:jc w:val="both"/>
        <w:rPr>
          <w:sz w:val="20"/>
          <w:szCs w:val="20"/>
          <w:lang w:val="fr-CA"/>
        </w:rPr>
      </w:pPr>
    </w:p>
    <w:p w:rsidR="000D4F74" w:rsidRPr="00C1736B" w:rsidRDefault="000D4F74" w:rsidP="000D4F74">
      <w:pPr>
        <w:widowControl w:val="0"/>
        <w:ind w:left="2880" w:hanging="2880"/>
        <w:jc w:val="both"/>
        <w:rPr>
          <w:sz w:val="20"/>
          <w:szCs w:val="20"/>
          <w:lang w:val="fr-CA"/>
        </w:rPr>
      </w:pPr>
      <w:r w:rsidRPr="00C1736B">
        <w:rPr>
          <w:sz w:val="20"/>
          <w:szCs w:val="20"/>
          <w:lang w:val="fr-CA"/>
        </w:rPr>
        <w:t>N</w:t>
      </w:r>
      <w:r w:rsidRPr="00C1736B">
        <w:rPr>
          <w:sz w:val="20"/>
          <w:szCs w:val="20"/>
          <w:vertAlign w:val="superscript"/>
          <w:lang w:val="fr-CA"/>
        </w:rPr>
        <w:t>o</w:t>
      </w:r>
      <w:r w:rsidRPr="00C1736B">
        <w:rPr>
          <w:sz w:val="20"/>
          <w:szCs w:val="20"/>
          <w:lang w:val="fr-CA"/>
        </w:rPr>
        <w:t xml:space="preserve"> du greffe :</w:t>
      </w:r>
      <w:r w:rsidRPr="00C1736B">
        <w:rPr>
          <w:sz w:val="20"/>
          <w:szCs w:val="20"/>
          <w:lang w:val="fr-CA"/>
        </w:rPr>
        <w:tab/>
        <w:t>35180</w:t>
      </w:r>
    </w:p>
    <w:p w:rsidR="000D4F74" w:rsidRPr="00C1736B" w:rsidRDefault="000D4F74" w:rsidP="000D4F74">
      <w:pPr>
        <w:widowControl w:val="0"/>
        <w:ind w:left="2880" w:hanging="2880"/>
        <w:jc w:val="both"/>
        <w:rPr>
          <w:sz w:val="20"/>
          <w:szCs w:val="20"/>
          <w:lang w:val="fr-CA"/>
        </w:rPr>
      </w:pPr>
    </w:p>
    <w:p w:rsidR="000D4F74" w:rsidRPr="00C1736B" w:rsidRDefault="000D4F74" w:rsidP="000D4F74">
      <w:pPr>
        <w:widowControl w:val="0"/>
        <w:ind w:left="2880" w:hanging="2880"/>
        <w:jc w:val="both"/>
        <w:rPr>
          <w:sz w:val="20"/>
          <w:szCs w:val="20"/>
          <w:lang w:val="fr-CA"/>
        </w:rPr>
      </w:pPr>
      <w:r w:rsidRPr="00C1736B">
        <w:rPr>
          <w:sz w:val="20"/>
          <w:szCs w:val="20"/>
          <w:lang w:val="fr-CA"/>
        </w:rPr>
        <w:t>Arrêt de la Cour d’appel :</w:t>
      </w:r>
      <w:r w:rsidRPr="00C1736B">
        <w:rPr>
          <w:sz w:val="20"/>
          <w:szCs w:val="20"/>
          <w:lang w:val="fr-CA"/>
        </w:rPr>
        <w:tab/>
        <w:t>le 19 décembre 2012</w:t>
      </w:r>
    </w:p>
    <w:p w:rsidR="000D4F74" w:rsidRPr="00C1736B" w:rsidRDefault="000D4F74" w:rsidP="000D4F74">
      <w:pPr>
        <w:widowControl w:val="0"/>
        <w:ind w:left="2880" w:hanging="2880"/>
        <w:jc w:val="both"/>
        <w:rPr>
          <w:sz w:val="20"/>
          <w:szCs w:val="20"/>
          <w:lang w:val="fr-CA"/>
        </w:rPr>
      </w:pPr>
    </w:p>
    <w:p w:rsidR="000D4F74" w:rsidRPr="00C1736B" w:rsidRDefault="000D4F74" w:rsidP="000D4F74">
      <w:pPr>
        <w:widowControl w:val="0"/>
        <w:ind w:left="2880" w:hanging="2880"/>
        <w:jc w:val="both"/>
        <w:rPr>
          <w:sz w:val="20"/>
          <w:szCs w:val="20"/>
          <w:lang w:val="fr-CA"/>
        </w:rPr>
      </w:pPr>
      <w:r w:rsidRPr="00C1736B">
        <w:rPr>
          <w:sz w:val="20"/>
          <w:szCs w:val="20"/>
          <w:lang w:val="fr-CA"/>
        </w:rPr>
        <w:t>Avocats :</w:t>
      </w:r>
      <w:r w:rsidRPr="00C1736B">
        <w:rPr>
          <w:sz w:val="20"/>
          <w:szCs w:val="20"/>
          <w:lang w:val="fr-CA"/>
        </w:rPr>
        <w:tab/>
        <w:t>Richard C.C. Peck, c.r. pour l’appellant</w:t>
      </w:r>
    </w:p>
    <w:p w:rsidR="000D4F74" w:rsidRPr="00C1736B" w:rsidRDefault="000D4F74" w:rsidP="000D4F74">
      <w:pPr>
        <w:widowControl w:val="0"/>
        <w:ind w:left="2880" w:hanging="2880"/>
        <w:jc w:val="both"/>
        <w:rPr>
          <w:sz w:val="20"/>
          <w:szCs w:val="20"/>
          <w:lang w:val="fr-CA"/>
        </w:rPr>
      </w:pPr>
      <w:r w:rsidRPr="00C1736B">
        <w:rPr>
          <w:sz w:val="20"/>
          <w:szCs w:val="20"/>
          <w:lang w:val="fr-CA"/>
        </w:rPr>
        <w:tab/>
        <w:t>C.W. Greenwood pour l’intimée</w:t>
      </w:r>
    </w:p>
    <w:p w:rsidR="00C77493" w:rsidRPr="00DD0B49" w:rsidRDefault="00C77493" w:rsidP="00C77493">
      <w:pPr>
        <w:tabs>
          <w:tab w:val="left" w:pos="-1440"/>
          <w:tab w:val="left" w:pos="-720"/>
        </w:tabs>
        <w:jc w:val="both"/>
        <w:rPr>
          <w:sz w:val="20"/>
          <w:szCs w:val="20"/>
          <w:lang w:val="fr-CA"/>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8"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C77493" w:rsidRDefault="00C77493">
      <w:pPr>
        <w:rPr>
          <w:sz w:val="20"/>
          <w:szCs w:val="20"/>
          <w:lang w:val="fr-CA"/>
        </w:rPr>
      </w:pPr>
      <w:r>
        <w:rPr>
          <w:sz w:val="20"/>
          <w:szCs w:val="20"/>
          <w:lang w:val="fr-CA"/>
        </w:rPr>
        <w:br w:type="page"/>
      </w:r>
    </w:p>
    <w:p w:rsidR="006922DE" w:rsidRPr="003375EA" w:rsidRDefault="00CC2008" w:rsidP="006922DE">
      <w:pPr>
        <w:widowControl w:val="0"/>
        <w:ind w:left="720" w:hanging="720"/>
        <w:jc w:val="both"/>
        <w:rPr>
          <w:sz w:val="20"/>
          <w:szCs w:val="20"/>
        </w:rPr>
      </w:pPr>
      <w:r w:rsidRPr="003375EA">
        <w:rPr>
          <w:b/>
          <w:sz w:val="20"/>
          <w:szCs w:val="20"/>
        </w:rPr>
        <w:fldChar w:fldCharType="begin"/>
      </w:r>
      <w:r w:rsidR="006922DE" w:rsidRPr="003375EA">
        <w:rPr>
          <w:b/>
          <w:sz w:val="20"/>
          <w:szCs w:val="20"/>
        </w:rPr>
        <w:instrText xml:space="preserve"> SEQ CHAPTER \h \r 1</w:instrText>
      </w:r>
      <w:r w:rsidRPr="003375EA">
        <w:rPr>
          <w:b/>
          <w:sz w:val="20"/>
          <w:szCs w:val="20"/>
        </w:rPr>
        <w:fldChar w:fldCharType="end"/>
      </w:r>
      <w:r w:rsidR="006922DE" w:rsidRPr="003375EA">
        <w:rPr>
          <w:b/>
          <w:sz w:val="20"/>
          <w:szCs w:val="20"/>
        </w:rPr>
        <w:t>35203</w:t>
      </w:r>
      <w:r w:rsidR="006922DE" w:rsidRPr="003375EA">
        <w:rPr>
          <w:sz w:val="20"/>
          <w:szCs w:val="20"/>
        </w:rPr>
        <w:tab/>
      </w:r>
      <w:r w:rsidR="006922DE" w:rsidRPr="003375EA">
        <w:rPr>
          <w:b/>
          <w:i/>
          <w:sz w:val="20"/>
          <w:szCs w:val="20"/>
        </w:rPr>
        <w:t>In the matter of a reference by the Governor in Council concerning reform of the Senate, as set out in Order in Council P.C. 2013</w:t>
      </w:r>
      <w:r w:rsidR="006922DE" w:rsidRPr="003375EA">
        <w:rPr>
          <w:b/>
          <w:i/>
          <w:sz w:val="20"/>
          <w:szCs w:val="20"/>
        </w:rPr>
        <w:noBreakHyphen/>
        <w:t xml:space="preserve">70, dated February 1, 2013 </w:t>
      </w:r>
    </w:p>
    <w:p w:rsidR="006922DE" w:rsidRPr="003375EA" w:rsidRDefault="006922DE" w:rsidP="006922DE">
      <w:pPr>
        <w:widowControl w:val="0"/>
        <w:jc w:val="both"/>
        <w:rPr>
          <w:sz w:val="20"/>
          <w:szCs w:val="20"/>
        </w:rPr>
      </w:pPr>
    </w:p>
    <w:p w:rsidR="006922DE" w:rsidRPr="003375EA" w:rsidRDefault="006922DE" w:rsidP="006922DE">
      <w:pPr>
        <w:widowControl w:val="0"/>
        <w:jc w:val="both"/>
        <w:rPr>
          <w:sz w:val="20"/>
          <w:szCs w:val="20"/>
        </w:rPr>
      </w:pPr>
      <w:r w:rsidRPr="003375EA">
        <w:rPr>
          <w:sz w:val="20"/>
          <w:szCs w:val="20"/>
        </w:rPr>
        <w:t xml:space="preserve">Constitutional law </w:t>
      </w:r>
      <w:r w:rsidRPr="003375EA">
        <w:rPr>
          <w:sz w:val="20"/>
          <w:szCs w:val="20"/>
        </w:rPr>
        <w:noBreakHyphen/>
        <w:t xml:space="preserve"> Amendment procedures </w:t>
      </w:r>
      <w:r w:rsidRPr="003375EA">
        <w:rPr>
          <w:sz w:val="20"/>
          <w:szCs w:val="20"/>
        </w:rPr>
        <w:noBreakHyphen/>
        <w:t xml:space="preserve"> Senate </w:t>
      </w:r>
      <w:r w:rsidRPr="003375EA">
        <w:rPr>
          <w:sz w:val="20"/>
          <w:szCs w:val="20"/>
        </w:rPr>
        <w:noBreakHyphen/>
        <w:t xml:space="preserve"> Reference</w:t>
      </w:r>
    </w:p>
    <w:p w:rsidR="006922DE" w:rsidRPr="003375EA" w:rsidRDefault="006922DE" w:rsidP="006922DE">
      <w:pPr>
        <w:widowControl w:val="0"/>
        <w:jc w:val="both"/>
        <w:rPr>
          <w:sz w:val="20"/>
          <w:szCs w:val="20"/>
        </w:rPr>
      </w:pPr>
    </w:p>
    <w:p w:rsidR="006922DE" w:rsidRPr="003375EA" w:rsidRDefault="006922DE" w:rsidP="006922DE">
      <w:pPr>
        <w:widowControl w:val="0"/>
        <w:jc w:val="both"/>
        <w:rPr>
          <w:sz w:val="20"/>
          <w:szCs w:val="20"/>
        </w:rPr>
      </w:pPr>
      <w:r w:rsidRPr="003375EA">
        <w:rPr>
          <w:sz w:val="20"/>
          <w:szCs w:val="20"/>
        </w:rPr>
        <w:t xml:space="preserve">His Excellency the Governor General in Council, on the recommendation of the Minister of Justice, pursuant to section 53 of the </w:t>
      </w:r>
      <w:r w:rsidRPr="003375EA">
        <w:rPr>
          <w:i/>
          <w:sz w:val="20"/>
          <w:szCs w:val="20"/>
        </w:rPr>
        <w:t>Supreme Court Act</w:t>
      </w:r>
      <w:r w:rsidRPr="003375EA">
        <w:rPr>
          <w:sz w:val="20"/>
          <w:szCs w:val="20"/>
        </w:rPr>
        <w:t>, refers to the Supreme Court of Canada for hearing and consideration the following six questions:</w:t>
      </w:r>
    </w:p>
    <w:p w:rsidR="006922DE" w:rsidRPr="003375EA" w:rsidRDefault="006922DE" w:rsidP="006922DE">
      <w:pPr>
        <w:widowControl w:val="0"/>
        <w:jc w:val="both"/>
        <w:rPr>
          <w:sz w:val="20"/>
          <w:szCs w:val="20"/>
        </w:rPr>
      </w:pPr>
    </w:p>
    <w:p w:rsidR="006922DE" w:rsidRPr="003375EA" w:rsidRDefault="006922DE" w:rsidP="006922DE">
      <w:pPr>
        <w:tabs>
          <w:tab w:val="left" w:pos="720"/>
        </w:tabs>
        <w:jc w:val="both"/>
        <w:rPr>
          <w:sz w:val="20"/>
          <w:szCs w:val="20"/>
        </w:rPr>
      </w:pPr>
      <w:r w:rsidRPr="003375EA">
        <w:rPr>
          <w:b/>
          <w:sz w:val="20"/>
          <w:szCs w:val="20"/>
        </w:rPr>
        <w:t>1.</w:t>
      </w:r>
      <w:r w:rsidRPr="003375EA">
        <w:rPr>
          <w:sz w:val="20"/>
          <w:szCs w:val="20"/>
        </w:rPr>
        <w:t xml:space="preserve"> </w:t>
      </w:r>
      <w:r w:rsidRPr="003375EA">
        <w:rPr>
          <w:sz w:val="20"/>
          <w:szCs w:val="20"/>
        </w:rPr>
        <w:tab/>
        <w:t xml:space="preserve">In relation to each of the following proposed limits to the tenure of Senators, is it within the legislative authority of the Parliament of Canada, acting pursuant to section 44 of the </w:t>
      </w:r>
      <w:r w:rsidRPr="003375EA">
        <w:rPr>
          <w:i/>
          <w:sz w:val="20"/>
          <w:szCs w:val="20"/>
        </w:rPr>
        <w:t>Constitution Act, 1982</w:t>
      </w:r>
      <w:r w:rsidRPr="003375EA">
        <w:rPr>
          <w:sz w:val="20"/>
          <w:szCs w:val="20"/>
        </w:rPr>
        <w:t xml:space="preserve">, to make amendments to section 29 of the </w:t>
      </w:r>
      <w:r w:rsidRPr="003375EA">
        <w:rPr>
          <w:i/>
          <w:sz w:val="20"/>
          <w:szCs w:val="20"/>
        </w:rPr>
        <w:t>Constitution Act, 1867</w:t>
      </w:r>
      <w:r w:rsidRPr="003375EA">
        <w:rPr>
          <w:sz w:val="20"/>
          <w:szCs w:val="20"/>
        </w:rPr>
        <w:t xml:space="preserve"> providing for</w:t>
      </w:r>
    </w:p>
    <w:p w:rsidR="006922DE" w:rsidRPr="003375EA" w:rsidRDefault="006922DE" w:rsidP="006922DE">
      <w:pPr>
        <w:tabs>
          <w:tab w:val="left" w:pos="720"/>
        </w:tabs>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a</w:t>
      </w:r>
      <w:r w:rsidRPr="003375EA">
        <w:rPr>
          <w:sz w:val="20"/>
          <w:szCs w:val="20"/>
        </w:rPr>
        <w:t>)  a fixed term of nine years for Senators, as set out in clause 5 of Bill C</w:t>
      </w:r>
      <w:r w:rsidRPr="003375EA">
        <w:rPr>
          <w:sz w:val="20"/>
          <w:szCs w:val="20"/>
        </w:rPr>
        <w:noBreakHyphen/>
        <w:t xml:space="preserve">7, the </w:t>
      </w:r>
      <w:r w:rsidRPr="003375EA">
        <w:rPr>
          <w:i/>
          <w:sz w:val="20"/>
          <w:szCs w:val="20"/>
        </w:rPr>
        <w:t>Senate Reform Act</w:t>
      </w:r>
      <w:r w:rsidRPr="003375EA">
        <w:rPr>
          <w:sz w:val="20"/>
          <w:szCs w:val="20"/>
        </w:rPr>
        <w:t>;</w:t>
      </w:r>
    </w:p>
    <w:p w:rsidR="006922DE" w:rsidRPr="003375EA" w:rsidRDefault="006922DE" w:rsidP="006922DE">
      <w:pPr>
        <w:tabs>
          <w:tab w:val="left" w:pos="1440"/>
        </w:tabs>
        <w:ind w:left="720"/>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b</w:t>
      </w:r>
      <w:r w:rsidRPr="003375EA">
        <w:rPr>
          <w:sz w:val="20"/>
          <w:szCs w:val="20"/>
        </w:rPr>
        <w:t>)  a fixed term of ten years or more for Senators;</w:t>
      </w:r>
    </w:p>
    <w:p w:rsidR="006922DE" w:rsidRPr="003375EA" w:rsidRDefault="006922DE" w:rsidP="006922DE">
      <w:pPr>
        <w:tabs>
          <w:tab w:val="left" w:pos="1440"/>
        </w:tabs>
        <w:ind w:left="720"/>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c</w:t>
      </w:r>
      <w:r w:rsidRPr="003375EA">
        <w:rPr>
          <w:sz w:val="20"/>
          <w:szCs w:val="20"/>
        </w:rPr>
        <w:t>)  a fixed term of eight years or less for Senators;</w:t>
      </w:r>
    </w:p>
    <w:p w:rsidR="006922DE" w:rsidRPr="003375EA" w:rsidRDefault="006922DE" w:rsidP="006922DE">
      <w:pPr>
        <w:tabs>
          <w:tab w:val="left" w:pos="1440"/>
        </w:tabs>
        <w:ind w:left="720"/>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d</w:t>
      </w:r>
      <w:r w:rsidRPr="003375EA">
        <w:rPr>
          <w:sz w:val="20"/>
          <w:szCs w:val="20"/>
        </w:rPr>
        <w:t>)  a fixed term of the life of two or three Parliaments for Senators;</w:t>
      </w:r>
    </w:p>
    <w:p w:rsidR="006922DE" w:rsidRPr="003375EA" w:rsidRDefault="006922DE" w:rsidP="006922DE">
      <w:pPr>
        <w:tabs>
          <w:tab w:val="left" w:pos="1440"/>
        </w:tabs>
        <w:ind w:left="720"/>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e</w:t>
      </w:r>
      <w:r w:rsidRPr="003375EA">
        <w:rPr>
          <w:sz w:val="20"/>
          <w:szCs w:val="20"/>
        </w:rPr>
        <w:t>)  a renewable term for Senators, as set out in clause 2 of Bill S</w:t>
      </w:r>
      <w:r w:rsidRPr="003375EA">
        <w:rPr>
          <w:sz w:val="20"/>
          <w:szCs w:val="20"/>
        </w:rPr>
        <w:noBreakHyphen/>
        <w:t xml:space="preserve">4, </w:t>
      </w:r>
      <w:r w:rsidRPr="003375EA">
        <w:rPr>
          <w:i/>
          <w:sz w:val="20"/>
          <w:szCs w:val="20"/>
        </w:rPr>
        <w:t>Constitution Act, 2006 (Senate tenure)</w:t>
      </w:r>
      <w:r w:rsidRPr="003375EA">
        <w:rPr>
          <w:sz w:val="20"/>
          <w:szCs w:val="20"/>
        </w:rPr>
        <w:t>;</w:t>
      </w:r>
    </w:p>
    <w:p w:rsidR="006922DE" w:rsidRPr="003375EA" w:rsidRDefault="006922DE" w:rsidP="006922DE">
      <w:pPr>
        <w:tabs>
          <w:tab w:val="left" w:pos="1440"/>
        </w:tabs>
        <w:ind w:left="720"/>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f</w:t>
      </w:r>
      <w:r w:rsidRPr="003375EA">
        <w:rPr>
          <w:sz w:val="20"/>
          <w:szCs w:val="20"/>
        </w:rPr>
        <w:t>)  limits to the terms for Senators appointed after October 14, 2008 as set out in subclause 4(1) of Bill C</w:t>
      </w:r>
      <w:r w:rsidRPr="003375EA">
        <w:rPr>
          <w:sz w:val="20"/>
          <w:szCs w:val="20"/>
        </w:rPr>
        <w:noBreakHyphen/>
        <w:t xml:space="preserve">7, the </w:t>
      </w:r>
      <w:r w:rsidRPr="003375EA">
        <w:rPr>
          <w:i/>
          <w:sz w:val="20"/>
          <w:szCs w:val="20"/>
        </w:rPr>
        <w:t>Senate Reform Act</w:t>
      </w:r>
      <w:r w:rsidRPr="003375EA">
        <w:rPr>
          <w:sz w:val="20"/>
          <w:szCs w:val="20"/>
        </w:rPr>
        <w:t>; and</w:t>
      </w:r>
    </w:p>
    <w:p w:rsidR="006922DE" w:rsidRPr="003375EA" w:rsidRDefault="006922DE" w:rsidP="006922DE">
      <w:pPr>
        <w:tabs>
          <w:tab w:val="left" w:pos="720"/>
        </w:tabs>
        <w:ind w:left="720"/>
        <w:jc w:val="both"/>
        <w:rPr>
          <w:sz w:val="20"/>
          <w:szCs w:val="20"/>
        </w:rPr>
      </w:pPr>
    </w:p>
    <w:p w:rsidR="006922DE" w:rsidRPr="003375EA" w:rsidRDefault="006922DE" w:rsidP="006922DE">
      <w:pPr>
        <w:widowControl w:val="0"/>
        <w:ind w:left="720"/>
        <w:jc w:val="both"/>
        <w:rPr>
          <w:sz w:val="20"/>
          <w:szCs w:val="20"/>
        </w:rPr>
      </w:pPr>
      <w:r w:rsidRPr="003375EA">
        <w:rPr>
          <w:sz w:val="20"/>
          <w:szCs w:val="20"/>
        </w:rPr>
        <w:t>(</w:t>
      </w:r>
      <w:r w:rsidRPr="003375EA">
        <w:rPr>
          <w:i/>
          <w:sz w:val="20"/>
          <w:szCs w:val="20"/>
        </w:rPr>
        <w:t>g</w:t>
      </w:r>
      <w:r w:rsidRPr="003375EA">
        <w:rPr>
          <w:sz w:val="20"/>
          <w:szCs w:val="20"/>
        </w:rPr>
        <w:t>)  retrospective limits to the terms for Senators appointed before October 14, 2008?</w:t>
      </w:r>
    </w:p>
    <w:p w:rsidR="006922DE" w:rsidRPr="003375EA" w:rsidRDefault="006922DE" w:rsidP="006922DE">
      <w:pPr>
        <w:widowControl w:val="0"/>
        <w:jc w:val="both"/>
        <w:rPr>
          <w:sz w:val="20"/>
          <w:szCs w:val="20"/>
        </w:rPr>
      </w:pPr>
    </w:p>
    <w:p w:rsidR="006922DE" w:rsidRPr="003375EA" w:rsidRDefault="006922DE" w:rsidP="006922DE">
      <w:pPr>
        <w:tabs>
          <w:tab w:val="left" w:pos="720"/>
        </w:tabs>
        <w:jc w:val="both"/>
        <w:rPr>
          <w:sz w:val="20"/>
          <w:szCs w:val="20"/>
        </w:rPr>
      </w:pPr>
      <w:r w:rsidRPr="003375EA">
        <w:rPr>
          <w:b/>
          <w:sz w:val="20"/>
          <w:szCs w:val="20"/>
        </w:rPr>
        <w:t>2.</w:t>
      </w:r>
      <w:r w:rsidRPr="003375EA">
        <w:rPr>
          <w:sz w:val="20"/>
          <w:szCs w:val="20"/>
        </w:rPr>
        <w:tab/>
        <w:t xml:space="preserve">Is it within the legislative authority of the Parliament of Canada, acting pursuant to section 91 of the </w:t>
      </w:r>
      <w:r w:rsidRPr="003375EA">
        <w:rPr>
          <w:i/>
          <w:sz w:val="20"/>
          <w:szCs w:val="20"/>
        </w:rPr>
        <w:t>Constitution Act, 1867</w:t>
      </w:r>
      <w:r w:rsidRPr="003375EA">
        <w:rPr>
          <w:sz w:val="20"/>
          <w:szCs w:val="20"/>
        </w:rPr>
        <w:t xml:space="preserve">, or section 44 of the </w:t>
      </w:r>
      <w:r w:rsidRPr="003375EA">
        <w:rPr>
          <w:i/>
          <w:sz w:val="20"/>
          <w:szCs w:val="20"/>
        </w:rPr>
        <w:t>Constitution Act, 1982</w:t>
      </w:r>
      <w:r w:rsidRPr="003375EA">
        <w:rPr>
          <w:sz w:val="20"/>
          <w:szCs w:val="20"/>
        </w:rPr>
        <w:t>, to enact legislation that provides a means of consulting the population of each province and territory as to its preferences for potential nominees for appointment to the Senate pursuant to a national process as was set out in Bill C</w:t>
      </w:r>
      <w:r w:rsidRPr="003375EA">
        <w:rPr>
          <w:sz w:val="20"/>
          <w:szCs w:val="20"/>
        </w:rPr>
        <w:noBreakHyphen/>
        <w:t xml:space="preserve">20, the </w:t>
      </w:r>
      <w:r w:rsidRPr="003375EA">
        <w:rPr>
          <w:i/>
          <w:sz w:val="20"/>
          <w:szCs w:val="20"/>
        </w:rPr>
        <w:t>Senate Appointment Consultations Act</w:t>
      </w:r>
      <w:r w:rsidRPr="003375EA">
        <w:rPr>
          <w:sz w:val="20"/>
          <w:szCs w:val="20"/>
        </w:rPr>
        <w:t>?</w:t>
      </w:r>
    </w:p>
    <w:p w:rsidR="006922DE" w:rsidRPr="003375EA" w:rsidRDefault="006922DE" w:rsidP="006922DE">
      <w:pPr>
        <w:tabs>
          <w:tab w:val="left" w:pos="720"/>
        </w:tabs>
        <w:jc w:val="both"/>
        <w:rPr>
          <w:sz w:val="20"/>
          <w:szCs w:val="20"/>
        </w:rPr>
      </w:pPr>
    </w:p>
    <w:p w:rsidR="006922DE" w:rsidRPr="003375EA" w:rsidRDefault="006922DE" w:rsidP="006922DE">
      <w:pPr>
        <w:widowControl w:val="0"/>
        <w:jc w:val="both"/>
        <w:rPr>
          <w:sz w:val="20"/>
          <w:szCs w:val="20"/>
        </w:rPr>
      </w:pPr>
      <w:r w:rsidRPr="003375EA">
        <w:rPr>
          <w:b/>
          <w:sz w:val="20"/>
          <w:szCs w:val="20"/>
        </w:rPr>
        <w:t>3.</w:t>
      </w:r>
      <w:r w:rsidRPr="003375EA">
        <w:rPr>
          <w:sz w:val="20"/>
          <w:szCs w:val="20"/>
        </w:rPr>
        <w:t xml:space="preserve"> </w:t>
      </w:r>
      <w:r w:rsidRPr="003375EA">
        <w:rPr>
          <w:sz w:val="20"/>
          <w:szCs w:val="20"/>
        </w:rPr>
        <w:tab/>
        <w:t xml:space="preserve">Is it within the legislative authority of the Parliament of Canada, acting pursuant to section 91 of the </w:t>
      </w:r>
      <w:r w:rsidRPr="003375EA">
        <w:rPr>
          <w:i/>
          <w:sz w:val="20"/>
          <w:szCs w:val="20"/>
        </w:rPr>
        <w:t>Constitution Act, 1867</w:t>
      </w:r>
      <w:r w:rsidRPr="003375EA">
        <w:rPr>
          <w:sz w:val="20"/>
          <w:szCs w:val="20"/>
        </w:rPr>
        <w:t xml:space="preserve">, or section 44 of the </w:t>
      </w:r>
      <w:r w:rsidRPr="003375EA">
        <w:rPr>
          <w:i/>
          <w:sz w:val="20"/>
          <w:szCs w:val="20"/>
        </w:rPr>
        <w:t>Constitution Act, 1982</w:t>
      </w:r>
      <w:r w:rsidRPr="003375EA">
        <w:rPr>
          <w:sz w:val="20"/>
          <w:szCs w:val="20"/>
        </w:rPr>
        <w:t>, to establish a framework setting out a basis for provincial and territorial legislatures to enact legislation to consult their population as to their preferences for potential nominees for appointment to the Senate as set out in the schedule to Bill C</w:t>
      </w:r>
      <w:r w:rsidRPr="003375EA">
        <w:rPr>
          <w:sz w:val="20"/>
          <w:szCs w:val="20"/>
        </w:rPr>
        <w:noBreakHyphen/>
        <w:t xml:space="preserve">7, the </w:t>
      </w:r>
      <w:r w:rsidRPr="003375EA">
        <w:rPr>
          <w:i/>
          <w:sz w:val="20"/>
          <w:szCs w:val="20"/>
        </w:rPr>
        <w:t>Senate Reform Act</w:t>
      </w:r>
      <w:r w:rsidRPr="003375EA">
        <w:rPr>
          <w:sz w:val="20"/>
          <w:szCs w:val="20"/>
        </w:rPr>
        <w:t>?</w:t>
      </w:r>
    </w:p>
    <w:p w:rsidR="006922DE" w:rsidRPr="003375EA" w:rsidRDefault="006922DE" w:rsidP="006922DE">
      <w:pPr>
        <w:widowControl w:val="0"/>
        <w:jc w:val="both"/>
        <w:rPr>
          <w:sz w:val="20"/>
          <w:szCs w:val="20"/>
        </w:rPr>
      </w:pPr>
    </w:p>
    <w:p w:rsidR="006922DE" w:rsidRPr="003375EA" w:rsidRDefault="006922DE" w:rsidP="006922DE">
      <w:pPr>
        <w:widowControl w:val="0"/>
        <w:jc w:val="both"/>
        <w:rPr>
          <w:sz w:val="20"/>
          <w:szCs w:val="20"/>
        </w:rPr>
      </w:pPr>
      <w:r w:rsidRPr="003375EA">
        <w:rPr>
          <w:b/>
          <w:sz w:val="20"/>
          <w:szCs w:val="20"/>
        </w:rPr>
        <w:t>4.</w:t>
      </w:r>
      <w:r w:rsidRPr="003375EA">
        <w:rPr>
          <w:sz w:val="20"/>
          <w:szCs w:val="20"/>
        </w:rPr>
        <w:t xml:space="preserve"> </w:t>
      </w:r>
      <w:r w:rsidRPr="003375EA">
        <w:rPr>
          <w:sz w:val="20"/>
          <w:szCs w:val="20"/>
        </w:rPr>
        <w:tab/>
        <w:t xml:space="preserve">Is it within the legislative authority of the Parliament of Canada, acting pursuant to section 44 of the </w:t>
      </w:r>
      <w:r w:rsidRPr="003375EA">
        <w:rPr>
          <w:i/>
          <w:sz w:val="20"/>
          <w:szCs w:val="20"/>
        </w:rPr>
        <w:t>Constitution Act, 1982</w:t>
      </w:r>
      <w:r w:rsidRPr="003375EA">
        <w:rPr>
          <w:sz w:val="20"/>
          <w:szCs w:val="20"/>
        </w:rPr>
        <w:t xml:space="preserve">, to repeal subsections 23(3) and (4) of the </w:t>
      </w:r>
      <w:r w:rsidRPr="003375EA">
        <w:rPr>
          <w:i/>
          <w:sz w:val="20"/>
          <w:szCs w:val="20"/>
        </w:rPr>
        <w:t>Constitution Act, 1867</w:t>
      </w:r>
      <w:r w:rsidRPr="003375EA">
        <w:rPr>
          <w:sz w:val="20"/>
          <w:szCs w:val="20"/>
        </w:rPr>
        <w:t xml:space="preserve"> regarding property qualifications for Senators?</w:t>
      </w:r>
    </w:p>
    <w:p w:rsidR="006922DE" w:rsidRPr="003375EA" w:rsidRDefault="006922DE" w:rsidP="006922DE">
      <w:pPr>
        <w:widowControl w:val="0"/>
        <w:jc w:val="both"/>
        <w:rPr>
          <w:sz w:val="20"/>
          <w:szCs w:val="20"/>
        </w:rPr>
      </w:pPr>
    </w:p>
    <w:p w:rsidR="006922DE" w:rsidRPr="003375EA" w:rsidRDefault="006922DE" w:rsidP="006922DE">
      <w:pPr>
        <w:tabs>
          <w:tab w:val="left" w:pos="720"/>
        </w:tabs>
        <w:jc w:val="both"/>
        <w:rPr>
          <w:sz w:val="20"/>
          <w:szCs w:val="20"/>
        </w:rPr>
      </w:pPr>
      <w:r w:rsidRPr="003375EA">
        <w:rPr>
          <w:b/>
          <w:sz w:val="20"/>
          <w:szCs w:val="20"/>
        </w:rPr>
        <w:t>5.</w:t>
      </w:r>
      <w:r w:rsidRPr="003375EA">
        <w:rPr>
          <w:sz w:val="20"/>
          <w:szCs w:val="20"/>
        </w:rPr>
        <w:t xml:space="preserve"> </w:t>
      </w:r>
      <w:r w:rsidRPr="003375EA">
        <w:rPr>
          <w:sz w:val="20"/>
          <w:szCs w:val="20"/>
        </w:rPr>
        <w:tab/>
        <w:t xml:space="preserve">Can an amendment to the Constitution of Canada to abolish the Senate be accomplished by the general amending procedure set out in section 38 of the </w:t>
      </w:r>
      <w:r w:rsidRPr="003375EA">
        <w:rPr>
          <w:i/>
          <w:sz w:val="20"/>
          <w:szCs w:val="20"/>
        </w:rPr>
        <w:t>Constitution Act, 1982</w:t>
      </w:r>
      <w:r w:rsidRPr="003375EA">
        <w:rPr>
          <w:sz w:val="20"/>
          <w:szCs w:val="20"/>
        </w:rPr>
        <w:t>, by one of the following methods:</w:t>
      </w:r>
    </w:p>
    <w:p w:rsidR="006922DE" w:rsidRPr="003375EA" w:rsidRDefault="006922DE" w:rsidP="006922DE">
      <w:pPr>
        <w:tabs>
          <w:tab w:val="left" w:pos="720"/>
        </w:tabs>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a</w:t>
      </w:r>
      <w:r w:rsidRPr="003375EA">
        <w:rPr>
          <w:sz w:val="20"/>
          <w:szCs w:val="20"/>
        </w:rPr>
        <w:t xml:space="preserve">)  by inserting a separate provision stating that the Senate is to be abolished as of a certain date, as an amendment to the </w:t>
      </w:r>
      <w:r w:rsidRPr="003375EA">
        <w:rPr>
          <w:i/>
          <w:sz w:val="20"/>
          <w:szCs w:val="20"/>
        </w:rPr>
        <w:t>Constitution Act, 1867</w:t>
      </w:r>
      <w:r w:rsidRPr="003375EA">
        <w:rPr>
          <w:sz w:val="20"/>
          <w:szCs w:val="20"/>
        </w:rPr>
        <w:t xml:space="preserve"> or as a separate provision that is outside of the </w:t>
      </w:r>
      <w:r w:rsidRPr="003375EA">
        <w:rPr>
          <w:i/>
          <w:sz w:val="20"/>
          <w:szCs w:val="20"/>
        </w:rPr>
        <w:t>Constitution Acts, 1867 to 1982</w:t>
      </w:r>
      <w:r w:rsidRPr="003375EA">
        <w:rPr>
          <w:sz w:val="20"/>
          <w:szCs w:val="20"/>
        </w:rPr>
        <w:t xml:space="preserve"> but that is still part of the Constitution of Canada;</w:t>
      </w:r>
    </w:p>
    <w:p w:rsidR="006922DE" w:rsidRPr="003375EA" w:rsidRDefault="006922DE" w:rsidP="006922DE">
      <w:pPr>
        <w:tabs>
          <w:tab w:val="left" w:pos="1440"/>
        </w:tabs>
        <w:ind w:left="720"/>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b</w:t>
      </w:r>
      <w:r w:rsidRPr="003375EA">
        <w:rPr>
          <w:sz w:val="20"/>
          <w:szCs w:val="20"/>
        </w:rPr>
        <w:t xml:space="preserve">)  by amending or repealing some or all of the references to the Senate in the Constitution of Canada; or </w:t>
      </w:r>
    </w:p>
    <w:p w:rsidR="006922DE" w:rsidRPr="003375EA" w:rsidRDefault="006922DE" w:rsidP="006922DE">
      <w:pPr>
        <w:tabs>
          <w:tab w:val="left" w:pos="1440"/>
        </w:tabs>
        <w:ind w:left="720"/>
        <w:jc w:val="both"/>
        <w:rPr>
          <w:sz w:val="20"/>
          <w:szCs w:val="20"/>
        </w:rPr>
      </w:pPr>
    </w:p>
    <w:p w:rsidR="006922DE" w:rsidRPr="003375EA" w:rsidRDefault="006922DE" w:rsidP="006922DE">
      <w:pPr>
        <w:tabs>
          <w:tab w:val="left" w:pos="1440"/>
        </w:tabs>
        <w:ind w:left="720"/>
        <w:jc w:val="both"/>
        <w:rPr>
          <w:sz w:val="20"/>
          <w:szCs w:val="20"/>
        </w:rPr>
      </w:pPr>
      <w:r w:rsidRPr="003375EA">
        <w:rPr>
          <w:sz w:val="20"/>
          <w:szCs w:val="20"/>
        </w:rPr>
        <w:t>(</w:t>
      </w:r>
      <w:r w:rsidRPr="003375EA">
        <w:rPr>
          <w:i/>
          <w:sz w:val="20"/>
          <w:szCs w:val="20"/>
        </w:rPr>
        <w:t>c</w:t>
      </w:r>
      <w:r w:rsidRPr="003375EA">
        <w:rPr>
          <w:sz w:val="20"/>
          <w:szCs w:val="20"/>
        </w:rPr>
        <w:t>)  by abolishing the powers of the Senate and eliminating the representation of provinces pursuant to paragraphs 42(1)(</w:t>
      </w:r>
      <w:r w:rsidRPr="003375EA">
        <w:rPr>
          <w:i/>
          <w:sz w:val="20"/>
          <w:szCs w:val="20"/>
        </w:rPr>
        <w:t>b</w:t>
      </w:r>
      <w:r w:rsidRPr="003375EA">
        <w:rPr>
          <w:sz w:val="20"/>
          <w:szCs w:val="20"/>
        </w:rPr>
        <w:t>) and (</w:t>
      </w:r>
      <w:r w:rsidRPr="003375EA">
        <w:rPr>
          <w:i/>
          <w:sz w:val="20"/>
          <w:szCs w:val="20"/>
        </w:rPr>
        <w:t>c</w:t>
      </w:r>
      <w:r w:rsidRPr="003375EA">
        <w:rPr>
          <w:sz w:val="20"/>
          <w:szCs w:val="20"/>
        </w:rPr>
        <w:t xml:space="preserve">) of the </w:t>
      </w:r>
      <w:r w:rsidRPr="003375EA">
        <w:rPr>
          <w:i/>
          <w:sz w:val="20"/>
          <w:szCs w:val="20"/>
        </w:rPr>
        <w:t>Constitution Act, 1982</w:t>
      </w:r>
      <w:r w:rsidRPr="003375EA">
        <w:rPr>
          <w:sz w:val="20"/>
          <w:szCs w:val="20"/>
        </w:rPr>
        <w:t>?</w:t>
      </w:r>
    </w:p>
    <w:p w:rsidR="006922DE" w:rsidRPr="003375EA" w:rsidRDefault="006922DE" w:rsidP="006922DE">
      <w:pPr>
        <w:tabs>
          <w:tab w:val="left" w:pos="720"/>
        </w:tabs>
        <w:jc w:val="both"/>
        <w:rPr>
          <w:sz w:val="20"/>
          <w:szCs w:val="20"/>
        </w:rPr>
      </w:pPr>
    </w:p>
    <w:p w:rsidR="006922DE" w:rsidRDefault="006922DE">
      <w:pPr>
        <w:rPr>
          <w:b/>
          <w:sz w:val="20"/>
          <w:szCs w:val="20"/>
        </w:rPr>
      </w:pPr>
      <w:r>
        <w:rPr>
          <w:b/>
          <w:sz w:val="20"/>
          <w:szCs w:val="20"/>
        </w:rPr>
        <w:br w:type="page"/>
      </w:r>
    </w:p>
    <w:p w:rsidR="006922DE" w:rsidRPr="003375EA" w:rsidRDefault="006922DE" w:rsidP="006922DE">
      <w:pPr>
        <w:widowControl w:val="0"/>
        <w:jc w:val="both"/>
        <w:rPr>
          <w:sz w:val="20"/>
          <w:szCs w:val="20"/>
        </w:rPr>
      </w:pPr>
      <w:r w:rsidRPr="003375EA">
        <w:rPr>
          <w:b/>
          <w:sz w:val="20"/>
          <w:szCs w:val="20"/>
        </w:rPr>
        <w:t>6.</w:t>
      </w:r>
      <w:r w:rsidRPr="003375EA">
        <w:rPr>
          <w:sz w:val="20"/>
          <w:szCs w:val="20"/>
        </w:rPr>
        <w:t xml:space="preserve"> </w:t>
      </w:r>
      <w:r w:rsidRPr="003375EA">
        <w:rPr>
          <w:sz w:val="20"/>
          <w:szCs w:val="20"/>
        </w:rPr>
        <w:tab/>
        <w:t xml:space="preserve">If the general amending procedure set out in section 38 of the </w:t>
      </w:r>
      <w:r w:rsidRPr="003375EA">
        <w:rPr>
          <w:i/>
          <w:sz w:val="20"/>
          <w:szCs w:val="20"/>
        </w:rPr>
        <w:t>Constitution Act, 1982</w:t>
      </w:r>
      <w:r w:rsidRPr="003375EA">
        <w:rPr>
          <w:sz w:val="20"/>
          <w:szCs w:val="20"/>
        </w:rPr>
        <w:t xml:space="preserve"> is not sufficient to abolish the Senate, does the unanimous consent procedure set out in section 41 of the </w:t>
      </w:r>
      <w:r w:rsidRPr="003375EA">
        <w:rPr>
          <w:i/>
          <w:sz w:val="20"/>
          <w:szCs w:val="20"/>
        </w:rPr>
        <w:t>Constitution Act, 1982</w:t>
      </w:r>
      <w:r w:rsidRPr="003375EA">
        <w:rPr>
          <w:sz w:val="20"/>
          <w:szCs w:val="20"/>
        </w:rPr>
        <w:t xml:space="preserve"> apply?</w:t>
      </w:r>
    </w:p>
    <w:p w:rsidR="006922DE" w:rsidRPr="003375EA" w:rsidRDefault="006922DE" w:rsidP="006922DE">
      <w:pPr>
        <w:widowControl w:val="0"/>
        <w:jc w:val="both"/>
        <w:rPr>
          <w:sz w:val="20"/>
          <w:szCs w:val="20"/>
        </w:rPr>
      </w:pPr>
    </w:p>
    <w:p w:rsidR="006922DE" w:rsidRPr="003375EA" w:rsidRDefault="006922DE" w:rsidP="006922DE">
      <w:pPr>
        <w:widowControl w:val="0"/>
        <w:jc w:val="both"/>
        <w:rPr>
          <w:sz w:val="20"/>
          <w:szCs w:val="20"/>
        </w:rPr>
      </w:pPr>
    </w:p>
    <w:p w:rsidR="006922DE" w:rsidRPr="003375EA" w:rsidRDefault="006922DE" w:rsidP="006922DE">
      <w:pPr>
        <w:widowControl w:val="0"/>
        <w:ind w:left="2880" w:hanging="2880"/>
        <w:jc w:val="both"/>
        <w:rPr>
          <w:sz w:val="20"/>
          <w:szCs w:val="20"/>
        </w:rPr>
      </w:pPr>
      <w:r w:rsidRPr="003375EA">
        <w:rPr>
          <w:sz w:val="20"/>
          <w:szCs w:val="20"/>
        </w:rPr>
        <w:t>File No.:</w:t>
      </w:r>
      <w:r w:rsidRPr="003375EA">
        <w:rPr>
          <w:sz w:val="20"/>
          <w:szCs w:val="20"/>
        </w:rPr>
        <w:tab/>
        <w:t>35203</w:t>
      </w:r>
    </w:p>
    <w:p w:rsidR="006922DE" w:rsidRPr="003375EA" w:rsidRDefault="006922DE" w:rsidP="006922DE">
      <w:pPr>
        <w:widowControl w:val="0"/>
        <w:ind w:left="2880" w:hanging="2880"/>
        <w:jc w:val="both"/>
        <w:rPr>
          <w:sz w:val="20"/>
          <w:szCs w:val="20"/>
        </w:rPr>
      </w:pPr>
    </w:p>
    <w:p w:rsidR="00CF55C5" w:rsidRDefault="006922DE" w:rsidP="006922DE">
      <w:pPr>
        <w:widowControl w:val="0"/>
        <w:ind w:left="2880" w:hanging="2880"/>
        <w:jc w:val="both"/>
        <w:rPr>
          <w:sz w:val="20"/>
          <w:szCs w:val="20"/>
        </w:rPr>
      </w:pPr>
      <w:r w:rsidRPr="003375EA">
        <w:rPr>
          <w:sz w:val="20"/>
          <w:szCs w:val="20"/>
        </w:rPr>
        <w:t>Counsel:</w:t>
      </w:r>
      <w:r w:rsidRPr="003375EA">
        <w:rPr>
          <w:sz w:val="20"/>
          <w:szCs w:val="20"/>
        </w:rPr>
        <w:tab/>
        <w:t xml:space="preserve">Robert J. Frater, Christopher Rupar and Warren J. </w:t>
      </w:r>
      <w:r w:rsidRPr="003375EA">
        <w:rPr>
          <w:sz w:val="20"/>
          <w:szCs w:val="20"/>
        </w:rPr>
        <w:tab/>
        <w:t>Newman,</w:t>
      </w:r>
      <w:r w:rsidR="00CF55C5">
        <w:rPr>
          <w:sz w:val="20"/>
          <w:szCs w:val="20"/>
        </w:rPr>
        <w:t xml:space="preserve"> </w:t>
      </w:r>
    </w:p>
    <w:p w:rsidR="006922DE" w:rsidRPr="003375EA" w:rsidRDefault="00CF55C5" w:rsidP="006922DE">
      <w:pPr>
        <w:widowControl w:val="0"/>
        <w:ind w:left="2880" w:hanging="2880"/>
        <w:jc w:val="both"/>
        <w:rPr>
          <w:sz w:val="20"/>
          <w:szCs w:val="20"/>
        </w:rPr>
      </w:pPr>
      <w:r>
        <w:rPr>
          <w:sz w:val="20"/>
          <w:szCs w:val="20"/>
        </w:rPr>
        <w:tab/>
        <w:t>f</w:t>
      </w:r>
      <w:r w:rsidR="006922DE" w:rsidRPr="003375EA">
        <w:rPr>
          <w:sz w:val="20"/>
          <w:szCs w:val="20"/>
        </w:rPr>
        <w:t>or</w:t>
      </w:r>
      <w:r>
        <w:rPr>
          <w:sz w:val="20"/>
          <w:szCs w:val="20"/>
        </w:rPr>
        <w:t xml:space="preserve"> </w:t>
      </w:r>
      <w:r w:rsidR="006922DE" w:rsidRPr="003375EA">
        <w:rPr>
          <w:sz w:val="20"/>
          <w:szCs w:val="20"/>
        </w:rPr>
        <w:t>the</w:t>
      </w:r>
      <w:r>
        <w:rPr>
          <w:sz w:val="20"/>
          <w:szCs w:val="20"/>
        </w:rPr>
        <w:t xml:space="preserve"> </w:t>
      </w:r>
      <w:r w:rsidR="006922DE" w:rsidRPr="003375EA">
        <w:rPr>
          <w:sz w:val="20"/>
          <w:szCs w:val="20"/>
        </w:rPr>
        <w:t xml:space="preserve">Attorney General of Canada </w:t>
      </w:r>
    </w:p>
    <w:p w:rsidR="00C77493" w:rsidRPr="006922DE" w:rsidRDefault="00C77493">
      <w:pPr>
        <w:rPr>
          <w:sz w:val="20"/>
          <w:szCs w:val="20"/>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099"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C77493" w:rsidRDefault="00C77493">
      <w:pPr>
        <w:rPr>
          <w:sz w:val="20"/>
          <w:szCs w:val="20"/>
          <w:lang w:val="fr-CA"/>
        </w:rPr>
      </w:pPr>
    </w:p>
    <w:p w:rsidR="00C77493" w:rsidRDefault="00C77493">
      <w:pPr>
        <w:rPr>
          <w:sz w:val="20"/>
          <w:szCs w:val="20"/>
          <w:lang w:val="fr-CA"/>
        </w:rPr>
      </w:pPr>
      <w:r>
        <w:rPr>
          <w:sz w:val="20"/>
          <w:szCs w:val="20"/>
          <w:lang w:val="fr-CA"/>
        </w:rPr>
        <w:br w:type="page"/>
      </w:r>
    </w:p>
    <w:p w:rsidR="006922DE" w:rsidRPr="00AB3BA8" w:rsidRDefault="00CC2008" w:rsidP="006922DE">
      <w:pPr>
        <w:widowControl w:val="0"/>
        <w:ind w:left="720" w:hanging="720"/>
        <w:jc w:val="both"/>
        <w:rPr>
          <w:i/>
          <w:sz w:val="20"/>
          <w:lang w:val="fr-CA"/>
        </w:rPr>
      </w:pPr>
      <w:r w:rsidRPr="00CC2008">
        <w:rPr>
          <w:b/>
          <w:sz w:val="20"/>
          <w:lang w:val="fr-CA"/>
        </w:rPr>
        <w:fldChar w:fldCharType="begin"/>
      </w:r>
      <w:r w:rsidR="006922DE" w:rsidRPr="00AB3BA8">
        <w:rPr>
          <w:b/>
          <w:sz w:val="20"/>
          <w:lang w:val="fr-CA"/>
        </w:rPr>
        <w:instrText xml:space="preserve"> SEQ CHAPTER \h \r 1</w:instrText>
      </w:r>
      <w:r w:rsidRPr="00AB3BA8">
        <w:rPr>
          <w:b/>
          <w:sz w:val="20"/>
        </w:rPr>
        <w:fldChar w:fldCharType="end"/>
      </w:r>
      <w:r w:rsidR="006922DE" w:rsidRPr="00AB3BA8">
        <w:rPr>
          <w:b/>
          <w:sz w:val="20"/>
          <w:lang w:val="fr-CA"/>
        </w:rPr>
        <w:t>35203</w:t>
      </w:r>
      <w:r w:rsidR="006922DE" w:rsidRPr="00AB3BA8">
        <w:rPr>
          <w:sz w:val="20"/>
          <w:lang w:val="fr-CA"/>
        </w:rPr>
        <w:tab/>
      </w:r>
      <w:r w:rsidR="006922DE" w:rsidRPr="00AB3BA8">
        <w:rPr>
          <w:b/>
          <w:i/>
          <w:sz w:val="20"/>
          <w:lang w:val="fr-CA"/>
        </w:rPr>
        <w:t>Dans l’affaire d’un renvoi par le Gouverneur en conseil concernant la réforme du Sénat tel que formulé dans le décret C.P. 2013</w:t>
      </w:r>
      <w:r w:rsidR="006922DE" w:rsidRPr="00AB3BA8">
        <w:rPr>
          <w:b/>
          <w:i/>
          <w:sz w:val="20"/>
          <w:lang w:val="fr-CA"/>
        </w:rPr>
        <w:noBreakHyphen/>
        <w:t>70 en date du 1</w:t>
      </w:r>
      <w:r w:rsidR="006922DE" w:rsidRPr="00AB3BA8">
        <w:rPr>
          <w:b/>
          <w:i/>
          <w:sz w:val="20"/>
          <w:vertAlign w:val="superscript"/>
          <w:lang w:val="fr-CA"/>
        </w:rPr>
        <w:t>er</w:t>
      </w:r>
      <w:r w:rsidR="006922DE" w:rsidRPr="00AB3BA8">
        <w:rPr>
          <w:b/>
          <w:i/>
          <w:sz w:val="20"/>
          <w:lang w:val="fr-CA"/>
        </w:rPr>
        <w:t> février 2013</w:t>
      </w:r>
    </w:p>
    <w:p w:rsidR="006922DE" w:rsidRPr="00AB3BA8" w:rsidRDefault="006922DE" w:rsidP="006922DE">
      <w:pPr>
        <w:widowControl w:val="0"/>
        <w:jc w:val="both"/>
        <w:rPr>
          <w:sz w:val="20"/>
          <w:lang w:val="fr-CA"/>
        </w:rPr>
      </w:pPr>
    </w:p>
    <w:p w:rsidR="006922DE" w:rsidRPr="00AB3BA8" w:rsidRDefault="006922DE" w:rsidP="006922DE">
      <w:pPr>
        <w:widowControl w:val="0"/>
        <w:jc w:val="both"/>
        <w:rPr>
          <w:sz w:val="20"/>
          <w:lang w:val="fr-CA"/>
        </w:rPr>
      </w:pPr>
      <w:r w:rsidRPr="00AB3BA8">
        <w:rPr>
          <w:sz w:val="20"/>
          <w:lang w:val="fr-CA"/>
        </w:rPr>
        <w:t xml:space="preserve">Droit constitutionnel </w:t>
      </w:r>
      <w:r w:rsidRPr="00AB3BA8">
        <w:rPr>
          <w:sz w:val="20"/>
          <w:lang w:val="fr-CA"/>
        </w:rPr>
        <w:noBreakHyphen/>
        <w:t xml:space="preserve"> Procédures d’amendement </w:t>
      </w:r>
      <w:r w:rsidRPr="00AB3BA8">
        <w:rPr>
          <w:sz w:val="20"/>
          <w:lang w:val="fr-CA"/>
        </w:rPr>
        <w:noBreakHyphen/>
        <w:t xml:space="preserve"> Sénat </w:t>
      </w:r>
      <w:r w:rsidRPr="00AB3BA8">
        <w:rPr>
          <w:sz w:val="20"/>
          <w:lang w:val="fr-CA"/>
        </w:rPr>
        <w:noBreakHyphen/>
        <w:t xml:space="preserve"> Renvoi</w:t>
      </w:r>
    </w:p>
    <w:p w:rsidR="006922DE" w:rsidRPr="00AB3BA8" w:rsidRDefault="006922DE" w:rsidP="006922DE">
      <w:pPr>
        <w:widowControl w:val="0"/>
        <w:jc w:val="both"/>
        <w:rPr>
          <w:sz w:val="20"/>
          <w:lang w:val="fr-CA"/>
        </w:rPr>
      </w:pPr>
    </w:p>
    <w:p w:rsidR="006922DE" w:rsidRPr="00AB3BA8" w:rsidRDefault="006922DE" w:rsidP="006922DE">
      <w:pPr>
        <w:widowControl w:val="0"/>
        <w:jc w:val="both"/>
        <w:rPr>
          <w:sz w:val="20"/>
          <w:lang w:val="fr-CA"/>
        </w:rPr>
      </w:pPr>
      <w:r w:rsidRPr="00AB3BA8">
        <w:rPr>
          <w:sz w:val="20"/>
          <w:lang w:val="fr-CA"/>
        </w:rPr>
        <w:t xml:space="preserve">Sur recommandation du ministre de la Justice et en vertu de l’article 53 de la </w:t>
      </w:r>
      <w:r w:rsidRPr="00AB3BA8">
        <w:rPr>
          <w:i/>
          <w:sz w:val="20"/>
          <w:lang w:val="fr-CA"/>
        </w:rPr>
        <w:t>Loi sur la Cour suprême</w:t>
      </w:r>
      <w:r w:rsidRPr="00AB3BA8">
        <w:rPr>
          <w:sz w:val="20"/>
          <w:lang w:val="fr-CA"/>
        </w:rPr>
        <w:t>, Son Excellence le Gouverneur général en conseil soumet pour avis de la Cour suprême du Canada les six questions suivantes :</w:t>
      </w:r>
    </w:p>
    <w:p w:rsidR="006922DE" w:rsidRPr="00AB3BA8" w:rsidRDefault="006922DE" w:rsidP="006922DE">
      <w:pPr>
        <w:widowControl w:val="0"/>
        <w:jc w:val="both"/>
        <w:rPr>
          <w:sz w:val="20"/>
          <w:lang w:val="fr-CA"/>
        </w:rPr>
      </w:pPr>
    </w:p>
    <w:p w:rsidR="006922DE" w:rsidRPr="00AB3BA8" w:rsidRDefault="006922DE" w:rsidP="006922DE">
      <w:pPr>
        <w:widowControl w:val="0"/>
        <w:jc w:val="both"/>
        <w:rPr>
          <w:sz w:val="20"/>
          <w:lang w:val="fr-CA"/>
        </w:rPr>
      </w:pPr>
      <w:r w:rsidRPr="00AB3BA8">
        <w:rPr>
          <w:b/>
          <w:sz w:val="20"/>
          <w:lang w:val="fr-CA"/>
        </w:rPr>
        <w:t xml:space="preserve">1. </w:t>
      </w:r>
      <w:r w:rsidRPr="00AB3BA8">
        <w:rPr>
          <w:sz w:val="20"/>
          <w:lang w:val="fr-CA"/>
        </w:rPr>
        <w:tab/>
        <w:t>Pour chacune des limites ci</w:t>
      </w:r>
      <w:r w:rsidRPr="00AB3BA8">
        <w:rPr>
          <w:sz w:val="20"/>
          <w:lang w:val="fr-CA"/>
        </w:rPr>
        <w:noBreakHyphen/>
        <w:t>après proposées pour la durée du mandat des sénateurs, le Parlement du Canada détient</w:t>
      </w:r>
      <w:r w:rsidRPr="00AB3BA8">
        <w:rPr>
          <w:sz w:val="20"/>
          <w:lang w:val="fr-CA"/>
        </w:rPr>
        <w:noBreakHyphen/>
        <w:t xml:space="preserve">il, en vertu de l’article 44 de la </w:t>
      </w:r>
      <w:r w:rsidRPr="00AB3BA8">
        <w:rPr>
          <w:i/>
          <w:sz w:val="20"/>
          <w:lang w:val="fr-CA"/>
        </w:rPr>
        <w:t>Loi constitutionnelle de 1982</w:t>
      </w:r>
      <w:r w:rsidRPr="00AB3BA8">
        <w:rPr>
          <w:sz w:val="20"/>
          <w:lang w:val="fr-CA"/>
        </w:rPr>
        <w:t xml:space="preserve">, la compétence législative voulue pour apporter les modifications à l’article 29 de la </w:t>
      </w:r>
      <w:r w:rsidRPr="00AB3BA8">
        <w:rPr>
          <w:i/>
          <w:sz w:val="20"/>
          <w:lang w:val="fr-CA"/>
        </w:rPr>
        <w:t>Loi constitutionnelle de 1867</w:t>
      </w:r>
      <w:r w:rsidRPr="00AB3BA8">
        <w:rPr>
          <w:sz w:val="20"/>
          <w:lang w:val="fr-CA"/>
        </w:rPr>
        <w:t xml:space="preserve"> afin de prévoir :</w:t>
      </w:r>
    </w:p>
    <w:p w:rsidR="006922DE" w:rsidRPr="00AB3BA8" w:rsidRDefault="006922DE" w:rsidP="006922DE">
      <w:pPr>
        <w:widowControl w:val="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a</w:t>
      </w:r>
      <w:r w:rsidRPr="00AB3BA8">
        <w:rPr>
          <w:sz w:val="20"/>
          <w:lang w:val="fr-CA"/>
        </w:rPr>
        <w:t>)  un mandat d’une durée fixe de neuf ans, tel que le proposent l’article 5 du projet de loi C</w:t>
      </w:r>
      <w:r w:rsidRPr="00AB3BA8">
        <w:rPr>
          <w:sz w:val="20"/>
          <w:lang w:val="fr-CA"/>
        </w:rPr>
        <w:noBreakHyphen/>
        <w:t xml:space="preserve">7, </w:t>
      </w:r>
      <w:r w:rsidRPr="00AB3BA8">
        <w:rPr>
          <w:i/>
          <w:sz w:val="20"/>
          <w:lang w:val="fr-CA"/>
        </w:rPr>
        <w:t>Loi sur la réforme du Sénat</w:t>
      </w:r>
      <w:r w:rsidRPr="00AB3BA8">
        <w:rPr>
          <w:sz w:val="20"/>
          <w:lang w:val="fr-CA"/>
        </w:rPr>
        <w:t>;</w:t>
      </w:r>
    </w:p>
    <w:p w:rsidR="006922DE" w:rsidRPr="00AB3BA8" w:rsidRDefault="006922DE" w:rsidP="006922DE">
      <w:pPr>
        <w:widowControl w:val="0"/>
        <w:ind w:left="72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b</w:t>
      </w:r>
      <w:r w:rsidRPr="00AB3BA8">
        <w:rPr>
          <w:sz w:val="20"/>
          <w:lang w:val="fr-CA"/>
        </w:rPr>
        <w:t>)  un mandat d’une durée fixe de dix ans ou plus;</w:t>
      </w:r>
    </w:p>
    <w:p w:rsidR="006922DE" w:rsidRPr="00AB3BA8" w:rsidRDefault="006922DE" w:rsidP="006922DE">
      <w:pPr>
        <w:widowControl w:val="0"/>
        <w:ind w:left="72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c</w:t>
      </w:r>
      <w:r w:rsidRPr="00AB3BA8">
        <w:rPr>
          <w:sz w:val="20"/>
          <w:lang w:val="fr-CA"/>
        </w:rPr>
        <w:t>)  un mandat d’une durée fixe de huit ans ou moins;</w:t>
      </w:r>
    </w:p>
    <w:p w:rsidR="006922DE" w:rsidRPr="00AB3BA8" w:rsidRDefault="006922DE" w:rsidP="006922DE">
      <w:pPr>
        <w:widowControl w:val="0"/>
        <w:ind w:left="72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d</w:t>
      </w:r>
      <w:r w:rsidRPr="00AB3BA8">
        <w:rPr>
          <w:sz w:val="20"/>
          <w:lang w:val="fr-CA"/>
        </w:rPr>
        <w:t>)  un mandat d’une durée fixe de deux ou trois législatures;</w:t>
      </w:r>
    </w:p>
    <w:p w:rsidR="006922DE" w:rsidRPr="00AB3BA8" w:rsidRDefault="006922DE" w:rsidP="006922DE">
      <w:pPr>
        <w:widowControl w:val="0"/>
        <w:ind w:left="72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e</w:t>
      </w:r>
      <w:r w:rsidRPr="00AB3BA8">
        <w:rPr>
          <w:sz w:val="20"/>
          <w:lang w:val="fr-CA"/>
        </w:rPr>
        <w:t>)  le renouvellement du mandat des sénateurs, tel que le propose l’article 2 du projet de loi S</w:t>
      </w:r>
      <w:r w:rsidRPr="00AB3BA8">
        <w:rPr>
          <w:sz w:val="20"/>
          <w:lang w:val="fr-CA"/>
        </w:rPr>
        <w:noBreakHyphen/>
        <w:t xml:space="preserve">4, </w:t>
      </w:r>
      <w:r w:rsidRPr="00AB3BA8">
        <w:rPr>
          <w:i/>
          <w:sz w:val="20"/>
          <w:lang w:val="fr-CA"/>
        </w:rPr>
        <w:t>Loi constitutionnelle de 2006 (durée du mandat des sénateurs)</w:t>
      </w:r>
      <w:r w:rsidRPr="00AB3BA8">
        <w:rPr>
          <w:sz w:val="20"/>
          <w:lang w:val="fr-CA"/>
        </w:rPr>
        <w:t xml:space="preserve">; </w:t>
      </w:r>
    </w:p>
    <w:p w:rsidR="006922DE" w:rsidRPr="00AB3BA8" w:rsidRDefault="006922DE" w:rsidP="006922DE">
      <w:pPr>
        <w:widowControl w:val="0"/>
        <w:ind w:left="72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f</w:t>
      </w:r>
      <w:r w:rsidRPr="00AB3BA8">
        <w:rPr>
          <w:sz w:val="20"/>
          <w:lang w:val="fr-CA"/>
        </w:rPr>
        <w:t>)  une limite à la durée du mandat des sénateurs nommés après le 14 octobre 2008, tel que le propose le paragraphe 4(1) du projet de loi C</w:t>
      </w:r>
      <w:r w:rsidRPr="00AB3BA8">
        <w:rPr>
          <w:sz w:val="20"/>
          <w:lang w:val="fr-CA"/>
        </w:rPr>
        <w:noBreakHyphen/>
        <w:t xml:space="preserve">7, </w:t>
      </w:r>
      <w:r w:rsidRPr="00AB3BA8">
        <w:rPr>
          <w:i/>
          <w:sz w:val="20"/>
          <w:lang w:val="fr-CA"/>
        </w:rPr>
        <w:t>Loi sur la réforme du Sénat</w:t>
      </w:r>
      <w:r w:rsidRPr="00AB3BA8">
        <w:rPr>
          <w:sz w:val="20"/>
          <w:lang w:val="fr-CA"/>
        </w:rPr>
        <w:t>;</w:t>
      </w:r>
    </w:p>
    <w:p w:rsidR="006922DE" w:rsidRPr="00AB3BA8" w:rsidRDefault="006922DE" w:rsidP="006922DE">
      <w:pPr>
        <w:widowControl w:val="0"/>
        <w:ind w:left="72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g</w:t>
      </w:r>
      <w:r w:rsidRPr="00AB3BA8">
        <w:rPr>
          <w:sz w:val="20"/>
          <w:lang w:val="fr-CA"/>
        </w:rPr>
        <w:t>)  une limite rétrospective à la durée du mandat des sénateurs nommés avant le 14 octobre 2008?</w:t>
      </w:r>
    </w:p>
    <w:p w:rsidR="006922DE" w:rsidRPr="00AB3BA8" w:rsidRDefault="006922DE" w:rsidP="006922DE">
      <w:pPr>
        <w:widowControl w:val="0"/>
        <w:jc w:val="both"/>
        <w:rPr>
          <w:sz w:val="20"/>
          <w:lang w:val="fr-CA"/>
        </w:rPr>
      </w:pPr>
    </w:p>
    <w:p w:rsidR="006922DE" w:rsidRPr="00AB3BA8" w:rsidRDefault="006922DE" w:rsidP="006922DE">
      <w:pPr>
        <w:widowControl w:val="0"/>
        <w:jc w:val="both"/>
        <w:rPr>
          <w:sz w:val="20"/>
          <w:lang w:val="fr-CA"/>
        </w:rPr>
      </w:pPr>
      <w:r w:rsidRPr="00AB3BA8">
        <w:rPr>
          <w:b/>
          <w:sz w:val="20"/>
          <w:lang w:val="fr-CA"/>
        </w:rPr>
        <w:t xml:space="preserve">2. </w:t>
      </w:r>
      <w:r w:rsidRPr="00AB3BA8">
        <w:rPr>
          <w:sz w:val="20"/>
          <w:lang w:val="fr-CA"/>
        </w:rPr>
        <w:tab/>
        <w:t>Le Parlement du Canada détient</w:t>
      </w:r>
      <w:r w:rsidRPr="00AB3BA8">
        <w:rPr>
          <w:sz w:val="20"/>
          <w:lang w:val="fr-CA"/>
        </w:rPr>
        <w:noBreakHyphen/>
        <w:t xml:space="preserve">il, en vertu de l’article 91 de la </w:t>
      </w:r>
      <w:r w:rsidRPr="00AB3BA8">
        <w:rPr>
          <w:i/>
          <w:sz w:val="20"/>
          <w:lang w:val="fr-CA"/>
        </w:rPr>
        <w:t>Loi constitutionnelle de 1867</w:t>
      </w:r>
      <w:r w:rsidRPr="00AB3BA8">
        <w:rPr>
          <w:sz w:val="20"/>
          <w:lang w:val="fr-CA"/>
        </w:rPr>
        <w:t xml:space="preserve"> ou de l’article 44 de la </w:t>
      </w:r>
      <w:r w:rsidRPr="00AB3BA8">
        <w:rPr>
          <w:i/>
          <w:sz w:val="20"/>
          <w:lang w:val="fr-CA"/>
        </w:rPr>
        <w:t>Loi constitutionnelle de 1982</w:t>
      </w:r>
      <w:r w:rsidRPr="00AB3BA8">
        <w:rPr>
          <w:sz w:val="20"/>
          <w:lang w:val="fr-CA"/>
        </w:rPr>
        <w:t>, la compétence législative voulue pour édicter des lois qui permettraient de consulter, dans le cadre d’un processus national, la population de chaque province et territoire afin de faire connaître ses préférences quant à la nomination de candidats sénatoriaux, conformément au projet de loi C</w:t>
      </w:r>
      <w:r w:rsidRPr="00AB3BA8">
        <w:rPr>
          <w:sz w:val="20"/>
          <w:lang w:val="fr-CA"/>
        </w:rPr>
        <w:noBreakHyphen/>
        <w:t xml:space="preserve">20, </w:t>
      </w:r>
      <w:r w:rsidRPr="00AB3BA8">
        <w:rPr>
          <w:i/>
          <w:sz w:val="20"/>
          <w:lang w:val="fr-CA"/>
        </w:rPr>
        <w:t>Loi sur les consultations concernant la nomination des sénateurs</w:t>
      </w:r>
      <w:r w:rsidRPr="00AB3BA8">
        <w:rPr>
          <w:sz w:val="20"/>
          <w:lang w:val="fr-CA"/>
        </w:rPr>
        <w:t>?</w:t>
      </w:r>
    </w:p>
    <w:p w:rsidR="006922DE" w:rsidRPr="00AB3BA8" w:rsidRDefault="006922DE" w:rsidP="006922DE">
      <w:pPr>
        <w:widowControl w:val="0"/>
        <w:jc w:val="both"/>
        <w:rPr>
          <w:sz w:val="20"/>
          <w:lang w:val="fr-CA"/>
        </w:rPr>
      </w:pPr>
    </w:p>
    <w:p w:rsidR="006922DE" w:rsidRPr="00AB3BA8" w:rsidRDefault="006922DE" w:rsidP="006922DE">
      <w:pPr>
        <w:widowControl w:val="0"/>
        <w:jc w:val="both"/>
        <w:rPr>
          <w:sz w:val="20"/>
          <w:lang w:val="fr-CA"/>
        </w:rPr>
      </w:pPr>
      <w:r w:rsidRPr="00AB3BA8">
        <w:rPr>
          <w:b/>
          <w:sz w:val="20"/>
          <w:lang w:val="fr-CA"/>
        </w:rPr>
        <w:t>3.</w:t>
      </w:r>
      <w:r w:rsidRPr="00AB3BA8">
        <w:rPr>
          <w:sz w:val="20"/>
          <w:lang w:val="fr-CA"/>
        </w:rPr>
        <w:t xml:space="preserve"> </w:t>
      </w:r>
      <w:r w:rsidRPr="00AB3BA8">
        <w:rPr>
          <w:sz w:val="20"/>
          <w:lang w:val="fr-CA"/>
        </w:rPr>
        <w:tab/>
        <w:t>Le Parlement du Canada détient</w:t>
      </w:r>
      <w:r w:rsidRPr="00AB3BA8">
        <w:rPr>
          <w:sz w:val="20"/>
          <w:lang w:val="fr-CA"/>
        </w:rPr>
        <w:noBreakHyphen/>
        <w:t xml:space="preserve">il, en vertu de l’article 91 de la </w:t>
      </w:r>
      <w:r w:rsidRPr="00AB3BA8">
        <w:rPr>
          <w:i/>
          <w:sz w:val="20"/>
          <w:lang w:val="fr-CA"/>
        </w:rPr>
        <w:t>Loi constitutionnelle de 1867</w:t>
      </w:r>
      <w:r w:rsidRPr="00AB3BA8">
        <w:rPr>
          <w:sz w:val="20"/>
          <w:lang w:val="fr-CA"/>
        </w:rPr>
        <w:t xml:space="preserve"> ou de l’article 44 de la </w:t>
      </w:r>
      <w:r w:rsidRPr="00AB3BA8">
        <w:rPr>
          <w:i/>
          <w:sz w:val="20"/>
          <w:lang w:val="fr-CA"/>
        </w:rPr>
        <w:t>Loi constitutionnelle de 1982</w:t>
      </w:r>
      <w:r w:rsidRPr="00AB3BA8">
        <w:rPr>
          <w:sz w:val="20"/>
          <w:lang w:val="fr-CA"/>
        </w:rPr>
        <w:t xml:space="preserve">, la compétence législative voulue pour prévoir un cadre qui viserait l’édiction de lois par les législatures provinciales et territoriales </w:t>
      </w:r>
      <w:r w:rsidRPr="00AB3BA8">
        <w:rPr>
          <w:sz w:val="20"/>
          <w:lang w:val="fr-CA"/>
        </w:rPr>
        <w:noBreakHyphen/>
        <w:t xml:space="preserve"> conformes à l’annexe du projet de loi C</w:t>
      </w:r>
      <w:r w:rsidRPr="00AB3BA8">
        <w:rPr>
          <w:sz w:val="20"/>
          <w:lang w:val="fr-CA"/>
        </w:rPr>
        <w:noBreakHyphen/>
        <w:t xml:space="preserve">7, </w:t>
      </w:r>
      <w:r w:rsidRPr="00AB3BA8">
        <w:rPr>
          <w:i/>
          <w:sz w:val="20"/>
          <w:lang w:val="fr-CA"/>
        </w:rPr>
        <w:t>Loi sur la réforme du Sénat</w:t>
      </w:r>
      <w:r w:rsidRPr="00AB3BA8">
        <w:rPr>
          <w:sz w:val="20"/>
          <w:lang w:val="fr-CA"/>
        </w:rPr>
        <w:t xml:space="preserve"> </w:t>
      </w:r>
      <w:r w:rsidRPr="00AB3BA8">
        <w:rPr>
          <w:sz w:val="20"/>
          <w:lang w:val="fr-CA"/>
        </w:rPr>
        <w:noBreakHyphen/>
        <w:t>, pour consulter leurs populations afin de connaître leurs préférences quant à la nomination de candidats sénatoriaux?</w:t>
      </w:r>
    </w:p>
    <w:p w:rsidR="006922DE" w:rsidRPr="00AB3BA8" w:rsidRDefault="006922DE" w:rsidP="006922DE">
      <w:pPr>
        <w:widowControl w:val="0"/>
        <w:jc w:val="both"/>
        <w:rPr>
          <w:sz w:val="20"/>
          <w:lang w:val="fr-CA"/>
        </w:rPr>
      </w:pPr>
    </w:p>
    <w:p w:rsidR="006922DE" w:rsidRPr="00AB3BA8" w:rsidRDefault="006922DE" w:rsidP="006922DE">
      <w:pPr>
        <w:widowControl w:val="0"/>
        <w:jc w:val="both"/>
        <w:rPr>
          <w:sz w:val="20"/>
          <w:lang w:val="fr-CA"/>
        </w:rPr>
      </w:pPr>
      <w:r w:rsidRPr="00AB3BA8">
        <w:rPr>
          <w:b/>
          <w:sz w:val="20"/>
          <w:lang w:val="fr-CA"/>
        </w:rPr>
        <w:t>4.</w:t>
      </w:r>
      <w:r w:rsidRPr="00AB3BA8">
        <w:rPr>
          <w:sz w:val="20"/>
          <w:lang w:val="fr-CA"/>
        </w:rPr>
        <w:t xml:space="preserve"> </w:t>
      </w:r>
      <w:r w:rsidRPr="00AB3BA8">
        <w:rPr>
          <w:sz w:val="20"/>
          <w:lang w:val="fr-CA"/>
        </w:rPr>
        <w:tab/>
        <w:t>Le Parlement du Canada détient</w:t>
      </w:r>
      <w:r w:rsidRPr="00AB3BA8">
        <w:rPr>
          <w:sz w:val="20"/>
          <w:lang w:val="fr-CA"/>
        </w:rPr>
        <w:noBreakHyphen/>
        <w:t xml:space="preserve">il, en vertu de l’article 44 de la </w:t>
      </w:r>
      <w:r w:rsidRPr="00AB3BA8">
        <w:rPr>
          <w:i/>
          <w:sz w:val="20"/>
          <w:lang w:val="fr-CA"/>
        </w:rPr>
        <w:t>Loi constitutionnelle de 1982</w:t>
      </w:r>
      <w:r w:rsidRPr="00AB3BA8">
        <w:rPr>
          <w:sz w:val="20"/>
          <w:lang w:val="fr-CA"/>
        </w:rPr>
        <w:t xml:space="preserve">, la compétence législative voulue pour abroger les paragraphes 23(3) et (4) de la </w:t>
      </w:r>
      <w:r w:rsidRPr="00AB3BA8">
        <w:rPr>
          <w:i/>
          <w:sz w:val="20"/>
          <w:lang w:val="fr-CA"/>
        </w:rPr>
        <w:t>Loi constitutionnelle de 1867</w:t>
      </w:r>
      <w:r w:rsidRPr="00AB3BA8">
        <w:rPr>
          <w:sz w:val="20"/>
          <w:lang w:val="fr-CA"/>
        </w:rPr>
        <w:t xml:space="preserve"> concernant la qualification des sénateurs en matière de propriété?</w:t>
      </w:r>
    </w:p>
    <w:p w:rsidR="006922DE" w:rsidRPr="00AB3BA8" w:rsidRDefault="006922DE" w:rsidP="006922DE">
      <w:pPr>
        <w:widowControl w:val="0"/>
        <w:jc w:val="both"/>
        <w:rPr>
          <w:sz w:val="20"/>
          <w:lang w:val="fr-CA"/>
        </w:rPr>
      </w:pPr>
    </w:p>
    <w:p w:rsidR="006922DE" w:rsidRPr="00AB3BA8" w:rsidRDefault="006922DE" w:rsidP="006922DE">
      <w:pPr>
        <w:widowControl w:val="0"/>
        <w:jc w:val="both"/>
        <w:rPr>
          <w:sz w:val="20"/>
          <w:lang w:val="fr-CA"/>
        </w:rPr>
      </w:pPr>
      <w:r w:rsidRPr="00AB3BA8">
        <w:rPr>
          <w:b/>
          <w:sz w:val="20"/>
          <w:lang w:val="fr-CA"/>
        </w:rPr>
        <w:t xml:space="preserve">5. </w:t>
      </w:r>
      <w:r w:rsidRPr="00AB3BA8">
        <w:rPr>
          <w:sz w:val="20"/>
          <w:lang w:val="fr-CA"/>
        </w:rPr>
        <w:tab/>
        <w:t>Pourrait</w:t>
      </w:r>
      <w:r w:rsidRPr="00AB3BA8">
        <w:rPr>
          <w:sz w:val="20"/>
          <w:lang w:val="fr-CA"/>
        </w:rPr>
        <w:noBreakHyphen/>
        <w:t>on, par l’un des moyens ci</w:t>
      </w:r>
      <w:r w:rsidRPr="00AB3BA8">
        <w:rPr>
          <w:sz w:val="20"/>
          <w:lang w:val="fr-CA"/>
        </w:rPr>
        <w:noBreakHyphen/>
        <w:t xml:space="preserve">après, avoir recours à la procédure normale de modification prévue à l’article 38 de la </w:t>
      </w:r>
      <w:r w:rsidRPr="00AB3BA8">
        <w:rPr>
          <w:i/>
          <w:sz w:val="20"/>
          <w:lang w:val="fr-CA"/>
        </w:rPr>
        <w:t>Loi constitutionnelle de 1982</w:t>
      </w:r>
      <w:r w:rsidRPr="00AB3BA8">
        <w:rPr>
          <w:sz w:val="20"/>
          <w:lang w:val="fr-CA"/>
        </w:rPr>
        <w:t xml:space="preserve"> pour abolir le Sénat :</w:t>
      </w:r>
    </w:p>
    <w:p w:rsidR="006922DE" w:rsidRPr="00AB3BA8" w:rsidRDefault="006922DE" w:rsidP="006922DE">
      <w:pPr>
        <w:widowControl w:val="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a</w:t>
      </w:r>
      <w:r w:rsidRPr="00AB3BA8">
        <w:rPr>
          <w:sz w:val="20"/>
          <w:lang w:val="fr-CA"/>
        </w:rPr>
        <w:t xml:space="preserve">)  ajouter une disposition distincte prévoyant que le Sénat serait aboli à une date précise, à titre de modification de la </w:t>
      </w:r>
      <w:r w:rsidRPr="00AB3BA8">
        <w:rPr>
          <w:i/>
          <w:sz w:val="20"/>
          <w:lang w:val="fr-CA"/>
        </w:rPr>
        <w:t>Loi constitutionnelle de 1867</w:t>
      </w:r>
      <w:r w:rsidRPr="00AB3BA8">
        <w:rPr>
          <w:sz w:val="20"/>
          <w:lang w:val="fr-CA"/>
        </w:rPr>
        <w:t xml:space="preserve">, ou de disposition distincte des </w:t>
      </w:r>
      <w:r w:rsidRPr="00AB3BA8">
        <w:rPr>
          <w:i/>
          <w:sz w:val="20"/>
          <w:lang w:val="fr-CA"/>
        </w:rPr>
        <w:t>Lois constitutionnelles de 1867 à 1982</w:t>
      </w:r>
      <w:r w:rsidRPr="00AB3BA8">
        <w:rPr>
          <w:sz w:val="20"/>
          <w:lang w:val="fr-CA"/>
        </w:rPr>
        <w:t xml:space="preserve"> s’inscrivant néanmoins dans la Constitution du Canada;</w:t>
      </w:r>
    </w:p>
    <w:p w:rsidR="006922DE" w:rsidRPr="00AB3BA8" w:rsidRDefault="006922DE" w:rsidP="006922DE">
      <w:pPr>
        <w:widowControl w:val="0"/>
        <w:ind w:left="72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b</w:t>
      </w:r>
      <w:r w:rsidRPr="00AB3BA8">
        <w:rPr>
          <w:sz w:val="20"/>
          <w:lang w:val="fr-CA"/>
        </w:rPr>
        <w:t>)  modifier ou abroger en tout ou en partie les renvois au Sénat dans la Constitution du Canada;</w:t>
      </w:r>
    </w:p>
    <w:p w:rsidR="006922DE" w:rsidRPr="00AB3BA8" w:rsidRDefault="006922DE" w:rsidP="006922DE">
      <w:pPr>
        <w:widowControl w:val="0"/>
        <w:ind w:left="720"/>
        <w:jc w:val="both"/>
        <w:rPr>
          <w:sz w:val="20"/>
          <w:lang w:val="fr-CA"/>
        </w:rPr>
      </w:pPr>
    </w:p>
    <w:p w:rsidR="006922DE" w:rsidRPr="00AB3BA8" w:rsidRDefault="006922DE" w:rsidP="006922DE">
      <w:pPr>
        <w:widowControl w:val="0"/>
        <w:ind w:left="720"/>
        <w:jc w:val="both"/>
        <w:rPr>
          <w:sz w:val="20"/>
          <w:lang w:val="fr-CA"/>
        </w:rPr>
      </w:pPr>
      <w:r w:rsidRPr="00AB3BA8">
        <w:rPr>
          <w:i/>
          <w:sz w:val="20"/>
          <w:lang w:val="fr-CA"/>
        </w:rPr>
        <w:t>c</w:t>
      </w:r>
      <w:r w:rsidRPr="00AB3BA8">
        <w:rPr>
          <w:sz w:val="20"/>
          <w:lang w:val="fr-CA"/>
        </w:rPr>
        <w:t>)  abroger les pouvoirs du Sénat et éliminer la représentation des provinces en vertu des alinéas 42(1)</w:t>
      </w:r>
      <w:r w:rsidRPr="00AB3BA8">
        <w:rPr>
          <w:i/>
          <w:sz w:val="20"/>
          <w:lang w:val="fr-CA"/>
        </w:rPr>
        <w:t>b</w:t>
      </w:r>
      <w:r w:rsidRPr="00AB3BA8">
        <w:rPr>
          <w:sz w:val="20"/>
          <w:lang w:val="fr-CA"/>
        </w:rPr>
        <w:t xml:space="preserve">) et </w:t>
      </w:r>
      <w:r w:rsidRPr="00AB3BA8">
        <w:rPr>
          <w:i/>
          <w:sz w:val="20"/>
          <w:lang w:val="fr-CA"/>
        </w:rPr>
        <w:t>c</w:t>
      </w:r>
      <w:r w:rsidRPr="00AB3BA8">
        <w:rPr>
          <w:sz w:val="20"/>
          <w:lang w:val="fr-CA"/>
        </w:rPr>
        <w:t xml:space="preserve">) de la </w:t>
      </w:r>
      <w:r w:rsidRPr="00AB3BA8">
        <w:rPr>
          <w:i/>
          <w:sz w:val="20"/>
          <w:lang w:val="fr-CA"/>
        </w:rPr>
        <w:t>Loi constitutionnelle de 1982</w:t>
      </w:r>
      <w:r w:rsidRPr="00AB3BA8">
        <w:rPr>
          <w:sz w:val="20"/>
          <w:lang w:val="fr-CA"/>
        </w:rPr>
        <w:t>?</w:t>
      </w:r>
    </w:p>
    <w:p w:rsidR="006922DE" w:rsidRPr="00AB3BA8" w:rsidRDefault="006922DE" w:rsidP="006922DE">
      <w:pPr>
        <w:widowControl w:val="0"/>
        <w:jc w:val="both"/>
        <w:rPr>
          <w:sz w:val="20"/>
          <w:lang w:val="fr-CA"/>
        </w:rPr>
      </w:pPr>
      <w:r w:rsidRPr="00AB3BA8">
        <w:rPr>
          <w:b/>
          <w:sz w:val="20"/>
          <w:lang w:val="fr-CA"/>
        </w:rPr>
        <w:t>6.</w:t>
      </w:r>
      <w:r w:rsidRPr="00AB3BA8">
        <w:rPr>
          <w:sz w:val="20"/>
          <w:lang w:val="fr-CA"/>
        </w:rPr>
        <w:t xml:space="preserve"> </w:t>
      </w:r>
      <w:r w:rsidRPr="00AB3BA8">
        <w:rPr>
          <w:sz w:val="20"/>
          <w:lang w:val="fr-CA"/>
        </w:rPr>
        <w:tab/>
        <w:t xml:space="preserve">Si la procédure normale de modification prévue à l’article 38 de la </w:t>
      </w:r>
      <w:r w:rsidRPr="00AB3BA8">
        <w:rPr>
          <w:i/>
          <w:sz w:val="20"/>
          <w:lang w:val="fr-CA"/>
        </w:rPr>
        <w:t>Loi constitutionnelle de 1982</w:t>
      </w:r>
      <w:r w:rsidRPr="00AB3BA8">
        <w:rPr>
          <w:sz w:val="20"/>
          <w:lang w:val="fr-CA"/>
        </w:rPr>
        <w:t xml:space="preserve"> ne permet pas d’abolir le Sénat, faudrait</w:t>
      </w:r>
      <w:r w:rsidRPr="00AB3BA8">
        <w:rPr>
          <w:sz w:val="20"/>
          <w:lang w:val="fr-CA"/>
        </w:rPr>
        <w:noBreakHyphen/>
        <w:t>il recourir à la procédure de consentement unanime prévue à l’article 41 de cette loi?</w:t>
      </w:r>
    </w:p>
    <w:p w:rsidR="006922DE" w:rsidRPr="00AB3BA8" w:rsidRDefault="006922DE" w:rsidP="006922DE">
      <w:pPr>
        <w:widowControl w:val="0"/>
        <w:jc w:val="both"/>
        <w:rPr>
          <w:sz w:val="20"/>
          <w:lang w:val="fr-CA"/>
        </w:rPr>
      </w:pPr>
    </w:p>
    <w:p w:rsidR="006922DE" w:rsidRPr="00AB3BA8" w:rsidRDefault="006922DE" w:rsidP="006922DE">
      <w:pPr>
        <w:widowControl w:val="0"/>
        <w:jc w:val="both"/>
        <w:rPr>
          <w:sz w:val="20"/>
          <w:lang w:val="fr-CA"/>
        </w:rPr>
      </w:pPr>
    </w:p>
    <w:p w:rsidR="006922DE" w:rsidRPr="00AB3BA8" w:rsidRDefault="006922DE" w:rsidP="006922DE">
      <w:pPr>
        <w:widowControl w:val="0"/>
        <w:ind w:left="2880" w:hanging="2880"/>
        <w:jc w:val="both"/>
        <w:rPr>
          <w:sz w:val="20"/>
          <w:lang w:val="fr-CA"/>
        </w:rPr>
      </w:pPr>
      <w:r w:rsidRPr="00AB3BA8">
        <w:rPr>
          <w:sz w:val="20"/>
          <w:lang w:val="fr-CA"/>
        </w:rPr>
        <w:t>N</w:t>
      </w:r>
      <w:r w:rsidRPr="00AB3BA8">
        <w:rPr>
          <w:sz w:val="20"/>
          <w:vertAlign w:val="superscript"/>
          <w:lang w:val="fr-CA"/>
        </w:rPr>
        <w:t>o</w:t>
      </w:r>
      <w:r w:rsidRPr="00AB3BA8">
        <w:rPr>
          <w:sz w:val="20"/>
          <w:lang w:val="fr-CA"/>
        </w:rPr>
        <w:t xml:space="preserve"> du greffe:</w:t>
      </w:r>
      <w:r w:rsidRPr="00AB3BA8">
        <w:rPr>
          <w:sz w:val="20"/>
          <w:lang w:val="fr-CA"/>
        </w:rPr>
        <w:tab/>
        <w:t>35203</w:t>
      </w:r>
    </w:p>
    <w:p w:rsidR="006922DE" w:rsidRPr="00AB3BA8" w:rsidRDefault="006922DE" w:rsidP="006922DE">
      <w:pPr>
        <w:widowControl w:val="0"/>
        <w:ind w:left="2880" w:hanging="2880"/>
        <w:jc w:val="both"/>
        <w:rPr>
          <w:sz w:val="20"/>
          <w:lang w:val="fr-CA"/>
        </w:rPr>
      </w:pPr>
    </w:p>
    <w:p w:rsidR="00CF55C5" w:rsidRDefault="006922DE" w:rsidP="006922DE">
      <w:pPr>
        <w:widowControl w:val="0"/>
        <w:ind w:left="2880" w:hanging="2880"/>
        <w:jc w:val="both"/>
        <w:rPr>
          <w:sz w:val="20"/>
          <w:lang w:val="fr-CA"/>
        </w:rPr>
      </w:pPr>
      <w:r w:rsidRPr="00AB3BA8">
        <w:rPr>
          <w:sz w:val="20"/>
          <w:lang w:val="fr-CA"/>
        </w:rPr>
        <w:t>Avocats:</w:t>
      </w:r>
      <w:r w:rsidRPr="00AB3BA8">
        <w:rPr>
          <w:sz w:val="20"/>
          <w:lang w:val="fr-CA"/>
        </w:rPr>
        <w:tab/>
        <w:t xml:space="preserve">Robert J. Frater, Christopher Rupar et Warren J. Newman, </w:t>
      </w:r>
    </w:p>
    <w:p w:rsidR="006922DE" w:rsidRPr="00AB3BA8" w:rsidRDefault="006922DE" w:rsidP="006922DE">
      <w:pPr>
        <w:widowControl w:val="0"/>
        <w:ind w:left="2880" w:hanging="2880"/>
        <w:jc w:val="both"/>
        <w:rPr>
          <w:sz w:val="20"/>
          <w:lang w:val="fr-CA"/>
        </w:rPr>
      </w:pPr>
      <w:r w:rsidRPr="00AB3BA8">
        <w:rPr>
          <w:sz w:val="20"/>
          <w:lang w:val="fr-CA"/>
        </w:rPr>
        <w:tab/>
        <w:t>pour</w:t>
      </w:r>
      <w:r w:rsidR="00CF55C5">
        <w:rPr>
          <w:sz w:val="20"/>
          <w:lang w:val="fr-CA"/>
        </w:rPr>
        <w:t xml:space="preserve"> </w:t>
      </w:r>
      <w:r w:rsidRPr="00AB3BA8">
        <w:rPr>
          <w:sz w:val="20"/>
          <w:lang w:val="fr-CA"/>
        </w:rPr>
        <w:t>le</w:t>
      </w:r>
      <w:r w:rsidR="00CF55C5">
        <w:rPr>
          <w:sz w:val="20"/>
          <w:lang w:val="fr-CA"/>
        </w:rPr>
        <w:t xml:space="preserve"> </w:t>
      </w:r>
      <w:r w:rsidRPr="00AB3BA8">
        <w:rPr>
          <w:sz w:val="20"/>
          <w:lang w:val="fr-CA"/>
        </w:rPr>
        <w:t>procureur général du Canada</w:t>
      </w:r>
    </w:p>
    <w:p w:rsidR="00C77493" w:rsidRDefault="00C77493" w:rsidP="00C77493">
      <w:pPr>
        <w:tabs>
          <w:tab w:val="left" w:pos="-1440"/>
          <w:tab w:val="left" w:pos="-720"/>
        </w:tabs>
        <w:jc w:val="both"/>
        <w:rPr>
          <w:sz w:val="20"/>
          <w:szCs w:val="20"/>
          <w:lang w:val="fr-CA"/>
        </w:rPr>
      </w:pPr>
    </w:p>
    <w:p w:rsidR="00C77493" w:rsidRDefault="00CC2008" w:rsidP="00C77493">
      <w:pPr>
        <w:tabs>
          <w:tab w:val="left" w:pos="-1440"/>
          <w:tab w:val="left" w:pos="-720"/>
        </w:tabs>
        <w:jc w:val="both"/>
        <w:rPr>
          <w:sz w:val="20"/>
          <w:szCs w:val="20"/>
          <w:lang w:val="fr-CA"/>
        </w:rPr>
      </w:pPr>
      <w:r w:rsidRPr="00CC2008">
        <w:rPr>
          <w:sz w:val="20"/>
          <w:szCs w:val="20"/>
          <w:lang w:val="fr-CA"/>
        </w:rPr>
        <w:pict>
          <v:rect id="_x0000_i1100" style="width:2in;height:1pt" o:hrpct="0" o:hralign="center" o:hrstd="t" o:hrnoshade="t" o:hr="t" fillcolor="black [3213]" stroked="f"/>
        </w:pict>
      </w:r>
    </w:p>
    <w:p w:rsidR="00C77493" w:rsidRDefault="00C77493" w:rsidP="00C77493">
      <w:pPr>
        <w:tabs>
          <w:tab w:val="left" w:pos="-1440"/>
          <w:tab w:val="left" w:pos="-720"/>
        </w:tabs>
        <w:jc w:val="both"/>
        <w:rPr>
          <w:sz w:val="20"/>
          <w:szCs w:val="20"/>
          <w:lang w:val="fr-CA"/>
        </w:rPr>
      </w:pPr>
    </w:p>
    <w:p w:rsidR="00C77493" w:rsidRPr="00DD0B49" w:rsidRDefault="00C77493" w:rsidP="00C77493">
      <w:pPr>
        <w:tabs>
          <w:tab w:val="left" w:pos="-1440"/>
          <w:tab w:val="left" w:pos="-720"/>
        </w:tabs>
        <w:jc w:val="both"/>
        <w:rPr>
          <w:sz w:val="20"/>
          <w:szCs w:val="20"/>
          <w:lang w:val="fr-CA"/>
        </w:rPr>
      </w:pPr>
    </w:p>
    <w:p w:rsidR="005E6241" w:rsidRDefault="005E6241">
      <w:pPr>
        <w:rPr>
          <w:sz w:val="20"/>
          <w:szCs w:val="20"/>
          <w:lang w:val="fr-CA"/>
        </w:rPr>
      </w:pPr>
      <w:r>
        <w:rPr>
          <w:sz w:val="20"/>
          <w:szCs w:val="20"/>
          <w:lang w:val="fr-CA"/>
        </w:rPr>
        <w:br w:type="page"/>
      </w:r>
    </w:p>
    <w:p w:rsidR="005E6241" w:rsidRPr="003D2E4B" w:rsidRDefault="00CC2008" w:rsidP="005E6241">
      <w:pPr>
        <w:widowControl w:val="0"/>
        <w:ind w:left="720" w:hanging="720"/>
        <w:rPr>
          <w:sz w:val="20"/>
          <w:szCs w:val="20"/>
        </w:rPr>
      </w:pPr>
      <w:r w:rsidRPr="003D2E4B">
        <w:rPr>
          <w:b/>
          <w:sz w:val="20"/>
          <w:szCs w:val="20"/>
        </w:rPr>
        <w:fldChar w:fldCharType="begin"/>
      </w:r>
      <w:r w:rsidR="005E6241" w:rsidRPr="003D2E4B">
        <w:rPr>
          <w:b/>
          <w:sz w:val="20"/>
          <w:szCs w:val="20"/>
        </w:rPr>
        <w:instrText xml:space="preserve"> SEQ CHAPTER \h \r 1</w:instrText>
      </w:r>
      <w:r w:rsidRPr="003D2E4B">
        <w:rPr>
          <w:b/>
          <w:sz w:val="20"/>
          <w:szCs w:val="20"/>
        </w:rPr>
        <w:fldChar w:fldCharType="end"/>
      </w:r>
      <w:r w:rsidR="005E6241" w:rsidRPr="003D2E4B">
        <w:rPr>
          <w:b/>
          <w:sz w:val="20"/>
          <w:szCs w:val="20"/>
        </w:rPr>
        <w:t>34991</w:t>
      </w:r>
      <w:r w:rsidR="005E6241" w:rsidRPr="003D2E4B">
        <w:rPr>
          <w:sz w:val="20"/>
          <w:szCs w:val="20"/>
        </w:rPr>
        <w:tab/>
      </w:r>
      <w:r w:rsidR="005E6241" w:rsidRPr="003D2E4B">
        <w:rPr>
          <w:b/>
          <w:i/>
          <w:sz w:val="20"/>
          <w:szCs w:val="20"/>
        </w:rPr>
        <w:t>Peracomo Inc., Réal Vallée, the owners and all other persons interested in the fishing vessel “Realice” and the fishing vessel “Realice” v. Telus Communications Company, Hydro</w:t>
      </w:r>
      <w:r w:rsidR="005E6241" w:rsidRPr="003D2E4B">
        <w:rPr>
          <w:b/>
          <w:i/>
          <w:sz w:val="20"/>
          <w:szCs w:val="20"/>
        </w:rPr>
        <w:noBreakHyphen/>
        <w:t>Québec, Bell Canada, Royal and Sun Alliance Insurance Company of Canada</w:t>
      </w:r>
      <w:r w:rsidR="005E6241" w:rsidRPr="003D2E4B">
        <w:rPr>
          <w:sz w:val="20"/>
          <w:szCs w:val="20"/>
        </w:rPr>
        <w:br/>
      </w:r>
    </w:p>
    <w:p w:rsidR="005E6241" w:rsidRPr="003D2E4B" w:rsidRDefault="005E6241" w:rsidP="005E6241">
      <w:pPr>
        <w:widowControl w:val="0"/>
        <w:jc w:val="both"/>
        <w:rPr>
          <w:sz w:val="20"/>
          <w:szCs w:val="20"/>
        </w:rPr>
      </w:pPr>
      <w:r w:rsidRPr="003D2E4B">
        <w:rPr>
          <w:sz w:val="20"/>
          <w:szCs w:val="20"/>
        </w:rPr>
        <w:t xml:space="preserve">Maritime Law </w:t>
      </w:r>
      <w:r w:rsidRPr="003D2E4B">
        <w:rPr>
          <w:sz w:val="20"/>
          <w:szCs w:val="20"/>
        </w:rPr>
        <w:noBreakHyphen/>
        <w:t xml:space="preserve"> Whether the appellants should be deprived of their right to limit liability under the </w:t>
      </w:r>
      <w:r w:rsidRPr="003D2E4B">
        <w:rPr>
          <w:i/>
          <w:sz w:val="20"/>
          <w:szCs w:val="20"/>
        </w:rPr>
        <w:t>Convention on Limitation of Liability for Maritime Claims</w:t>
      </w:r>
      <w:r w:rsidRPr="003D2E4B">
        <w:rPr>
          <w:sz w:val="20"/>
          <w:szCs w:val="20"/>
        </w:rPr>
        <w:t xml:space="preserve">, 1976, as amended in 1996 </w:t>
      </w:r>
      <w:r w:rsidRPr="003D2E4B">
        <w:rPr>
          <w:sz w:val="20"/>
          <w:szCs w:val="20"/>
        </w:rPr>
        <w:noBreakHyphen/>
        <w:t xml:space="preserve"> Whether the appellants should be deprived of the benefit of their insurance coverage </w:t>
      </w:r>
      <w:r w:rsidRPr="003D2E4B">
        <w:rPr>
          <w:sz w:val="20"/>
          <w:szCs w:val="20"/>
        </w:rPr>
        <w:noBreakHyphen/>
        <w:t xml:space="preserve"> Whether the appellant Réal Vallée is personally liable </w:t>
      </w:r>
      <w:r w:rsidRPr="003D2E4B">
        <w:rPr>
          <w:sz w:val="20"/>
          <w:szCs w:val="20"/>
        </w:rPr>
        <w:noBreakHyphen/>
        <w:t xml:space="preserve"> </w:t>
      </w:r>
      <w:r w:rsidRPr="003D2E4B">
        <w:rPr>
          <w:i/>
          <w:iCs/>
          <w:sz w:val="20"/>
          <w:szCs w:val="20"/>
        </w:rPr>
        <w:t>Marine Liability Act</w:t>
      </w:r>
      <w:r w:rsidRPr="003D2E4B">
        <w:rPr>
          <w:sz w:val="20"/>
          <w:szCs w:val="20"/>
        </w:rPr>
        <w:t xml:space="preserve">, S.C. 2001, c. 6, Schedule I, art. 4 </w:t>
      </w:r>
      <w:r w:rsidRPr="003D2E4B">
        <w:rPr>
          <w:sz w:val="20"/>
          <w:szCs w:val="20"/>
        </w:rPr>
        <w:noBreakHyphen/>
        <w:t xml:space="preserve"> </w:t>
      </w:r>
      <w:r w:rsidRPr="003D2E4B">
        <w:rPr>
          <w:i/>
          <w:iCs/>
          <w:sz w:val="20"/>
          <w:szCs w:val="20"/>
        </w:rPr>
        <w:t>Marine Insurance Act</w:t>
      </w:r>
      <w:r w:rsidRPr="003D2E4B">
        <w:rPr>
          <w:sz w:val="20"/>
          <w:szCs w:val="20"/>
        </w:rPr>
        <w:t>, S.C. 1993, c. 22, section 53(2).</w:t>
      </w:r>
    </w:p>
    <w:p w:rsidR="005E6241" w:rsidRPr="003D2E4B" w:rsidRDefault="005E6241" w:rsidP="005E6241">
      <w:pPr>
        <w:widowControl w:val="0"/>
        <w:jc w:val="both"/>
        <w:rPr>
          <w:sz w:val="20"/>
          <w:szCs w:val="20"/>
        </w:rPr>
      </w:pPr>
    </w:p>
    <w:p w:rsidR="005E6241" w:rsidRPr="003D2E4B" w:rsidRDefault="005E6241" w:rsidP="005E6241">
      <w:pPr>
        <w:widowControl w:val="0"/>
        <w:jc w:val="both"/>
        <w:rPr>
          <w:sz w:val="20"/>
          <w:szCs w:val="20"/>
        </w:rPr>
      </w:pPr>
      <w:r w:rsidRPr="003D2E4B">
        <w:rPr>
          <w:sz w:val="20"/>
          <w:szCs w:val="20"/>
        </w:rPr>
        <w:t xml:space="preserve">The appellant Réal Vallée is a fisherman who operated the fishing boat </w:t>
      </w:r>
      <w:r w:rsidRPr="003D2E4B">
        <w:rPr>
          <w:i/>
          <w:sz w:val="20"/>
          <w:szCs w:val="20"/>
        </w:rPr>
        <w:t>Realice</w:t>
      </w:r>
      <w:r w:rsidRPr="003D2E4B">
        <w:rPr>
          <w:sz w:val="20"/>
          <w:szCs w:val="20"/>
        </w:rPr>
        <w:t xml:space="preserve"> in the St. Lawrence River between Baie Comeau and Rivière</w:t>
      </w:r>
      <w:r w:rsidRPr="003D2E4B">
        <w:rPr>
          <w:sz w:val="20"/>
          <w:szCs w:val="20"/>
        </w:rPr>
        <w:noBreakHyphen/>
        <w:t>à</w:t>
      </w:r>
      <w:r w:rsidRPr="003D2E4B">
        <w:rPr>
          <w:sz w:val="20"/>
          <w:szCs w:val="20"/>
        </w:rPr>
        <w:noBreakHyphen/>
        <w:t xml:space="preserve">Claude in the crab fishing zone designated “Zone 17”.  At the time of the incident, Mr. Vallée was 58 years of age and had been fishing since the age of 15.  He is the sole shareholder and president of the appellant Peracomo Inc. which owns the fishing vessel </w:t>
      </w:r>
      <w:r w:rsidRPr="003D2E4B">
        <w:rPr>
          <w:i/>
          <w:sz w:val="20"/>
          <w:szCs w:val="20"/>
        </w:rPr>
        <w:t>Realice</w:t>
      </w:r>
      <w:r w:rsidRPr="003D2E4B">
        <w:rPr>
          <w:sz w:val="20"/>
          <w:szCs w:val="20"/>
        </w:rPr>
        <w:t>.  In 2005, Mr. Vallée was fishing for crab when one of his anchors snagged an obstacle which turned out to be a cable known as the Sunoque I.  The respondents Société Telus Communications and Hydro</w:t>
      </w:r>
      <w:r w:rsidRPr="003D2E4B">
        <w:rPr>
          <w:sz w:val="20"/>
          <w:szCs w:val="20"/>
        </w:rPr>
        <w:noBreakHyphen/>
        <w:t>Québec co</w:t>
      </w:r>
      <w:r w:rsidRPr="003D2E4B">
        <w:rPr>
          <w:sz w:val="20"/>
          <w:szCs w:val="20"/>
        </w:rPr>
        <w:noBreakHyphen/>
        <w:t>own the Sunoque I while Bell Canada has a right of use in it.  After snagging the cable in 2005, Mr. Vallée saw a map or a chart in a local museum (a former church) which showed a line drawn running through the area in which he fished and which had “abandonné” written on it by hand.  On this basis, when he snagged the cable again in 2006, he believed that the cable was abandoned and proceeded to cut the cable with a circular electric saw and buoyed the end with the caught anchor.  He returned to the same area in the next day or two, freed the anchor and again cut the cable a second time.  The Telus respondents thereafter filed suit against the appellants to recover the costs to repair the severed cable.</w:t>
      </w:r>
    </w:p>
    <w:p w:rsidR="005E6241" w:rsidRPr="003D2E4B" w:rsidRDefault="005E6241" w:rsidP="005E6241">
      <w:pPr>
        <w:widowControl w:val="0"/>
        <w:jc w:val="both"/>
        <w:rPr>
          <w:sz w:val="20"/>
          <w:szCs w:val="20"/>
        </w:rPr>
      </w:pPr>
    </w:p>
    <w:p w:rsidR="005E6241" w:rsidRPr="003D2E4B" w:rsidRDefault="005E6241" w:rsidP="005E6241">
      <w:pPr>
        <w:widowControl w:val="0"/>
        <w:jc w:val="both"/>
        <w:rPr>
          <w:sz w:val="20"/>
          <w:szCs w:val="20"/>
        </w:rPr>
      </w:pPr>
    </w:p>
    <w:p w:rsidR="005E6241" w:rsidRPr="003D2E4B" w:rsidRDefault="005E6241" w:rsidP="005E6241">
      <w:pPr>
        <w:widowControl w:val="0"/>
        <w:ind w:left="2880" w:hanging="2880"/>
        <w:jc w:val="both"/>
        <w:rPr>
          <w:sz w:val="20"/>
          <w:szCs w:val="20"/>
        </w:rPr>
      </w:pPr>
      <w:r w:rsidRPr="003D2E4B">
        <w:rPr>
          <w:sz w:val="20"/>
          <w:szCs w:val="20"/>
        </w:rPr>
        <w:t>Origin of the case:</w:t>
      </w:r>
      <w:r w:rsidRPr="003D2E4B">
        <w:rPr>
          <w:sz w:val="20"/>
          <w:szCs w:val="20"/>
        </w:rPr>
        <w:tab/>
        <w:t>Federal Court of Appeal</w:t>
      </w:r>
    </w:p>
    <w:p w:rsidR="005E6241" w:rsidRPr="003D2E4B" w:rsidRDefault="005E6241" w:rsidP="005E6241">
      <w:pPr>
        <w:widowControl w:val="0"/>
        <w:ind w:left="2880" w:hanging="2880"/>
        <w:jc w:val="both"/>
        <w:rPr>
          <w:sz w:val="20"/>
          <w:szCs w:val="20"/>
        </w:rPr>
      </w:pPr>
    </w:p>
    <w:p w:rsidR="005E6241" w:rsidRPr="003D2E4B" w:rsidRDefault="005E6241" w:rsidP="005E6241">
      <w:pPr>
        <w:widowControl w:val="0"/>
        <w:ind w:left="2880" w:hanging="2880"/>
        <w:jc w:val="both"/>
        <w:rPr>
          <w:sz w:val="20"/>
          <w:szCs w:val="20"/>
        </w:rPr>
      </w:pPr>
      <w:r w:rsidRPr="003D2E4B">
        <w:rPr>
          <w:sz w:val="20"/>
          <w:szCs w:val="20"/>
        </w:rPr>
        <w:t>File No.:</w:t>
      </w:r>
      <w:r w:rsidRPr="003D2E4B">
        <w:rPr>
          <w:sz w:val="20"/>
          <w:szCs w:val="20"/>
        </w:rPr>
        <w:tab/>
        <w:t>34991</w:t>
      </w:r>
    </w:p>
    <w:p w:rsidR="005E6241" w:rsidRPr="003D2E4B" w:rsidRDefault="005E6241" w:rsidP="005E6241">
      <w:pPr>
        <w:widowControl w:val="0"/>
        <w:ind w:left="2880" w:hanging="2880"/>
        <w:jc w:val="both"/>
        <w:rPr>
          <w:sz w:val="20"/>
          <w:szCs w:val="20"/>
        </w:rPr>
      </w:pPr>
    </w:p>
    <w:p w:rsidR="005E6241" w:rsidRPr="003D2E4B" w:rsidRDefault="005E6241" w:rsidP="005E6241">
      <w:pPr>
        <w:widowControl w:val="0"/>
        <w:ind w:left="2880" w:hanging="2880"/>
        <w:jc w:val="both"/>
        <w:rPr>
          <w:sz w:val="20"/>
          <w:szCs w:val="20"/>
        </w:rPr>
      </w:pPr>
      <w:r w:rsidRPr="003D2E4B">
        <w:rPr>
          <w:sz w:val="20"/>
          <w:szCs w:val="20"/>
        </w:rPr>
        <w:t>Judgment of the Court of Appeal:</w:t>
      </w:r>
      <w:r w:rsidRPr="003D2E4B">
        <w:rPr>
          <w:sz w:val="20"/>
          <w:szCs w:val="20"/>
        </w:rPr>
        <w:tab/>
        <w:t>June 29, 2012</w:t>
      </w:r>
    </w:p>
    <w:p w:rsidR="005E6241" w:rsidRPr="003D2E4B" w:rsidRDefault="005E6241" w:rsidP="005E6241">
      <w:pPr>
        <w:widowControl w:val="0"/>
        <w:ind w:left="2880" w:hanging="2880"/>
        <w:jc w:val="both"/>
        <w:rPr>
          <w:sz w:val="20"/>
          <w:szCs w:val="20"/>
        </w:rPr>
      </w:pPr>
    </w:p>
    <w:p w:rsidR="005E6241" w:rsidRPr="003D2E4B" w:rsidRDefault="005E6241" w:rsidP="005E6241">
      <w:pPr>
        <w:widowControl w:val="0"/>
        <w:ind w:left="2880" w:hanging="2880"/>
        <w:jc w:val="both"/>
        <w:rPr>
          <w:sz w:val="20"/>
          <w:szCs w:val="20"/>
        </w:rPr>
      </w:pPr>
      <w:r w:rsidRPr="003D2E4B">
        <w:rPr>
          <w:sz w:val="20"/>
          <w:szCs w:val="20"/>
        </w:rPr>
        <w:t>Counsel:</w:t>
      </w:r>
      <w:r w:rsidRPr="003D2E4B">
        <w:rPr>
          <w:sz w:val="20"/>
          <w:szCs w:val="20"/>
        </w:rPr>
        <w:tab/>
        <w:t>Nicholas J. Spillane for the appellants</w:t>
      </w:r>
    </w:p>
    <w:p w:rsidR="005E6241" w:rsidRPr="003D2E4B" w:rsidRDefault="005E6241" w:rsidP="005E6241">
      <w:pPr>
        <w:widowControl w:val="0"/>
        <w:ind w:left="2880" w:hanging="2880"/>
        <w:jc w:val="both"/>
        <w:rPr>
          <w:sz w:val="20"/>
          <w:szCs w:val="20"/>
          <w:lang w:val="fr-CA"/>
        </w:rPr>
      </w:pPr>
      <w:r>
        <w:rPr>
          <w:sz w:val="20"/>
          <w:szCs w:val="20"/>
        </w:rPr>
        <w:tab/>
      </w:r>
      <w:r w:rsidRPr="003D2E4B">
        <w:rPr>
          <w:sz w:val="20"/>
          <w:szCs w:val="20"/>
          <w:lang w:val="fr-CA"/>
        </w:rPr>
        <w:t>Jean</w:t>
      </w:r>
      <w:r w:rsidRPr="003D2E4B">
        <w:rPr>
          <w:sz w:val="20"/>
          <w:szCs w:val="20"/>
          <w:lang w:val="fr-CA"/>
        </w:rPr>
        <w:noBreakHyphen/>
        <w:t>François De Rico, Jean Grégoire, Michel Jolin and John O’Connor for the Telus respondents</w:t>
      </w:r>
    </w:p>
    <w:p w:rsidR="005E6241" w:rsidRPr="003D2E4B" w:rsidRDefault="005E6241" w:rsidP="005E6241">
      <w:pPr>
        <w:widowControl w:val="0"/>
        <w:ind w:left="2880" w:hanging="2880"/>
        <w:jc w:val="both"/>
        <w:rPr>
          <w:sz w:val="20"/>
          <w:szCs w:val="20"/>
        </w:rPr>
      </w:pPr>
      <w:r w:rsidRPr="007D148E">
        <w:rPr>
          <w:sz w:val="20"/>
          <w:szCs w:val="20"/>
          <w:lang w:val="fr-CA"/>
        </w:rPr>
        <w:tab/>
      </w:r>
      <w:r w:rsidRPr="003D2E4B">
        <w:rPr>
          <w:sz w:val="20"/>
          <w:szCs w:val="20"/>
        </w:rPr>
        <w:t>Jean</w:t>
      </w:r>
      <w:r w:rsidRPr="003D2E4B">
        <w:rPr>
          <w:sz w:val="20"/>
          <w:szCs w:val="20"/>
        </w:rPr>
        <w:noBreakHyphen/>
        <w:t>François Bilodeau for the respondent Royal and Sun Alliance Insurance Company of Canada</w:t>
      </w:r>
    </w:p>
    <w:p w:rsidR="005E6241" w:rsidRPr="005E6241" w:rsidRDefault="005E6241" w:rsidP="005E6241">
      <w:pPr>
        <w:tabs>
          <w:tab w:val="left" w:pos="-1440"/>
          <w:tab w:val="left" w:pos="-720"/>
        </w:tabs>
        <w:jc w:val="both"/>
        <w:rPr>
          <w:sz w:val="20"/>
          <w:szCs w:val="20"/>
        </w:rPr>
      </w:pPr>
    </w:p>
    <w:p w:rsidR="005E6241" w:rsidRDefault="00CC2008" w:rsidP="005E6241">
      <w:pPr>
        <w:tabs>
          <w:tab w:val="left" w:pos="-1440"/>
          <w:tab w:val="left" w:pos="-720"/>
        </w:tabs>
        <w:jc w:val="both"/>
        <w:rPr>
          <w:sz w:val="20"/>
          <w:szCs w:val="20"/>
          <w:lang w:val="fr-CA"/>
        </w:rPr>
      </w:pPr>
      <w:r w:rsidRPr="00CC2008">
        <w:rPr>
          <w:sz w:val="20"/>
          <w:szCs w:val="20"/>
          <w:lang w:val="fr-CA"/>
        </w:rPr>
        <w:pict>
          <v:rect id="_x0000_i1101" style="width:2in;height:1pt" o:hrpct="0" o:hralign="center" o:hrstd="t" o:hrnoshade="t" o:hr="t" fillcolor="black [3213]" stroked="f"/>
        </w:pict>
      </w:r>
    </w:p>
    <w:p w:rsidR="005E6241" w:rsidRDefault="005E6241" w:rsidP="005E6241">
      <w:pPr>
        <w:tabs>
          <w:tab w:val="left" w:pos="-1440"/>
          <w:tab w:val="left" w:pos="-720"/>
        </w:tabs>
        <w:jc w:val="both"/>
        <w:rPr>
          <w:sz w:val="20"/>
          <w:szCs w:val="20"/>
          <w:lang w:val="fr-CA"/>
        </w:rPr>
      </w:pPr>
    </w:p>
    <w:p w:rsidR="005E6241" w:rsidRDefault="005E6241">
      <w:pPr>
        <w:rPr>
          <w:sz w:val="20"/>
          <w:szCs w:val="20"/>
          <w:lang w:val="fr-CA"/>
        </w:rPr>
      </w:pPr>
      <w:r>
        <w:rPr>
          <w:sz w:val="20"/>
          <w:szCs w:val="20"/>
          <w:lang w:val="fr-CA"/>
        </w:rPr>
        <w:br w:type="page"/>
      </w:r>
    </w:p>
    <w:p w:rsidR="005E6241" w:rsidRPr="001B26ED" w:rsidRDefault="00CC2008" w:rsidP="005E6241">
      <w:pPr>
        <w:widowControl w:val="0"/>
        <w:ind w:left="720" w:hanging="720"/>
        <w:rPr>
          <w:sz w:val="20"/>
          <w:szCs w:val="20"/>
          <w:lang w:val="fr-CA"/>
        </w:rPr>
      </w:pPr>
      <w:r w:rsidRPr="001B26ED">
        <w:rPr>
          <w:b/>
          <w:sz w:val="20"/>
          <w:szCs w:val="20"/>
          <w:lang w:val="fr-CA"/>
        </w:rPr>
        <w:fldChar w:fldCharType="begin"/>
      </w:r>
      <w:r w:rsidR="005E6241" w:rsidRPr="001B26ED">
        <w:rPr>
          <w:b/>
          <w:sz w:val="20"/>
          <w:szCs w:val="20"/>
          <w:lang w:val="fr-CA"/>
        </w:rPr>
        <w:instrText xml:space="preserve"> SEQ CHAPTER \h \r 1</w:instrText>
      </w:r>
      <w:r w:rsidRPr="001B26ED">
        <w:rPr>
          <w:b/>
          <w:sz w:val="20"/>
          <w:szCs w:val="20"/>
          <w:lang w:val="fr-CA"/>
        </w:rPr>
        <w:fldChar w:fldCharType="end"/>
      </w:r>
      <w:r w:rsidR="005E6241" w:rsidRPr="001B26ED">
        <w:rPr>
          <w:b/>
          <w:sz w:val="20"/>
          <w:szCs w:val="20"/>
          <w:lang w:val="fr-CA"/>
        </w:rPr>
        <w:t>34991</w:t>
      </w:r>
      <w:r w:rsidR="005E6241" w:rsidRPr="001B26ED">
        <w:rPr>
          <w:sz w:val="20"/>
          <w:szCs w:val="20"/>
          <w:lang w:val="fr-CA"/>
        </w:rPr>
        <w:tab/>
      </w:r>
      <w:r w:rsidR="005E6241" w:rsidRPr="001B26ED">
        <w:rPr>
          <w:b/>
          <w:i/>
          <w:sz w:val="20"/>
          <w:szCs w:val="20"/>
          <w:lang w:val="fr-CA"/>
        </w:rPr>
        <w:t>Peracomo Inc., Réal Vallée, les propriétaires et toutes les autres personnes ayant un droit sur le navire de pêche « Realice » et le navire de pêche « Realice » c. Société Telus Communications, Hydro</w:t>
      </w:r>
      <w:r w:rsidR="005E6241" w:rsidRPr="001B26ED">
        <w:rPr>
          <w:b/>
          <w:i/>
          <w:sz w:val="20"/>
          <w:szCs w:val="20"/>
          <w:lang w:val="fr-CA"/>
        </w:rPr>
        <w:noBreakHyphen/>
        <w:t>Québec, Bell Canada, Royal and Sun Alliance Insurance Company of Canada, société d’assurances</w:t>
      </w:r>
      <w:r w:rsidR="005E6241" w:rsidRPr="001B26ED">
        <w:rPr>
          <w:sz w:val="20"/>
          <w:szCs w:val="20"/>
          <w:lang w:val="fr-CA"/>
        </w:rPr>
        <w:br/>
      </w:r>
    </w:p>
    <w:p w:rsidR="005E6241" w:rsidRPr="001B26ED" w:rsidRDefault="005E6241" w:rsidP="005E6241">
      <w:pPr>
        <w:widowControl w:val="0"/>
        <w:jc w:val="both"/>
        <w:rPr>
          <w:sz w:val="20"/>
          <w:szCs w:val="20"/>
          <w:lang w:val="fr-CA"/>
        </w:rPr>
      </w:pPr>
      <w:r w:rsidRPr="001B26ED">
        <w:rPr>
          <w:sz w:val="20"/>
          <w:szCs w:val="20"/>
          <w:lang w:val="fr-CA"/>
        </w:rPr>
        <w:t xml:space="preserve">Droit maritime </w:t>
      </w:r>
      <w:r w:rsidRPr="001B26ED">
        <w:rPr>
          <w:sz w:val="20"/>
          <w:szCs w:val="20"/>
          <w:lang w:val="fr-CA"/>
        </w:rPr>
        <w:noBreakHyphen/>
        <w:t xml:space="preserve"> Les appelants doivent</w:t>
      </w:r>
      <w:r w:rsidRPr="001B26ED">
        <w:rPr>
          <w:sz w:val="20"/>
          <w:szCs w:val="20"/>
          <w:lang w:val="fr-CA"/>
        </w:rPr>
        <w:noBreakHyphen/>
        <w:t xml:space="preserve">ils être privés de leur droit de limiter leur responsabilité en application de la </w:t>
      </w:r>
      <w:r w:rsidRPr="001B26ED">
        <w:rPr>
          <w:i/>
          <w:iCs/>
          <w:sz w:val="20"/>
          <w:szCs w:val="20"/>
          <w:lang w:val="fr-CA"/>
        </w:rPr>
        <w:t xml:space="preserve">Convention de 1976 sur la limitation de la responsabilité en matière de créances maritimes, </w:t>
      </w:r>
      <w:r w:rsidRPr="001B26ED">
        <w:rPr>
          <w:sz w:val="20"/>
          <w:szCs w:val="20"/>
          <w:lang w:val="fr-CA"/>
        </w:rPr>
        <w:t>telle que</w:t>
      </w:r>
      <w:r w:rsidRPr="001B26ED">
        <w:rPr>
          <w:iCs/>
          <w:sz w:val="20"/>
          <w:szCs w:val="20"/>
          <w:lang w:val="fr-CA"/>
        </w:rPr>
        <w:t> </w:t>
      </w:r>
      <w:r w:rsidRPr="001B26ED">
        <w:rPr>
          <w:sz w:val="20"/>
          <w:szCs w:val="20"/>
          <w:lang w:val="fr-CA"/>
        </w:rPr>
        <w:t xml:space="preserve">modifiée en 1996? </w:t>
      </w:r>
      <w:r w:rsidRPr="001B26ED">
        <w:rPr>
          <w:sz w:val="20"/>
          <w:szCs w:val="20"/>
          <w:lang w:val="fr-CA"/>
        </w:rPr>
        <w:noBreakHyphen/>
        <w:t xml:space="preserve"> Les appelants doivent</w:t>
      </w:r>
      <w:r w:rsidRPr="001B26ED">
        <w:rPr>
          <w:sz w:val="20"/>
          <w:szCs w:val="20"/>
          <w:lang w:val="fr-CA"/>
        </w:rPr>
        <w:noBreakHyphen/>
        <w:t xml:space="preserve">ils être privés de l’avantage de leur couverture d’assurance? </w:t>
      </w:r>
      <w:r w:rsidRPr="001B26ED">
        <w:rPr>
          <w:sz w:val="20"/>
          <w:szCs w:val="20"/>
          <w:lang w:val="fr-CA"/>
        </w:rPr>
        <w:noBreakHyphen/>
        <w:t xml:space="preserve"> L’appelant Réal Vallée est</w:t>
      </w:r>
      <w:r w:rsidRPr="001B26ED">
        <w:rPr>
          <w:sz w:val="20"/>
          <w:szCs w:val="20"/>
          <w:lang w:val="fr-CA"/>
        </w:rPr>
        <w:noBreakHyphen/>
        <w:t xml:space="preserve">il personnellement responsable? </w:t>
      </w:r>
      <w:r w:rsidRPr="001B26ED">
        <w:rPr>
          <w:sz w:val="20"/>
          <w:szCs w:val="20"/>
          <w:lang w:val="fr-CA"/>
        </w:rPr>
        <w:noBreakHyphen/>
      </w:r>
      <w:r w:rsidRPr="001B26ED">
        <w:rPr>
          <w:i/>
          <w:iCs/>
          <w:sz w:val="20"/>
          <w:szCs w:val="20"/>
          <w:lang w:val="fr-CA"/>
        </w:rPr>
        <w:t xml:space="preserve"> Loi sur la responsabilité en matière maritime</w:t>
      </w:r>
      <w:r w:rsidRPr="001B26ED">
        <w:rPr>
          <w:sz w:val="20"/>
          <w:szCs w:val="20"/>
          <w:lang w:val="fr-CA"/>
        </w:rPr>
        <w:t xml:space="preserve">, L.C. 2001, ch. 6, Annexe I, art. 4 </w:t>
      </w:r>
      <w:r w:rsidRPr="001B26ED">
        <w:rPr>
          <w:sz w:val="20"/>
          <w:szCs w:val="20"/>
          <w:lang w:val="fr-CA"/>
        </w:rPr>
        <w:noBreakHyphen/>
      </w:r>
      <w:r w:rsidRPr="001B26ED">
        <w:rPr>
          <w:i/>
          <w:iCs/>
          <w:sz w:val="20"/>
          <w:szCs w:val="20"/>
          <w:lang w:val="fr-CA"/>
        </w:rPr>
        <w:t xml:space="preserve"> Loi sur l’assurance maritime</w:t>
      </w:r>
      <w:r w:rsidRPr="001B26ED">
        <w:rPr>
          <w:sz w:val="20"/>
          <w:szCs w:val="20"/>
          <w:lang w:val="fr-CA"/>
        </w:rPr>
        <w:t>, L.C. 1993, ch. 22, paragraphe 53(2).</w:t>
      </w:r>
    </w:p>
    <w:p w:rsidR="005E6241" w:rsidRPr="001B26ED" w:rsidRDefault="005E6241" w:rsidP="005E6241">
      <w:pPr>
        <w:widowControl w:val="0"/>
        <w:jc w:val="both"/>
        <w:rPr>
          <w:sz w:val="20"/>
          <w:szCs w:val="20"/>
          <w:lang w:val="fr-CA"/>
        </w:rPr>
      </w:pPr>
    </w:p>
    <w:p w:rsidR="005E6241" w:rsidRPr="001B26ED" w:rsidRDefault="005E6241" w:rsidP="005E6241">
      <w:pPr>
        <w:widowControl w:val="0"/>
        <w:jc w:val="both"/>
        <w:rPr>
          <w:sz w:val="20"/>
          <w:szCs w:val="20"/>
          <w:lang w:val="fr-CA"/>
        </w:rPr>
      </w:pPr>
      <w:r w:rsidRPr="001B26ED">
        <w:rPr>
          <w:sz w:val="20"/>
          <w:szCs w:val="20"/>
          <w:lang w:val="fr-CA"/>
        </w:rPr>
        <w:t xml:space="preserve">L’appelant Réal Vallée est un pêcheur qui exploitait le navire de pêche </w:t>
      </w:r>
      <w:r w:rsidRPr="001B26ED">
        <w:rPr>
          <w:i/>
          <w:sz w:val="20"/>
          <w:szCs w:val="20"/>
          <w:lang w:val="fr-CA"/>
        </w:rPr>
        <w:t>Realice</w:t>
      </w:r>
      <w:r w:rsidRPr="001B26ED">
        <w:rPr>
          <w:sz w:val="20"/>
          <w:szCs w:val="20"/>
          <w:lang w:val="fr-CA"/>
        </w:rPr>
        <w:t xml:space="preserve"> dans le fleuve Saint</w:t>
      </w:r>
      <w:r w:rsidRPr="001B26ED">
        <w:rPr>
          <w:sz w:val="20"/>
          <w:szCs w:val="20"/>
          <w:lang w:val="fr-CA"/>
        </w:rPr>
        <w:noBreakHyphen/>
        <w:t>Laurent entre Baie Comeau et Rivière</w:t>
      </w:r>
      <w:r w:rsidRPr="001B26ED">
        <w:rPr>
          <w:sz w:val="20"/>
          <w:szCs w:val="20"/>
          <w:lang w:val="fr-CA"/>
        </w:rPr>
        <w:noBreakHyphen/>
        <w:t>à</w:t>
      </w:r>
      <w:r w:rsidRPr="001B26ED">
        <w:rPr>
          <w:sz w:val="20"/>
          <w:szCs w:val="20"/>
          <w:lang w:val="fr-CA"/>
        </w:rPr>
        <w:noBreakHyphen/>
        <w:t xml:space="preserve">Claude dans la zone de pêche au crabe désignée « Zone 17 ».  Au moment de l’incident, M. Vallée était âgé de 58 ans et pratiquait la pêche depuis l’âge de 15 ans.  Il est l’unique actionnaire et président de l’appelante Peracomo Inc. qui est propriétaire du navire de pêche </w:t>
      </w:r>
      <w:r w:rsidRPr="001B26ED">
        <w:rPr>
          <w:i/>
          <w:sz w:val="20"/>
          <w:szCs w:val="20"/>
          <w:lang w:val="fr-CA"/>
        </w:rPr>
        <w:t>Realice</w:t>
      </w:r>
      <w:r w:rsidRPr="001B26ED">
        <w:rPr>
          <w:sz w:val="20"/>
          <w:szCs w:val="20"/>
          <w:lang w:val="fr-CA"/>
        </w:rPr>
        <w:t>.  En 2005, M. Vallée pêchait le crabe lorsqu’une de ses ancres a accroché un obstacle qui s’est révélé être un câble connu sous le nom de Sunoque I.  Les intimées Société Telus Communications et Hydro</w:t>
      </w:r>
      <w:r w:rsidRPr="001B26ED">
        <w:rPr>
          <w:sz w:val="20"/>
          <w:szCs w:val="20"/>
          <w:lang w:val="fr-CA"/>
        </w:rPr>
        <w:noBreakHyphen/>
        <w:t>Québec sont copropriétaires du Sunoque I tandis que Bell Canada a le droit d’usage à son égard.  Après avoir accroché le câble en 2005, M. Vallée a vu une carte dans un musée local (une ancienne église) qui indiquait une ligne qui passait dans la zone dans laquelle il pêchait et au</w:t>
      </w:r>
      <w:r w:rsidRPr="001B26ED">
        <w:rPr>
          <w:sz w:val="20"/>
          <w:szCs w:val="20"/>
          <w:lang w:val="fr-CA"/>
        </w:rPr>
        <w:noBreakHyphen/>
        <w:t>dessus de laquelle était écrit à la main le mot « abandonné ».  Par conséquent, lorsqu’il a accroché de nouveau le câble en 2006, il croyait que le câble avait été abandonné et il l’a coupé avec une scie électrique circulaire.  Il est retourné au même emplacement le lendemain ou le surlendemain, a libéré l’ancre et a de nouveau coupé le câble une deuxième fois.  Par la suite, les intimées Telus ont intenté une poursuite contre les appelants pour récupérer les frais de réparation du câble sectionné.</w:t>
      </w:r>
    </w:p>
    <w:p w:rsidR="005E6241" w:rsidRPr="001B26ED" w:rsidRDefault="005E6241" w:rsidP="005E6241">
      <w:pPr>
        <w:widowControl w:val="0"/>
        <w:jc w:val="both"/>
        <w:rPr>
          <w:sz w:val="20"/>
          <w:szCs w:val="20"/>
          <w:lang w:val="fr-CA"/>
        </w:rPr>
      </w:pPr>
    </w:p>
    <w:p w:rsidR="005E6241" w:rsidRPr="001B26ED" w:rsidRDefault="005E6241" w:rsidP="005E6241">
      <w:pPr>
        <w:widowControl w:val="0"/>
        <w:jc w:val="both"/>
        <w:rPr>
          <w:sz w:val="20"/>
          <w:szCs w:val="20"/>
          <w:lang w:val="fr-CA"/>
        </w:rPr>
      </w:pPr>
    </w:p>
    <w:p w:rsidR="005E6241" w:rsidRPr="001B26ED" w:rsidRDefault="005E6241" w:rsidP="005E6241">
      <w:pPr>
        <w:widowControl w:val="0"/>
        <w:ind w:left="2880" w:hanging="2880"/>
        <w:jc w:val="both"/>
        <w:rPr>
          <w:sz w:val="20"/>
          <w:szCs w:val="20"/>
          <w:lang w:val="fr-CA"/>
        </w:rPr>
      </w:pPr>
      <w:r w:rsidRPr="001B26ED">
        <w:rPr>
          <w:sz w:val="20"/>
          <w:szCs w:val="20"/>
          <w:lang w:val="fr-CA"/>
        </w:rPr>
        <w:t>Origine :</w:t>
      </w:r>
      <w:r w:rsidRPr="001B26ED">
        <w:rPr>
          <w:sz w:val="20"/>
          <w:szCs w:val="20"/>
          <w:lang w:val="fr-CA"/>
        </w:rPr>
        <w:tab/>
        <w:t>Cour d’appel fédérale</w:t>
      </w:r>
    </w:p>
    <w:p w:rsidR="005E6241" w:rsidRPr="001B26ED" w:rsidRDefault="005E6241" w:rsidP="005E6241">
      <w:pPr>
        <w:widowControl w:val="0"/>
        <w:ind w:left="2880" w:hanging="2880"/>
        <w:jc w:val="both"/>
        <w:rPr>
          <w:sz w:val="20"/>
          <w:szCs w:val="20"/>
          <w:lang w:val="fr-CA"/>
        </w:rPr>
      </w:pPr>
    </w:p>
    <w:p w:rsidR="005E6241" w:rsidRPr="001B26ED" w:rsidRDefault="005E6241" w:rsidP="005E6241">
      <w:pPr>
        <w:widowControl w:val="0"/>
        <w:ind w:left="2880" w:hanging="2880"/>
        <w:jc w:val="both"/>
        <w:rPr>
          <w:sz w:val="20"/>
          <w:szCs w:val="20"/>
          <w:lang w:val="fr-CA"/>
        </w:rPr>
      </w:pPr>
      <w:r w:rsidRPr="001B26ED">
        <w:rPr>
          <w:sz w:val="20"/>
          <w:szCs w:val="20"/>
          <w:lang w:val="fr-CA"/>
        </w:rPr>
        <w:t>N</w:t>
      </w:r>
      <w:r w:rsidRPr="001B26ED">
        <w:rPr>
          <w:sz w:val="20"/>
          <w:szCs w:val="20"/>
          <w:vertAlign w:val="superscript"/>
          <w:lang w:val="fr-CA"/>
        </w:rPr>
        <w:t>o</w:t>
      </w:r>
      <w:r w:rsidRPr="001B26ED">
        <w:rPr>
          <w:sz w:val="20"/>
          <w:szCs w:val="20"/>
          <w:lang w:val="fr-CA"/>
        </w:rPr>
        <w:t xml:space="preserve"> du greffe :</w:t>
      </w:r>
      <w:r w:rsidRPr="001B26ED">
        <w:rPr>
          <w:sz w:val="20"/>
          <w:szCs w:val="20"/>
          <w:lang w:val="fr-CA"/>
        </w:rPr>
        <w:tab/>
        <w:t>34991</w:t>
      </w:r>
    </w:p>
    <w:p w:rsidR="005E6241" w:rsidRPr="001B26ED" w:rsidRDefault="005E6241" w:rsidP="005E6241">
      <w:pPr>
        <w:widowControl w:val="0"/>
        <w:ind w:left="2880" w:hanging="2880"/>
        <w:jc w:val="both"/>
        <w:rPr>
          <w:sz w:val="20"/>
          <w:szCs w:val="20"/>
          <w:lang w:val="fr-CA"/>
        </w:rPr>
      </w:pPr>
    </w:p>
    <w:p w:rsidR="005E6241" w:rsidRPr="001B26ED" w:rsidRDefault="005E6241" w:rsidP="005E6241">
      <w:pPr>
        <w:widowControl w:val="0"/>
        <w:ind w:left="2880" w:hanging="2880"/>
        <w:jc w:val="both"/>
        <w:rPr>
          <w:sz w:val="20"/>
          <w:szCs w:val="20"/>
          <w:lang w:val="fr-CA"/>
        </w:rPr>
      </w:pPr>
      <w:r w:rsidRPr="001B26ED">
        <w:rPr>
          <w:sz w:val="20"/>
          <w:szCs w:val="20"/>
          <w:lang w:val="fr-CA"/>
        </w:rPr>
        <w:t>Arrêt de la Cour d’appel :</w:t>
      </w:r>
      <w:r w:rsidRPr="001B26ED">
        <w:rPr>
          <w:sz w:val="20"/>
          <w:szCs w:val="20"/>
          <w:lang w:val="fr-CA"/>
        </w:rPr>
        <w:tab/>
        <w:t>le 29 juin 2012</w:t>
      </w:r>
    </w:p>
    <w:p w:rsidR="005E6241" w:rsidRPr="001B26ED" w:rsidRDefault="005E6241" w:rsidP="005E6241">
      <w:pPr>
        <w:widowControl w:val="0"/>
        <w:ind w:left="2880" w:hanging="2880"/>
        <w:jc w:val="both"/>
        <w:rPr>
          <w:sz w:val="20"/>
          <w:szCs w:val="20"/>
          <w:lang w:val="fr-CA"/>
        </w:rPr>
      </w:pPr>
    </w:p>
    <w:p w:rsidR="005E6241" w:rsidRPr="001B26ED" w:rsidRDefault="005E6241" w:rsidP="005E6241">
      <w:pPr>
        <w:widowControl w:val="0"/>
        <w:ind w:left="2880" w:hanging="2880"/>
        <w:jc w:val="both"/>
        <w:rPr>
          <w:sz w:val="20"/>
          <w:szCs w:val="20"/>
          <w:lang w:val="fr-CA"/>
        </w:rPr>
      </w:pPr>
      <w:r w:rsidRPr="001B26ED">
        <w:rPr>
          <w:sz w:val="20"/>
          <w:szCs w:val="20"/>
          <w:lang w:val="fr-CA"/>
        </w:rPr>
        <w:t>Avocats :</w:t>
      </w:r>
      <w:r w:rsidRPr="001B26ED">
        <w:rPr>
          <w:sz w:val="20"/>
          <w:szCs w:val="20"/>
          <w:lang w:val="fr-CA"/>
        </w:rPr>
        <w:tab/>
        <w:t>Nicholas J. Spillane pour les appelants</w:t>
      </w:r>
    </w:p>
    <w:p w:rsidR="005E6241" w:rsidRPr="001B26ED" w:rsidRDefault="005E6241" w:rsidP="005E6241">
      <w:pPr>
        <w:widowControl w:val="0"/>
        <w:ind w:left="2880" w:hanging="2880"/>
        <w:jc w:val="both"/>
        <w:rPr>
          <w:sz w:val="20"/>
          <w:szCs w:val="20"/>
          <w:lang w:val="fr-CA"/>
        </w:rPr>
      </w:pPr>
      <w:r>
        <w:rPr>
          <w:sz w:val="20"/>
          <w:szCs w:val="20"/>
          <w:lang w:val="fr-CA"/>
        </w:rPr>
        <w:tab/>
      </w:r>
      <w:r w:rsidRPr="001B26ED">
        <w:rPr>
          <w:sz w:val="20"/>
          <w:szCs w:val="20"/>
          <w:lang w:val="fr-CA"/>
        </w:rPr>
        <w:t>Jean</w:t>
      </w:r>
      <w:r w:rsidRPr="001B26ED">
        <w:rPr>
          <w:sz w:val="20"/>
          <w:szCs w:val="20"/>
          <w:lang w:val="fr-CA"/>
        </w:rPr>
        <w:noBreakHyphen/>
        <w:t xml:space="preserve">François De Rico, Jean Grégoire, Michel Jolin et John O’Connor pour les intimées Telus </w:t>
      </w:r>
    </w:p>
    <w:p w:rsidR="005E6241" w:rsidRPr="001B26ED" w:rsidRDefault="005E6241" w:rsidP="005E6241">
      <w:pPr>
        <w:widowControl w:val="0"/>
        <w:ind w:left="2880" w:hanging="2880"/>
        <w:jc w:val="both"/>
        <w:rPr>
          <w:sz w:val="20"/>
          <w:szCs w:val="20"/>
          <w:lang w:val="fr-CA"/>
        </w:rPr>
      </w:pPr>
      <w:r>
        <w:rPr>
          <w:sz w:val="20"/>
          <w:szCs w:val="20"/>
          <w:lang w:val="fr-CA"/>
        </w:rPr>
        <w:tab/>
      </w:r>
      <w:r w:rsidRPr="001B26ED">
        <w:rPr>
          <w:sz w:val="20"/>
          <w:szCs w:val="20"/>
          <w:lang w:val="fr-CA"/>
        </w:rPr>
        <w:t>Jean</w:t>
      </w:r>
      <w:r w:rsidRPr="001B26ED">
        <w:rPr>
          <w:sz w:val="20"/>
          <w:szCs w:val="20"/>
          <w:lang w:val="fr-CA"/>
        </w:rPr>
        <w:noBreakHyphen/>
        <w:t>François Bilodeau pour l’intimée Royal and Sun Alliance Insurance Company of Canada, société d’assurances</w:t>
      </w:r>
    </w:p>
    <w:p w:rsidR="005E6241" w:rsidRPr="00DD0B49" w:rsidRDefault="005E6241" w:rsidP="005E6241">
      <w:pPr>
        <w:tabs>
          <w:tab w:val="left" w:pos="-1440"/>
          <w:tab w:val="left" w:pos="-720"/>
        </w:tabs>
        <w:jc w:val="both"/>
        <w:rPr>
          <w:sz w:val="20"/>
          <w:szCs w:val="20"/>
          <w:lang w:val="fr-CA"/>
        </w:rPr>
      </w:pPr>
    </w:p>
    <w:p w:rsidR="005E6241" w:rsidRDefault="00CC2008" w:rsidP="005E6241">
      <w:pPr>
        <w:tabs>
          <w:tab w:val="left" w:pos="-1440"/>
          <w:tab w:val="left" w:pos="-720"/>
        </w:tabs>
        <w:jc w:val="both"/>
        <w:rPr>
          <w:sz w:val="20"/>
          <w:szCs w:val="20"/>
          <w:lang w:val="fr-CA"/>
        </w:rPr>
      </w:pPr>
      <w:r w:rsidRPr="00CC2008">
        <w:rPr>
          <w:sz w:val="20"/>
          <w:szCs w:val="20"/>
          <w:lang w:val="fr-CA"/>
        </w:rPr>
        <w:pict>
          <v:rect id="_x0000_i1102" style="width:2in;height:1pt" o:hrpct="0" o:hralign="center" o:hrstd="t" o:hrnoshade="t" o:hr="t" fillcolor="black [3213]" stroked="f"/>
        </w:pict>
      </w:r>
    </w:p>
    <w:p w:rsidR="005E6241" w:rsidRDefault="005E6241" w:rsidP="005E6241">
      <w:pPr>
        <w:tabs>
          <w:tab w:val="left" w:pos="-1440"/>
          <w:tab w:val="left" w:pos="-720"/>
        </w:tabs>
        <w:jc w:val="both"/>
        <w:rPr>
          <w:sz w:val="20"/>
          <w:szCs w:val="20"/>
          <w:lang w:val="fr-CA"/>
        </w:rPr>
      </w:pPr>
    </w:p>
    <w:p w:rsidR="00C77493" w:rsidRPr="00DD0B49" w:rsidRDefault="00C77493"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p w:rsidR="0081610A" w:rsidRPr="002E0C7E" w:rsidRDefault="00CC2008"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642AE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642AE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642AE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DECEMBER - DÉCEMBRE</w:t>
            </w:r>
          </w:p>
        </w:tc>
      </w:tr>
      <w:tr w:rsidR="0081610A" w:rsidRPr="002E0C7E" w:rsidTr="00642AE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S</w:t>
            </w:r>
          </w:p>
        </w:tc>
      </w:tr>
      <w:tr w:rsidR="0081610A" w:rsidRPr="002E0C7E" w:rsidTr="00642AE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642AEE">
            <w:pPr>
              <w:widowControl w:val="0"/>
              <w:jc w:val="center"/>
              <w:rPr>
                <w:rFonts w:ascii="Arial" w:hAnsi="Arial"/>
                <w:b/>
                <w:sz w:val="14"/>
              </w:rPr>
            </w:pPr>
            <w:r>
              <w:rPr>
                <w:rFonts w:ascii="Arial" w:hAnsi="Arial"/>
                <w:b/>
                <w:sz w:val="14"/>
              </w:rPr>
              <w:t>M</w:t>
            </w:r>
          </w:p>
          <w:p w:rsidR="0081610A" w:rsidRPr="002E0C7E" w:rsidRDefault="0081610A" w:rsidP="00642AEE">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7</w:t>
            </w:r>
          </w:p>
        </w:tc>
      </w:tr>
      <w:tr w:rsidR="0081610A" w:rsidRPr="002E0C7E" w:rsidTr="00642AE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642AEE">
            <w:pPr>
              <w:widowControl w:val="0"/>
              <w:jc w:val="center"/>
              <w:rPr>
                <w:rFonts w:ascii="Arial" w:hAnsi="Arial"/>
                <w:b/>
                <w:sz w:val="14"/>
              </w:rPr>
            </w:pPr>
            <w:r>
              <w:rPr>
                <w:rFonts w:ascii="Arial" w:hAnsi="Arial"/>
                <w:b/>
                <w:sz w:val="14"/>
              </w:rPr>
              <w:t>M</w:t>
            </w:r>
          </w:p>
          <w:p w:rsidR="0081610A" w:rsidRPr="002E0C7E" w:rsidRDefault="0081610A" w:rsidP="00642AEE">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642AEE">
            <w:pPr>
              <w:widowControl w:val="0"/>
              <w:jc w:val="center"/>
              <w:rPr>
                <w:rFonts w:ascii="Arial" w:hAnsi="Arial"/>
                <w:b/>
                <w:sz w:val="14"/>
              </w:rPr>
            </w:pPr>
          </w:p>
          <w:p w:rsidR="0081610A" w:rsidRPr="002E0C7E" w:rsidRDefault="0081610A" w:rsidP="00642A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M</w:t>
            </w:r>
          </w:p>
          <w:p w:rsidR="0081610A" w:rsidRPr="002E0C7E" w:rsidRDefault="0081610A" w:rsidP="00642AEE">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14</w:t>
            </w:r>
          </w:p>
        </w:tc>
      </w:tr>
      <w:tr w:rsidR="0081610A" w:rsidRPr="002E0C7E" w:rsidTr="00642AE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642AEE">
            <w:pPr>
              <w:widowControl w:val="0"/>
              <w:jc w:val="center"/>
              <w:rPr>
                <w:rFonts w:ascii="Arial" w:hAnsi="Arial"/>
                <w:b/>
                <w:sz w:val="14"/>
              </w:rPr>
            </w:pPr>
            <w:r>
              <w:rPr>
                <w:rFonts w:ascii="Arial" w:hAnsi="Arial"/>
                <w:b/>
                <w:sz w:val="14"/>
              </w:rPr>
              <w:t>H</w:t>
            </w: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642AEE">
            <w:pPr>
              <w:widowControl w:val="0"/>
              <w:jc w:val="center"/>
              <w:rPr>
                <w:rFonts w:ascii="Arial" w:hAnsi="Arial"/>
                <w:sz w:val="14"/>
              </w:rPr>
            </w:pPr>
            <w:r>
              <w:rPr>
                <w:rFonts w:ascii="Arial" w:hAnsi="Arial"/>
                <w:b/>
                <w:sz w:val="14"/>
              </w:rPr>
              <w:t>H</w:t>
            </w: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642AE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642AEE">
            <w:pPr>
              <w:widowControl w:val="0"/>
              <w:jc w:val="center"/>
              <w:rPr>
                <w:rFonts w:ascii="Arial" w:hAnsi="Arial"/>
                <w:b/>
                <w:sz w:val="14"/>
              </w:rPr>
            </w:pPr>
            <w:r>
              <w:rPr>
                <w:rFonts w:ascii="Arial" w:hAnsi="Arial"/>
                <w:b/>
                <w:sz w:val="14"/>
              </w:rPr>
              <w:t>H</w:t>
            </w:r>
          </w:p>
          <w:p w:rsidR="0081610A" w:rsidRPr="002E0C7E" w:rsidRDefault="0081610A" w:rsidP="00642AEE">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642AEE">
            <w:pPr>
              <w:widowControl w:val="0"/>
              <w:jc w:val="center"/>
              <w:rPr>
                <w:rFonts w:ascii="Arial" w:hAnsi="Arial"/>
                <w:b/>
                <w:sz w:val="14"/>
              </w:rPr>
            </w:pPr>
            <w:r>
              <w:rPr>
                <w:rFonts w:ascii="Arial" w:hAnsi="Arial"/>
                <w:b/>
                <w:sz w:val="14"/>
              </w:rPr>
              <w:t>H</w:t>
            </w:r>
          </w:p>
          <w:p w:rsidR="0081610A" w:rsidRPr="002E0C7E" w:rsidRDefault="0081610A" w:rsidP="00642AEE">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642AE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642AE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642AE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642AE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MARCH - MARS</w:t>
            </w:r>
          </w:p>
        </w:tc>
      </w:tr>
      <w:tr w:rsidR="0081610A" w:rsidRPr="002E0C7E" w:rsidTr="00642AE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S</w:t>
            </w:r>
          </w:p>
        </w:tc>
      </w:tr>
      <w:tr w:rsidR="0081610A" w:rsidRPr="002E0C7E" w:rsidTr="00642A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642AEE">
            <w:pPr>
              <w:widowControl w:val="0"/>
              <w:jc w:val="center"/>
              <w:rPr>
                <w:rFonts w:ascii="Arial" w:hAnsi="Arial"/>
                <w:b/>
                <w:sz w:val="14"/>
              </w:rPr>
            </w:pPr>
          </w:p>
          <w:p w:rsidR="0081610A" w:rsidRPr="002E0C7E" w:rsidRDefault="0081610A" w:rsidP="00642AE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642AEE">
            <w:pPr>
              <w:widowControl w:val="0"/>
              <w:jc w:val="center"/>
              <w:rPr>
                <w:rFonts w:ascii="Arial" w:hAnsi="Arial"/>
                <w:b/>
                <w:sz w:val="14"/>
              </w:rPr>
            </w:pPr>
            <w:r>
              <w:rPr>
                <w:rFonts w:ascii="Arial" w:hAnsi="Arial"/>
                <w:b/>
                <w:sz w:val="14"/>
              </w:rPr>
              <w:t>H</w:t>
            </w:r>
          </w:p>
          <w:p w:rsidR="0081610A" w:rsidRPr="002E0C7E" w:rsidRDefault="0081610A" w:rsidP="00642AE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w:t>
            </w:r>
          </w:p>
        </w:tc>
      </w:tr>
      <w:tr w:rsidR="0081610A" w:rsidRPr="002E0C7E" w:rsidTr="00642A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8</w:t>
            </w:r>
          </w:p>
        </w:tc>
      </w:tr>
      <w:tr w:rsidR="0081610A" w:rsidRPr="002E0C7E" w:rsidTr="00642AE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642AEE">
            <w:pPr>
              <w:widowControl w:val="0"/>
              <w:jc w:val="center"/>
              <w:rPr>
                <w:rFonts w:ascii="Arial" w:hAnsi="Arial"/>
                <w:b/>
                <w:sz w:val="14"/>
              </w:rPr>
            </w:pPr>
            <w:r>
              <w:rPr>
                <w:rFonts w:ascii="Arial" w:hAnsi="Arial"/>
                <w:b/>
                <w:sz w:val="14"/>
              </w:rPr>
              <w:t>M</w:t>
            </w: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642AEE">
            <w:pPr>
              <w:widowControl w:val="0"/>
              <w:jc w:val="center"/>
              <w:rPr>
                <w:rFonts w:ascii="Arial" w:hAnsi="Arial"/>
                <w:b/>
                <w:sz w:val="14"/>
              </w:rPr>
            </w:pPr>
            <w:r>
              <w:rPr>
                <w:rFonts w:ascii="Arial" w:hAnsi="Arial"/>
                <w:b/>
                <w:sz w:val="14"/>
              </w:rPr>
              <w:t>M</w:t>
            </w: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642A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642AEE">
            <w:pPr>
              <w:widowControl w:val="0"/>
              <w:jc w:val="center"/>
              <w:rPr>
                <w:rFonts w:ascii="Arial" w:hAnsi="Arial"/>
                <w:b/>
                <w:sz w:val="14"/>
              </w:rPr>
            </w:pPr>
            <w:r>
              <w:rPr>
                <w:rFonts w:ascii="Arial" w:hAnsi="Arial"/>
                <w:b/>
                <w:sz w:val="14"/>
              </w:rPr>
              <w:t>M</w:t>
            </w: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642AE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Pr>
                <w:rFonts w:ascii="Arial" w:hAnsi="Arial"/>
                <w:sz w:val="14"/>
              </w:rPr>
              <w:t>23</w:t>
            </w:r>
          </w:p>
          <w:p w:rsidR="0081610A" w:rsidRPr="002E0C7E" w:rsidRDefault="0081610A" w:rsidP="00642AEE">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r>
              <w:rPr>
                <w:rFonts w:ascii="Arial" w:hAnsi="Arial"/>
                <w:sz w:val="14"/>
              </w:rPr>
              <w:t>24</w:t>
            </w:r>
          </w:p>
          <w:p w:rsidR="0081610A" w:rsidRPr="002E0C7E" w:rsidRDefault="0081610A" w:rsidP="00642AEE">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642AEE">
            <w:pPr>
              <w:widowControl w:val="0"/>
              <w:jc w:val="center"/>
              <w:rPr>
                <w:rFonts w:ascii="Arial" w:hAnsi="Arial"/>
                <w:b/>
                <w:sz w:val="14"/>
              </w:rPr>
            </w:pPr>
          </w:p>
          <w:p w:rsidR="0081610A" w:rsidRPr="002E0C7E" w:rsidRDefault="0081610A" w:rsidP="00642AE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642AE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642AE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642AE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642AEE">
            <w:pPr>
              <w:widowControl w:val="0"/>
              <w:jc w:val="center"/>
              <w:rPr>
                <w:rFonts w:ascii="Arial" w:hAnsi="Arial"/>
                <w:sz w:val="14"/>
              </w:rPr>
            </w:pPr>
            <w:r w:rsidRPr="002E0C7E">
              <w:rPr>
                <w:rFonts w:ascii="Arial" w:hAnsi="Arial"/>
                <w:b/>
                <w:sz w:val="14"/>
              </w:rPr>
              <w:t>JUNE - JUIN</w:t>
            </w:r>
          </w:p>
        </w:tc>
      </w:tr>
      <w:tr w:rsidR="0081610A" w:rsidRPr="002E0C7E" w:rsidTr="00642AE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S</w:t>
            </w:r>
          </w:p>
          <w:p w:rsidR="0081610A" w:rsidRPr="002E0C7E" w:rsidRDefault="0081610A" w:rsidP="00642A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M</w:t>
            </w:r>
          </w:p>
          <w:p w:rsidR="0081610A" w:rsidRPr="002E0C7E" w:rsidRDefault="0081610A" w:rsidP="00642A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W</w:t>
            </w:r>
          </w:p>
          <w:p w:rsidR="0081610A" w:rsidRPr="002E0C7E" w:rsidRDefault="0081610A" w:rsidP="00642A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T</w:t>
            </w:r>
          </w:p>
          <w:p w:rsidR="0081610A" w:rsidRPr="002E0C7E" w:rsidRDefault="0081610A" w:rsidP="00642A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sidRPr="002E0C7E">
              <w:rPr>
                <w:rFonts w:ascii="Arial" w:hAnsi="Arial"/>
                <w:sz w:val="14"/>
              </w:rPr>
              <w:t>F</w:t>
            </w:r>
          </w:p>
          <w:p w:rsidR="0081610A" w:rsidRPr="002E0C7E" w:rsidRDefault="0081610A" w:rsidP="00642AE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r>
              <w:rPr>
                <w:rFonts w:ascii="Arial" w:hAnsi="Arial"/>
                <w:sz w:val="14"/>
              </w:rPr>
              <w:t>S</w:t>
            </w:r>
          </w:p>
          <w:p w:rsidR="0081610A" w:rsidRPr="002E0C7E" w:rsidRDefault="0081610A" w:rsidP="00642AEE">
            <w:pPr>
              <w:widowControl w:val="0"/>
              <w:jc w:val="center"/>
              <w:rPr>
                <w:rFonts w:ascii="Arial" w:hAnsi="Arial"/>
                <w:sz w:val="14"/>
              </w:rPr>
            </w:pPr>
            <w:r>
              <w:rPr>
                <w:rFonts w:ascii="Arial" w:hAnsi="Arial"/>
                <w:sz w:val="14"/>
              </w:rPr>
              <w:t>S</w:t>
            </w:r>
          </w:p>
        </w:tc>
      </w:tr>
      <w:tr w:rsidR="0081610A" w:rsidRPr="002E0C7E" w:rsidTr="00642AEE">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b/>
                <w:sz w:val="14"/>
              </w:rPr>
            </w:pPr>
          </w:p>
          <w:p w:rsidR="0081610A" w:rsidRPr="002E0C7E" w:rsidRDefault="0081610A" w:rsidP="00642A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7</w:t>
            </w:r>
          </w:p>
        </w:tc>
      </w:tr>
      <w:tr w:rsidR="0081610A" w:rsidRPr="002E0C7E" w:rsidTr="00642A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642AEE">
            <w:pPr>
              <w:widowControl w:val="0"/>
              <w:jc w:val="center"/>
              <w:rPr>
                <w:rFonts w:ascii="Arial" w:hAnsi="Arial"/>
                <w:b/>
                <w:sz w:val="14"/>
              </w:rPr>
            </w:pPr>
          </w:p>
          <w:p w:rsidR="0081610A" w:rsidRPr="002E0C7E" w:rsidRDefault="0081610A" w:rsidP="00642AE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14</w:t>
            </w:r>
          </w:p>
        </w:tc>
      </w:tr>
      <w:tr w:rsidR="0081610A" w:rsidRPr="002E0C7E" w:rsidTr="00642AE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642AEE">
            <w:pPr>
              <w:widowControl w:val="0"/>
              <w:jc w:val="center"/>
              <w:rPr>
                <w:rFonts w:ascii="Arial" w:hAnsi="Arial"/>
                <w:b/>
                <w:sz w:val="14"/>
              </w:rPr>
            </w:pPr>
            <w:r w:rsidRPr="00DB5777">
              <w:rPr>
                <w:rFonts w:ascii="Arial" w:hAnsi="Arial"/>
                <w:b/>
                <w:sz w:val="14"/>
              </w:rPr>
              <w:t>M</w:t>
            </w: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642AEE">
            <w:pPr>
              <w:widowControl w:val="0"/>
              <w:jc w:val="center"/>
              <w:rPr>
                <w:rFonts w:ascii="Arial" w:hAnsi="Arial"/>
                <w:b/>
                <w:sz w:val="14"/>
              </w:rPr>
            </w:pPr>
            <w:r>
              <w:rPr>
                <w:rFonts w:ascii="Arial" w:hAnsi="Arial"/>
                <w:b/>
                <w:sz w:val="14"/>
              </w:rPr>
              <w:t>H</w:t>
            </w:r>
          </w:p>
          <w:p w:rsidR="0081610A" w:rsidRPr="002E0C7E" w:rsidRDefault="0081610A" w:rsidP="00642AE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642AEE">
            <w:pPr>
              <w:widowControl w:val="0"/>
              <w:jc w:val="center"/>
              <w:rPr>
                <w:rFonts w:ascii="Arial" w:hAnsi="Arial"/>
                <w:b/>
                <w:sz w:val="14"/>
              </w:rPr>
            </w:pPr>
            <w:r w:rsidRPr="002453E3">
              <w:rPr>
                <w:rFonts w:ascii="Arial" w:hAnsi="Arial"/>
                <w:b/>
                <w:sz w:val="14"/>
              </w:rPr>
              <w:t>M</w:t>
            </w: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642AEE">
            <w:pPr>
              <w:widowControl w:val="0"/>
              <w:jc w:val="center"/>
              <w:rPr>
                <w:rFonts w:ascii="Arial" w:hAnsi="Arial"/>
                <w:b/>
                <w:sz w:val="14"/>
              </w:rPr>
            </w:pPr>
            <w:r w:rsidRPr="006A1E8D">
              <w:rPr>
                <w:rFonts w:ascii="Arial" w:hAnsi="Arial"/>
                <w:b/>
                <w:sz w:val="14"/>
              </w:rPr>
              <w:t>M</w:t>
            </w: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642A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642AEE">
            <w:pPr>
              <w:widowControl w:val="0"/>
              <w:jc w:val="center"/>
              <w:rPr>
                <w:rFonts w:ascii="Arial" w:hAnsi="Arial"/>
                <w:b/>
                <w:sz w:val="14"/>
              </w:rPr>
            </w:pPr>
            <w:r w:rsidRPr="00CD57C3">
              <w:rPr>
                <w:rFonts w:ascii="Arial" w:hAnsi="Arial"/>
                <w:b/>
                <w:sz w:val="14"/>
              </w:rPr>
              <w:t>H</w:t>
            </w: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642AEE">
            <w:pPr>
              <w:widowControl w:val="0"/>
              <w:jc w:val="center"/>
              <w:rPr>
                <w:rFonts w:ascii="Arial" w:hAnsi="Arial"/>
                <w:b/>
                <w:sz w:val="14"/>
              </w:rPr>
            </w:pPr>
            <w:r>
              <w:rPr>
                <w:rFonts w:ascii="Arial" w:hAnsi="Arial"/>
                <w:b/>
                <w:sz w:val="14"/>
              </w:rPr>
              <w:t>H</w:t>
            </w:r>
          </w:p>
          <w:p w:rsidR="0081610A" w:rsidRPr="002E0C7E" w:rsidRDefault="0081610A" w:rsidP="00642AEE">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642AE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642AEE">
            <w:pPr>
              <w:widowControl w:val="0"/>
              <w:jc w:val="center"/>
              <w:rPr>
                <w:rFonts w:ascii="Arial" w:hAnsi="Arial"/>
                <w:sz w:val="14"/>
              </w:rPr>
            </w:pPr>
          </w:p>
          <w:p w:rsidR="0081610A" w:rsidRPr="002E0C7E" w:rsidRDefault="0081610A" w:rsidP="00642AEE">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642AEE">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642AEE">
            <w:pPr>
              <w:widowControl w:val="0"/>
              <w:rPr>
                <w:rFonts w:ascii="Arial" w:hAnsi="Arial"/>
                <w:sz w:val="16"/>
              </w:rPr>
            </w:pPr>
            <w:r w:rsidRPr="002E0C7E">
              <w:rPr>
                <w:rFonts w:ascii="Arial" w:hAnsi="Arial"/>
                <w:sz w:val="16"/>
              </w:rPr>
              <w:t>Sittings of the court:</w:t>
            </w:r>
          </w:p>
          <w:p w:rsidR="0081610A" w:rsidRPr="002E0C7E" w:rsidRDefault="0081610A" w:rsidP="00642AE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642AEE">
            <w:pPr>
              <w:widowControl w:val="0"/>
              <w:rPr>
                <w:rFonts w:ascii="Arial" w:hAnsi="Arial"/>
                <w:sz w:val="16"/>
              </w:rPr>
            </w:pPr>
          </w:p>
          <w:p w:rsidR="0081610A" w:rsidRPr="002E0C7E" w:rsidRDefault="0081610A" w:rsidP="00642AE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642AE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642AE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642AE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642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9"/>
      <w:footerReference w:type="default" r:id="rId10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CA" w:rsidRDefault="003944CA" w:rsidP="00A87207">
      <w:r>
        <w:separator/>
      </w:r>
    </w:p>
  </w:endnote>
  <w:endnote w:type="continuationSeparator" w:id="0">
    <w:p w:rsidR="003944CA" w:rsidRDefault="003944CA"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pPr>
      <w:pStyle w:val="Footer"/>
      <w:rPr>
        <w:lang w:val="fr-CA"/>
      </w:rPr>
    </w:pPr>
    <w:r w:rsidRPr="00CC2008">
      <w:rPr>
        <w:lang w:val="fr-CA"/>
      </w:rPr>
      <w:pict>
        <v:rect id="_x0000_i1060" style="width:480.95pt;height:1pt" o:hralign="center" o:hrstd="t" o:hrnoshade="t" o:hr="t" fillcolor="black [3213]" stroked="f"/>
      </w:pict>
    </w:r>
  </w:p>
  <w:p w:rsidR="003944CA" w:rsidRDefault="003944CA" w:rsidP="00245129">
    <w:pPr>
      <w:tabs>
        <w:tab w:val="center" w:pos="4680"/>
      </w:tabs>
    </w:pPr>
    <w:r>
      <w:tab/>
    </w:r>
    <w:r w:rsidRPr="0009648D">
      <w:t xml:space="preserve">- </w:t>
    </w:r>
    <w:fldSimple w:instr=" PAGE   \* MERGEFORMAT ">
      <w:r w:rsidR="008B61BC">
        <w:rPr>
          <w:noProof/>
        </w:rPr>
        <w:t>1711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4CA" w:rsidRDefault="003944C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755F22">
    <w:pPr>
      <w:tabs>
        <w:tab w:val="left" w:pos="-1440"/>
        <w:tab w:val="left" w:pos="-720"/>
      </w:tabs>
    </w:pPr>
    <w:r>
      <w:pict>
        <v:rect id="_x0000_i1064" style="width:480.95pt;height:1pt" o:hralign="center" o:hrstd="t" o:hrnoshade="t" o:hr="t" fillcolor="black [3213]" stroked="f"/>
      </w:pict>
    </w:r>
  </w:p>
  <w:p w:rsidR="003944CA" w:rsidRDefault="003944CA" w:rsidP="00EB2B90">
    <w:pPr>
      <w:tabs>
        <w:tab w:val="center" w:pos="4680"/>
      </w:tabs>
    </w:pPr>
    <w:r>
      <w:tab/>
      <w:t xml:space="preserve">- </w:t>
    </w:r>
    <w:fldSimple w:instr=" PAGE   \* MERGEFORMAT ">
      <w:r w:rsidR="008B61BC">
        <w:rPr>
          <w:noProof/>
        </w:rPr>
        <w:t>1727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EB2B90">
    <w:pPr>
      <w:tabs>
        <w:tab w:val="center" w:pos="4680"/>
      </w:tabs>
    </w:pPr>
    <w:r>
      <w:pict>
        <v:rect id="_x0000_i1065" style="width:480.95pt;height:1pt" o:hralign="center" o:hrstd="t" o:hrnoshade="t" o:hr="t" fillcolor="black [3213]" stroked="f"/>
      </w:pict>
    </w:r>
  </w:p>
  <w:p w:rsidR="003944CA" w:rsidRPr="0031432F" w:rsidRDefault="003944CA" w:rsidP="00EB2B90">
    <w:pPr>
      <w:tabs>
        <w:tab w:val="center" w:pos="4680"/>
      </w:tabs>
    </w:pPr>
    <w:r>
      <w:tab/>
      <w:t xml:space="preserve">- </w:t>
    </w:r>
    <w:fldSimple w:instr=" PAGE   \* MERGEFORMAT ">
      <w:r w:rsidR="008B61BC">
        <w:rPr>
          <w:noProof/>
        </w:rPr>
        <w:t>1726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4CA" w:rsidRDefault="003944CA">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C2008">
      <w:rPr>
        <w:lang w:val="fr-CA"/>
      </w:rPr>
      <w:pict>
        <v:rect id="_x0000_i1070" style="width:480.95pt;height:1pt" o:hralign="center" o:hrstd="t" o:hrnoshade="t" o:hr="t" fillcolor="black [3213]" stroked="f"/>
      </w:pict>
    </w:r>
  </w:p>
  <w:p w:rsidR="003944CA" w:rsidRDefault="003944CA"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pPr>
      <w:pStyle w:val="Footer"/>
      <w:rPr>
        <w:lang w:val="fr-CA"/>
      </w:rPr>
    </w:pPr>
    <w:r w:rsidRPr="00CC2008">
      <w:rPr>
        <w:lang w:val="fr-CA"/>
      </w:rPr>
      <w:pict>
        <v:rect id="_x0000_i1071" style="width:480.95pt;height:1pt" o:hralign="center" o:hrstd="t" o:hrnoshade="t" o:hr="t" fillcolor="black [3213]" stroked="f"/>
      </w:pict>
    </w:r>
  </w:p>
  <w:p w:rsidR="003944CA" w:rsidRDefault="003944CA" w:rsidP="00EB2B90">
    <w:pPr>
      <w:tabs>
        <w:tab w:val="center" w:pos="4680"/>
      </w:tabs>
    </w:pPr>
    <w:r>
      <w:tab/>
      <w:t xml:space="preserve">- </w:t>
    </w:r>
    <w:fldSimple w:instr=" PAGE   \* MERGEFORMAT ">
      <w:r w:rsidR="008B61BC">
        <w:rPr>
          <w:noProof/>
        </w:rPr>
        <w:t>1728</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4CA" w:rsidRDefault="003944CA">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732DB7">
    <w:r>
      <w:pict>
        <v:rect id="_x0000_i1073" style="width:480.95pt;height:1pt" o:hralign="center" o:hrstd="t" o:hrnoshade="t" o:hr="t" fillcolor="black" stroked="f"/>
      </w:pict>
    </w:r>
  </w:p>
  <w:p w:rsidR="003944CA" w:rsidRDefault="003944CA">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pPr>
      <w:pStyle w:val="Footer"/>
    </w:pPr>
    <w:r>
      <w:pict>
        <v:rect id="_x0000_i1074" style="width:480.95pt;height:1pt" o:hralign="center" o:hrstd="t" o:hrnoshade="t" o:hr="t" fillcolor="black" stroked="f"/>
      </w:pict>
    </w:r>
  </w:p>
  <w:p w:rsidR="003944CA" w:rsidRPr="00283C52" w:rsidRDefault="003944CA">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4CA" w:rsidRDefault="003944C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732DB7">
    <w:r>
      <w:pict>
        <v:rect id="_x0000_i1077" style="width:480.95pt;height:1pt" o:hralign="center" o:hrstd="t" o:hrnoshade="t" o:hr="t" fillcolor="black" stroked="f"/>
      </w:pict>
    </w:r>
  </w:p>
  <w:p w:rsidR="003944CA" w:rsidRDefault="003944CA">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pPr>
      <w:pStyle w:val="Footer"/>
    </w:pPr>
    <w:r>
      <w:pict>
        <v:rect id="_x0000_i1078" style="width:480.95pt;height:1pt" o:hralign="center" o:hrstd="t" o:hrnoshade="t" o:hr="t" fillcolor="black [3213]" stroked="f"/>
      </w:pict>
    </w:r>
  </w:p>
  <w:p w:rsidR="003944CA" w:rsidRPr="003C2C0F" w:rsidRDefault="003944CA" w:rsidP="00697C62">
    <w:pPr>
      <w:tabs>
        <w:tab w:val="center" w:pos="4680"/>
      </w:tabs>
    </w:pPr>
    <w:r>
      <w:tab/>
      <w:t xml:space="preserve">- </w:t>
    </w:r>
    <w:fldSimple w:instr=" PAGE   \* MERGEFORMAT ">
      <w:r w:rsidR="008B61BC">
        <w:rPr>
          <w:noProof/>
        </w:rPr>
        <w:t>1731</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4CA" w:rsidRDefault="003944CA">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4CA" w:rsidRDefault="00CC2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3944CA" w:rsidRDefault="003944CA" w:rsidP="00782AE4">
    <w:pPr>
      <w:tabs>
        <w:tab w:val="center" w:pos="4680"/>
      </w:tabs>
    </w:pPr>
    <w:r>
      <w:tab/>
      <w:t xml:space="preserve">- </w:t>
    </w:r>
    <w:r w:rsidR="00CC2008" w:rsidRPr="001775C1">
      <w:rPr>
        <w:szCs w:val="24"/>
      </w:rPr>
      <w:fldChar w:fldCharType="begin"/>
    </w:r>
    <w:r w:rsidRPr="001775C1">
      <w:rPr>
        <w:szCs w:val="24"/>
      </w:rPr>
      <w:instrText xml:space="preserve"> PAGE   \* MERGEFORMAT </w:instrText>
    </w:r>
    <w:r w:rsidR="00CC2008" w:rsidRPr="001775C1">
      <w:rPr>
        <w:szCs w:val="24"/>
      </w:rPr>
      <w:fldChar w:fldCharType="separate"/>
    </w:r>
    <w:r w:rsidR="008B61BC">
      <w:rPr>
        <w:noProof/>
        <w:szCs w:val="24"/>
      </w:rPr>
      <w:t>1740</w:t>
    </w:r>
    <w:r w:rsidR="00CC2008"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782AE4">
    <w:pPr>
      <w:tabs>
        <w:tab w:val="center" w:pos="4680"/>
      </w:tabs>
    </w:pPr>
    <w:r>
      <w:pict>
        <v:rect id="_x0000_i1084" style="width:480.95pt;height:1pt" o:hralign="center" o:hrstd="t" o:hrnoshade="t" o:hr="t" fillcolor="black [3213]" stroked="f"/>
      </w:pict>
    </w:r>
  </w:p>
  <w:p w:rsidR="003944CA" w:rsidRDefault="003944CA" w:rsidP="00782AE4">
    <w:pPr>
      <w:tabs>
        <w:tab w:val="center" w:pos="4680"/>
      </w:tabs>
    </w:pPr>
    <w:r>
      <w:tab/>
      <w:t xml:space="preserve">- </w:t>
    </w:r>
    <w:r w:rsidR="00CC2008" w:rsidRPr="001775C1">
      <w:rPr>
        <w:szCs w:val="24"/>
      </w:rPr>
      <w:fldChar w:fldCharType="begin"/>
    </w:r>
    <w:r w:rsidRPr="001775C1">
      <w:rPr>
        <w:szCs w:val="24"/>
      </w:rPr>
      <w:instrText xml:space="preserve"> PAGE   \* MERGEFORMAT </w:instrText>
    </w:r>
    <w:r w:rsidR="00CC2008" w:rsidRPr="001775C1">
      <w:rPr>
        <w:szCs w:val="24"/>
      </w:rPr>
      <w:fldChar w:fldCharType="separate"/>
    </w:r>
    <w:r w:rsidR="008B61BC">
      <w:rPr>
        <w:noProof/>
        <w:szCs w:val="24"/>
      </w:rPr>
      <w:t>1732</w:t>
    </w:r>
    <w:r w:rsidR="00CC2008"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944CA" w:rsidRDefault="003944C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944CA" w:rsidRDefault="003944CA">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22323B">
    <w:r>
      <w:pict>
        <v:rect id="_x0000_i1087" style="width:480.95pt;height:1pt" o:hralign="center" o:hrstd="t" o:hrnoshade="t" o:hr="t" fillcolor="black [3213]" stroked="f"/>
      </w:pict>
    </w:r>
  </w:p>
  <w:p w:rsidR="003944CA" w:rsidRDefault="003944CA">
    <w:pPr>
      <w:tabs>
        <w:tab w:val="center" w:pos="4740"/>
      </w:tabs>
      <w:spacing w:line="0" w:lineRule="atLeast"/>
    </w:pPr>
    <w:r>
      <w:tab/>
      <w:t xml:space="preserve">- </w:t>
    </w:r>
    <w:fldSimple w:instr=" PAGE   \* MERGEFORMAT ">
      <w:r>
        <w:rPr>
          <w:noProof/>
        </w:rPr>
        <w:t>1746</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22323B">
    <w:r>
      <w:pict>
        <v:rect id="_x0000_i1088" style="width:480.95pt;height:1pt" o:hralign="center" o:hrstd="t" o:hrnoshade="t" o:hr="t" fillcolor="black [3213]" stroked="f"/>
      </w:pict>
    </w:r>
  </w:p>
  <w:p w:rsidR="003944CA" w:rsidRDefault="003944CA" w:rsidP="0022323B">
    <w:pPr>
      <w:tabs>
        <w:tab w:val="center" w:pos="4740"/>
      </w:tabs>
      <w:spacing w:line="0" w:lineRule="atLeast"/>
    </w:pPr>
    <w:r>
      <w:tab/>
      <w:t xml:space="preserve">- </w:t>
    </w:r>
    <w:fldSimple w:instr=" PAGE   \* MERGEFORMAT ">
      <w:r w:rsidR="008B61BC">
        <w:rPr>
          <w:noProof/>
        </w:rPr>
        <w:t>1741</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22323B">
    <w:r>
      <w:pict>
        <v:rect id="_x0000_i1103" style="width:480.95pt;height:1pt" o:hralign="center" o:hrstd="t" o:hrnoshade="t" o:hr="t" fillcolor="black [3213]" stroked="f"/>
      </w:pict>
    </w:r>
  </w:p>
  <w:p w:rsidR="003944CA" w:rsidRDefault="003944CA">
    <w:pPr>
      <w:tabs>
        <w:tab w:val="center" w:pos="4740"/>
      </w:tabs>
      <w:spacing w:line="0" w:lineRule="atLeast"/>
    </w:pPr>
    <w:r>
      <w:tab/>
      <w:t xml:space="preserve">- </w:t>
    </w:r>
    <w:fldSimple w:instr=" PAGE   \* MERGEFORMAT ">
      <w:r w:rsidR="008B61BC">
        <w:rPr>
          <w:noProof/>
        </w:rPr>
        <w:t>1757</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22323B">
    <w:r>
      <w:pict>
        <v:rect id="_x0000_i1104" style="width:480.95pt;height:1pt" o:hralign="center" o:hrstd="t" o:hrnoshade="t" o:hr="t" fillcolor="black [3213]" stroked="f"/>
      </w:pict>
    </w:r>
  </w:p>
  <w:p w:rsidR="003944CA" w:rsidRDefault="003944CA" w:rsidP="0022323B">
    <w:pPr>
      <w:tabs>
        <w:tab w:val="center" w:pos="4740"/>
      </w:tabs>
      <w:spacing w:line="0" w:lineRule="atLeast"/>
    </w:pPr>
    <w:r>
      <w:tab/>
      <w:t xml:space="preserve">- </w:t>
    </w:r>
    <w:fldSimple w:instr=" PAGE   \* MERGEFORMAT ">
      <w:r w:rsidR="008B61BC">
        <w:rPr>
          <w:noProof/>
        </w:rPr>
        <w:t>1742</w:t>
      </w:r>
    </w:fldSimple>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Pr="00924065" w:rsidRDefault="003944CA"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A87207">
    <w:pPr>
      <w:pStyle w:val="Footer"/>
    </w:pPr>
    <w:r>
      <w:pict>
        <v:rect id="_x0000_i1038" style="width:480.95pt;height:1pt" o:hralign="center" o:hrstd="t" o:hrnoshade="t" o:hr="t" fillcolor="black [3213]" stroked="f"/>
      </w:pict>
    </w:r>
  </w:p>
  <w:p w:rsidR="003944CA" w:rsidRPr="00B7374B" w:rsidRDefault="003944CA" w:rsidP="00B7374B">
    <w:pPr>
      <w:tabs>
        <w:tab w:val="center" w:pos="4680"/>
      </w:tabs>
      <w:rPr>
        <w:szCs w:val="24"/>
      </w:rPr>
    </w:pPr>
    <w:r w:rsidRPr="00954D22">
      <w:rPr>
        <w:szCs w:val="24"/>
      </w:rPr>
      <w:tab/>
      <w:t xml:space="preserve">- </w:t>
    </w:r>
    <w:r w:rsidR="00CC2008" w:rsidRPr="00954D22">
      <w:rPr>
        <w:szCs w:val="24"/>
      </w:rPr>
      <w:fldChar w:fldCharType="begin"/>
    </w:r>
    <w:r w:rsidRPr="00954D22">
      <w:rPr>
        <w:szCs w:val="24"/>
      </w:rPr>
      <w:instrText xml:space="preserve"> PAGE   \* MERGEFORMAT </w:instrText>
    </w:r>
    <w:r w:rsidR="00CC2008" w:rsidRPr="00954D22">
      <w:rPr>
        <w:szCs w:val="24"/>
      </w:rPr>
      <w:fldChar w:fldCharType="separate"/>
    </w:r>
    <w:r w:rsidR="008B61BC">
      <w:rPr>
        <w:noProof/>
        <w:szCs w:val="24"/>
      </w:rPr>
      <w:t>1709</w:t>
    </w:r>
    <w:r w:rsidR="00CC200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755F22">
    <w:pPr>
      <w:tabs>
        <w:tab w:val="left" w:pos="-1440"/>
        <w:tab w:val="left" w:pos="-720"/>
      </w:tabs>
    </w:pPr>
    <w:r>
      <w:pict>
        <v:rect id="_x0000_i1039" style="width:480.95pt;height:1pt" o:hralign="center" o:hrstd="t" o:hrnoshade="t" o:hr="t" fillcolor="black [3213]" stroked="f"/>
      </w:pict>
    </w:r>
  </w:p>
  <w:p w:rsidR="003944CA" w:rsidRPr="00954D22" w:rsidRDefault="003944CA" w:rsidP="00B7374B">
    <w:pPr>
      <w:tabs>
        <w:tab w:val="center" w:pos="4680"/>
      </w:tabs>
      <w:rPr>
        <w:szCs w:val="24"/>
      </w:rPr>
    </w:pPr>
    <w:r w:rsidRPr="00954D22">
      <w:rPr>
        <w:szCs w:val="24"/>
      </w:rPr>
      <w:tab/>
      <w:t xml:space="preserve">- </w:t>
    </w:r>
    <w:r w:rsidR="00CC2008">
      <w:rPr>
        <w:szCs w:val="24"/>
      </w:rPr>
      <w:fldChar w:fldCharType="begin"/>
    </w:r>
    <w:r>
      <w:rPr>
        <w:szCs w:val="24"/>
      </w:rPr>
      <w:instrText xml:space="preserve"> PAGE   \* MERGEFORMAT </w:instrText>
    </w:r>
    <w:r w:rsidR="00CC2008">
      <w:rPr>
        <w:szCs w:val="24"/>
      </w:rPr>
      <w:fldChar w:fldCharType="separate"/>
    </w:r>
    <w:r w:rsidR="008B61BC">
      <w:rPr>
        <w:noProof/>
        <w:szCs w:val="24"/>
      </w:rPr>
      <w:t>1708</w:t>
    </w:r>
    <w:r w:rsidR="00CC2008">
      <w:rPr>
        <w:szCs w:val="24"/>
      </w:rPr>
      <w:fldChar w:fldCharType="end"/>
    </w:r>
    <w:r w:rsidRPr="00954D22">
      <w:rPr>
        <w:szCs w:val="24"/>
      </w:rPr>
      <w:t xml:space="preserve"> -</w:t>
    </w:r>
  </w:p>
  <w:p w:rsidR="003944CA" w:rsidRDefault="003944C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A87207">
    <w:pPr>
      <w:pStyle w:val="Footer"/>
    </w:pPr>
    <w:r>
      <w:pict>
        <v:rect id="_x0000_i1041" style="width:480.95pt;height:1pt" o:hralign="center" o:hrstd="t" o:hrnoshade="t" o:hr="t" fillcolor="black [3213]" stroked="f"/>
      </w:pict>
    </w:r>
  </w:p>
  <w:p w:rsidR="003944CA" w:rsidRPr="00B7374B" w:rsidRDefault="003944CA" w:rsidP="00B7374B">
    <w:pPr>
      <w:tabs>
        <w:tab w:val="center" w:pos="4680"/>
      </w:tabs>
      <w:rPr>
        <w:szCs w:val="24"/>
      </w:rPr>
    </w:pPr>
    <w:r w:rsidRPr="00954D22">
      <w:rPr>
        <w:szCs w:val="24"/>
      </w:rPr>
      <w:tab/>
      <w:t xml:space="preserve">- </w:t>
    </w:r>
    <w:r w:rsidR="00CC2008" w:rsidRPr="00954D22">
      <w:rPr>
        <w:szCs w:val="24"/>
      </w:rPr>
      <w:fldChar w:fldCharType="begin"/>
    </w:r>
    <w:r w:rsidRPr="00954D22">
      <w:rPr>
        <w:szCs w:val="24"/>
      </w:rPr>
      <w:instrText xml:space="preserve"> PAGE   \* MERGEFORMAT </w:instrText>
    </w:r>
    <w:r w:rsidR="00CC2008" w:rsidRPr="00954D22">
      <w:rPr>
        <w:szCs w:val="24"/>
      </w:rPr>
      <w:fldChar w:fldCharType="separate"/>
    </w:r>
    <w:r>
      <w:rPr>
        <w:noProof/>
        <w:szCs w:val="24"/>
      </w:rPr>
      <w:t>1711</w:t>
    </w:r>
    <w:r w:rsidR="00CC200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3944CA" w:rsidRPr="00954D22" w:rsidRDefault="003944CA" w:rsidP="00B7374B">
    <w:pPr>
      <w:tabs>
        <w:tab w:val="center" w:pos="4680"/>
      </w:tabs>
      <w:rPr>
        <w:szCs w:val="24"/>
      </w:rPr>
    </w:pPr>
    <w:r w:rsidRPr="00954D22">
      <w:rPr>
        <w:szCs w:val="24"/>
      </w:rPr>
      <w:tab/>
      <w:t xml:space="preserve">- </w:t>
    </w:r>
    <w:r w:rsidR="00CC2008" w:rsidRPr="00954D22">
      <w:rPr>
        <w:szCs w:val="24"/>
      </w:rPr>
      <w:fldChar w:fldCharType="begin"/>
    </w:r>
    <w:r w:rsidRPr="00954D22">
      <w:rPr>
        <w:szCs w:val="24"/>
      </w:rPr>
      <w:instrText xml:space="preserve"> PAGE   \* MERGEFORMAT </w:instrText>
    </w:r>
    <w:r w:rsidR="00CC2008" w:rsidRPr="00954D22">
      <w:rPr>
        <w:szCs w:val="24"/>
      </w:rPr>
      <w:fldChar w:fldCharType="separate"/>
    </w:r>
    <w:r w:rsidR="008B61BC">
      <w:rPr>
        <w:noProof/>
        <w:szCs w:val="24"/>
      </w:rPr>
      <w:t>1710</w:t>
    </w:r>
    <w:r w:rsidR="00CC200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4CA" w:rsidRDefault="003944CA">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CC2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C2008">
      <w:rPr>
        <w:lang w:val="fr-CA"/>
      </w:rPr>
      <w:pict>
        <v:rect id="_x0000_i1059" style="width:480.95pt;height:1pt" o:hralign="center" o:hrstd="t" o:hrnoshade="t" o:hr="t" fillcolor="black [3213]" stroked="f"/>
      </w:pict>
    </w:r>
  </w:p>
  <w:p w:rsidR="003944CA" w:rsidRPr="0009648D" w:rsidRDefault="003944CA" w:rsidP="00ED7E83">
    <w:pPr>
      <w:tabs>
        <w:tab w:val="center" w:pos="4680"/>
      </w:tabs>
    </w:pPr>
    <w:r>
      <w:tab/>
    </w:r>
    <w:r w:rsidRPr="0009648D">
      <w:t xml:space="preserve">- </w:t>
    </w:r>
    <w:fldSimple w:instr=" PAGE   \* MERGEFORMAT ">
      <w:r w:rsidR="008B61BC">
        <w:rPr>
          <w:noProof/>
        </w:rPr>
        <w:t>1725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CA" w:rsidRDefault="003944CA" w:rsidP="00A87207">
      <w:r>
        <w:separator/>
      </w:r>
    </w:p>
  </w:footnote>
  <w:footnote w:type="continuationSeparator" w:id="0">
    <w:p w:rsidR="003944CA" w:rsidRDefault="003944CA"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944CA">
      <w:tc>
        <w:tcPr>
          <w:tcW w:w="423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944CA"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44CA"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944CA">
      <w:trPr>
        <w:gridAfter w:val="2"/>
        <w:wAfter w:w="5250" w:type="dxa"/>
      </w:trPr>
      <w:tc>
        <w:tcPr>
          <w:tcW w:w="4230" w:type="dxa"/>
          <w:tcMar>
            <w:left w:w="0" w:type="dxa"/>
            <w:right w:w="0" w:type="dxa"/>
          </w:tcMar>
        </w:tcPr>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944CA" w:rsidRPr="00755F22" w:rsidTr="00245129">
      <w:tc>
        <w:tcPr>
          <w:tcW w:w="4230" w:type="dxa"/>
          <w:tcMar>
            <w:left w:w="0" w:type="dxa"/>
            <w:right w:w="0" w:type="dxa"/>
          </w:tcMar>
        </w:tcPr>
        <w:p w:rsidR="003944CA" w:rsidRPr="00755F22" w:rsidRDefault="003944CA" w:rsidP="00831CA9">
          <w:pPr>
            <w:keepNext/>
            <w:keepLines/>
            <w:rPr>
              <w:sz w:val="20"/>
              <w:szCs w:val="20"/>
            </w:rPr>
          </w:pPr>
          <w:r w:rsidRPr="00755F22">
            <w:rPr>
              <w:sz w:val="20"/>
              <w:szCs w:val="20"/>
            </w:rPr>
            <w:t>MOTIONS</w:t>
          </w:r>
        </w:p>
      </w:tc>
      <w:tc>
        <w:tcPr>
          <w:tcW w:w="1170" w:type="dxa"/>
          <w:tcMar>
            <w:left w:w="0" w:type="dxa"/>
            <w:right w:w="0" w:type="dxa"/>
          </w:tcMar>
        </w:tcPr>
        <w:p w:rsidR="003944CA" w:rsidRPr="00755F22" w:rsidRDefault="003944CA" w:rsidP="00831CA9">
          <w:pPr>
            <w:keepLines/>
            <w:jc w:val="center"/>
            <w:rPr>
              <w:sz w:val="20"/>
              <w:szCs w:val="20"/>
            </w:rPr>
          </w:pPr>
        </w:p>
        <w:p w:rsidR="003944CA" w:rsidRPr="00755F22" w:rsidRDefault="003944CA" w:rsidP="00831CA9">
          <w:pPr>
            <w:keepLines/>
            <w:tabs>
              <w:tab w:val="left" w:pos="-1440"/>
              <w:tab w:val="left" w:pos="-720"/>
            </w:tabs>
            <w:jc w:val="center"/>
            <w:rPr>
              <w:sz w:val="20"/>
              <w:szCs w:val="20"/>
            </w:rPr>
          </w:pPr>
        </w:p>
      </w:tc>
      <w:tc>
        <w:tcPr>
          <w:tcW w:w="4080" w:type="dxa"/>
          <w:tcMar>
            <w:left w:w="0" w:type="dxa"/>
            <w:right w:w="0" w:type="dxa"/>
          </w:tcMar>
        </w:tcPr>
        <w:p w:rsidR="003944CA" w:rsidRPr="00BA6468" w:rsidRDefault="003944CA" w:rsidP="00BA6468">
          <w:pPr>
            <w:keepLines/>
            <w:rPr>
              <w:sz w:val="20"/>
              <w:szCs w:val="20"/>
              <w:lang w:val="fr-CA"/>
            </w:rPr>
          </w:pPr>
          <w:r w:rsidRPr="00BA6468">
            <w:rPr>
              <w:sz w:val="20"/>
              <w:szCs w:val="20"/>
              <w:lang w:val="fr-CA"/>
            </w:rPr>
            <w:t>REQUÊTES</w:t>
          </w:r>
        </w:p>
      </w:tc>
    </w:tr>
  </w:tbl>
  <w:p w:rsidR="003944CA" w:rsidRDefault="003944CA"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44CA" w:rsidRPr="007C7F39">
      <w:tc>
        <w:tcPr>
          <w:tcW w:w="420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44CA" w:rsidRPr="00B01A03"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944CA" w:rsidRPr="00B01A03"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944CA" w:rsidRPr="00B01A03"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944CA" w:rsidRPr="007C7F39" w:rsidTr="00245129">
      <w:tc>
        <w:tcPr>
          <w:tcW w:w="4200" w:type="dxa"/>
          <w:tcMar>
            <w:left w:w="0" w:type="dxa"/>
            <w:right w:w="0" w:type="dxa"/>
          </w:tcMar>
        </w:tcPr>
        <w:p w:rsidR="003944CA" w:rsidRPr="00F40249" w:rsidRDefault="003944C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944CA" w:rsidRDefault="003944CA" w:rsidP="00102926">
          <w:pPr>
            <w:keepNext/>
            <w:keepLines/>
            <w:tabs>
              <w:tab w:val="left" w:pos="-1440"/>
              <w:tab w:val="left" w:pos="-720"/>
            </w:tabs>
            <w:jc w:val="center"/>
            <w:rPr>
              <w:sz w:val="20"/>
              <w:szCs w:val="20"/>
            </w:rPr>
          </w:pPr>
        </w:p>
        <w:p w:rsidR="003944CA" w:rsidRDefault="003944CA" w:rsidP="00102926">
          <w:pPr>
            <w:keepNext/>
            <w:keepLines/>
            <w:tabs>
              <w:tab w:val="left" w:pos="-1440"/>
              <w:tab w:val="left" w:pos="-720"/>
            </w:tabs>
            <w:jc w:val="center"/>
            <w:rPr>
              <w:sz w:val="20"/>
              <w:szCs w:val="20"/>
            </w:rPr>
          </w:pPr>
        </w:p>
        <w:p w:rsidR="003944CA" w:rsidRPr="00F40249" w:rsidRDefault="003944CA" w:rsidP="00102926">
          <w:pPr>
            <w:keepNext/>
            <w:keepLines/>
            <w:tabs>
              <w:tab w:val="left" w:pos="-1440"/>
              <w:tab w:val="left" w:pos="-720"/>
            </w:tabs>
            <w:jc w:val="center"/>
            <w:rPr>
              <w:sz w:val="20"/>
              <w:szCs w:val="20"/>
            </w:rPr>
          </w:pPr>
        </w:p>
      </w:tc>
      <w:tc>
        <w:tcPr>
          <w:tcW w:w="4230" w:type="dxa"/>
          <w:tcMar>
            <w:left w:w="0" w:type="dxa"/>
            <w:right w:w="0" w:type="dxa"/>
          </w:tcMar>
        </w:tcPr>
        <w:p w:rsidR="003944CA" w:rsidRPr="00F40249" w:rsidRDefault="003944C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944CA" w:rsidRPr="00B01A03" w:rsidRDefault="003944C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44CA" w:rsidRPr="007C7F39">
      <w:tc>
        <w:tcPr>
          <w:tcW w:w="420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44CA" w:rsidRPr="00283C52"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944CA" w:rsidRPr="00283C52"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944CA" w:rsidRPr="00283C52"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44CA" w:rsidRPr="007C7F39" w:rsidTr="00245129">
      <w:tc>
        <w:tcPr>
          <w:tcW w:w="4200" w:type="dxa"/>
          <w:tcMar>
            <w:left w:w="0" w:type="dxa"/>
            <w:right w:w="0" w:type="dxa"/>
          </w:tcMar>
        </w:tcPr>
        <w:p w:rsidR="003944CA" w:rsidRPr="00732DB7" w:rsidRDefault="003944CA"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944CA" w:rsidRPr="00732DB7" w:rsidRDefault="003944CA" w:rsidP="00732DB7">
          <w:pPr>
            <w:keepNext/>
            <w:keepLines/>
            <w:tabs>
              <w:tab w:val="left" w:pos="-1440"/>
              <w:tab w:val="left" w:pos="-720"/>
            </w:tabs>
            <w:jc w:val="center"/>
            <w:rPr>
              <w:sz w:val="20"/>
              <w:szCs w:val="20"/>
            </w:rPr>
          </w:pPr>
        </w:p>
        <w:p w:rsidR="003944CA" w:rsidRPr="00732DB7" w:rsidRDefault="003944CA" w:rsidP="00732DB7">
          <w:pPr>
            <w:keepNext/>
            <w:keepLines/>
            <w:tabs>
              <w:tab w:val="left" w:pos="-1440"/>
              <w:tab w:val="left" w:pos="-720"/>
            </w:tabs>
            <w:jc w:val="center"/>
            <w:rPr>
              <w:sz w:val="20"/>
              <w:szCs w:val="20"/>
            </w:rPr>
          </w:pPr>
        </w:p>
        <w:p w:rsidR="003944CA" w:rsidRPr="00732DB7" w:rsidRDefault="003944CA" w:rsidP="00732DB7">
          <w:pPr>
            <w:keepNext/>
            <w:keepLines/>
            <w:tabs>
              <w:tab w:val="left" w:pos="-1440"/>
              <w:tab w:val="left" w:pos="-720"/>
            </w:tabs>
            <w:jc w:val="center"/>
            <w:rPr>
              <w:sz w:val="20"/>
              <w:szCs w:val="20"/>
            </w:rPr>
          </w:pPr>
        </w:p>
      </w:tc>
      <w:tc>
        <w:tcPr>
          <w:tcW w:w="4080" w:type="dxa"/>
          <w:tcMar>
            <w:left w:w="0" w:type="dxa"/>
            <w:right w:w="0" w:type="dxa"/>
          </w:tcMar>
        </w:tcPr>
        <w:p w:rsidR="003944CA" w:rsidRPr="00732DB7" w:rsidRDefault="003944C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944CA" w:rsidRPr="00283C52" w:rsidRDefault="003944C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44CA" w:rsidRPr="007C7F39">
      <w:tc>
        <w:tcPr>
          <w:tcW w:w="420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944CA" w:rsidRPr="003C2C0F"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944CA" w:rsidRPr="003C2C0F"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944CA" w:rsidRPr="003C2C0F"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44CA" w:rsidRPr="007C7F39" w:rsidTr="00245129">
      <w:tc>
        <w:tcPr>
          <w:tcW w:w="4200" w:type="dxa"/>
          <w:tcMar>
            <w:left w:w="0" w:type="dxa"/>
            <w:right w:w="0" w:type="dxa"/>
          </w:tcMar>
        </w:tcPr>
        <w:p w:rsidR="003944CA" w:rsidRPr="00FF6EEC" w:rsidRDefault="003944CA" w:rsidP="00FF6EEC">
          <w:pPr>
            <w:rPr>
              <w:sz w:val="20"/>
              <w:szCs w:val="20"/>
            </w:rPr>
          </w:pPr>
          <w:r w:rsidRPr="00FF6EEC">
            <w:rPr>
              <w:sz w:val="20"/>
              <w:szCs w:val="20"/>
            </w:rPr>
            <w:t>PRONOUNCEMENTS OF APPEALS RESERVED</w:t>
          </w:r>
        </w:p>
      </w:tc>
      <w:tc>
        <w:tcPr>
          <w:tcW w:w="1200" w:type="dxa"/>
          <w:tcMar>
            <w:left w:w="0" w:type="dxa"/>
            <w:right w:w="0" w:type="dxa"/>
          </w:tcMar>
        </w:tcPr>
        <w:p w:rsidR="003944CA" w:rsidRPr="00FF6EEC" w:rsidRDefault="003944CA" w:rsidP="00FF6EEC">
          <w:pPr>
            <w:jc w:val="center"/>
            <w:rPr>
              <w:sz w:val="20"/>
              <w:szCs w:val="20"/>
            </w:rPr>
          </w:pPr>
        </w:p>
        <w:p w:rsidR="003944CA" w:rsidRPr="00FF6EEC" w:rsidRDefault="003944CA" w:rsidP="00FF6EEC">
          <w:pPr>
            <w:jc w:val="center"/>
            <w:rPr>
              <w:sz w:val="20"/>
              <w:szCs w:val="20"/>
            </w:rPr>
          </w:pPr>
        </w:p>
        <w:p w:rsidR="003944CA" w:rsidRPr="00FF6EEC" w:rsidRDefault="003944CA" w:rsidP="00FF6EEC">
          <w:pPr>
            <w:jc w:val="center"/>
            <w:rPr>
              <w:sz w:val="20"/>
              <w:szCs w:val="20"/>
            </w:rPr>
          </w:pPr>
        </w:p>
      </w:tc>
      <w:tc>
        <w:tcPr>
          <w:tcW w:w="4080" w:type="dxa"/>
          <w:tcMar>
            <w:left w:w="0" w:type="dxa"/>
            <w:right w:w="0" w:type="dxa"/>
          </w:tcMar>
        </w:tcPr>
        <w:p w:rsidR="003944CA" w:rsidRPr="00FF6EEC" w:rsidRDefault="003944CA" w:rsidP="00FF6EEC">
          <w:pPr>
            <w:rPr>
              <w:sz w:val="20"/>
              <w:szCs w:val="20"/>
              <w:lang w:val="fr-CA"/>
            </w:rPr>
          </w:pPr>
          <w:r w:rsidRPr="00FF6EEC">
            <w:rPr>
              <w:sz w:val="20"/>
              <w:szCs w:val="20"/>
              <w:lang w:val="fr-CA"/>
            </w:rPr>
            <w:t>JUGEMENTS RENDUS SUR LES APPELS EN DÉLIBÉRÉ</w:t>
          </w:r>
        </w:p>
      </w:tc>
    </w:tr>
  </w:tbl>
  <w:p w:rsidR="003944CA" w:rsidRPr="003C2C0F" w:rsidRDefault="003944C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944CA">
      <w:tc>
        <w:tcPr>
          <w:tcW w:w="423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944CA"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44CA"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944CA" w:rsidRPr="00782AE4" w:rsidTr="00245129">
      <w:tc>
        <w:tcPr>
          <w:tcW w:w="4230" w:type="dxa"/>
          <w:tcMar>
            <w:left w:w="0" w:type="dxa"/>
            <w:right w:w="0" w:type="dxa"/>
          </w:tcMar>
        </w:tcPr>
        <w:p w:rsidR="003944CA" w:rsidRPr="00782AE4" w:rsidRDefault="003944CA" w:rsidP="00102926">
          <w:pPr>
            <w:keepNext/>
            <w:keepLines/>
            <w:tabs>
              <w:tab w:val="left" w:pos="-1440"/>
              <w:tab w:val="left" w:pos="-720"/>
            </w:tabs>
            <w:rPr>
              <w:sz w:val="20"/>
              <w:szCs w:val="20"/>
            </w:rPr>
          </w:pPr>
          <w:r w:rsidRPr="00782AE4">
            <w:rPr>
              <w:sz w:val="20"/>
              <w:szCs w:val="20"/>
            </w:rPr>
            <w:t xml:space="preserve">HEADNOTES OF RECENT </w:t>
          </w:r>
        </w:p>
        <w:p w:rsidR="003944CA" w:rsidRPr="00782AE4"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944CA" w:rsidRDefault="003944CA" w:rsidP="00102926">
          <w:pPr>
            <w:keepNext/>
            <w:keepLines/>
            <w:tabs>
              <w:tab w:val="left" w:pos="-1440"/>
              <w:tab w:val="left" w:pos="-720"/>
            </w:tabs>
            <w:jc w:val="center"/>
            <w:rPr>
              <w:sz w:val="20"/>
              <w:szCs w:val="20"/>
            </w:rPr>
          </w:pPr>
        </w:p>
        <w:p w:rsidR="003944CA" w:rsidRDefault="003944CA" w:rsidP="00102926">
          <w:pPr>
            <w:keepNext/>
            <w:keepLines/>
            <w:tabs>
              <w:tab w:val="left" w:pos="-1440"/>
              <w:tab w:val="left" w:pos="-720"/>
            </w:tabs>
            <w:jc w:val="center"/>
            <w:rPr>
              <w:sz w:val="20"/>
              <w:szCs w:val="20"/>
            </w:rPr>
          </w:pPr>
        </w:p>
        <w:p w:rsidR="003944CA" w:rsidRPr="00782AE4" w:rsidRDefault="003944CA" w:rsidP="00102926">
          <w:pPr>
            <w:keepNext/>
            <w:keepLines/>
            <w:tabs>
              <w:tab w:val="left" w:pos="-1440"/>
              <w:tab w:val="left" w:pos="-720"/>
            </w:tabs>
            <w:jc w:val="center"/>
            <w:rPr>
              <w:sz w:val="20"/>
              <w:szCs w:val="20"/>
            </w:rPr>
          </w:pPr>
        </w:p>
      </w:tc>
      <w:tc>
        <w:tcPr>
          <w:tcW w:w="4080" w:type="dxa"/>
          <w:tcMar>
            <w:left w:w="0" w:type="dxa"/>
            <w:right w:w="0" w:type="dxa"/>
          </w:tcMar>
        </w:tcPr>
        <w:p w:rsidR="003944CA" w:rsidRPr="00102926"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944CA" w:rsidRPr="00782AE4" w:rsidRDefault="003944CA" w:rsidP="00102926">
          <w:pPr>
            <w:keepLines/>
            <w:tabs>
              <w:tab w:val="left" w:pos="-1440"/>
              <w:tab w:val="left" w:pos="-720"/>
            </w:tabs>
            <w:rPr>
              <w:sz w:val="20"/>
              <w:szCs w:val="20"/>
            </w:rPr>
          </w:pPr>
          <w:r w:rsidRPr="00102926">
            <w:rPr>
              <w:sz w:val="20"/>
              <w:szCs w:val="20"/>
              <w:lang w:val="fr-CA"/>
            </w:rPr>
            <w:t>RÉCENTS</w:t>
          </w:r>
        </w:p>
      </w:tc>
    </w:tr>
  </w:tbl>
  <w:p w:rsidR="003944CA" w:rsidRDefault="003944C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44CA">
      <w:tc>
        <w:tcPr>
          <w:tcW w:w="4200" w:type="dxa"/>
          <w:tcMar>
            <w:left w:w="0" w:type="dxa"/>
            <w:right w:w="0" w:type="dxa"/>
          </w:tcMar>
        </w:tcPr>
        <w:p w:rsidR="003944CA" w:rsidRDefault="003944C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944CA" w:rsidRDefault="003944C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944CA" w:rsidRDefault="003944C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944CA" w:rsidRDefault="003944C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944CA" w:rsidRDefault="003944C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944CA" w:rsidRDefault="003944C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44CA" w:rsidRPr="00C50A5C" w:rsidTr="00245129">
      <w:tc>
        <w:tcPr>
          <w:tcW w:w="4200" w:type="dxa"/>
          <w:tcMar>
            <w:left w:w="0" w:type="dxa"/>
            <w:right w:w="0" w:type="dxa"/>
          </w:tcMar>
        </w:tcPr>
        <w:p w:rsidR="003944CA" w:rsidRPr="00C50A5C" w:rsidRDefault="003944C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3944CA" w:rsidRPr="00C50A5C" w:rsidRDefault="003944C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944CA" w:rsidRPr="00C50A5C" w:rsidRDefault="003944C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944CA" w:rsidRPr="00C50A5C" w:rsidRDefault="003944CA"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3944CA" w:rsidRDefault="003944CA"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44CA" w:rsidRPr="005F263E" w:rsidTr="00245129">
      <w:tc>
        <w:tcPr>
          <w:tcW w:w="4200" w:type="dxa"/>
          <w:tcMar>
            <w:left w:w="0" w:type="dxa"/>
            <w:right w:w="0" w:type="dxa"/>
          </w:tcMar>
        </w:tcPr>
        <w:p w:rsidR="003944CA" w:rsidRPr="005F263E" w:rsidRDefault="003944CA"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3944CA" w:rsidRPr="005F263E" w:rsidRDefault="003944CA" w:rsidP="00245129">
          <w:pPr>
            <w:keepNext/>
            <w:keepLines/>
            <w:tabs>
              <w:tab w:val="left" w:pos="-1440"/>
              <w:tab w:val="left" w:pos="-720"/>
            </w:tabs>
            <w:jc w:val="center"/>
            <w:rPr>
              <w:sz w:val="20"/>
              <w:szCs w:val="20"/>
            </w:rPr>
          </w:pPr>
        </w:p>
        <w:p w:rsidR="003944CA" w:rsidRPr="005F263E" w:rsidRDefault="003944CA" w:rsidP="00245129">
          <w:pPr>
            <w:keepNext/>
            <w:keepLines/>
            <w:tabs>
              <w:tab w:val="left" w:pos="-1440"/>
              <w:tab w:val="left" w:pos="-720"/>
            </w:tabs>
            <w:jc w:val="center"/>
            <w:rPr>
              <w:sz w:val="20"/>
              <w:szCs w:val="20"/>
            </w:rPr>
          </w:pPr>
        </w:p>
      </w:tc>
      <w:tc>
        <w:tcPr>
          <w:tcW w:w="4080" w:type="dxa"/>
          <w:tcMar>
            <w:left w:w="0" w:type="dxa"/>
            <w:right w:w="0" w:type="dxa"/>
          </w:tcMar>
        </w:tcPr>
        <w:p w:rsidR="003944CA" w:rsidRPr="005F263E" w:rsidRDefault="003944CA" w:rsidP="00245129">
          <w:pPr>
            <w:keepLines/>
            <w:tabs>
              <w:tab w:val="left" w:pos="-1440"/>
              <w:tab w:val="left" w:pos="-720"/>
            </w:tabs>
            <w:rPr>
              <w:sz w:val="20"/>
              <w:szCs w:val="20"/>
            </w:rPr>
          </w:pPr>
          <w:r w:rsidRPr="005F263E">
            <w:rPr>
              <w:sz w:val="20"/>
              <w:szCs w:val="20"/>
            </w:rPr>
            <w:t>RÉSUMÉS DES AFFAIRES</w:t>
          </w:r>
        </w:p>
      </w:tc>
    </w:tr>
  </w:tbl>
  <w:p w:rsidR="003944CA" w:rsidRDefault="003944CA" w:rsidP="005F26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944CA" w:rsidRPr="0044776A" w:rsidTr="00245129">
      <w:tc>
        <w:tcPr>
          <w:tcW w:w="4290" w:type="dxa"/>
          <w:tcMar>
            <w:left w:w="0" w:type="dxa"/>
            <w:right w:w="0" w:type="dxa"/>
          </w:tcMar>
        </w:tcPr>
        <w:p w:rsidR="003944CA" w:rsidRPr="0044776A" w:rsidRDefault="003944C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944CA" w:rsidRPr="0044776A" w:rsidRDefault="003944CA" w:rsidP="002E2327">
          <w:pPr>
            <w:keepNext/>
            <w:keepLines/>
            <w:tabs>
              <w:tab w:val="left" w:pos="-1440"/>
              <w:tab w:val="left" w:pos="-720"/>
            </w:tabs>
            <w:jc w:val="center"/>
            <w:rPr>
              <w:sz w:val="20"/>
              <w:szCs w:val="20"/>
            </w:rPr>
          </w:pPr>
        </w:p>
        <w:p w:rsidR="003944CA" w:rsidRPr="0044776A" w:rsidRDefault="003944CA" w:rsidP="002E2327">
          <w:pPr>
            <w:keepNext/>
            <w:keepLines/>
            <w:tabs>
              <w:tab w:val="left" w:pos="-1440"/>
              <w:tab w:val="left" w:pos="-720"/>
            </w:tabs>
            <w:jc w:val="center"/>
            <w:rPr>
              <w:sz w:val="20"/>
              <w:szCs w:val="20"/>
            </w:rPr>
          </w:pPr>
        </w:p>
        <w:p w:rsidR="003944CA" w:rsidRPr="0044776A" w:rsidRDefault="003944CA" w:rsidP="002E2327">
          <w:pPr>
            <w:keepNext/>
            <w:keepLines/>
            <w:tabs>
              <w:tab w:val="left" w:pos="-1440"/>
              <w:tab w:val="left" w:pos="-720"/>
            </w:tabs>
            <w:jc w:val="center"/>
            <w:rPr>
              <w:sz w:val="20"/>
              <w:szCs w:val="20"/>
            </w:rPr>
          </w:pPr>
        </w:p>
      </w:tc>
      <w:tc>
        <w:tcPr>
          <w:tcW w:w="4320" w:type="dxa"/>
          <w:tcMar>
            <w:left w:w="0" w:type="dxa"/>
            <w:right w:w="0" w:type="dxa"/>
          </w:tcMar>
        </w:tcPr>
        <w:p w:rsidR="003944CA" w:rsidRPr="0044776A" w:rsidRDefault="003944CA" w:rsidP="002E2327">
          <w:pPr>
            <w:keepLines/>
            <w:rPr>
              <w:sz w:val="20"/>
              <w:szCs w:val="20"/>
              <w:lang w:val="fr-CA"/>
            </w:rPr>
          </w:pPr>
          <w:r w:rsidRPr="0044776A">
            <w:rPr>
              <w:sz w:val="20"/>
              <w:szCs w:val="20"/>
              <w:lang w:val="fr-CA"/>
            </w:rPr>
            <w:t>DEMANDES D'AUTORISATION D'APPEL DÉPOSÉES</w:t>
          </w:r>
        </w:p>
      </w:tc>
    </w:tr>
  </w:tbl>
  <w:p w:rsidR="003944CA" w:rsidRDefault="003944C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44CA" w:rsidRPr="007C7F39" w:rsidTr="00245129">
      <w:tc>
        <w:tcPr>
          <w:tcW w:w="4200" w:type="dxa"/>
          <w:tcMar>
            <w:left w:w="0" w:type="dxa"/>
            <w:right w:w="0" w:type="dxa"/>
          </w:tcMar>
        </w:tcPr>
        <w:p w:rsidR="003944CA" w:rsidRPr="0044776A" w:rsidRDefault="003944CA" w:rsidP="0044776A">
          <w:pPr>
            <w:keepNext/>
            <w:keepLines/>
            <w:widowControl w:val="0"/>
            <w:rPr>
              <w:sz w:val="20"/>
              <w:szCs w:val="20"/>
            </w:rPr>
          </w:pPr>
          <w:r>
            <w:rPr>
              <w:sz w:val="20"/>
              <w:szCs w:val="20"/>
            </w:rPr>
            <w:t>APPLICATIONS FOR LEAVE</w:t>
          </w:r>
        </w:p>
        <w:p w:rsidR="003944CA" w:rsidRPr="0044776A" w:rsidRDefault="003944C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944CA" w:rsidRPr="0044776A" w:rsidRDefault="003944CA" w:rsidP="0044776A">
          <w:pPr>
            <w:keepNext/>
            <w:keepLines/>
            <w:widowControl w:val="0"/>
            <w:jc w:val="center"/>
            <w:rPr>
              <w:sz w:val="20"/>
              <w:szCs w:val="20"/>
            </w:rPr>
          </w:pPr>
        </w:p>
        <w:p w:rsidR="003944CA" w:rsidRPr="0044776A" w:rsidRDefault="003944CA" w:rsidP="0044776A">
          <w:pPr>
            <w:keepNext/>
            <w:keepLines/>
            <w:widowControl w:val="0"/>
            <w:jc w:val="center"/>
            <w:rPr>
              <w:sz w:val="20"/>
              <w:szCs w:val="20"/>
            </w:rPr>
          </w:pPr>
        </w:p>
        <w:p w:rsidR="003944CA" w:rsidRPr="0044776A" w:rsidRDefault="003944CA" w:rsidP="0044776A">
          <w:pPr>
            <w:keepNext/>
            <w:keepLines/>
            <w:widowControl w:val="0"/>
            <w:jc w:val="center"/>
            <w:rPr>
              <w:sz w:val="20"/>
              <w:szCs w:val="20"/>
            </w:rPr>
          </w:pPr>
        </w:p>
      </w:tc>
      <w:tc>
        <w:tcPr>
          <w:tcW w:w="4080" w:type="dxa"/>
          <w:tcMar>
            <w:left w:w="0" w:type="dxa"/>
            <w:right w:w="0" w:type="dxa"/>
          </w:tcMar>
        </w:tcPr>
        <w:p w:rsidR="003944CA" w:rsidRPr="0044776A" w:rsidRDefault="003944CA" w:rsidP="0044776A">
          <w:pPr>
            <w:keepLines/>
            <w:widowControl w:val="0"/>
            <w:rPr>
              <w:sz w:val="20"/>
              <w:szCs w:val="20"/>
              <w:lang w:val="fr-CA"/>
            </w:rPr>
          </w:pPr>
          <w:r w:rsidRPr="0044776A">
            <w:rPr>
              <w:sz w:val="20"/>
              <w:szCs w:val="20"/>
              <w:lang w:val="fr-CA"/>
            </w:rPr>
            <w:t>DEMANDES SOUMISES À LA COUR DEPUIS LA DERNIÈRE PARUTION</w:t>
          </w:r>
        </w:p>
        <w:p w:rsidR="003944CA" w:rsidRPr="0044776A" w:rsidRDefault="003944CA" w:rsidP="0044776A">
          <w:pPr>
            <w:widowControl w:val="0"/>
            <w:rPr>
              <w:sz w:val="20"/>
              <w:szCs w:val="20"/>
              <w:lang w:val="fr-CA"/>
            </w:rPr>
          </w:pPr>
        </w:p>
      </w:tc>
    </w:tr>
  </w:tbl>
  <w:p w:rsidR="003944CA" w:rsidRPr="002E2327" w:rsidRDefault="003944C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A" w:rsidRDefault="003944C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44CA" w:rsidRPr="007C7F39">
      <w:tc>
        <w:tcPr>
          <w:tcW w:w="4200" w:type="dxa"/>
          <w:tcMar>
            <w:left w:w="0" w:type="dxa"/>
            <w:right w:w="0" w:type="dxa"/>
          </w:tcMar>
        </w:tcPr>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944CA"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944CA"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44CA" w:rsidRPr="00FF6BA5"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944CA" w:rsidRPr="00FF6BA5"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944CA" w:rsidRPr="00FF6BA5"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944CA" w:rsidRPr="00FF6BA5" w:rsidRDefault="00394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44CA" w:rsidRPr="007C7F39" w:rsidTr="00245129">
      <w:tc>
        <w:tcPr>
          <w:tcW w:w="4200" w:type="dxa"/>
          <w:tcMar>
            <w:left w:w="0" w:type="dxa"/>
            <w:right w:w="0" w:type="dxa"/>
          </w:tcMar>
        </w:tcPr>
        <w:p w:rsidR="003944CA" w:rsidRPr="00755F22"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944CA" w:rsidRPr="00755F22" w:rsidRDefault="003944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944CA" w:rsidRPr="00755F22" w:rsidRDefault="003944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44CA" w:rsidRPr="00755F22" w:rsidRDefault="003944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44CA" w:rsidRPr="00755F22" w:rsidRDefault="003944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944CA" w:rsidRPr="00755F22" w:rsidRDefault="003944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944CA" w:rsidRPr="00FF6BA5" w:rsidRDefault="003944CA"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E2D7B"/>
    <w:multiLevelType w:val="hybridMultilevel"/>
    <w:tmpl w:val="F2C4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56B6318"/>
    <w:multiLevelType w:val="hybridMultilevel"/>
    <w:tmpl w:val="F2C4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58389"/>
  </w:hdrShapeDefaults>
  <w:footnotePr>
    <w:footnote w:id="-1"/>
    <w:footnote w:id="0"/>
  </w:footnotePr>
  <w:endnotePr>
    <w:endnote w:id="-1"/>
    <w:endnote w:id="0"/>
  </w:endnotePr>
  <w:compat/>
  <w:rsids>
    <w:rsidRoot w:val="00642AEE"/>
    <w:rsid w:val="00007C26"/>
    <w:rsid w:val="00030CD1"/>
    <w:rsid w:val="0003223B"/>
    <w:rsid w:val="000327B2"/>
    <w:rsid w:val="00065A2E"/>
    <w:rsid w:val="00091FA6"/>
    <w:rsid w:val="00096BD9"/>
    <w:rsid w:val="000A69E9"/>
    <w:rsid w:val="000B3C9A"/>
    <w:rsid w:val="000B40A2"/>
    <w:rsid w:val="000B4624"/>
    <w:rsid w:val="000C0ACD"/>
    <w:rsid w:val="000C0D2A"/>
    <w:rsid w:val="000C5CE8"/>
    <w:rsid w:val="000D4F74"/>
    <w:rsid w:val="000E2959"/>
    <w:rsid w:val="000F0B60"/>
    <w:rsid w:val="00102926"/>
    <w:rsid w:val="0010587F"/>
    <w:rsid w:val="00111C6B"/>
    <w:rsid w:val="0012102B"/>
    <w:rsid w:val="0013369E"/>
    <w:rsid w:val="00164E6D"/>
    <w:rsid w:val="0017054C"/>
    <w:rsid w:val="00182BD0"/>
    <w:rsid w:val="001B157C"/>
    <w:rsid w:val="001B5C23"/>
    <w:rsid w:val="001D0D5F"/>
    <w:rsid w:val="001D2E5A"/>
    <w:rsid w:val="001D53DE"/>
    <w:rsid w:val="001D6B8C"/>
    <w:rsid w:val="001E2B5C"/>
    <w:rsid w:val="001F1F83"/>
    <w:rsid w:val="001F40DF"/>
    <w:rsid w:val="001F5AE7"/>
    <w:rsid w:val="002021A9"/>
    <w:rsid w:val="002139A7"/>
    <w:rsid w:val="00215F7C"/>
    <w:rsid w:val="0022323B"/>
    <w:rsid w:val="002410B8"/>
    <w:rsid w:val="00242AEE"/>
    <w:rsid w:val="00245129"/>
    <w:rsid w:val="00245879"/>
    <w:rsid w:val="00267FD5"/>
    <w:rsid w:val="00274D34"/>
    <w:rsid w:val="00281753"/>
    <w:rsid w:val="00283ED8"/>
    <w:rsid w:val="002868D0"/>
    <w:rsid w:val="0029316A"/>
    <w:rsid w:val="002A008C"/>
    <w:rsid w:val="002A27D1"/>
    <w:rsid w:val="002A4AFA"/>
    <w:rsid w:val="002B516C"/>
    <w:rsid w:val="002D72EB"/>
    <w:rsid w:val="002E2327"/>
    <w:rsid w:val="002E3583"/>
    <w:rsid w:val="002E5576"/>
    <w:rsid w:val="002E7C57"/>
    <w:rsid w:val="002F56FA"/>
    <w:rsid w:val="00325E24"/>
    <w:rsid w:val="00331B52"/>
    <w:rsid w:val="003359D3"/>
    <w:rsid w:val="0034009D"/>
    <w:rsid w:val="00352931"/>
    <w:rsid w:val="00355967"/>
    <w:rsid w:val="003722F2"/>
    <w:rsid w:val="00382C47"/>
    <w:rsid w:val="00384384"/>
    <w:rsid w:val="003866AE"/>
    <w:rsid w:val="00387F1D"/>
    <w:rsid w:val="003944CA"/>
    <w:rsid w:val="003B3977"/>
    <w:rsid w:val="00432989"/>
    <w:rsid w:val="00440E24"/>
    <w:rsid w:val="0044776A"/>
    <w:rsid w:val="00460AFC"/>
    <w:rsid w:val="00463A80"/>
    <w:rsid w:val="0047471F"/>
    <w:rsid w:val="004B195E"/>
    <w:rsid w:val="004B66B4"/>
    <w:rsid w:val="004B7F60"/>
    <w:rsid w:val="004C115F"/>
    <w:rsid w:val="004C1AAC"/>
    <w:rsid w:val="004E1E0A"/>
    <w:rsid w:val="004F090E"/>
    <w:rsid w:val="00524566"/>
    <w:rsid w:val="00527CC7"/>
    <w:rsid w:val="005347E7"/>
    <w:rsid w:val="00537582"/>
    <w:rsid w:val="005467CA"/>
    <w:rsid w:val="00571CA4"/>
    <w:rsid w:val="00582136"/>
    <w:rsid w:val="005A2DFF"/>
    <w:rsid w:val="005A33F8"/>
    <w:rsid w:val="005B6EC6"/>
    <w:rsid w:val="005C6840"/>
    <w:rsid w:val="005E6241"/>
    <w:rsid w:val="005E6498"/>
    <w:rsid w:val="005F263E"/>
    <w:rsid w:val="00600252"/>
    <w:rsid w:val="006024E3"/>
    <w:rsid w:val="00612A40"/>
    <w:rsid w:val="0062714A"/>
    <w:rsid w:val="00641B75"/>
    <w:rsid w:val="00642AEE"/>
    <w:rsid w:val="0065196B"/>
    <w:rsid w:val="00671833"/>
    <w:rsid w:val="00675479"/>
    <w:rsid w:val="00680709"/>
    <w:rsid w:val="00691760"/>
    <w:rsid w:val="006922DE"/>
    <w:rsid w:val="00696BF9"/>
    <w:rsid w:val="00697C62"/>
    <w:rsid w:val="006A329B"/>
    <w:rsid w:val="006A7EB8"/>
    <w:rsid w:val="006B6926"/>
    <w:rsid w:val="006C1C3D"/>
    <w:rsid w:val="006C3F47"/>
    <w:rsid w:val="006C5F7A"/>
    <w:rsid w:val="006E06AF"/>
    <w:rsid w:val="006F055B"/>
    <w:rsid w:val="006F350F"/>
    <w:rsid w:val="0070427D"/>
    <w:rsid w:val="007042D4"/>
    <w:rsid w:val="00731807"/>
    <w:rsid w:val="00732DB7"/>
    <w:rsid w:val="00735B09"/>
    <w:rsid w:val="0074238B"/>
    <w:rsid w:val="00745EF7"/>
    <w:rsid w:val="00750F18"/>
    <w:rsid w:val="00755F22"/>
    <w:rsid w:val="00757385"/>
    <w:rsid w:val="0076293E"/>
    <w:rsid w:val="00766E4A"/>
    <w:rsid w:val="007706B7"/>
    <w:rsid w:val="00772653"/>
    <w:rsid w:val="007820CE"/>
    <w:rsid w:val="00782AE4"/>
    <w:rsid w:val="0079724F"/>
    <w:rsid w:val="007A3EAE"/>
    <w:rsid w:val="007C04FC"/>
    <w:rsid w:val="007C7F39"/>
    <w:rsid w:val="007D148E"/>
    <w:rsid w:val="007D3E0F"/>
    <w:rsid w:val="007E4282"/>
    <w:rsid w:val="007F387B"/>
    <w:rsid w:val="00802863"/>
    <w:rsid w:val="00815B3C"/>
    <w:rsid w:val="0081610A"/>
    <w:rsid w:val="008237B9"/>
    <w:rsid w:val="0082783A"/>
    <w:rsid w:val="00831CA9"/>
    <w:rsid w:val="00850E1F"/>
    <w:rsid w:val="0085476B"/>
    <w:rsid w:val="008817C2"/>
    <w:rsid w:val="00890FEB"/>
    <w:rsid w:val="008A5C1A"/>
    <w:rsid w:val="008B61BC"/>
    <w:rsid w:val="008D292F"/>
    <w:rsid w:val="008E03DC"/>
    <w:rsid w:val="00902E51"/>
    <w:rsid w:val="00922460"/>
    <w:rsid w:val="00924065"/>
    <w:rsid w:val="00930D68"/>
    <w:rsid w:val="00932DB4"/>
    <w:rsid w:val="00941A4B"/>
    <w:rsid w:val="00946242"/>
    <w:rsid w:val="0095096B"/>
    <w:rsid w:val="00970CD3"/>
    <w:rsid w:val="009723FA"/>
    <w:rsid w:val="00984546"/>
    <w:rsid w:val="00996510"/>
    <w:rsid w:val="009D1F15"/>
    <w:rsid w:val="009D555E"/>
    <w:rsid w:val="009F3024"/>
    <w:rsid w:val="00A0355E"/>
    <w:rsid w:val="00A375D1"/>
    <w:rsid w:val="00A51D10"/>
    <w:rsid w:val="00A52A83"/>
    <w:rsid w:val="00A6552C"/>
    <w:rsid w:val="00A87207"/>
    <w:rsid w:val="00A935AA"/>
    <w:rsid w:val="00AB2201"/>
    <w:rsid w:val="00AB7CCA"/>
    <w:rsid w:val="00AD3259"/>
    <w:rsid w:val="00AF1715"/>
    <w:rsid w:val="00AF1F5A"/>
    <w:rsid w:val="00AF3904"/>
    <w:rsid w:val="00B010C0"/>
    <w:rsid w:val="00B02F3F"/>
    <w:rsid w:val="00B4740D"/>
    <w:rsid w:val="00B52A50"/>
    <w:rsid w:val="00B61629"/>
    <w:rsid w:val="00B61F34"/>
    <w:rsid w:val="00B7374B"/>
    <w:rsid w:val="00B90DC0"/>
    <w:rsid w:val="00BA116A"/>
    <w:rsid w:val="00BA5582"/>
    <w:rsid w:val="00BA6468"/>
    <w:rsid w:val="00BB1D44"/>
    <w:rsid w:val="00BB2B65"/>
    <w:rsid w:val="00BD06DA"/>
    <w:rsid w:val="00BD3E80"/>
    <w:rsid w:val="00BD4217"/>
    <w:rsid w:val="00BE012C"/>
    <w:rsid w:val="00BE195D"/>
    <w:rsid w:val="00BF25F3"/>
    <w:rsid w:val="00C1697B"/>
    <w:rsid w:val="00C21CB5"/>
    <w:rsid w:val="00C374DC"/>
    <w:rsid w:val="00C43E78"/>
    <w:rsid w:val="00C50A5C"/>
    <w:rsid w:val="00C50FDF"/>
    <w:rsid w:val="00C63381"/>
    <w:rsid w:val="00C73D06"/>
    <w:rsid w:val="00C73E1B"/>
    <w:rsid w:val="00C75673"/>
    <w:rsid w:val="00C759B4"/>
    <w:rsid w:val="00C77493"/>
    <w:rsid w:val="00C77713"/>
    <w:rsid w:val="00C85BB7"/>
    <w:rsid w:val="00CA2DEA"/>
    <w:rsid w:val="00CA4794"/>
    <w:rsid w:val="00CB43D5"/>
    <w:rsid w:val="00CC2008"/>
    <w:rsid w:val="00CC4D84"/>
    <w:rsid w:val="00CE198A"/>
    <w:rsid w:val="00CF08C8"/>
    <w:rsid w:val="00CF55C5"/>
    <w:rsid w:val="00D004FC"/>
    <w:rsid w:val="00D56166"/>
    <w:rsid w:val="00D6480E"/>
    <w:rsid w:val="00D64901"/>
    <w:rsid w:val="00D7438C"/>
    <w:rsid w:val="00D76BDF"/>
    <w:rsid w:val="00D862C1"/>
    <w:rsid w:val="00D93B50"/>
    <w:rsid w:val="00D94028"/>
    <w:rsid w:val="00D94670"/>
    <w:rsid w:val="00DA46F6"/>
    <w:rsid w:val="00DA62FD"/>
    <w:rsid w:val="00DD0B49"/>
    <w:rsid w:val="00DD360F"/>
    <w:rsid w:val="00DE0502"/>
    <w:rsid w:val="00DE349D"/>
    <w:rsid w:val="00E06DFA"/>
    <w:rsid w:val="00E20A0A"/>
    <w:rsid w:val="00E20D31"/>
    <w:rsid w:val="00E356C7"/>
    <w:rsid w:val="00E45FE4"/>
    <w:rsid w:val="00E64FA7"/>
    <w:rsid w:val="00E770CB"/>
    <w:rsid w:val="00E903A1"/>
    <w:rsid w:val="00E940EB"/>
    <w:rsid w:val="00E9703F"/>
    <w:rsid w:val="00EB2B90"/>
    <w:rsid w:val="00EC3B1A"/>
    <w:rsid w:val="00ED7E83"/>
    <w:rsid w:val="00EE091F"/>
    <w:rsid w:val="00EF4B63"/>
    <w:rsid w:val="00F0068D"/>
    <w:rsid w:val="00F053F8"/>
    <w:rsid w:val="00F0576D"/>
    <w:rsid w:val="00F102CB"/>
    <w:rsid w:val="00F1373A"/>
    <w:rsid w:val="00F14E6D"/>
    <w:rsid w:val="00F15EA8"/>
    <w:rsid w:val="00F16C8D"/>
    <w:rsid w:val="00F26C61"/>
    <w:rsid w:val="00F33CCE"/>
    <w:rsid w:val="00F40249"/>
    <w:rsid w:val="00F446CC"/>
    <w:rsid w:val="00F526C8"/>
    <w:rsid w:val="00F748D6"/>
    <w:rsid w:val="00F761A3"/>
    <w:rsid w:val="00F9272D"/>
    <w:rsid w:val="00F9518C"/>
    <w:rsid w:val="00FA316E"/>
    <w:rsid w:val="00FA59EF"/>
    <w:rsid w:val="00FB19A2"/>
    <w:rsid w:val="00FB5D6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BanSummary">
    <w:name w:val="SCC.BanSummary"/>
    <w:basedOn w:val="Normal"/>
    <w:next w:val="Normal"/>
    <w:link w:val="SCCBanSummaryChar"/>
    <w:rsid w:val="001E2B5C"/>
    <w:pPr>
      <w:jc w:val="both"/>
    </w:pPr>
    <w:rPr>
      <w:smallCaps/>
      <w:lang w:val="fr-CA"/>
    </w:rPr>
  </w:style>
  <w:style w:type="character" w:customStyle="1" w:styleId="SCCBanSummaryChar">
    <w:name w:val="SCC.BanSummary Char"/>
    <w:basedOn w:val="DefaultParagraphFont"/>
    <w:link w:val="SCCBanSummary"/>
    <w:rsid w:val="001E2B5C"/>
    <w:rPr>
      <w:smallCaps/>
      <w:lang w:val="fr-CA"/>
    </w:rPr>
  </w:style>
  <w:style w:type="paragraph" w:customStyle="1" w:styleId="SCCLsocParty">
    <w:name w:val="SCC.Lsoc.Party"/>
    <w:basedOn w:val="Normal"/>
    <w:next w:val="Normal"/>
    <w:link w:val="SCCLsocPartyChar"/>
    <w:rsid w:val="007D148E"/>
    <w:pPr>
      <w:jc w:val="center"/>
    </w:pPr>
    <w:rPr>
      <w:rFonts w:eastAsia="Calibri" w:cs="Times New Roman"/>
      <w:lang w:val="fr-CA"/>
    </w:rPr>
  </w:style>
  <w:style w:type="character" w:customStyle="1" w:styleId="SCCLsocPartyChar">
    <w:name w:val="SCC.Lsoc.Party Char"/>
    <w:basedOn w:val="DefaultParagraphFont"/>
    <w:link w:val="SCCLsocParty"/>
    <w:rsid w:val="007D148E"/>
    <w:rPr>
      <w:rFonts w:eastAsia="Calibri" w:cs="Times New Roman"/>
      <w:lang w:val="fr-CA"/>
    </w:rPr>
  </w:style>
  <w:style w:type="table" w:customStyle="1" w:styleId="TableGrid1">
    <w:name w:val="Table Grid1"/>
    <w:basedOn w:val="TableNormal"/>
    <w:next w:val="TableGrid"/>
    <w:uiPriority w:val="59"/>
    <w:rsid w:val="0065196B"/>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50F1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50F1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50F1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50F1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024E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024E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024E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024E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ca/en/nl/nlca/doc/2013/2013nlca24/2013nlca24.html" TargetMode="External"/><Relationship Id="rId21" Type="http://schemas.openxmlformats.org/officeDocument/2006/relationships/header" Target="header6.xml"/><Relationship Id="rId34" Type="http://schemas.openxmlformats.org/officeDocument/2006/relationships/hyperlink" Target="http://www.canlii.org/fr/qc/qcca/doc/2013/2013qcca363/2013qcca363.html?searchUrlHash=AAAAAQANMjAxMyBRQ0NBIDM2MwAAAAAB" TargetMode="External"/><Relationship Id="rId42" Type="http://schemas.openxmlformats.org/officeDocument/2006/relationships/hyperlink" Target="http://canlii.ca/t/fxf53" TargetMode="External"/><Relationship Id="rId47" Type="http://schemas.openxmlformats.org/officeDocument/2006/relationships/hyperlink" Target="http://www.canlii.org/en/sk/skqb/doc/2012/2012skqb225/2012skqb225.html?searchUrlHash=AAAAAQANMjAxMiBTS1FCIDIyNQAAAAAB" TargetMode="External"/><Relationship Id="rId50" Type="http://schemas.openxmlformats.org/officeDocument/2006/relationships/hyperlink" Target="http://www.canlii.org/en/sk/skca/doc/2013/2013skca60/2013skca60.html?searchUrlHash=AAAAAQAMMjAxMyBTS0NBIDYwAAAAAAE" TargetMode="Externa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footer" Target="footer15.xml"/><Relationship Id="rId76" Type="http://schemas.openxmlformats.org/officeDocument/2006/relationships/footer" Target="footer19.xml"/><Relationship Id="rId84" Type="http://schemas.openxmlformats.org/officeDocument/2006/relationships/header" Target="header24.xml"/><Relationship Id="rId89" Type="http://schemas.openxmlformats.org/officeDocument/2006/relationships/header" Target="header26.xml"/><Relationship Id="rId97"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header" Target="header17.xml"/><Relationship Id="rId92"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cs/doc/2011/2011qccs474/2011qccs474.html?searchUrlHash=AAAAAQANMjAxMSBRQ0NTIDQ3NAAAAAAB"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search/search.do?all=2013%20QCCA%20903" TargetMode="External"/><Relationship Id="rId37" Type="http://schemas.openxmlformats.org/officeDocument/2006/relationships/hyperlink" Target="http://www.canlii.org/fr/qc/qcca/doc/2013/2013qcca363/2013qcca363.html?searchUrlHash=AAAAAQANMjAxMyBRQ0NBIDM2MwAAAAAB" TargetMode="External"/><Relationship Id="rId40" Type="http://schemas.openxmlformats.org/officeDocument/2006/relationships/hyperlink" Target="http://canlii.ca/t/fxf53" TargetMode="External"/><Relationship Id="rId45" Type="http://schemas.openxmlformats.org/officeDocument/2006/relationships/hyperlink" Target="http://www.canlii.org/en/ab/abqb/doc/2012/2012abqb149/2012abqb149.html?searchUrlHash=AAAAAQANMjAxMiBBQlFCIDE0OQAAAAAB" TargetMode="Externa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header" Target="header15.xml"/><Relationship Id="rId74" Type="http://schemas.openxmlformats.org/officeDocument/2006/relationships/footer" Target="footer18.xml"/><Relationship Id="rId79" Type="http://schemas.openxmlformats.org/officeDocument/2006/relationships/footer" Target="footer20.xml"/><Relationship Id="rId87" Type="http://schemas.openxmlformats.org/officeDocument/2006/relationships/header" Target="header25.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1.xml"/><Relationship Id="rId82" Type="http://schemas.openxmlformats.org/officeDocument/2006/relationships/footer" Target="footer22.xml"/><Relationship Id="rId90" Type="http://schemas.openxmlformats.org/officeDocument/2006/relationships/header" Target="header27.xml"/><Relationship Id="rId95" Type="http://schemas.openxmlformats.org/officeDocument/2006/relationships/header" Target="header29.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ca/en/search/search.do?all=2011%20NLTD%2016" TargetMode="External"/><Relationship Id="rId30" Type="http://schemas.openxmlformats.org/officeDocument/2006/relationships/hyperlink" Target="http://www.canlii.org/fr/search/search.do?all=2013%20QCCA%20903" TargetMode="External"/><Relationship Id="rId35" Type="http://schemas.openxmlformats.org/officeDocument/2006/relationships/hyperlink" Target="http://www.canlii.org/fr/qc/qcca/doc/2013/2013qcca783/2013qcca783.html?searchUrlHash=AAAAAQANMjAxMyBRQ0NBIDc4MwAAAAAB" TargetMode="External"/><Relationship Id="rId43" Type="http://schemas.openxmlformats.org/officeDocument/2006/relationships/hyperlink" Target="http://www.canlii.org/en/ab/abqb/doc/2012/2012abqb149/2012abqb149.html?searchUrlHash=AAAAAQANMjAxMiBBQlFCIDE0OQAAAAAB" TargetMode="External"/><Relationship Id="rId48" Type="http://schemas.openxmlformats.org/officeDocument/2006/relationships/hyperlink" Target="http://www.canlii.org/en/sk/skca/doc/2013/2013skca60/2013skca60.html?searchUrlHash=AAAAAQAMMjAxMyBTS0NBIDYwAAAAAAE" TargetMode="External"/><Relationship Id="rId56" Type="http://schemas.openxmlformats.org/officeDocument/2006/relationships/footer" Target="footer9.xml"/><Relationship Id="rId64" Type="http://schemas.openxmlformats.org/officeDocument/2006/relationships/footer" Target="footer13.xml"/><Relationship Id="rId69" Type="http://schemas.openxmlformats.org/officeDocument/2006/relationships/header" Target="header16.xml"/><Relationship Id="rId77" Type="http://schemas.openxmlformats.org/officeDocument/2006/relationships/header" Target="header20.xml"/><Relationship Id="rId100" Type="http://schemas.openxmlformats.org/officeDocument/2006/relationships/footer" Target="footer31.xml"/><Relationship Id="rId8" Type="http://schemas.openxmlformats.org/officeDocument/2006/relationships/image" Target="media/image1.wmf"/><Relationship Id="rId51" Type="http://schemas.openxmlformats.org/officeDocument/2006/relationships/hyperlink" Target="http://canlii.ca/t/fxl12" TargetMode="External"/><Relationship Id="rId72" Type="http://schemas.openxmlformats.org/officeDocument/2006/relationships/header" Target="header18.xml"/><Relationship Id="rId80" Type="http://schemas.openxmlformats.org/officeDocument/2006/relationships/footer" Target="footer21.xml"/><Relationship Id="rId85" Type="http://schemas.openxmlformats.org/officeDocument/2006/relationships/footer" Target="footer23.xml"/><Relationship Id="rId93" Type="http://schemas.openxmlformats.org/officeDocument/2006/relationships/header" Target="header28.xml"/><Relationship Id="rId98" Type="http://schemas.openxmlformats.org/officeDocument/2006/relationships/footer" Target="footer3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ca/en/search/search.do?all=2011%20NLTD%2016" TargetMode="External"/><Relationship Id="rId33" Type="http://schemas.openxmlformats.org/officeDocument/2006/relationships/hyperlink" Target="http://www.canlii.org/fr/qc/qccs/doc/2012/2012qccs5976/2012qccs5976.html?searchUrlHash=AAAAAQAOMjAxMiBRQ0NTIDU5NzYAAAAAAQ" TargetMode="External"/><Relationship Id="rId38" Type="http://schemas.openxmlformats.org/officeDocument/2006/relationships/hyperlink" Target="http://www.canlii.org/fr/qc/qcca/doc/2013/2013qcca783/2013qcca783.html?searchUrlHash=AAAAAQANMjAxMyBRQ0NBIDc4MwAAAAAB" TargetMode="External"/><Relationship Id="rId46" Type="http://schemas.openxmlformats.org/officeDocument/2006/relationships/hyperlink" Target="http://www.canlii.org/en/ab/abca/doc/2013/2013abca112/2013abca112.html?searchUrlHash=AAAAAQANMjAxMyBhYmNhIDExMgAAAAAB" TargetMode="External"/><Relationship Id="rId59" Type="http://schemas.openxmlformats.org/officeDocument/2006/relationships/header" Target="header11.xml"/><Relationship Id="rId67" Type="http://schemas.openxmlformats.org/officeDocument/2006/relationships/footer" Target="footer14.xml"/><Relationship Id="rId20" Type="http://schemas.openxmlformats.org/officeDocument/2006/relationships/footer" Target="footer5.xml"/><Relationship Id="rId41" Type="http://schemas.openxmlformats.org/officeDocument/2006/relationships/hyperlink" Target="http://canlii.ca/t/2fvh1" TargetMode="External"/><Relationship Id="rId54" Type="http://schemas.openxmlformats.org/officeDocument/2006/relationships/header" Target="header9.xml"/><Relationship Id="rId62" Type="http://schemas.openxmlformats.org/officeDocument/2006/relationships/footer" Target="footer12.xml"/><Relationship Id="rId70" Type="http://schemas.openxmlformats.org/officeDocument/2006/relationships/footer" Target="footer16.xml"/><Relationship Id="rId75" Type="http://schemas.openxmlformats.org/officeDocument/2006/relationships/header" Target="header19.xml"/><Relationship Id="rId83" Type="http://schemas.openxmlformats.org/officeDocument/2006/relationships/header" Target="header23.xml"/><Relationship Id="rId88" Type="http://schemas.openxmlformats.org/officeDocument/2006/relationships/footer" Target="footer25.xml"/><Relationship Id="rId91" Type="http://schemas.openxmlformats.org/officeDocument/2006/relationships/footer" Target="footer26.xml"/><Relationship Id="rId96"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ca/en/nl/nlca/doc/2013/2013nlca24/2013nlca24.html" TargetMode="External"/><Relationship Id="rId36" Type="http://schemas.openxmlformats.org/officeDocument/2006/relationships/hyperlink" Target="http://www.canlii.org/fr/qc/qccs/doc/2012/2012qccs5976/2012qccs5976.html?searchUrlHash=AAAAAQAOMjAxMiBRQ0NTIDU5NzYAAAAAAQ" TargetMode="External"/><Relationship Id="rId49" Type="http://schemas.openxmlformats.org/officeDocument/2006/relationships/hyperlink" Target="http://www.canlii.org/en/sk/skqb/doc/2012/2012skqb225/2012skqb225.html?searchUrlHash=AAAAAQANMjAxMiBTS1FCIDIyNQAAAAAB" TargetMode="External"/><Relationship Id="rId57" Type="http://schemas.openxmlformats.org/officeDocument/2006/relationships/header" Target="header10.xml"/><Relationship Id="rId10" Type="http://schemas.openxmlformats.org/officeDocument/2006/relationships/hyperlink" Target="http://www.scc-csc.gc.ca" TargetMode="External"/><Relationship Id="rId31" Type="http://schemas.openxmlformats.org/officeDocument/2006/relationships/hyperlink" Target="http://www.canlii.org/fr/qc/qccs/doc/2011/2011qccs474/2011qccs474.html?searchUrlHash=AAAAAQANMjAxMSBRQ0NTIDQ3NAAAAAAB" TargetMode="External"/><Relationship Id="rId44" Type="http://schemas.openxmlformats.org/officeDocument/2006/relationships/hyperlink" Target="http://www.canlii.org/en/ab/abca/doc/2013/2013abca112/2013abca112.html?searchUrlHash=AAAAAQANMjAxMyBhYmNhIDExMgAAAAAB" TargetMode="External"/><Relationship Id="rId52" Type="http://schemas.openxmlformats.org/officeDocument/2006/relationships/hyperlink" Target="http://canlii.ca/t/fxl12" TargetMode="Externa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footer" Target="footer17.xml"/><Relationship Id="rId78" Type="http://schemas.openxmlformats.org/officeDocument/2006/relationships/header" Target="header21.xml"/><Relationship Id="rId81" Type="http://schemas.openxmlformats.org/officeDocument/2006/relationships/header" Target="header22.xml"/><Relationship Id="rId86" Type="http://schemas.openxmlformats.org/officeDocument/2006/relationships/footer" Target="footer24.xml"/><Relationship Id="rId94" Type="http://schemas.openxmlformats.org/officeDocument/2006/relationships/footer" Target="footer28.xml"/><Relationship Id="rId99" Type="http://schemas.openxmlformats.org/officeDocument/2006/relationships/header" Target="header3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g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anlii.ca/t/2fv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6D298-CA54-49AC-B841-64216FB1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20309</Words>
  <Characters>115766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2013-10-28T13:39:00Z</dcterms:created>
  <dcterms:modified xsi:type="dcterms:W3CDTF">2013-10-28T13:40:00Z</dcterms:modified>
</cp:coreProperties>
</file>