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5F3" w:rsidRPr="002E2327" w:rsidRDefault="00382C47">
      <w:bookmarkStart w:id="0" w:name="_GoBack"/>
      <w:r w:rsidRPr="002E2327">
        <w:rPr>
          <w:noProof/>
          <w:lang w:val="en-US"/>
        </w:rPr>
        <w:drawing>
          <wp:anchor distT="57150" distB="57150" distL="57150" distR="57150" simplePos="0" relativeHeight="251659264" behindDoc="0" locked="0" layoutInCell="0" allowOverlap="1">
            <wp:simplePos x="0" y="0"/>
            <wp:positionH relativeFrom="margin">
              <wp:align>center</wp:align>
            </wp:positionH>
            <wp:positionV relativeFrom="margin">
              <wp:posOffset>133350</wp:posOffset>
            </wp:positionV>
            <wp:extent cx="1276350" cy="166687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76350" cy="1666875"/>
                    </a:xfrm>
                    <a:prstGeom prst="rect">
                      <a:avLst/>
                    </a:prstGeom>
                    <a:noFill/>
                    <a:ln w="9525">
                      <a:noFill/>
                      <a:miter lim="800000"/>
                      <a:headEnd/>
                      <a:tailEnd/>
                    </a:ln>
                  </pic:spPr>
                </pic:pic>
              </a:graphicData>
            </a:graphic>
          </wp:anchor>
        </w:drawing>
      </w:r>
    </w:p>
    <w:p w:rsidR="00BF25F3" w:rsidRPr="002E2327" w:rsidRDefault="00BF25F3" w:rsidP="00BF25F3"/>
    <w:p w:rsidR="00BF25F3" w:rsidRPr="002E2327" w:rsidRDefault="00BF25F3" w:rsidP="00BF25F3"/>
    <w:p w:rsidR="00BF25F3" w:rsidRPr="002E2327" w:rsidRDefault="00BF25F3" w:rsidP="00BF25F3"/>
    <w:p w:rsidR="00BF25F3" w:rsidRPr="002E2327" w:rsidRDefault="00BF25F3" w:rsidP="00BF25F3"/>
    <w:p w:rsidR="00BF25F3" w:rsidRPr="002E2327" w:rsidRDefault="00BF25F3" w:rsidP="00BF25F3"/>
    <w:p w:rsidR="00BF25F3" w:rsidRPr="002E2327" w:rsidRDefault="00BF25F3" w:rsidP="00BF25F3"/>
    <w:p w:rsidR="00BF25F3" w:rsidRPr="002E2327" w:rsidRDefault="00BF25F3" w:rsidP="00BF25F3"/>
    <w:p w:rsidR="00BF25F3" w:rsidRPr="002E2327" w:rsidRDefault="00BF25F3" w:rsidP="00BF25F3"/>
    <w:p w:rsidR="00BF25F3" w:rsidRPr="002E2327" w:rsidRDefault="00BF25F3" w:rsidP="00BF25F3"/>
    <w:p w:rsidR="00384384" w:rsidRPr="002E2327" w:rsidRDefault="00BF25F3" w:rsidP="00BF25F3">
      <w:pPr>
        <w:tabs>
          <w:tab w:val="left" w:pos="6075"/>
        </w:tabs>
      </w:pPr>
      <w:r w:rsidRPr="002E2327">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630"/>
        <w:gridCol w:w="4428"/>
      </w:tblGrid>
      <w:tr w:rsidR="00BF25F3" w:rsidRPr="002E2327" w:rsidTr="002E5576">
        <w:tc>
          <w:tcPr>
            <w:tcW w:w="4518" w:type="dxa"/>
          </w:tcPr>
          <w:p w:rsidR="00BF25F3" w:rsidRPr="002E2327" w:rsidRDefault="00BF25F3" w:rsidP="00BF25F3">
            <w:pPr>
              <w:tabs>
                <w:tab w:val="left" w:pos="6075"/>
              </w:tabs>
              <w:jc w:val="center"/>
              <w:rPr>
                <w:b/>
                <w:sz w:val="32"/>
                <w:szCs w:val="32"/>
              </w:rPr>
            </w:pPr>
            <w:r w:rsidRPr="002E2327">
              <w:rPr>
                <w:b/>
                <w:sz w:val="32"/>
                <w:szCs w:val="32"/>
              </w:rPr>
              <w:t>SUPREME COURT OF CANADA</w:t>
            </w:r>
          </w:p>
        </w:tc>
        <w:tc>
          <w:tcPr>
            <w:tcW w:w="630" w:type="dxa"/>
          </w:tcPr>
          <w:p w:rsidR="00BF25F3" w:rsidRPr="002E2327" w:rsidRDefault="00BF25F3" w:rsidP="00BF25F3">
            <w:pPr>
              <w:tabs>
                <w:tab w:val="left" w:pos="6075"/>
              </w:tabs>
              <w:jc w:val="center"/>
              <w:rPr>
                <w:sz w:val="32"/>
                <w:szCs w:val="32"/>
              </w:rPr>
            </w:pPr>
          </w:p>
        </w:tc>
        <w:tc>
          <w:tcPr>
            <w:tcW w:w="4428" w:type="dxa"/>
          </w:tcPr>
          <w:p w:rsidR="00BF25F3" w:rsidRPr="002E2327" w:rsidRDefault="00BF25F3" w:rsidP="00BF25F3">
            <w:pPr>
              <w:tabs>
                <w:tab w:val="left" w:pos="6075"/>
              </w:tabs>
              <w:jc w:val="center"/>
              <w:rPr>
                <w:b/>
                <w:sz w:val="32"/>
                <w:szCs w:val="32"/>
                <w:lang w:val="fr-CA"/>
              </w:rPr>
            </w:pPr>
            <w:r w:rsidRPr="002E2327">
              <w:rPr>
                <w:b/>
                <w:sz w:val="32"/>
                <w:szCs w:val="32"/>
                <w:lang w:val="fr-CA"/>
              </w:rPr>
              <w:t>COUR SUPRÊME DU CANADA</w:t>
            </w:r>
          </w:p>
        </w:tc>
      </w:tr>
      <w:tr w:rsidR="00BF25F3" w:rsidRPr="002E2327" w:rsidTr="002E5576">
        <w:tc>
          <w:tcPr>
            <w:tcW w:w="4518" w:type="dxa"/>
          </w:tcPr>
          <w:p w:rsidR="00BF25F3" w:rsidRPr="002E2327" w:rsidRDefault="00BF25F3" w:rsidP="00BF25F3">
            <w:pPr>
              <w:tabs>
                <w:tab w:val="left" w:pos="6075"/>
              </w:tabs>
            </w:pPr>
          </w:p>
          <w:p w:rsidR="001B5C23" w:rsidRPr="002E2327" w:rsidRDefault="001B5C23" w:rsidP="00BF25F3">
            <w:pPr>
              <w:tabs>
                <w:tab w:val="left" w:pos="6075"/>
              </w:tabs>
            </w:pPr>
          </w:p>
          <w:p w:rsidR="001B5C23" w:rsidRPr="002E2327" w:rsidRDefault="001B5C23" w:rsidP="00BF25F3">
            <w:pPr>
              <w:tabs>
                <w:tab w:val="left" w:pos="6075"/>
              </w:tabs>
            </w:pPr>
          </w:p>
        </w:tc>
        <w:tc>
          <w:tcPr>
            <w:tcW w:w="630" w:type="dxa"/>
          </w:tcPr>
          <w:p w:rsidR="00BF25F3" w:rsidRPr="002E2327" w:rsidRDefault="00BF25F3" w:rsidP="00BF25F3">
            <w:pPr>
              <w:tabs>
                <w:tab w:val="left" w:pos="6075"/>
              </w:tabs>
            </w:pPr>
          </w:p>
        </w:tc>
        <w:tc>
          <w:tcPr>
            <w:tcW w:w="4428" w:type="dxa"/>
          </w:tcPr>
          <w:p w:rsidR="00BF25F3" w:rsidRPr="002E2327" w:rsidRDefault="00BF25F3" w:rsidP="00BF25F3">
            <w:pPr>
              <w:tabs>
                <w:tab w:val="left" w:pos="6075"/>
              </w:tabs>
              <w:rPr>
                <w:lang w:val="fr-CA"/>
              </w:rPr>
            </w:pPr>
          </w:p>
        </w:tc>
      </w:tr>
      <w:tr w:rsidR="00BF25F3" w:rsidRPr="002E2327" w:rsidTr="002E5576">
        <w:tc>
          <w:tcPr>
            <w:tcW w:w="4518" w:type="dxa"/>
          </w:tcPr>
          <w:p w:rsidR="001B5C23" w:rsidRPr="002E2327" w:rsidRDefault="00BF25F3" w:rsidP="00BF25F3">
            <w:pPr>
              <w:tabs>
                <w:tab w:val="left" w:pos="6075"/>
              </w:tabs>
              <w:jc w:val="center"/>
              <w:rPr>
                <w:sz w:val="28"/>
                <w:szCs w:val="28"/>
              </w:rPr>
            </w:pPr>
            <w:r w:rsidRPr="002E2327">
              <w:rPr>
                <w:sz w:val="28"/>
                <w:szCs w:val="28"/>
              </w:rPr>
              <w:t>BULLETIN OF</w:t>
            </w:r>
          </w:p>
          <w:p w:rsidR="00BF25F3" w:rsidRPr="002E2327" w:rsidRDefault="00BF25F3" w:rsidP="00BF25F3">
            <w:pPr>
              <w:tabs>
                <w:tab w:val="left" w:pos="6075"/>
              </w:tabs>
              <w:jc w:val="center"/>
              <w:rPr>
                <w:sz w:val="28"/>
                <w:szCs w:val="28"/>
              </w:rPr>
            </w:pPr>
            <w:r w:rsidRPr="002E2327">
              <w:rPr>
                <w:sz w:val="28"/>
                <w:szCs w:val="28"/>
              </w:rPr>
              <w:t xml:space="preserve"> PROCEEDINGS</w:t>
            </w:r>
          </w:p>
        </w:tc>
        <w:tc>
          <w:tcPr>
            <w:tcW w:w="630" w:type="dxa"/>
          </w:tcPr>
          <w:p w:rsidR="00BF25F3" w:rsidRPr="002E2327" w:rsidRDefault="00BF25F3" w:rsidP="00BF25F3">
            <w:pPr>
              <w:tabs>
                <w:tab w:val="left" w:pos="6075"/>
              </w:tabs>
            </w:pPr>
          </w:p>
        </w:tc>
        <w:tc>
          <w:tcPr>
            <w:tcW w:w="4428" w:type="dxa"/>
          </w:tcPr>
          <w:p w:rsidR="001B5C23" w:rsidRPr="002E2327" w:rsidRDefault="00BF25F3" w:rsidP="00BF25F3">
            <w:pPr>
              <w:tabs>
                <w:tab w:val="left" w:pos="6075"/>
              </w:tabs>
              <w:jc w:val="center"/>
              <w:rPr>
                <w:sz w:val="28"/>
                <w:szCs w:val="28"/>
                <w:lang w:val="fr-CA"/>
              </w:rPr>
            </w:pPr>
            <w:r w:rsidRPr="002E2327">
              <w:rPr>
                <w:sz w:val="28"/>
                <w:szCs w:val="28"/>
                <w:lang w:val="fr-CA"/>
              </w:rPr>
              <w:t>BULLETIN DES</w:t>
            </w:r>
          </w:p>
          <w:p w:rsidR="00BF25F3" w:rsidRPr="002E2327" w:rsidRDefault="00BF25F3" w:rsidP="00BF25F3">
            <w:pPr>
              <w:tabs>
                <w:tab w:val="left" w:pos="6075"/>
              </w:tabs>
              <w:jc w:val="center"/>
              <w:rPr>
                <w:sz w:val="28"/>
                <w:szCs w:val="28"/>
                <w:lang w:val="fr-CA"/>
              </w:rPr>
            </w:pPr>
            <w:r w:rsidRPr="002E2327">
              <w:rPr>
                <w:sz w:val="28"/>
                <w:szCs w:val="28"/>
                <w:lang w:val="fr-CA"/>
              </w:rPr>
              <w:t xml:space="preserve"> PROCÉDURES</w:t>
            </w:r>
          </w:p>
        </w:tc>
      </w:tr>
      <w:tr w:rsidR="00BF25F3" w:rsidRPr="002E2327" w:rsidTr="002E5576">
        <w:tc>
          <w:tcPr>
            <w:tcW w:w="4518" w:type="dxa"/>
          </w:tcPr>
          <w:p w:rsidR="00BF25F3" w:rsidRPr="002E2327" w:rsidRDefault="00BF25F3" w:rsidP="00BF25F3">
            <w:pPr>
              <w:tabs>
                <w:tab w:val="left" w:pos="6075"/>
              </w:tabs>
            </w:pPr>
          </w:p>
          <w:p w:rsidR="001B5C23" w:rsidRPr="002E2327" w:rsidRDefault="001B5C23" w:rsidP="00BF25F3">
            <w:pPr>
              <w:tabs>
                <w:tab w:val="left" w:pos="6075"/>
              </w:tabs>
            </w:pPr>
          </w:p>
        </w:tc>
        <w:tc>
          <w:tcPr>
            <w:tcW w:w="630" w:type="dxa"/>
          </w:tcPr>
          <w:p w:rsidR="00BF25F3" w:rsidRPr="002E2327" w:rsidRDefault="00BF25F3" w:rsidP="00BF25F3">
            <w:pPr>
              <w:tabs>
                <w:tab w:val="left" w:pos="6075"/>
              </w:tabs>
            </w:pPr>
          </w:p>
        </w:tc>
        <w:tc>
          <w:tcPr>
            <w:tcW w:w="4428" w:type="dxa"/>
          </w:tcPr>
          <w:p w:rsidR="00BF25F3" w:rsidRPr="002E2327" w:rsidRDefault="00BF25F3" w:rsidP="00BF25F3">
            <w:pPr>
              <w:tabs>
                <w:tab w:val="left" w:pos="6075"/>
              </w:tabs>
              <w:rPr>
                <w:lang w:val="fr-CA"/>
              </w:rPr>
            </w:pPr>
          </w:p>
        </w:tc>
      </w:tr>
      <w:tr w:rsidR="00BF25F3" w:rsidRPr="007368AD" w:rsidTr="002E5576">
        <w:tc>
          <w:tcPr>
            <w:tcW w:w="4518" w:type="dxa"/>
          </w:tcPr>
          <w:p w:rsidR="00BF25F3" w:rsidRPr="002E2327" w:rsidRDefault="00BF25F3" w:rsidP="00BF25F3">
            <w:pPr>
              <w:tabs>
                <w:tab w:val="left" w:pos="6075"/>
              </w:tabs>
              <w:jc w:val="both"/>
              <w:rPr>
                <w:rFonts w:ascii="Arial" w:hAnsi="Arial" w:cs="Arial"/>
                <w:i/>
                <w:sz w:val="20"/>
                <w:szCs w:val="20"/>
              </w:rPr>
            </w:pPr>
            <w:r w:rsidRPr="002E2327">
              <w:rPr>
                <w:rFonts w:ascii="Arial" w:hAnsi="Arial" w:cs="Arial"/>
                <w:i/>
                <w:sz w:val="20"/>
                <w:szCs w:val="20"/>
              </w:rPr>
              <w:t>This Bulletin is published at the direction of the Registrar and is for general information only.  It is not to be used as evidence of its content, which, if required, should be proved by Certificate of the Registrar under the Seal of the Court.  While every effort is made to ensure accuracy, no responsibility is assumed for errors or omissions.</w:t>
            </w:r>
          </w:p>
        </w:tc>
        <w:tc>
          <w:tcPr>
            <w:tcW w:w="630" w:type="dxa"/>
          </w:tcPr>
          <w:p w:rsidR="00BF25F3" w:rsidRPr="002E2327" w:rsidRDefault="00BF25F3" w:rsidP="00BF25F3">
            <w:pPr>
              <w:tabs>
                <w:tab w:val="left" w:pos="6075"/>
              </w:tabs>
              <w:jc w:val="both"/>
              <w:rPr>
                <w:rFonts w:ascii="Arial" w:hAnsi="Arial" w:cs="Arial"/>
                <w:i/>
                <w:sz w:val="20"/>
                <w:szCs w:val="20"/>
              </w:rPr>
            </w:pPr>
          </w:p>
        </w:tc>
        <w:tc>
          <w:tcPr>
            <w:tcW w:w="4428" w:type="dxa"/>
          </w:tcPr>
          <w:p w:rsidR="00BF25F3" w:rsidRPr="002E2327" w:rsidRDefault="00BF25F3" w:rsidP="00BF25F3">
            <w:pPr>
              <w:tabs>
                <w:tab w:val="left" w:pos="6075"/>
              </w:tabs>
              <w:jc w:val="both"/>
              <w:rPr>
                <w:rFonts w:ascii="Arial" w:hAnsi="Arial" w:cs="Arial"/>
                <w:i/>
                <w:sz w:val="20"/>
                <w:szCs w:val="20"/>
                <w:lang w:val="fr-CA"/>
              </w:rPr>
            </w:pPr>
            <w:r w:rsidRPr="002E2327">
              <w:rPr>
                <w:rFonts w:ascii="Arial" w:hAnsi="Arial" w:cs="Arial"/>
                <w:i/>
                <w:sz w:val="20"/>
                <w:szCs w:val="20"/>
                <w:lang w:val="fr-CA"/>
              </w:rPr>
              <w:t>Ce Bulletin, publié sous l'autorité du registraire, ne vise qu'à fournir des renseignements d'ordre général.  Il ne peut servir de preuve de son contenu.  Celle-ci s'établit par un certificat du registraire donné sous le sceau de la Cour.  Rien n'est négligé pour assurer l'exactitude du contenu, mais la Cour décline toute responsabilité pour les erreurs ou omissions.</w:t>
            </w:r>
          </w:p>
        </w:tc>
      </w:tr>
      <w:tr w:rsidR="00BF25F3" w:rsidRPr="007368AD" w:rsidTr="002E5576">
        <w:tc>
          <w:tcPr>
            <w:tcW w:w="4518" w:type="dxa"/>
          </w:tcPr>
          <w:p w:rsidR="00BF25F3" w:rsidRPr="00675479" w:rsidRDefault="00BF25F3" w:rsidP="00BF25F3">
            <w:pPr>
              <w:tabs>
                <w:tab w:val="left" w:pos="6075"/>
              </w:tabs>
              <w:rPr>
                <w:lang w:val="fr-CA"/>
              </w:rPr>
            </w:pPr>
          </w:p>
          <w:p w:rsidR="00D862C1" w:rsidRPr="00675479" w:rsidRDefault="00D862C1" w:rsidP="00BF25F3">
            <w:pPr>
              <w:tabs>
                <w:tab w:val="left" w:pos="6075"/>
              </w:tabs>
              <w:rPr>
                <w:lang w:val="fr-CA"/>
              </w:rPr>
            </w:pPr>
          </w:p>
        </w:tc>
        <w:tc>
          <w:tcPr>
            <w:tcW w:w="630" w:type="dxa"/>
          </w:tcPr>
          <w:p w:rsidR="00BF25F3" w:rsidRPr="00675479" w:rsidRDefault="00BF25F3" w:rsidP="00BF25F3">
            <w:pPr>
              <w:tabs>
                <w:tab w:val="left" w:pos="6075"/>
              </w:tabs>
              <w:rPr>
                <w:lang w:val="fr-CA"/>
              </w:rPr>
            </w:pPr>
          </w:p>
        </w:tc>
        <w:tc>
          <w:tcPr>
            <w:tcW w:w="4428" w:type="dxa"/>
          </w:tcPr>
          <w:p w:rsidR="00BF25F3" w:rsidRPr="002E2327" w:rsidRDefault="00BF25F3" w:rsidP="00BF25F3">
            <w:pPr>
              <w:tabs>
                <w:tab w:val="left" w:pos="6075"/>
              </w:tabs>
              <w:rPr>
                <w:lang w:val="fr-CA"/>
              </w:rPr>
            </w:pPr>
          </w:p>
        </w:tc>
      </w:tr>
      <w:tr w:rsidR="00BF25F3" w:rsidRPr="007368AD" w:rsidTr="002E5576">
        <w:tc>
          <w:tcPr>
            <w:tcW w:w="4518" w:type="dxa"/>
          </w:tcPr>
          <w:p w:rsidR="00BF25F3" w:rsidRPr="002E2327" w:rsidRDefault="00BF25F3" w:rsidP="009F3024">
            <w:pPr>
              <w:tabs>
                <w:tab w:val="left" w:pos="6075"/>
              </w:tabs>
              <w:jc w:val="both"/>
              <w:rPr>
                <w:rFonts w:ascii="Arial" w:hAnsi="Arial" w:cs="Arial"/>
                <w:i/>
                <w:sz w:val="20"/>
                <w:szCs w:val="20"/>
              </w:rPr>
            </w:pPr>
            <w:r w:rsidRPr="002E2327">
              <w:rPr>
                <w:rFonts w:ascii="Arial" w:hAnsi="Arial" w:cs="Arial"/>
                <w:i/>
                <w:sz w:val="20"/>
                <w:szCs w:val="20"/>
              </w:rPr>
              <w:t xml:space="preserve">During Court sessions </w:t>
            </w:r>
            <w:r w:rsidR="009F3024">
              <w:rPr>
                <w:rFonts w:ascii="Arial" w:hAnsi="Arial" w:cs="Arial"/>
                <w:i/>
                <w:sz w:val="20"/>
                <w:szCs w:val="20"/>
              </w:rPr>
              <w:t xml:space="preserve">the Bulletin </w:t>
            </w:r>
            <w:r w:rsidRPr="002E2327">
              <w:rPr>
                <w:rFonts w:ascii="Arial" w:hAnsi="Arial" w:cs="Arial"/>
                <w:i/>
                <w:sz w:val="20"/>
                <w:szCs w:val="20"/>
              </w:rPr>
              <w:t>is usually issued weekly.</w:t>
            </w:r>
          </w:p>
        </w:tc>
        <w:tc>
          <w:tcPr>
            <w:tcW w:w="630" w:type="dxa"/>
          </w:tcPr>
          <w:p w:rsidR="00BF25F3" w:rsidRPr="002E2327" w:rsidRDefault="00BF25F3" w:rsidP="00BF25F3">
            <w:pPr>
              <w:tabs>
                <w:tab w:val="left" w:pos="6075"/>
              </w:tabs>
              <w:jc w:val="both"/>
              <w:rPr>
                <w:rFonts w:ascii="Arial" w:hAnsi="Arial" w:cs="Arial"/>
                <w:i/>
                <w:sz w:val="20"/>
                <w:szCs w:val="20"/>
              </w:rPr>
            </w:pPr>
          </w:p>
        </w:tc>
        <w:tc>
          <w:tcPr>
            <w:tcW w:w="4428" w:type="dxa"/>
          </w:tcPr>
          <w:p w:rsidR="00BF25F3" w:rsidRPr="002E2327" w:rsidRDefault="00BF25F3" w:rsidP="00BF25F3">
            <w:pPr>
              <w:tabs>
                <w:tab w:val="left" w:pos="6075"/>
              </w:tabs>
              <w:jc w:val="both"/>
              <w:rPr>
                <w:rFonts w:ascii="Arial" w:hAnsi="Arial" w:cs="Arial"/>
                <w:i/>
                <w:sz w:val="20"/>
                <w:szCs w:val="20"/>
                <w:lang w:val="fr-CA"/>
              </w:rPr>
            </w:pPr>
            <w:r w:rsidRPr="002E2327">
              <w:rPr>
                <w:rFonts w:ascii="Arial" w:hAnsi="Arial" w:cs="Arial"/>
                <w:i/>
                <w:sz w:val="20"/>
                <w:szCs w:val="20"/>
                <w:lang w:val="fr-CA"/>
              </w:rPr>
              <w:t>Le Bulletin paraît en principe toutes les semaines pendant les sessions de la Cour.</w:t>
            </w:r>
          </w:p>
        </w:tc>
      </w:tr>
      <w:tr w:rsidR="00BF25F3" w:rsidRPr="007368AD" w:rsidTr="002E5576">
        <w:tc>
          <w:tcPr>
            <w:tcW w:w="4518" w:type="dxa"/>
          </w:tcPr>
          <w:p w:rsidR="00BF25F3" w:rsidRPr="00675479" w:rsidRDefault="00BF25F3" w:rsidP="00BF25F3">
            <w:pPr>
              <w:tabs>
                <w:tab w:val="left" w:pos="6075"/>
              </w:tabs>
              <w:rPr>
                <w:lang w:val="fr-CA"/>
              </w:rPr>
            </w:pPr>
          </w:p>
          <w:p w:rsidR="00D862C1" w:rsidRPr="00675479" w:rsidRDefault="00D862C1" w:rsidP="00BF25F3">
            <w:pPr>
              <w:tabs>
                <w:tab w:val="left" w:pos="6075"/>
              </w:tabs>
              <w:rPr>
                <w:lang w:val="fr-CA"/>
              </w:rPr>
            </w:pPr>
          </w:p>
        </w:tc>
        <w:tc>
          <w:tcPr>
            <w:tcW w:w="630" w:type="dxa"/>
          </w:tcPr>
          <w:p w:rsidR="00BF25F3" w:rsidRPr="00675479" w:rsidRDefault="00BF25F3" w:rsidP="00BF25F3">
            <w:pPr>
              <w:tabs>
                <w:tab w:val="left" w:pos="6075"/>
              </w:tabs>
              <w:rPr>
                <w:lang w:val="fr-CA"/>
              </w:rPr>
            </w:pPr>
          </w:p>
        </w:tc>
        <w:tc>
          <w:tcPr>
            <w:tcW w:w="4428" w:type="dxa"/>
          </w:tcPr>
          <w:p w:rsidR="00BF25F3" w:rsidRPr="002E2327" w:rsidRDefault="00BF25F3" w:rsidP="00BF25F3">
            <w:pPr>
              <w:tabs>
                <w:tab w:val="left" w:pos="6075"/>
              </w:tabs>
              <w:rPr>
                <w:lang w:val="fr-CA"/>
              </w:rPr>
            </w:pPr>
          </w:p>
        </w:tc>
      </w:tr>
      <w:tr w:rsidR="00BF25F3" w:rsidRPr="007368AD" w:rsidTr="002E5576">
        <w:tc>
          <w:tcPr>
            <w:tcW w:w="4518" w:type="dxa"/>
          </w:tcPr>
          <w:p w:rsidR="00BF25F3" w:rsidRPr="002E2327" w:rsidRDefault="00047631" w:rsidP="00BF25F3">
            <w:pPr>
              <w:tabs>
                <w:tab w:val="left" w:pos="6075"/>
              </w:tabs>
              <w:jc w:val="both"/>
              <w:rPr>
                <w:rFonts w:ascii="Arial" w:hAnsi="Arial" w:cs="Arial"/>
                <w:i/>
                <w:sz w:val="20"/>
                <w:szCs w:val="20"/>
              </w:rPr>
            </w:pPr>
            <w:r w:rsidRPr="002E2327">
              <w:rPr>
                <w:rFonts w:ascii="Arial" w:hAnsi="Arial" w:cs="Arial"/>
                <w:i/>
                <w:sz w:val="20"/>
                <w:szCs w:val="20"/>
              </w:rPr>
              <w:fldChar w:fldCharType="begin"/>
            </w:r>
            <w:r w:rsidR="00BF25F3" w:rsidRPr="002E2327">
              <w:rPr>
                <w:rFonts w:ascii="Arial" w:hAnsi="Arial" w:cs="Arial"/>
                <w:i/>
                <w:sz w:val="20"/>
                <w:szCs w:val="20"/>
              </w:rPr>
              <w:instrText xml:space="preserve"> SEQ CHAPTER \h \r 1</w:instrText>
            </w:r>
            <w:r w:rsidRPr="002E2327">
              <w:rPr>
                <w:rFonts w:ascii="Arial" w:hAnsi="Arial" w:cs="Arial"/>
                <w:i/>
                <w:sz w:val="20"/>
                <w:szCs w:val="20"/>
              </w:rPr>
              <w:fldChar w:fldCharType="end"/>
            </w:r>
            <w:r w:rsidR="00BF25F3" w:rsidRPr="002E2327">
              <w:rPr>
                <w:rFonts w:ascii="Arial" w:hAnsi="Arial" w:cs="Arial"/>
                <w:i/>
                <w:iCs/>
                <w:sz w:val="20"/>
                <w:szCs w:val="20"/>
              </w:rPr>
              <w:t>Where a judgment has been rendered, requests for copies should be made to the Registrar, with a remittance of $15 for each set of reasons.  All remittances should be made payable to the Receiver General for Canada.</w:t>
            </w:r>
          </w:p>
        </w:tc>
        <w:tc>
          <w:tcPr>
            <w:tcW w:w="630" w:type="dxa"/>
          </w:tcPr>
          <w:p w:rsidR="00BF25F3" w:rsidRPr="002E2327" w:rsidRDefault="00BF25F3" w:rsidP="00BF25F3">
            <w:pPr>
              <w:tabs>
                <w:tab w:val="left" w:pos="6075"/>
              </w:tabs>
              <w:jc w:val="both"/>
              <w:rPr>
                <w:rFonts w:ascii="Arial" w:hAnsi="Arial" w:cs="Arial"/>
                <w:i/>
                <w:sz w:val="20"/>
                <w:szCs w:val="20"/>
              </w:rPr>
            </w:pPr>
          </w:p>
        </w:tc>
        <w:tc>
          <w:tcPr>
            <w:tcW w:w="4428" w:type="dxa"/>
          </w:tcPr>
          <w:p w:rsidR="00BF25F3" w:rsidRPr="002E2327" w:rsidRDefault="00047631" w:rsidP="00BF25F3">
            <w:pPr>
              <w:tabs>
                <w:tab w:val="left" w:pos="6075"/>
              </w:tabs>
              <w:jc w:val="both"/>
              <w:rPr>
                <w:rFonts w:ascii="Arial" w:hAnsi="Arial" w:cs="Arial"/>
                <w:i/>
                <w:sz w:val="20"/>
                <w:szCs w:val="20"/>
                <w:lang w:val="fr-CA"/>
              </w:rPr>
            </w:pPr>
            <w:r w:rsidRPr="002E2327">
              <w:rPr>
                <w:rFonts w:ascii="Arial" w:hAnsi="Arial" w:cs="Arial"/>
                <w:i/>
                <w:sz w:val="20"/>
                <w:szCs w:val="20"/>
                <w:lang w:val="fr-CA"/>
              </w:rPr>
              <w:fldChar w:fldCharType="begin"/>
            </w:r>
            <w:r w:rsidR="00BF25F3" w:rsidRPr="002E2327">
              <w:rPr>
                <w:rFonts w:ascii="Arial" w:hAnsi="Arial" w:cs="Arial"/>
                <w:i/>
                <w:sz w:val="20"/>
                <w:szCs w:val="20"/>
                <w:lang w:val="fr-CA"/>
              </w:rPr>
              <w:instrText xml:space="preserve"> SEQ CHAPTER \h \r 1</w:instrText>
            </w:r>
            <w:r w:rsidRPr="002E2327">
              <w:rPr>
                <w:rFonts w:ascii="Arial" w:hAnsi="Arial" w:cs="Arial"/>
                <w:i/>
                <w:sz w:val="20"/>
                <w:szCs w:val="20"/>
                <w:lang w:val="fr-CA"/>
              </w:rPr>
              <w:fldChar w:fldCharType="end"/>
            </w:r>
            <w:r w:rsidR="00BF25F3" w:rsidRPr="002E2327">
              <w:rPr>
                <w:rFonts w:ascii="Arial" w:hAnsi="Arial" w:cs="Arial"/>
                <w:i/>
                <w:iCs/>
                <w:sz w:val="20"/>
                <w:szCs w:val="20"/>
                <w:lang w:val="fr-CA"/>
              </w:rPr>
              <w:t>Quand un arrêt est rendu, on peut se procurer les motifs de jugement en adressant sa demande au registraire, accompagnée de 15 $ par exemplaire.  Le paiement doit être fait à l'ordre du Receveur général du Canada.</w:t>
            </w:r>
          </w:p>
        </w:tc>
      </w:tr>
      <w:tr w:rsidR="009F3024" w:rsidRPr="007368AD" w:rsidTr="002E5576">
        <w:tc>
          <w:tcPr>
            <w:tcW w:w="4518" w:type="dxa"/>
          </w:tcPr>
          <w:p w:rsidR="009F3024" w:rsidRPr="00091FA6" w:rsidRDefault="009F3024" w:rsidP="009F3024">
            <w:pPr>
              <w:tabs>
                <w:tab w:val="left" w:pos="6075"/>
              </w:tabs>
              <w:rPr>
                <w:rFonts w:cs="Times New Roman"/>
                <w:szCs w:val="24"/>
                <w:lang w:val="fr-CA"/>
              </w:rPr>
            </w:pPr>
          </w:p>
          <w:p w:rsidR="009F3024" w:rsidRPr="00091FA6" w:rsidRDefault="009F3024" w:rsidP="009F3024">
            <w:pPr>
              <w:tabs>
                <w:tab w:val="left" w:pos="6075"/>
              </w:tabs>
              <w:rPr>
                <w:rFonts w:cs="Times New Roman"/>
                <w:szCs w:val="24"/>
                <w:lang w:val="fr-CA"/>
              </w:rPr>
            </w:pPr>
          </w:p>
        </w:tc>
        <w:tc>
          <w:tcPr>
            <w:tcW w:w="630" w:type="dxa"/>
          </w:tcPr>
          <w:p w:rsidR="009F3024" w:rsidRPr="00091FA6" w:rsidRDefault="009F3024" w:rsidP="009F3024">
            <w:pPr>
              <w:tabs>
                <w:tab w:val="left" w:pos="6075"/>
              </w:tabs>
              <w:rPr>
                <w:rFonts w:cs="Times New Roman"/>
                <w:szCs w:val="24"/>
                <w:lang w:val="fr-CA"/>
              </w:rPr>
            </w:pPr>
          </w:p>
        </w:tc>
        <w:tc>
          <w:tcPr>
            <w:tcW w:w="4428" w:type="dxa"/>
          </w:tcPr>
          <w:p w:rsidR="009F3024" w:rsidRPr="009F3024" w:rsidRDefault="009F3024" w:rsidP="009F3024">
            <w:pPr>
              <w:tabs>
                <w:tab w:val="left" w:pos="6075"/>
              </w:tabs>
              <w:rPr>
                <w:rFonts w:cs="Times New Roman"/>
                <w:szCs w:val="24"/>
                <w:lang w:val="fr-CA"/>
              </w:rPr>
            </w:pPr>
          </w:p>
        </w:tc>
      </w:tr>
      <w:tr w:rsidR="009F3024" w:rsidRPr="007368AD" w:rsidTr="002E5576">
        <w:tc>
          <w:tcPr>
            <w:tcW w:w="4518" w:type="dxa"/>
          </w:tcPr>
          <w:p w:rsidR="009F3024" w:rsidRPr="002E2327" w:rsidRDefault="009F3024" w:rsidP="00BF25F3">
            <w:pPr>
              <w:tabs>
                <w:tab w:val="left" w:pos="6075"/>
              </w:tabs>
              <w:jc w:val="both"/>
              <w:rPr>
                <w:rFonts w:ascii="Arial" w:hAnsi="Arial" w:cs="Arial"/>
                <w:i/>
                <w:sz w:val="20"/>
                <w:szCs w:val="20"/>
              </w:rPr>
            </w:pPr>
            <w:r>
              <w:rPr>
                <w:rFonts w:ascii="Arial" w:hAnsi="Arial" w:cs="Arial"/>
                <w:i/>
                <w:sz w:val="20"/>
                <w:szCs w:val="20"/>
              </w:rPr>
              <w:t xml:space="preserve">Consult the Supreme Court of Canada website at </w:t>
            </w:r>
            <w:hyperlink r:id="rId9" w:history="1">
              <w:r w:rsidRPr="00155CF3">
                <w:rPr>
                  <w:rStyle w:val="Hyperlink"/>
                  <w:rFonts w:ascii="Arial" w:hAnsi="Arial" w:cs="Arial"/>
                  <w:i/>
                  <w:sz w:val="20"/>
                  <w:szCs w:val="20"/>
                </w:rPr>
                <w:t>www.scc-csc.</w:t>
              </w:r>
              <w:r w:rsidR="007368AD">
                <w:rPr>
                  <w:rStyle w:val="Hyperlink"/>
                  <w:rFonts w:ascii="Arial" w:hAnsi="Arial" w:cs="Arial"/>
                  <w:i/>
                  <w:sz w:val="20"/>
                  <w:szCs w:val="20"/>
                </w:rPr>
                <w:t>ca</w:t>
              </w:r>
            </w:hyperlink>
            <w:r>
              <w:rPr>
                <w:rFonts w:ascii="Arial" w:hAnsi="Arial" w:cs="Arial"/>
                <w:i/>
                <w:sz w:val="20"/>
                <w:szCs w:val="20"/>
              </w:rPr>
              <w:t xml:space="preserve"> for more information.</w:t>
            </w:r>
          </w:p>
        </w:tc>
        <w:tc>
          <w:tcPr>
            <w:tcW w:w="630" w:type="dxa"/>
          </w:tcPr>
          <w:p w:rsidR="009F3024" w:rsidRPr="002E2327" w:rsidRDefault="009F3024" w:rsidP="00BF25F3">
            <w:pPr>
              <w:tabs>
                <w:tab w:val="left" w:pos="6075"/>
              </w:tabs>
              <w:jc w:val="both"/>
              <w:rPr>
                <w:rFonts w:ascii="Arial" w:hAnsi="Arial" w:cs="Arial"/>
                <w:i/>
                <w:sz w:val="20"/>
                <w:szCs w:val="20"/>
              </w:rPr>
            </w:pPr>
          </w:p>
        </w:tc>
        <w:tc>
          <w:tcPr>
            <w:tcW w:w="4428" w:type="dxa"/>
          </w:tcPr>
          <w:p w:rsidR="009F3024" w:rsidRPr="009F3024" w:rsidRDefault="009F3024" w:rsidP="00BF25F3">
            <w:pPr>
              <w:tabs>
                <w:tab w:val="left" w:pos="6075"/>
              </w:tabs>
              <w:jc w:val="both"/>
              <w:rPr>
                <w:rFonts w:ascii="Arial" w:hAnsi="Arial" w:cs="Arial"/>
                <w:i/>
                <w:sz w:val="20"/>
                <w:szCs w:val="20"/>
                <w:lang w:val="fr-CA"/>
              </w:rPr>
            </w:pPr>
            <w:r w:rsidRPr="009F3024">
              <w:rPr>
                <w:rFonts w:ascii="Arial" w:hAnsi="Arial" w:cs="Arial"/>
                <w:i/>
                <w:sz w:val="20"/>
                <w:szCs w:val="20"/>
                <w:lang w:val="fr-CA"/>
              </w:rPr>
              <w:t>Pour de plus amples informations, con</w:t>
            </w:r>
            <w:r>
              <w:rPr>
                <w:rFonts w:ascii="Arial" w:hAnsi="Arial" w:cs="Arial"/>
                <w:i/>
                <w:sz w:val="20"/>
                <w:szCs w:val="20"/>
                <w:lang w:val="fr-CA"/>
              </w:rPr>
              <w:t xml:space="preserve">sulter le site Web de la Cour suprême du Canada à l’adresse suivante : </w:t>
            </w:r>
            <w:hyperlink r:id="rId10" w:history="1">
              <w:r w:rsidRPr="00155CF3">
                <w:rPr>
                  <w:rStyle w:val="Hyperlink"/>
                  <w:rFonts w:ascii="Arial" w:hAnsi="Arial" w:cs="Arial"/>
                  <w:i/>
                  <w:sz w:val="20"/>
                  <w:szCs w:val="20"/>
                  <w:lang w:val="fr-CA"/>
                </w:rPr>
                <w:t>www.scc-csc.</w:t>
              </w:r>
              <w:r w:rsidR="007368AD">
                <w:rPr>
                  <w:rStyle w:val="Hyperlink"/>
                  <w:rFonts w:ascii="Arial" w:hAnsi="Arial" w:cs="Arial"/>
                  <w:i/>
                  <w:sz w:val="20"/>
                  <w:szCs w:val="20"/>
                  <w:lang w:val="fr-CA"/>
                </w:rPr>
                <w:t>ca</w:t>
              </w:r>
            </w:hyperlink>
            <w:r>
              <w:rPr>
                <w:rFonts w:ascii="Arial" w:hAnsi="Arial" w:cs="Arial"/>
                <w:i/>
                <w:sz w:val="20"/>
                <w:szCs w:val="20"/>
                <w:lang w:val="fr-CA"/>
              </w:rPr>
              <w:t xml:space="preserve"> </w:t>
            </w:r>
          </w:p>
        </w:tc>
      </w:tr>
    </w:tbl>
    <w:p w:rsidR="00BF25F3" w:rsidRPr="009F3024" w:rsidRDefault="00BF25F3" w:rsidP="00BF25F3">
      <w:pPr>
        <w:tabs>
          <w:tab w:val="left" w:pos="6075"/>
        </w:tabs>
        <w:rPr>
          <w:lang w:val="fr-CA"/>
        </w:rPr>
      </w:pPr>
    </w:p>
    <w:p w:rsidR="00440E24" w:rsidRPr="009F3024" w:rsidRDefault="00440E24" w:rsidP="00440E24">
      <w:pPr>
        <w:pBdr>
          <w:bottom w:val="single" w:sz="6" w:space="1" w:color="auto"/>
        </w:pBdr>
        <w:tabs>
          <w:tab w:val="left" w:pos="6075"/>
        </w:tabs>
        <w:rPr>
          <w:lang w:val="fr-CA"/>
        </w:rPr>
      </w:pPr>
    </w:p>
    <w:p w:rsidR="00440E24" w:rsidRPr="009F3024" w:rsidRDefault="00440E24" w:rsidP="00440E24">
      <w:pPr>
        <w:rPr>
          <w:lang w:val="fr-CA"/>
        </w:rPr>
      </w:pPr>
    </w:p>
    <w:p w:rsidR="00600252" w:rsidRPr="00675479" w:rsidRDefault="00C72F17" w:rsidP="00F0068D">
      <w:pPr>
        <w:pBdr>
          <w:bottom w:val="single" w:sz="6" w:space="1" w:color="auto"/>
        </w:pBdr>
        <w:tabs>
          <w:tab w:val="center" w:pos="4680"/>
          <w:tab w:val="right" w:pos="9360"/>
        </w:tabs>
        <w:rPr>
          <w:lang w:val="fr-CA"/>
        </w:rPr>
      </w:pPr>
      <w:r>
        <w:rPr>
          <w:lang w:val="fr-CA"/>
        </w:rPr>
        <w:t>Novembe</w:t>
      </w:r>
      <w:r w:rsidR="00C73D06">
        <w:rPr>
          <w:lang w:val="fr-CA"/>
        </w:rPr>
        <w:t>r</w:t>
      </w:r>
      <w:r w:rsidR="00440E24" w:rsidRPr="00675479">
        <w:rPr>
          <w:lang w:val="fr-CA"/>
        </w:rPr>
        <w:t xml:space="preserve"> </w:t>
      </w:r>
      <w:r>
        <w:rPr>
          <w:lang w:val="fr-CA"/>
        </w:rPr>
        <w:t>8</w:t>
      </w:r>
      <w:r w:rsidR="00440E24" w:rsidRPr="00675479">
        <w:rPr>
          <w:lang w:val="fr-CA"/>
        </w:rPr>
        <w:t>, 201</w:t>
      </w:r>
      <w:r w:rsidR="00F761A3">
        <w:rPr>
          <w:lang w:val="fr-CA"/>
        </w:rPr>
        <w:t>3</w:t>
      </w:r>
      <w:r w:rsidR="00F0068D" w:rsidRPr="00675479">
        <w:rPr>
          <w:lang w:val="fr-CA"/>
        </w:rPr>
        <w:tab/>
        <w:t>1</w:t>
      </w:r>
      <w:r>
        <w:rPr>
          <w:lang w:val="fr-CA"/>
        </w:rPr>
        <w:t>799</w:t>
      </w:r>
      <w:r w:rsidR="00F0068D" w:rsidRPr="00675479">
        <w:rPr>
          <w:lang w:val="fr-CA"/>
        </w:rPr>
        <w:t xml:space="preserve"> - </w:t>
      </w:r>
      <w:r w:rsidR="008C7270">
        <w:rPr>
          <w:lang w:val="fr-CA"/>
        </w:rPr>
        <w:t>1830</w:t>
      </w:r>
      <w:r w:rsidR="00440E24" w:rsidRPr="00675479">
        <w:rPr>
          <w:lang w:val="fr-CA"/>
        </w:rPr>
        <w:tab/>
      </w:r>
      <w:r w:rsidR="00440E24" w:rsidRPr="002E2327">
        <w:rPr>
          <w:lang w:val="fr-CA"/>
        </w:rPr>
        <w:t>Le</w:t>
      </w:r>
      <w:r w:rsidR="00C73D06">
        <w:rPr>
          <w:lang w:val="fr-CA"/>
        </w:rPr>
        <w:t xml:space="preserve"> </w:t>
      </w:r>
      <w:r>
        <w:rPr>
          <w:lang w:val="fr-CA"/>
        </w:rPr>
        <w:t>8 nov</w:t>
      </w:r>
      <w:r w:rsidR="00C73D06">
        <w:rPr>
          <w:lang w:val="fr-CA"/>
        </w:rPr>
        <w:t>e</w:t>
      </w:r>
      <w:r>
        <w:rPr>
          <w:lang w:val="fr-CA"/>
        </w:rPr>
        <w:t>mb</w:t>
      </w:r>
      <w:r w:rsidR="00C73D06">
        <w:rPr>
          <w:lang w:val="fr-CA"/>
        </w:rPr>
        <w:t>r</w:t>
      </w:r>
      <w:r>
        <w:rPr>
          <w:lang w:val="fr-CA"/>
        </w:rPr>
        <w:t>e</w:t>
      </w:r>
      <w:r w:rsidR="00440E24" w:rsidRPr="002E2327">
        <w:rPr>
          <w:lang w:val="fr-CA"/>
        </w:rPr>
        <w:t xml:space="preserve"> 201</w:t>
      </w:r>
      <w:r w:rsidR="00F761A3">
        <w:rPr>
          <w:lang w:val="fr-CA"/>
        </w:rPr>
        <w:t>3</w:t>
      </w:r>
    </w:p>
    <w:p w:rsidR="00440E24" w:rsidRPr="00675479" w:rsidRDefault="00440E24" w:rsidP="00440E24">
      <w:pPr>
        <w:pBdr>
          <w:bottom w:val="single" w:sz="6" w:space="1" w:color="auto"/>
        </w:pBdr>
        <w:tabs>
          <w:tab w:val="right" w:pos="9360"/>
        </w:tabs>
        <w:rPr>
          <w:lang w:val="fr-CA"/>
        </w:rPr>
      </w:pPr>
    </w:p>
    <w:p w:rsidR="00440E24" w:rsidRPr="00C72F17" w:rsidRDefault="00440E24" w:rsidP="00440E24">
      <w:pPr>
        <w:pBdr>
          <w:bottom w:val="single" w:sz="6" w:space="1" w:color="auto"/>
        </w:pBdr>
        <w:tabs>
          <w:tab w:val="right" w:pos="9360"/>
        </w:tabs>
        <w:rPr>
          <w:sz w:val="18"/>
          <w:szCs w:val="18"/>
          <w:lang w:val="fr-CA"/>
        </w:rPr>
      </w:pPr>
      <w:r w:rsidRPr="00C72F17">
        <w:rPr>
          <w:sz w:val="18"/>
          <w:szCs w:val="18"/>
          <w:lang w:val="fr-CA"/>
        </w:rPr>
        <w:lastRenderedPageBreak/>
        <w:t>© Supreme Court of Canada (201</w:t>
      </w:r>
      <w:r w:rsidR="00F761A3" w:rsidRPr="00C72F17">
        <w:rPr>
          <w:sz w:val="18"/>
          <w:szCs w:val="18"/>
          <w:lang w:val="fr-CA"/>
        </w:rPr>
        <w:t>3</w:t>
      </w:r>
      <w:r w:rsidRPr="00C72F17">
        <w:rPr>
          <w:sz w:val="18"/>
          <w:szCs w:val="18"/>
          <w:lang w:val="fr-CA"/>
        </w:rPr>
        <w:t>)</w:t>
      </w:r>
      <w:r w:rsidRPr="00C72F17">
        <w:rPr>
          <w:sz w:val="18"/>
          <w:szCs w:val="18"/>
          <w:lang w:val="fr-CA"/>
        </w:rPr>
        <w:tab/>
        <w:t>© Cour suprême du Canada (201</w:t>
      </w:r>
      <w:r w:rsidR="00F761A3" w:rsidRPr="00C72F17">
        <w:rPr>
          <w:sz w:val="18"/>
          <w:szCs w:val="18"/>
          <w:lang w:val="fr-CA"/>
        </w:rPr>
        <w:t>3</w:t>
      </w:r>
      <w:r w:rsidRPr="00C72F17">
        <w:rPr>
          <w:sz w:val="18"/>
          <w:szCs w:val="18"/>
          <w:lang w:val="fr-CA"/>
        </w:rPr>
        <w:t>)</w:t>
      </w:r>
    </w:p>
    <w:p w:rsidR="00440E24" w:rsidRPr="00675479" w:rsidRDefault="00440E24" w:rsidP="00440E24">
      <w:pPr>
        <w:pBdr>
          <w:bottom w:val="single" w:sz="6" w:space="1" w:color="auto"/>
        </w:pBdr>
        <w:tabs>
          <w:tab w:val="right" w:pos="9360"/>
        </w:tabs>
        <w:rPr>
          <w:sz w:val="18"/>
          <w:szCs w:val="18"/>
          <w:lang w:val="fr-CA"/>
        </w:rPr>
      </w:pPr>
      <w:r w:rsidRPr="00675479">
        <w:rPr>
          <w:sz w:val="18"/>
          <w:szCs w:val="18"/>
          <w:lang w:val="fr-CA"/>
        </w:rPr>
        <w:t>ISSN 1918-8358 (Online)</w:t>
      </w:r>
      <w:r w:rsidRPr="00675479">
        <w:rPr>
          <w:sz w:val="18"/>
          <w:szCs w:val="18"/>
          <w:lang w:val="fr-CA"/>
        </w:rPr>
        <w:tab/>
        <w:t xml:space="preserve">ISSN 1918-8358 (En </w:t>
      </w:r>
      <w:r w:rsidRPr="002E2327">
        <w:rPr>
          <w:sz w:val="18"/>
          <w:szCs w:val="18"/>
          <w:lang w:val="fr-CA"/>
        </w:rPr>
        <w:t>ligne</w:t>
      </w:r>
      <w:r w:rsidRPr="00675479">
        <w:rPr>
          <w:sz w:val="18"/>
          <w:szCs w:val="18"/>
          <w:lang w:val="fr-CA"/>
        </w:rPr>
        <w:t>)</w:t>
      </w:r>
    </w:p>
    <w:p w:rsidR="00600252" w:rsidRPr="00675479" w:rsidRDefault="00600252" w:rsidP="00BF25F3">
      <w:pPr>
        <w:pBdr>
          <w:bottom w:val="single" w:sz="6" w:space="1" w:color="auto"/>
        </w:pBdr>
        <w:tabs>
          <w:tab w:val="left" w:pos="6075"/>
        </w:tabs>
        <w:rPr>
          <w:lang w:val="fr-CA"/>
        </w:rPr>
      </w:pPr>
    </w:p>
    <w:tbl>
      <w:tblPr>
        <w:tblW w:w="9540" w:type="dxa"/>
        <w:tblInd w:w="-90" w:type="dxa"/>
        <w:tblBorders>
          <w:bottom w:val="single" w:sz="8" w:space="0" w:color="auto"/>
        </w:tblBorders>
        <w:tblLayout w:type="fixed"/>
        <w:tblCellMar>
          <w:left w:w="0" w:type="dxa"/>
          <w:right w:w="0" w:type="dxa"/>
        </w:tblCellMar>
        <w:tblLook w:val="0000" w:firstRow="0" w:lastRow="0" w:firstColumn="0" w:lastColumn="0" w:noHBand="0" w:noVBand="0"/>
      </w:tblPr>
      <w:tblGrid>
        <w:gridCol w:w="4290"/>
        <w:gridCol w:w="1200"/>
        <w:gridCol w:w="4050"/>
      </w:tblGrid>
      <w:tr w:rsidR="00245129" w:rsidRPr="002E2327" w:rsidTr="00245129">
        <w:tc>
          <w:tcPr>
            <w:tcW w:w="4290" w:type="dxa"/>
            <w:shd w:val="clear" w:color="auto" w:fill="auto"/>
            <w:tcMar>
              <w:left w:w="0" w:type="dxa"/>
              <w:right w:w="0" w:type="dxa"/>
            </w:tcMar>
          </w:tcPr>
          <w:p w:rsidR="00245129" w:rsidRPr="002E2327" w:rsidRDefault="00245129" w:rsidP="00245129">
            <w:pPr>
              <w:jc w:val="both"/>
              <w:rPr>
                <w:rFonts w:eastAsia="Times New Roman" w:cs="Times New Roman"/>
                <w:b/>
                <w:sz w:val="20"/>
                <w:szCs w:val="20"/>
                <w:lang w:eastAsia="en-CA"/>
              </w:rPr>
            </w:pPr>
            <w:r w:rsidRPr="002E2327">
              <w:rPr>
                <w:b/>
              </w:rPr>
              <w:t>CONTENTS</w:t>
            </w:r>
          </w:p>
        </w:tc>
        <w:tc>
          <w:tcPr>
            <w:tcW w:w="1200" w:type="dxa"/>
            <w:shd w:val="clear" w:color="auto" w:fill="auto"/>
            <w:tcMar>
              <w:left w:w="0" w:type="dxa"/>
              <w:right w:w="0" w:type="dxa"/>
            </w:tcMar>
          </w:tcPr>
          <w:p w:rsidR="00245129" w:rsidRPr="002E2327" w:rsidRDefault="00245129" w:rsidP="00245129">
            <w:pPr>
              <w:jc w:val="center"/>
              <w:rPr>
                <w:rFonts w:eastAsia="Times New Roman" w:cs="Times New Roman"/>
                <w:b/>
                <w:sz w:val="20"/>
                <w:szCs w:val="20"/>
                <w:lang w:eastAsia="en-CA"/>
              </w:rPr>
            </w:pPr>
          </w:p>
          <w:p w:rsidR="00245129" w:rsidRPr="002E2327" w:rsidRDefault="00245129" w:rsidP="00245129">
            <w:pPr>
              <w:rPr>
                <w:rFonts w:eastAsia="Times New Roman" w:cs="Times New Roman"/>
                <w:b/>
                <w:sz w:val="20"/>
                <w:szCs w:val="20"/>
                <w:lang w:eastAsia="en-CA"/>
              </w:rPr>
            </w:pPr>
          </w:p>
        </w:tc>
        <w:tc>
          <w:tcPr>
            <w:tcW w:w="4050" w:type="dxa"/>
            <w:shd w:val="clear" w:color="auto" w:fill="auto"/>
            <w:tcMar>
              <w:left w:w="0" w:type="dxa"/>
              <w:right w:w="0" w:type="dxa"/>
            </w:tcMar>
          </w:tcPr>
          <w:p w:rsidR="00245129" w:rsidRPr="002E2327" w:rsidRDefault="00245129" w:rsidP="00245129">
            <w:pPr>
              <w:rPr>
                <w:rFonts w:eastAsia="Times New Roman" w:cs="Times New Roman"/>
                <w:b/>
                <w:sz w:val="20"/>
                <w:szCs w:val="20"/>
                <w:lang w:val="fr-CA" w:eastAsia="en-CA"/>
              </w:rPr>
            </w:pPr>
            <w:r w:rsidRPr="002E2327">
              <w:rPr>
                <w:b/>
                <w:lang w:val="fr-CA"/>
              </w:rPr>
              <w:t>TABLE DES MATIÈRES</w:t>
            </w:r>
          </w:p>
        </w:tc>
      </w:tr>
    </w:tbl>
    <w:p w:rsidR="0095096B" w:rsidRPr="002E2327" w:rsidRDefault="0095096B" w:rsidP="00245129">
      <w:pPr>
        <w:tabs>
          <w:tab w:val="right" w:pos="9360"/>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1980"/>
        <w:gridCol w:w="3888"/>
      </w:tblGrid>
      <w:tr w:rsidR="0095096B" w:rsidRPr="00DE585D" w:rsidTr="00164E6D">
        <w:tc>
          <w:tcPr>
            <w:tcW w:w="3708" w:type="dxa"/>
          </w:tcPr>
          <w:p w:rsidR="0095096B" w:rsidRPr="002E2327" w:rsidRDefault="0095096B" w:rsidP="0095096B">
            <w:pPr>
              <w:tabs>
                <w:tab w:val="right" w:pos="9360"/>
              </w:tabs>
              <w:rPr>
                <w:rFonts w:cs="Times New Roman"/>
                <w:sz w:val="20"/>
                <w:szCs w:val="20"/>
              </w:rPr>
            </w:pPr>
            <w:r w:rsidRPr="002E2327">
              <w:rPr>
                <w:rFonts w:cs="Times New Roman"/>
                <w:sz w:val="20"/>
                <w:szCs w:val="20"/>
              </w:rPr>
              <w:t xml:space="preserve">Applications for leave to appeal </w:t>
            </w:r>
          </w:p>
          <w:p w:rsidR="0095096B" w:rsidRPr="002E2327" w:rsidRDefault="0095096B" w:rsidP="0095096B">
            <w:pPr>
              <w:tabs>
                <w:tab w:val="right" w:pos="9360"/>
              </w:tabs>
              <w:rPr>
                <w:rFonts w:cs="Times New Roman"/>
                <w:sz w:val="20"/>
                <w:szCs w:val="20"/>
              </w:rPr>
            </w:pPr>
            <w:r w:rsidRPr="002E2327">
              <w:rPr>
                <w:rFonts w:cs="Times New Roman"/>
                <w:sz w:val="20"/>
                <w:szCs w:val="20"/>
              </w:rPr>
              <w:t>filed</w:t>
            </w:r>
          </w:p>
          <w:p w:rsidR="0095096B" w:rsidRPr="002E2327" w:rsidRDefault="0095096B" w:rsidP="0095096B">
            <w:pPr>
              <w:tabs>
                <w:tab w:val="right" w:pos="9360"/>
              </w:tabs>
              <w:rPr>
                <w:rFonts w:cs="Times New Roman"/>
                <w:sz w:val="20"/>
                <w:szCs w:val="20"/>
              </w:rPr>
            </w:pPr>
          </w:p>
          <w:p w:rsidR="0095096B" w:rsidRPr="002E2327" w:rsidRDefault="0095096B" w:rsidP="0095096B">
            <w:pPr>
              <w:tabs>
                <w:tab w:val="right" w:pos="9360"/>
              </w:tabs>
              <w:rPr>
                <w:rFonts w:cs="Times New Roman"/>
                <w:sz w:val="20"/>
                <w:szCs w:val="20"/>
              </w:rPr>
            </w:pPr>
            <w:r w:rsidRPr="002E2327">
              <w:rPr>
                <w:rFonts w:cs="Times New Roman"/>
                <w:sz w:val="20"/>
                <w:szCs w:val="20"/>
              </w:rPr>
              <w:t xml:space="preserve">Applications for leave submitted </w:t>
            </w:r>
          </w:p>
          <w:p w:rsidR="0095096B" w:rsidRPr="002E2327" w:rsidRDefault="0095096B" w:rsidP="0095096B">
            <w:pPr>
              <w:tabs>
                <w:tab w:val="right" w:pos="9360"/>
              </w:tabs>
              <w:rPr>
                <w:rFonts w:cs="Times New Roman"/>
                <w:sz w:val="20"/>
                <w:szCs w:val="20"/>
              </w:rPr>
            </w:pPr>
            <w:r w:rsidRPr="002E2327">
              <w:rPr>
                <w:rFonts w:cs="Times New Roman"/>
                <w:sz w:val="20"/>
                <w:szCs w:val="20"/>
              </w:rPr>
              <w:t>to Court since last issue</w:t>
            </w:r>
          </w:p>
          <w:p w:rsidR="0095096B" w:rsidRPr="002E2327" w:rsidRDefault="0095096B" w:rsidP="0095096B">
            <w:pPr>
              <w:tabs>
                <w:tab w:val="right" w:pos="9360"/>
              </w:tabs>
              <w:rPr>
                <w:rFonts w:cs="Times New Roman"/>
                <w:sz w:val="20"/>
                <w:szCs w:val="20"/>
              </w:rPr>
            </w:pPr>
          </w:p>
          <w:p w:rsidR="0095096B" w:rsidRPr="002E2327" w:rsidRDefault="0095096B" w:rsidP="0095096B">
            <w:pPr>
              <w:tabs>
                <w:tab w:val="right" w:pos="9360"/>
              </w:tabs>
              <w:rPr>
                <w:rFonts w:cs="Times New Roman"/>
                <w:sz w:val="20"/>
                <w:szCs w:val="20"/>
              </w:rPr>
            </w:pPr>
            <w:r w:rsidRPr="002E2327">
              <w:rPr>
                <w:rFonts w:cs="Times New Roman"/>
                <w:sz w:val="20"/>
                <w:szCs w:val="20"/>
              </w:rPr>
              <w:t xml:space="preserve">Judgments on applications for </w:t>
            </w:r>
          </w:p>
          <w:p w:rsidR="0095096B" w:rsidRPr="002E2327" w:rsidRDefault="0095096B" w:rsidP="0095096B">
            <w:pPr>
              <w:tabs>
                <w:tab w:val="right" w:pos="9360"/>
              </w:tabs>
              <w:rPr>
                <w:rFonts w:cs="Times New Roman"/>
                <w:sz w:val="20"/>
                <w:szCs w:val="20"/>
              </w:rPr>
            </w:pPr>
            <w:r w:rsidRPr="002E2327">
              <w:rPr>
                <w:rFonts w:cs="Times New Roman"/>
                <w:sz w:val="20"/>
                <w:szCs w:val="20"/>
              </w:rPr>
              <w:t>leave</w:t>
            </w:r>
          </w:p>
          <w:p w:rsidR="0095096B" w:rsidRPr="002E2327" w:rsidRDefault="0095096B" w:rsidP="0095096B">
            <w:pPr>
              <w:tabs>
                <w:tab w:val="right" w:pos="9360"/>
              </w:tabs>
              <w:rPr>
                <w:rFonts w:cs="Times New Roman"/>
                <w:sz w:val="20"/>
                <w:szCs w:val="20"/>
              </w:rPr>
            </w:pPr>
          </w:p>
          <w:p w:rsidR="0095096B" w:rsidRPr="002E2327" w:rsidRDefault="0095096B" w:rsidP="0095096B">
            <w:pPr>
              <w:tabs>
                <w:tab w:val="right" w:pos="9360"/>
              </w:tabs>
              <w:rPr>
                <w:rFonts w:cs="Times New Roman"/>
                <w:sz w:val="20"/>
                <w:szCs w:val="20"/>
              </w:rPr>
            </w:pPr>
            <w:r w:rsidRPr="002E2327">
              <w:rPr>
                <w:rFonts w:cs="Times New Roman"/>
                <w:sz w:val="20"/>
                <w:szCs w:val="20"/>
              </w:rPr>
              <w:t>Motions</w:t>
            </w:r>
          </w:p>
          <w:p w:rsidR="0095096B" w:rsidRPr="002E2327" w:rsidRDefault="0095096B" w:rsidP="0095096B">
            <w:pPr>
              <w:tabs>
                <w:tab w:val="right" w:pos="9360"/>
              </w:tabs>
              <w:rPr>
                <w:rFonts w:cs="Times New Roman"/>
                <w:sz w:val="20"/>
                <w:szCs w:val="20"/>
              </w:rPr>
            </w:pPr>
          </w:p>
          <w:p w:rsidR="0095096B" w:rsidRPr="002E2327" w:rsidRDefault="0095096B" w:rsidP="0095096B">
            <w:pPr>
              <w:tabs>
                <w:tab w:val="right" w:pos="9360"/>
              </w:tabs>
              <w:rPr>
                <w:rFonts w:cs="Times New Roman"/>
                <w:sz w:val="20"/>
                <w:szCs w:val="20"/>
              </w:rPr>
            </w:pPr>
            <w:r w:rsidRPr="002E2327">
              <w:rPr>
                <w:rFonts w:cs="Times New Roman"/>
                <w:sz w:val="20"/>
                <w:szCs w:val="20"/>
              </w:rPr>
              <w:t>Appeals heard since last issue and disposition</w:t>
            </w:r>
          </w:p>
          <w:p w:rsidR="0095096B" w:rsidRPr="002E2327" w:rsidRDefault="0095096B" w:rsidP="0095096B">
            <w:pPr>
              <w:tabs>
                <w:tab w:val="right" w:pos="9360"/>
              </w:tabs>
              <w:rPr>
                <w:rFonts w:cs="Times New Roman"/>
                <w:sz w:val="20"/>
                <w:szCs w:val="20"/>
              </w:rPr>
            </w:pPr>
          </w:p>
          <w:p w:rsidR="0095096B" w:rsidRPr="002E2327" w:rsidRDefault="0095096B" w:rsidP="0095096B">
            <w:pPr>
              <w:tabs>
                <w:tab w:val="right" w:pos="9360"/>
              </w:tabs>
              <w:rPr>
                <w:rFonts w:cs="Times New Roman"/>
                <w:sz w:val="20"/>
                <w:szCs w:val="20"/>
              </w:rPr>
            </w:pPr>
            <w:r w:rsidRPr="002E2327">
              <w:rPr>
                <w:rFonts w:cs="Times New Roman"/>
                <w:sz w:val="20"/>
                <w:szCs w:val="20"/>
              </w:rPr>
              <w:t>Pronouncements of appeals reserved</w:t>
            </w:r>
          </w:p>
          <w:p w:rsidR="0095096B" w:rsidRPr="002E2327" w:rsidRDefault="0095096B" w:rsidP="0095096B">
            <w:pPr>
              <w:tabs>
                <w:tab w:val="right" w:pos="9360"/>
              </w:tabs>
              <w:rPr>
                <w:rFonts w:cs="Times New Roman"/>
                <w:sz w:val="20"/>
                <w:szCs w:val="20"/>
              </w:rPr>
            </w:pPr>
          </w:p>
          <w:p w:rsidR="0095096B" w:rsidRPr="002E2327" w:rsidRDefault="0095096B" w:rsidP="0095096B">
            <w:pPr>
              <w:tabs>
                <w:tab w:val="right" w:pos="9360"/>
              </w:tabs>
              <w:rPr>
                <w:rFonts w:cs="Times New Roman"/>
                <w:sz w:val="20"/>
                <w:szCs w:val="20"/>
              </w:rPr>
            </w:pPr>
          </w:p>
          <w:p w:rsidR="0095096B" w:rsidRPr="002E2327" w:rsidRDefault="0095096B" w:rsidP="0095096B">
            <w:pPr>
              <w:tabs>
                <w:tab w:val="right" w:pos="9360"/>
              </w:tabs>
              <w:rPr>
                <w:rFonts w:cs="Times New Roman"/>
                <w:sz w:val="20"/>
                <w:szCs w:val="20"/>
              </w:rPr>
            </w:pPr>
            <w:r w:rsidRPr="002E2327">
              <w:rPr>
                <w:rFonts w:cs="Times New Roman"/>
                <w:sz w:val="20"/>
                <w:szCs w:val="20"/>
              </w:rPr>
              <w:t>Headnotes of recent judgments</w:t>
            </w:r>
          </w:p>
          <w:p w:rsidR="00A87207" w:rsidRPr="002E2327" w:rsidRDefault="00A87207" w:rsidP="00703FC8">
            <w:pPr>
              <w:tabs>
                <w:tab w:val="right" w:pos="9360"/>
              </w:tabs>
              <w:rPr>
                <w:rFonts w:cs="Times New Roman"/>
                <w:sz w:val="20"/>
                <w:szCs w:val="20"/>
              </w:rPr>
            </w:pPr>
          </w:p>
        </w:tc>
        <w:tc>
          <w:tcPr>
            <w:tcW w:w="1980" w:type="dxa"/>
          </w:tcPr>
          <w:p w:rsidR="0095096B" w:rsidRPr="002E2327" w:rsidRDefault="00C72F17" w:rsidP="0095096B">
            <w:pPr>
              <w:jc w:val="center"/>
              <w:rPr>
                <w:rFonts w:cs="Times New Roman"/>
                <w:sz w:val="20"/>
                <w:szCs w:val="20"/>
              </w:rPr>
            </w:pPr>
            <w:r>
              <w:rPr>
                <w:rFonts w:cs="Times New Roman"/>
                <w:sz w:val="20"/>
                <w:szCs w:val="20"/>
              </w:rPr>
              <w:t>1799</w:t>
            </w:r>
            <w:r w:rsidR="00047631" w:rsidRPr="002E2327">
              <w:rPr>
                <w:rFonts w:cs="Times New Roman"/>
                <w:sz w:val="20"/>
                <w:szCs w:val="20"/>
              </w:rPr>
              <w:fldChar w:fldCharType="begin"/>
            </w:r>
            <w:r w:rsidR="0095096B" w:rsidRPr="002E2327">
              <w:rPr>
                <w:rFonts w:cs="Times New Roman"/>
                <w:sz w:val="20"/>
                <w:szCs w:val="20"/>
              </w:rPr>
              <w:instrText xml:space="preserve"> SEQ CHAPTER \h \r 1</w:instrText>
            </w:r>
            <w:r w:rsidR="00047631" w:rsidRPr="002E2327">
              <w:rPr>
                <w:rFonts w:cs="Times New Roman"/>
                <w:sz w:val="20"/>
                <w:szCs w:val="20"/>
              </w:rPr>
              <w:fldChar w:fldCharType="end"/>
            </w:r>
          </w:p>
          <w:p w:rsidR="0095096B" w:rsidRPr="002E2327" w:rsidRDefault="0095096B" w:rsidP="0095096B">
            <w:pPr>
              <w:jc w:val="center"/>
              <w:rPr>
                <w:rFonts w:cs="Times New Roman"/>
                <w:sz w:val="20"/>
                <w:szCs w:val="20"/>
              </w:rPr>
            </w:pPr>
          </w:p>
          <w:p w:rsidR="0095096B" w:rsidRPr="002E2327" w:rsidRDefault="0095096B" w:rsidP="0095096B">
            <w:pPr>
              <w:jc w:val="center"/>
              <w:rPr>
                <w:rFonts w:cs="Times New Roman"/>
                <w:sz w:val="20"/>
                <w:szCs w:val="20"/>
              </w:rPr>
            </w:pPr>
          </w:p>
          <w:p w:rsidR="0095096B" w:rsidRPr="002E2327" w:rsidRDefault="00254909" w:rsidP="0095096B">
            <w:pPr>
              <w:jc w:val="center"/>
              <w:rPr>
                <w:rFonts w:cs="Times New Roman"/>
                <w:sz w:val="20"/>
                <w:szCs w:val="20"/>
              </w:rPr>
            </w:pPr>
            <w:r>
              <w:rPr>
                <w:rFonts w:cs="Times New Roman"/>
                <w:sz w:val="20"/>
                <w:szCs w:val="20"/>
              </w:rPr>
              <w:t>1800</w:t>
            </w:r>
          </w:p>
          <w:p w:rsidR="0095096B" w:rsidRPr="002E2327" w:rsidRDefault="0095096B" w:rsidP="0095096B">
            <w:pPr>
              <w:jc w:val="center"/>
              <w:rPr>
                <w:rFonts w:cs="Times New Roman"/>
                <w:sz w:val="20"/>
                <w:szCs w:val="20"/>
              </w:rPr>
            </w:pPr>
          </w:p>
          <w:p w:rsidR="0095096B" w:rsidRPr="002E2327" w:rsidRDefault="0095096B" w:rsidP="0095096B">
            <w:pPr>
              <w:jc w:val="center"/>
              <w:rPr>
                <w:rFonts w:cs="Times New Roman"/>
                <w:sz w:val="20"/>
                <w:szCs w:val="20"/>
              </w:rPr>
            </w:pPr>
          </w:p>
          <w:p w:rsidR="0095096B" w:rsidRPr="002E2327" w:rsidRDefault="00703FC8" w:rsidP="0095096B">
            <w:pPr>
              <w:jc w:val="center"/>
              <w:rPr>
                <w:rFonts w:cs="Times New Roman"/>
                <w:sz w:val="20"/>
                <w:szCs w:val="20"/>
              </w:rPr>
            </w:pPr>
            <w:r>
              <w:rPr>
                <w:rFonts w:cs="Times New Roman"/>
                <w:sz w:val="20"/>
                <w:szCs w:val="20"/>
              </w:rPr>
              <w:t xml:space="preserve">1801 </w:t>
            </w:r>
            <w:r w:rsidR="0095096B" w:rsidRPr="002E2327">
              <w:rPr>
                <w:rFonts w:cs="Times New Roman"/>
                <w:sz w:val="20"/>
                <w:szCs w:val="20"/>
              </w:rPr>
              <w:t>-</w:t>
            </w:r>
            <w:r w:rsidR="008C7270">
              <w:rPr>
                <w:rFonts w:cs="Times New Roman"/>
                <w:sz w:val="20"/>
                <w:szCs w:val="20"/>
              </w:rPr>
              <w:t xml:space="preserve"> 1810</w:t>
            </w:r>
          </w:p>
          <w:p w:rsidR="0095096B" w:rsidRPr="002E2327" w:rsidRDefault="0095096B" w:rsidP="0095096B">
            <w:pPr>
              <w:jc w:val="center"/>
              <w:rPr>
                <w:rFonts w:cs="Times New Roman"/>
                <w:sz w:val="20"/>
                <w:szCs w:val="20"/>
              </w:rPr>
            </w:pPr>
          </w:p>
          <w:p w:rsidR="0095096B" w:rsidRPr="002E2327" w:rsidRDefault="0095096B" w:rsidP="0095096B">
            <w:pPr>
              <w:jc w:val="center"/>
              <w:rPr>
                <w:rFonts w:cs="Times New Roman"/>
                <w:sz w:val="20"/>
                <w:szCs w:val="20"/>
              </w:rPr>
            </w:pPr>
          </w:p>
          <w:p w:rsidR="0095096B" w:rsidRPr="002E2327" w:rsidRDefault="008C7270" w:rsidP="0095096B">
            <w:pPr>
              <w:jc w:val="center"/>
              <w:rPr>
                <w:rFonts w:cs="Times New Roman"/>
                <w:sz w:val="20"/>
                <w:szCs w:val="20"/>
              </w:rPr>
            </w:pPr>
            <w:r>
              <w:rPr>
                <w:rFonts w:cs="Times New Roman"/>
                <w:sz w:val="20"/>
                <w:szCs w:val="20"/>
              </w:rPr>
              <w:t xml:space="preserve">1811 </w:t>
            </w:r>
            <w:r w:rsidR="0095096B" w:rsidRPr="002E2327">
              <w:rPr>
                <w:rFonts w:cs="Times New Roman"/>
                <w:sz w:val="20"/>
                <w:szCs w:val="20"/>
              </w:rPr>
              <w:t>-</w:t>
            </w:r>
            <w:r>
              <w:rPr>
                <w:rFonts w:cs="Times New Roman"/>
                <w:sz w:val="20"/>
                <w:szCs w:val="20"/>
              </w:rPr>
              <w:t xml:space="preserve"> 1814</w:t>
            </w:r>
          </w:p>
          <w:p w:rsidR="0095096B" w:rsidRPr="002E2327" w:rsidRDefault="0095096B" w:rsidP="0095096B">
            <w:pPr>
              <w:jc w:val="center"/>
              <w:rPr>
                <w:rFonts w:cs="Times New Roman"/>
                <w:sz w:val="20"/>
                <w:szCs w:val="20"/>
              </w:rPr>
            </w:pPr>
          </w:p>
          <w:p w:rsidR="0095096B" w:rsidRPr="002E2327" w:rsidRDefault="008C7270" w:rsidP="0095096B">
            <w:pPr>
              <w:jc w:val="center"/>
              <w:rPr>
                <w:rFonts w:cs="Times New Roman"/>
                <w:sz w:val="20"/>
                <w:szCs w:val="20"/>
              </w:rPr>
            </w:pPr>
            <w:r>
              <w:rPr>
                <w:rFonts w:cs="Times New Roman"/>
                <w:sz w:val="20"/>
                <w:szCs w:val="20"/>
              </w:rPr>
              <w:t xml:space="preserve">1815 </w:t>
            </w:r>
            <w:r w:rsidR="0095096B" w:rsidRPr="002E2327">
              <w:rPr>
                <w:rFonts w:cs="Times New Roman"/>
                <w:sz w:val="20"/>
                <w:szCs w:val="20"/>
              </w:rPr>
              <w:t>-</w:t>
            </w:r>
            <w:r>
              <w:rPr>
                <w:rFonts w:cs="Times New Roman"/>
                <w:sz w:val="20"/>
                <w:szCs w:val="20"/>
              </w:rPr>
              <w:t xml:space="preserve"> 1819</w:t>
            </w:r>
          </w:p>
          <w:p w:rsidR="0095096B" w:rsidRDefault="0095096B" w:rsidP="0095096B">
            <w:pPr>
              <w:jc w:val="center"/>
              <w:rPr>
                <w:rFonts w:cs="Times New Roman"/>
                <w:sz w:val="20"/>
                <w:szCs w:val="20"/>
              </w:rPr>
            </w:pPr>
          </w:p>
          <w:p w:rsidR="00703FC8" w:rsidRDefault="00703FC8" w:rsidP="0095096B">
            <w:pPr>
              <w:jc w:val="center"/>
              <w:rPr>
                <w:rFonts w:cs="Times New Roman"/>
                <w:sz w:val="20"/>
                <w:szCs w:val="20"/>
              </w:rPr>
            </w:pPr>
          </w:p>
          <w:p w:rsidR="00703FC8" w:rsidRPr="002E2327" w:rsidRDefault="008C7270" w:rsidP="0095096B">
            <w:pPr>
              <w:jc w:val="center"/>
              <w:rPr>
                <w:rFonts w:cs="Times New Roman"/>
                <w:sz w:val="20"/>
                <w:szCs w:val="20"/>
              </w:rPr>
            </w:pPr>
            <w:r>
              <w:rPr>
                <w:rFonts w:cs="Times New Roman"/>
                <w:sz w:val="20"/>
                <w:szCs w:val="20"/>
              </w:rPr>
              <w:t>1820</w:t>
            </w:r>
          </w:p>
          <w:p w:rsidR="0095096B" w:rsidRPr="002E2327" w:rsidRDefault="0095096B" w:rsidP="0095096B">
            <w:pPr>
              <w:jc w:val="center"/>
              <w:rPr>
                <w:rFonts w:cs="Times New Roman"/>
                <w:sz w:val="20"/>
                <w:szCs w:val="20"/>
              </w:rPr>
            </w:pPr>
          </w:p>
          <w:p w:rsidR="0095096B" w:rsidRPr="002E2327" w:rsidRDefault="0095096B" w:rsidP="0095096B">
            <w:pPr>
              <w:jc w:val="center"/>
              <w:rPr>
                <w:rFonts w:cs="Times New Roman"/>
                <w:sz w:val="20"/>
                <w:szCs w:val="20"/>
              </w:rPr>
            </w:pPr>
          </w:p>
          <w:p w:rsidR="0095096B" w:rsidRPr="002E2327" w:rsidRDefault="008C7270" w:rsidP="0095096B">
            <w:pPr>
              <w:jc w:val="center"/>
              <w:rPr>
                <w:rFonts w:cs="Times New Roman"/>
                <w:sz w:val="20"/>
                <w:szCs w:val="20"/>
              </w:rPr>
            </w:pPr>
            <w:r>
              <w:rPr>
                <w:rFonts w:cs="Times New Roman"/>
                <w:sz w:val="20"/>
                <w:szCs w:val="20"/>
              </w:rPr>
              <w:t xml:space="preserve">1821 </w:t>
            </w:r>
            <w:r w:rsidR="0095096B" w:rsidRPr="002E2327">
              <w:rPr>
                <w:rFonts w:cs="Times New Roman"/>
                <w:sz w:val="20"/>
                <w:szCs w:val="20"/>
              </w:rPr>
              <w:t>-</w:t>
            </w:r>
            <w:r>
              <w:rPr>
                <w:rFonts w:cs="Times New Roman"/>
                <w:sz w:val="20"/>
                <w:szCs w:val="20"/>
              </w:rPr>
              <w:t xml:space="preserve"> 1830</w:t>
            </w:r>
          </w:p>
          <w:p w:rsidR="00A87207" w:rsidRPr="002E2327" w:rsidRDefault="00A87207" w:rsidP="00703FC8">
            <w:pPr>
              <w:jc w:val="center"/>
              <w:rPr>
                <w:rFonts w:cs="Times New Roman"/>
                <w:sz w:val="20"/>
                <w:szCs w:val="20"/>
              </w:rPr>
            </w:pPr>
          </w:p>
        </w:tc>
        <w:tc>
          <w:tcPr>
            <w:tcW w:w="3888" w:type="dxa"/>
          </w:tcPr>
          <w:p w:rsidR="0095096B" w:rsidRPr="002E2327" w:rsidRDefault="00047631" w:rsidP="0095096B">
            <w:pPr>
              <w:rPr>
                <w:rFonts w:cs="Times New Roman"/>
                <w:sz w:val="20"/>
                <w:szCs w:val="20"/>
                <w:lang w:val="fr-CA"/>
              </w:rPr>
            </w:pPr>
            <w:r w:rsidRPr="002E2327">
              <w:rPr>
                <w:rFonts w:cs="Times New Roman"/>
                <w:sz w:val="20"/>
                <w:szCs w:val="20"/>
                <w:lang w:val="fr-CA"/>
              </w:rPr>
              <w:fldChar w:fldCharType="begin"/>
            </w:r>
            <w:r w:rsidR="0095096B" w:rsidRPr="002E2327">
              <w:rPr>
                <w:rFonts w:cs="Times New Roman"/>
                <w:sz w:val="20"/>
                <w:szCs w:val="20"/>
                <w:lang w:val="fr-CA"/>
              </w:rPr>
              <w:instrText xml:space="preserve"> SEQ CHAPTER \h \r 1</w:instrText>
            </w:r>
            <w:r w:rsidRPr="002E2327">
              <w:rPr>
                <w:rFonts w:cs="Times New Roman"/>
                <w:sz w:val="20"/>
                <w:szCs w:val="20"/>
                <w:lang w:val="fr-CA"/>
              </w:rPr>
              <w:fldChar w:fldCharType="end"/>
            </w:r>
            <w:r w:rsidR="0095096B" w:rsidRPr="002E2327">
              <w:rPr>
                <w:rFonts w:cs="Times New Roman"/>
                <w:sz w:val="20"/>
                <w:szCs w:val="20"/>
                <w:lang w:val="fr-CA"/>
              </w:rPr>
              <w:t xml:space="preserve">Demandes d'autorisation d'appel </w:t>
            </w:r>
          </w:p>
          <w:p w:rsidR="0095096B" w:rsidRPr="002E2327" w:rsidRDefault="0095096B" w:rsidP="0095096B">
            <w:pPr>
              <w:rPr>
                <w:rFonts w:cs="Times New Roman"/>
                <w:sz w:val="20"/>
                <w:szCs w:val="20"/>
                <w:lang w:val="fr-CA"/>
              </w:rPr>
            </w:pPr>
            <w:r w:rsidRPr="002E2327">
              <w:rPr>
                <w:rFonts w:cs="Times New Roman"/>
                <w:sz w:val="20"/>
                <w:szCs w:val="20"/>
                <w:lang w:val="fr-CA"/>
              </w:rPr>
              <w:t>déposées</w:t>
            </w:r>
          </w:p>
          <w:p w:rsidR="0095096B" w:rsidRPr="002E2327" w:rsidRDefault="0095096B" w:rsidP="0095096B">
            <w:pPr>
              <w:rPr>
                <w:rFonts w:cs="Times New Roman"/>
                <w:sz w:val="20"/>
                <w:szCs w:val="20"/>
                <w:lang w:val="fr-CA"/>
              </w:rPr>
            </w:pPr>
          </w:p>
          <w:p w:rsidR="0095096B" w:rsidRPr="002E2327" w:rsidRDefault="0095096B" w:rsidP="0095096B">
            <w:pPr>
              <w:rPr>
                <w:rFonts w:cs="Times New Roman"/>
                <w:sz w:val="20"/>
                <w:szCs w:val="20"/>
                <w:lang w:val="fr-CA"/>
              </w:rPr>
            </w:pPr>
            <w:r w:rsidRPr="002E2327">
              <w:rPr>
                <w:rFonts w:cs="Times New Roman"/>
                <w:sz w:val="20"/>
                <w:szCs w:val="20"/>
                <w:lang w:val="fr-CA"/>
              </w:rPr>
              <w:t xml:space="preserve">Demandes soumises à la Cour depuis la </w:t>
            </w:r>
          </w:p>
          <w:p w:rsidR="0095096B" w:rsidRPr="002E2327" w:rsidRDefault="0095096B" w:rsidP="0095096B">
            <w:pPr>
              <w:rPr>
                <w:rFonts w:cs="Times New Roman"/>
                <w:sz w:val="20"/>
                <w:szCs w:val="20"/>
                <w:lang w:val="fr-CA"/>
              </w:rPr>
            </w:pPr>
            <w:r w:rsidRPr="002E2327">
              <w:rPr>
                <w:rFonts w:cs="Times New Roman"/>
                <w:sz w:val="20"/>
                <w:szCs w:val="20"/>
                <w:lang w:val="fr-CA"/>
              </w:rPr>
              <w:t>dernière parution</w:t>
            </w:r>
          </w:p>
          <w:p w:rsidR="0095096B" w:rsidRPr="002E2327" w:rsidRDefault="0095096B" w:rsidP="0095096B">
            <w:pPr>
              <w:rPr>
                <w:rFonts w:cs="Times New Roman"/>
                <w:sz w:val="20"/>
                <w:szCs w:val="20"/>
                <w:lang w:val="fr-CA"/>
              </w:rPr>
            </w:pPr>
          </w:p>
          <w:p w:rsidR="0095096B" w:rsidRPr="002E2327" w:rsidRDefault="0095096B" w:rsidP="0095096B">
            <w:pPr>
              <w:rPr>
                <w:rFonts w:cs="Times New Roman"/>
                <w:sz w:val="20"/>
                <w:szCs w:val="20"/>
                <w:lang w:val="fr-CA"/>
              </w:rPr>
            </w:pPr>
            <w:r w:rsidRPr="002E2327">
              <w:rPr>
                <w:rFonts w:cs="Times New Roman"/>
                <w:sz w:val="20"/>
                <w:szCs w:val="20"/>
                <w:lang w:val="fr-CA"/>
              </w:rPr>
              <w:t xml:space="preserve">Jugements rendus sur les demandes </w:t>
            </w:r>
          </w:p>
          <w:p w:rsidR="0095096B" w:rsidRPr="002E2327" w:rsidRDefault="0095096B" w:rsidP="0095096B">
            <w:pPr>
              <w:rPr>
                <w:rFonts w:cs="Times New Roman"/>
                <w:sz w:val="20"/>
                <w:szCs w:val="20"/>
                <w:lang w:val="fr-CA"/>
              </w:rPr>
            </w:pPr>
            <w:r w:rsidRPr="002E2327">
              <w:rPr>
                <w:rFonts w:cs="Times New Roman"/>
                <w:sz w:val="20"/>
                <w:szCs w:val="20"/>
                <w:lang w:val="fr-CA"/>
              </w:rPr>
              <w:t>d'autorisation</w:t>
            </w:r>
          </w:p>
          <w:p w:rsidR="0095096B" w:rsidRPr="002E2327" w:rsidRDefault="0095096B" w:rsidP="0095096B">
            <w:pPr>
              <w:rPr>
                <w:rFonts w:cs="Times New Roman"/>
                <w:sz w:val="20"/>
                <w:szCs w:val="20"/>
                <w:lang w:val="fr-CA"/>
              </w:rPr>
            </w:pPr>
          </w:p>
          <w:p w:rsidR="0095096B" w:rsidRPr="002E2327" w:rsidRDefault="0095096B" w:rsidP="0095096B">
            <w:pPr>
              <w:rPr>
                <w:rFonts w:cs="Times New Roman"/>
                <w:sz w:val="20"/>
                <w:szCs w:val="20"/>
                <w:lang w:val="fr-CA"/>
              </w:rPr>
            </w:pPr>
            <w:r w:rsidRPr="002E2327">
              <w:rPr>
                <w:rFonts w:cs="Times New Roman"/>
                <w:sz w:val="20"/>
                <w:szCs w:val="20"/>
                <w:lang w:val="fr-CA"/>
              </w:rPr>
              <w:t>Requêtes</w:t>
            </w:r>
          </w:p>
          <w:p w:rsidR="0095096B" w:rsidRPr="002E2327" w:rsidRDefault="0095096B" w:rsidP="0095096B">
            <w:pPr>
              <w:rPr>
                <w:rFonts w:cs="Times New Roman"/>
                <w:sz w:val="20"/>
                <w:szCs w:val="20"/>
                <w:lang w:val="fr-CA"/>
              </w:rPr>
            </w:pPr>
          </w:p>
          <w:p w:rsidR="0095096B" w:rsidRPr="002E2327" w:rsidRDefault="0095096B" w:rsidP="0095096B">
            <w:pPr>
              <w:rPr>
                <w:rFonts w:cs="Times New Roman"/>
                <w:sz w:val="20"/>
                <w:szCs w:val="20"/>
                <w:lang w:val="fr-CA"/>
              </w:rPr>
            </w:pPr>
            <w:r w:rsidRPr="002E2327">
              <w:rPr>
                <w:rFonts w:cs="Times New Roman"/>
                <w:sz w:val="20"/>
                <w:szCs w:val="20"/>
                <w:lang w:val="fr-CA"/>
              </w:rPr>
              <w:t xml:space="preserve">Appels entendus depuis la dernière </w:t>
            </w:r>
          </w:p>
          <w:p w:rsidR="0095096B" w:rsidRPr="002E2327" w:rsidRDefault="0095096B" w:rsidP="0095096B">
            <w:pPr>
              <w:rPr>
                <w:rFonts w:cs="Times New Roman"/>
                <w:sz w:val="20"/>
                <w:szCs w:val="20"/>
                <w:lang w:val="fr-CA"/>
              </w:rPr>
            </w:pPr>
            <w:r w:rsidRPr="002E2327">
              <w:rPr>
                <w:rFonts w:cs="Times New Roman"/>
                <w:sz w:val="20"/>
                <w:szCs w:val="20"/>
                <w:lang w:val="fr-CA"/>
              </w:rPr>
              <w:t>parution et résultat</w:t>
            </w:r>
          </w:p>
          <w:p w:rsidR="0095096B" w:rsidRPr="002E2327" w:rsidRDefault="0095096B" w:rsidP="0095096B">
            <w:pPr>
              <w:rPr>
                <w:rFonts w:cs="Times New Roman"/>
                <w:sz w:val="20"/>
                <w:szCs w:val="20"/>
                <w:lang w:val="fr-CA"/>
              </w:rPr>
            </w:pPr>
          </w:p>
          <w:p w:rsidR="0095096B" w:rsidRPr="002E2327" w:rsidRDefault="0095096B" w:rsidP="0095096B">
            <w:pPr>
              <w:rPr>
                <w:rFonts w:cs="Times New Roman"/>
                <w:sz w:val="20"/>
                <w:szCs w:val="20"/>
                <w:lang w:val="fr-CA"/>
              </w:rPr>
            </w:pPr>
            <w:r w:rsidRPr="002E2327">
              <w:rPr>
                <w:rFonts w:cs="Times New Roman"/>
                <w:sz w:val="20"/>
                <w:szCs w:val="20"/>
                <w:lang w:val="fr-CA"/>
              </w:rPr>
              <w:t xml:space="preserve">Jugements rendus sur les appels en </w:t>
            </w:r>
          </w:p>
          <w:p w:rsidR="0095096B" w:rsidRPr="002E2327" w:rsidRDefault="0095096B" w:rsidP="0095096B">
            <w:pPr>
              <w:rPr>
                <w:rFonts w:cs="Times New Roman"/>
                <w:sz w:val="20"/>
                <w:szCs w:val="20"/>
                <w:lang w:val="fr-CA"/>
              </w:rPr>
            </w:pPr>
            <w:r w:rsidRPr="002E2327">
              <w:rPr>
                <w:rFonts w:cs="Times New Roman"/>
                <w:sz w:val="20"/>
                <w:szCs w:val="20"/>
                <w:lang w:val="fr-CA"/>
              </w:rPr>
              <w:t>délibéré</w:t>
            </w:r>
          </w:p>
          <w:p w:rsidR="0095096B" w:rsidRPr="002E2327" w:rsidRDefault="0095096B" w:rsidP="0095096B">
            <w:pPr>
              <w:rPr>
                <w:rFonts w:cs="Times New Roman"/>
                <w:sz w:val="20"/>
                <w:szCs w:val="20"/>
                <w:lang w:val="fr-CA"/>
              </w:rPr>
            </w:pPr>
          </w:p>
          <w:p w:rsidR="0095096B" w:rsidRPr="002E2327" w:rsidRDefault="0095096B" w:rsidP="0095096B">
            <w:pPr>
              <w:rPr>
                <w:rFonts w:cs="Times New Roman"/>
                <w:sz w:val="20"/>
                <w:szCs w:val="20"/>
                <w:lang w:val="fr-CA"/>
              </w:rPr>
            </w:pPr>
            <w:r w:rsidRPr="002E2327">
              <w:rPr>
                <w:rFonts w:cs="Times New Roman"/>
                <w:sz w:val="20"/>
                <w:szCs w:val="20"/>
                <w:lang w:val="fr-CA"/>
              </w:rPr>
              <w:t xml:space="preserve">Sommaires de </w:t>
            </w:r>
            <w:r w:rsidR="00C50A5C">
              <w:rPr>
                <w:rFonts w:cs="Times New Roman"/>
                <w:sz w:val="20"/>
                <w:szCs w:val="20"/>
                <w:lang w:val="fr-CA"/>
              </w:rPr>
              <w:t xml:space="preserve">jugements </w:t>
            </w:r>
            <w:r w:rsidR="00C50A5C" w:rsidRPr="002E2327">
              <w:rPr>
                <w:rFonts w:cs="Times New Roman"/>
                <w:sz w:val="20"/>
                <w:szCs w:val="20"/>
                <w:lang w:val="fr-CA"/>
              </w:rPr>
              <w:t>récents</w:t>
            </w:r>
          </w:p>
          <w:p w:rsidR="00A87207" w:rsidRPr="002E2327" w:rsidRDefault="00A87207" w:rsidP="00703FC8">
            <w:pPr>
              <w:tabs>
                <w:tab w:val="right" w:pos="9360"/>
              </w:tabs>
              <w:rPr>
                <w:rFonts w:cs="Times New Roman"/>
                <w:sz w:val="20"/>
                <w:szCs w:val="20"/>
                <w:lang w:val="fr-CA"/>
              </w:rPr>
            </w:pPr>
          </w:p>
        </w:tc>
      </w:tr>
    </w:tbl>
    <w:p w:rsidR="0095096B" w:rsidRPr="00DE585D" w:rsidRDefault="0095096B" w:rsidP="0095096B">
      <w:pPr>
        <w:tabs>
          <w:tab w:val="right" w:pos="9360"/>
        </w:tabs>
        <w:rPr>
          <w:lang w:val="fr-CA"/>
        </w:rPr>
      </w:pPr>
    </w:p>
    <w:p w:rsidR="008C335B" w:rsidRPr="00DE585D" w:rsidRDefault="008C335B" w:rsidP="0095096B">
      <w:pPr>
        <w:tabs>
          <w:tab w:val="right" w:pos="9360"/>
        </w:tabs>
        <w:rPr>
          <w:lang w:val="fr-CA"/>
        </w:rPr>
      </w:pPr>
    </w:p>
    <w:p w:rsidR="008C335B" w:rsidRPr="00DE585D" w:rsidRDefault="008C335B" w:rsidP="0095096B">
      <w:pPr>
        <w:tabs>
          <w:tab w:val="right" w:pos="9360"/>
        </w:tabs>
        <w:rPr>
          <w:lang w:val="fr-CA"/>
        </w:rPr>
      </w:pPr>
    </w:p>
    <w:p w:rsidR="008C335B" w:rsidRPr="00DE585D" w:rsidRDefault="008C335B" w:rsidP="0095096B">
      <w:pPr>
        <w:tabs>
          <w:tab w:val="right" w:pos="9360"/>
        </w:tabs>
        <w:rPr>
          <w:lang w:val="fr-CA"/>
        </w:rPr>
      </w:pPr>
    </w:p>
    <w:p w:rsidR="008C335B" w:rsidRPr="00DE585D" w:rsidRDefault="008C335B" w:rsidP="0095096B">
      <w:pPr>
        <w:tabs>
          <w:tab w:val="right" w:pos="9360"/>
        </w:tabs>
        <w:rPr>
          <w:lang w:val="fr-CA"/>
        </w:rPr>
      </w:pPr>
    </w:p>
    <w:tbl>
      <w:tblPr>
        <w:tblStyle w:val="TableGrid"/>
        <w:tblW w:w="0" w:type="auto"/>
        <w:tblLook w:val="04A0" w:firstRow="1" w:lastRow="0" w:firstColumn="1" w:lastColumn="0" w:noHBand="0" w:noVBand="1"/>
      </w:tblPr>
      <w:tblGrid>
        <w:gridCol w:w="9576"/>
      </w:tblGrid>
      <w:tr w:rsidR="0079724F" w:rsidRPr="007368AD" w:rsidTr="0079724F">
        <w:tc>
          <w:tcPr>
            <w:tcW w:w="9576" w:type="dxa"/>
          </w:tcPr>
          <w:p w:rsidR="0079724F" w:rsidRPr="00245129" w:rsidRDefault="0079724F" w:rsidP="00215F7C">
            <w:pPr>
              <w:keepNext/>
              <w:tabs>
                <w:tab w:val="right" w:pos="9360"/>
              </w:tabs>
              <w:jc w:val="center"/>
              <w:rPr>
                <w:szCs w:val="24"/>
              </w:rPr>
            </w:pPr>
            <w:r w:rsidRPr="00245129">
              <w:rPr>
                <w:szCs w:val="24"/>
              </w:rPr>
              <w:t>NOTICE</w:t>
            </w:r>
          </w:p>
          <w:p w:rsidR="0079724F" w:rsidRPr="00245129" w:rsidRDefault="0079724F" w:rsidP="00215F7C">
            <w:pPr>
              <w:keepNext/>
              <w:tabs>
                <w:tab w:val="right" w:pos="9360"/>
              </w:tabs>
              <w:rPr>
                <w:szCs w:val="24"/>
              </w:rPr>
            </w:pPr>
          </w:p>
          <w:p w:rsidR="0079724F" w:rsidRPr="00245129" w:rsidRDefault="0079724F" w:rsidP="00215F7C">
            <w:pPr>
              <w:keepNext/>
              <w:tabs>
                <w:tab w:val="right" w:pos="9360"/>
              </w:tabs>
              <w:jc w:val="both"/>
              <w:rPr>
                <w:szCs w:val="24"/>
              </w:rPr>
            </w:pPr>
            <w:r w:rsidRPr="00245129">
              <w:rPr>
                <w:szCs w:val="24"/>
              </w:rPr>
              <w:t>Case summaries included in the Bulletin are prepared by the Office of the Registrar of the Supreme Court of Canada (Law Branch) for information purposes only.</w:t>
            </w:r>
          </w:p>
          <w:p w:rsidR="0079724F" w:rsidRPr="00245129" w:rsidRDefault="0079724F" w:rsidP="00215F7C">
            <w:pPr>
              <w:keepNext/>
              <w:tabs>
                <w:tab w:val="right" w:pos="9360"/>
              </w:tabs>
              <w:rPr>
                <w:szCs w:val="24"/>
              </w:rPr>
            </w:pPr>
          </w:p>
          <w:p w:rsidR="0079724F" w:rsidRPr="00245129" w:rsidRDefault="0079724F" w:rsidP="00215F7C">
            <w:pPr>
              <w:keepNext/>
              <w:tabs>
                <w:tab w:val="right" w:pos="9360"/>
              </w:tabs>
              <w:rPr>
                <w:szCs w:val="24"/>
              </w:rPr>
            </w:pPr>
          </w:p>
          <w:p w:rsidR="0079724F" w:rsidRPr="00245129" w:rsidRDefault="0079724F" w:rsidP="00215F7C">
            <w:pPr>
              <w:keepNext/>
              <w:tabs>
                <w:tab w:val="right" w:pos="9360"/>
              </w:tabs>
              <w:jc w:val="center"/>
              <w:rPr>
                <w:szCs w:val="24"/>
                <w:lang w:val="fr-CA"/>
              </w:rPr>
            </w:pPr>
            <w:r w:rsidRPr="00245129">
              <w:rPr>
                <w:szCs w:val="24"/>
                <w:lang w:val="fr-CA"/>
              </w:rPr>
              <w:t>AVIS</w:t>
            </w:r>
          </w:p>
          <w:p w:rsidR="0079724F" w:rsidRPr="00245129" w:rsidRDefault="0079724F" w:rsidP="00215F7C">
            <w:pPr>
              <w:keepNext/>
              <w:tabs>
                <w:tab w:val="right" w:pos="9360"/>
              </w:tabs>
              <w:rPr>
                <w:szCs w:val="24"/>
                <w:lang w:val="fr-CA"/>
              </w:rPr>
            </w:pPr>
          </w:p>
          <w:p w:rsidR="0079724F" w:rsidRPr="001D0D5F" w:rsidRDefault="0079724F" w:rsidP="00215F7C">
            <w:pPr>
              <w:keepNext/>
              <w:tabs>
                <w:tab w:val="right" w:pos="9360"/>
              </w:tabs>
              <w:jc w:val="both"/>
              <w:rPr>
                <w:sz w:val="20"/>
                <w:szCs w:val="20"/>
                <w:lang w:val="fr-CA"/>
              </w:rPr>
            </w:pPr>
            <w:r w:rsidRPr="00245129">
              <w:rPr>
                <w:szCs w:val="24"/>
                <w:lang w:val="fr-CA"/>
              </w:rPr>
              <w:t>Les résumés de dossiers publiés dans le bulletin sont préparés par le Bureau du registraire (Direction générale du droit) uniquement à titre d’information.</w:t>
            </w:r>
          </w:p>
        </w:tc>
      </w:tr>
    </w:tbl>
    <w:p w:rsidR="0095096B" w:rsidRPr="00675479" w:rsidRDefault="0095096B" w:rsidP="0095096B">
      <w:pPr>
        <w:tabs>
          <w:tab w:val="right" w:pos="9360"/>
        </w:tabs>
        <w:rPr>
          <w:lang w:val="fr-CA"/>
        </w:rPr>
      </w:pPr>
    </w:p>
    <w:p w:rsidR="00A87207" w:rsidRPr="00675479" w:rsidRDefault="00A87207" w:rsidP="0095096B">
      <w:pPr>
        <w:tabs>
          <w:tab w:val="right" w:pos="9360"/>
        </w:tabs>
        <w:rPr>
          <w:lang w:val="fr-CA"/>
        </w:rPr>
        <w:sectPr w:rsidR="00A87207" w:rsidRPr="00675479" w:rsidSect="0044776A">
          <w:headerReference w:type="even" r:id="rId11"/>
          <w:headerReference w:type="default" r:id="rId12"/>
          <w:footerReference w:type="even" r:id="rId13"/>
          <w:footerReference w:type="default" r:id="rId14"/>
          <w:headerReference w:type="first" r:id="rId15"/>
          <w:footerReference w:type="first" r:id="rId16"/>
          <w:pgSz w:w="12240" w:h="15840"/>
          <w:pgMar w:top="720" w:right="1152" w:bottom="1080" w:left="1440" w:header="706" w:footer="706" w:gutter="0"/>
          <w:cols w:space="708"/>
          <w:titlePg/>
          <w:docGrid w:linePitch="360"/>
        </w:sectPr>
      </w:pPr>
    </w:p>
    <w:tbl>
      <w:tblPr>
        <w:tblW w:w="9630" w:type="dxa"/>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230"/>
      </w:tblGrid>
      <w:tr w:rsidR="00A87207" w:rsidRPr="002E2327" w:rsidTr="00245129">
        <w:tc>
          <w:tcPr>
            <w:tcW w:w="4200" w:type="dxa"/>
            <w:shd w:val="clear" w:color="auto" w:fill="auto"/>
            <w:tcMar>
              <w:left w:w="0" w:type="dxa"/>
              <w:right w:w="0" w:type="dxa"/>
            </w:tcMar>
          </w:tcPr>
          <w:p w:rsidR="00A87207" w:rsidRPr="002E2327" w:rsidRDefault="00A87207" w:rsidP="00BA6468">
            <w:pPr>
              <w:rPr>
                <w:rFonts w:eastAsia="Times New Roman" w:cs="Times New Roman"/>
                <w:b/>
                <w:sz w:val="20"/>
                <w:szCs w:val="20"/>
                <w:lang w:eastAsia="en-CA"/>
              </w:rPr>
            </w:pPr>
            <w:r w:rsidRPr="002E2327">
              <w:rPr>
                <w:rFonts w:eastAsia="Times New Roman" w:cs="Times New Roman"/>
                <w:b/>
                <w:szCs w:val="20"/>
                <w:lang w:eastAsia="en-CA"/>
              </w:rPr>
              <w:lastRenderedPageBreak/>
              <w:t>APPLICATIONS FOR LEAVE TO APPEAL FILED</w:t>
            </w:r>
          </w:p>
        </w:tc>
        <w:tc>
          <w:tcPr>
            <w:tcW w:w="1200" w:type="dxa"/>
            <w:shd w:val="clear" w:color="auto" w:fill="auto"/>
            <w:tcMar>
              <w:left w:w="0" w:type="dxa"/>
              <w:right w:w="0" w:type="dxa"/>
            </w:tcMar>
          </w:tcPr>
          <w:p w:rsidR="00A87207" w:rsidRPr="002E2327" w:rsidRDefault="00A87207" w:rsidP="002E2327">
            <w:pPr>
              <w:jc w:val="center"/>
              <w:rPr>
                <w:rFonts w:eastAsia="Times New Roman" w:cs="Times New Roman"/>
                <w:b/>
                <w:sz w:val="20"/>
                <w:szCs w:val="20"/>
                <w:lang w:eastAsia="en-CA"/>
              </w:rPr>
            </w:pPr>
          </w:p>
          <w:p w:rsidR="00A87207" w:rsidRPr="002E2327" w:rsidRDefault="00A87207" w:rsidP="002E2327">
            <w:pPr>
              <w:jc w:val="center"/>
              <w:rPr>
                <w:rFonts w:eastAsia="Times New Roman" w:cs="Times New Roman"/>
                <w:b/>
                <w:sz w:val="20"/>
                <w:szCs w:val="20"/>
                <w:lang w:eastAsia="en-CA"/>
              </w:rPr>
            </w:pPr>
          </w:p>
          <w:p w:rsidR="00A87207" w:rsidRPr="002E2327" w:rsidRDefault="00A87207" w:rsidP="002E2327">
            <w:pPr>
              <w:jc w:val="center"/>
              <w:rPr>
                <w:rFonts w:eastAsia="Times New Roman" w:cs="Times New Roman"/>
                <w:b/>
                <w:sz w:val="20"/>
                <w:szCs w:val="20"/>
                <w:lang w:eastAsia="en-CA"/>
              </w:rPr>
            </w:pPr>
          </w:p>
        </w:tc>
        <w:tc>
          <w:tcPr>
            <w:tcW w:w="4230" w:type="dxa"/>
            <w:shd w:val="clear" w:color="auto" w:fill="auto"/>
            <w:tcMar>
              <w:left w:w="0" w:type="dxa"/>
              <w:right w:w="0" w:type="dxa"/>
            </w:tcMar>
          </w:tcPr>
          <w:p w:rsidR="00A87207" w:rsidRPr="002E2327" w:rsidRDefault="00A87207" w:rsidP="00A87207">
            <w:pPr>
              <w:rPr>
                <w:rFonts w:eastAsia="Times New Roman" w:cs="Times New Roman"/>
                <w:b/>
                <w:sz w:val="20"/>
                <w:szCs w:val="20"/>
                <w:lang w:val="fr-CA" w:eastAsia="en-CA"/>
              </w:rPr>
            </w:pPr>
            <w:r w:rsidRPr="002E2327">
              <w:rPr>
                <w:rFonts w:eastAsia="Times New Roman" w:cs="Times New Roman"/>
                <w:b/>
                <w:szCs w:val="20"/>
                <w:lang w:val="fr-CA" w:eastAsia="en-CA"/>
              </w:rPr>
              <w:t>DEMANDES D’AUTORISATION D’APPEL DÉPOSÉES</w:t>
            </w:r>
          </w:p>
        </w:tc>
      </w:tr>
    </w:tbl>
    <w:p w:rsidR="00A87207" w:rsidRPr="00C50A5C" w:rsidRDefault="00A87207" w:rsidP="0095096B">
      <w:pPr>
        <w:tabs>
          <w:tab w:val="right" w:pos="9360"/>
        </w:tabs>
        <w:rPr>
          <w:sz w:val="20"/>
          <w:szCs w:val="20"/>
        </w:rPr>
      </w:pPr>
    </w:p>
    <w:tbl>
      <w:tblPr>
        <w:tblStyle w:val="TableGrid"/>
        <w:tblW w:w="98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1181"/>
        <w:gridCol w:w="4320"/>
      </w:tblGrid>
      <w:tr w:rsidR="00242AEE" w:rsidRPr="00A935AA" w:rsidTr="003B3977">
        <w:tc>
          <w:tcPr>
            <w:tcW w:w="4320" w:type="dxa"/>
            <w:shd w:val="clear" w:color="auto" w:fill="auto"/>
          </w:tcPr>
          <w:p w:rsidR="00242AEE" w:rsidRPr="00A935AA" w:rsidRDefault="005C6FD7" w:rsidP="003B3977">
            <w:pPr>
              <w:rPr>
                <w:b/>
                <w:sz w:val="20"/>
                <w:szCs w:val="20"/>
              </w:rPr>
            </w:pPr>
            <w:r>
              <w:rPr>
                <w:b/>
                <w:sz w:val="20"/>
                <w:szCs w:val="20"/>
              </w:rPr>
              <w:t>Larry Peter Klippenstein</w:t>
            </w:r>
          </w:p>
          <w:p w:rsidR="00242AEE" w:rsidRPr="00A935AA" w:rsidRDefault="00242AEE" w:rsidP="003B3977">
            <w:pPr>
              <w:tabs>
                <w:tab w:val="left" w:pos="-1440"/>
                <w:tab w:val="left" w:pos="-720"/>
              </w:tabs>
              <w:rPr>
                <w:sz w:val="20"/>
                <w:szCs w:val="20"/>
              </w:rPr>
            </w:pPr>
            <w:r w:rsidRPr="00A935AA">
              <w:rPr>
                <w:sz w:val="20"/>
                <w:szCs w:val="20"/>
              </w:rPr>
              <w:tab/>
            </w:r>
            <w:r w:rsidR="005C6FD7">
              <w:rPr>
                <w:sz w:val="20"/>
                <w:szCs w:val="20"/>
              </w:rPr>
              <w:t>Larry Peter Klippenstein</w:t>
            </w:r>
          </w:p>
          <w:p w:rsidR="00242AEE" w:rsidRPr="00A935AA" w:rsidRDefault="00242AEE" w:rsidP="003B3977">
            <w:pPr>
              <w:tabs>
                <w:tab w:val="left" w:pos="-1440"/>
                <w:tab w:val="left" w:pos="-720"/>
              </w:tabs>
              <w:rPr>
                <w:sz w:val="20"/>
                <w:szCs w:val="20"/>
              </w:rPr>
            </w:pPr>
          </w:p>
          <w:p w:rsidR="00242AEE" w:rsidRPr="00A935AA" w:rsidRDefault="00242AEE" w:rsidP="003B3977">
            <w:pPr>
              <w:tabs>
                <w:tab w:val="left" w:pos="-1440"/>
                <w:tab w:val="left" w:pos="-720"/>
              </w:tabs>
              <w:rPr>
                <w:sz w:val="20"/>
                <w:szCs w:val="20"/>
              </w:rPr>
            </w:pPr>
            <w:r w:rsidRPr="00A935AA">
              <w:rPr>
                <w:sz w:val="20"/>
                <w:szCs w:val="20"/>
              </w:rPr>
              <w:tab/>
              <w:t>v. (3</w:t>
            </w:r>
            <w:r w:rsidR="00732FF1">
              <w:rPr>
                <w:sz w:val="20"/>
                <w:szCs w:val="20"/>
              </w:rPr>
              <w:t>55</w:t>
            </w:r>
            <w:r w:rsidR="005C6FD7">
              <w:rPr>
                <w:sz w:val="20"/>
                <w:szCs w:val="20"/>
              </w:rPr>
              <w:t>88</w:t>
            </w:r>
            <w:r w:rsidRPr="00A935AA">
              <w:rPr>
                <w:sz w:val="20"/>
                <w:szCs w:val="20"/>
              </w:rPr>
              <w:t>)</w:t>
            </w:r>
          </w:p>
          <w:p w:rsidR="00242AEE" w:rsidRPr="00A935AA" w:rsidRDefault="00242AEE" w:rsidP="003B3977">
            <w:pPr>
              <w:tabs>
                <w:tab w:val="left" w:pos="-1440"/>
                <w:tab w:val="left" w:pos="-720"/>
              </w:tabs>
              <w:rPr>
                <w:sz w:val="20"/>
                <w:szCs w:val="20"/>
              </w:rPr>
            </w:pPr>
          </w:p>
          <w:p w:rsidR="00242AEE" w:rsidRPr="00A935AA" w:rsidRDefault="005C6FD7" w:rsidP="003B3977">
            <w:pPr>
              <w:tabs>
                <w:tab w:val="left" w:pos="-1440"/>
                <w:tab w:val="left" w:pos="-720"/>
              </w:tabs>
              <w:rPr>
                <w:b/>
                <w:sz w:val="20"/>
                <w:szCs w:val="20"/>
              </w:rPr>
            </w:pPr>
            <w:r>
              <w:rPr>
                <w:b/>
                <w:sz w:val="20"/>
                <w:szCs w:val="20"/>
              </w:rPr>
              <w:t>Manitoba Human Rights Commission</w:t>
            </w:r>
            <w:r w:rsidR="00242AEE" w:rsidRPr="00A935AA">
              <w:rPr>
                <w:b/>
                <w:sz w:val="20"/>
                <w:szCs w:val="20"/>
              </w:rPr>
              <w:t xml:space="preserve"> (</w:t>
            </w:r>
            <w:r>
              <w:rPr>
                <w:b/>
                <w:sz w:val="20"/>
                <w:szCs w:val="20"/>
              </w:rPr>
              <w:t>Man</w:t>
            </w:r>
            <w:r w:rsidR="00242AEE" w:rsidRPr="00A935AA">
              <w:rPr>
                <w:b/>
                <w:sz w:val="20"/>
                <w:szCs w:val="20"/>
              </w:rPr>
              <w:t>.)</w:t>
            </w:r>
          </w:p>
          <w:p w:rsidR="00242AEE" w:rsidRPr="00A935AA" w:rsidRDefault="00242AEE" w:rsidP="003B3977">
            <w:pPr>
              <w:tabs>
                <w:tab w:val="left" w:pos="-1440"/>
                <w:tab w:val="left" w:pos="-720"/>
              </w:tabs>
              <w:rPr>
                <w:sz w:val="20"/>
                <w:szCs w:val="20"/>
              </w:rPr>
            </w:pPr>
            <w:r w:rsidRPr="00A935AA">
              <w:rPr>
                <w:sz w:val="20"/>
                <w:szCs w:val="20"/>
              </w:rPr>
              <w:tab/>
            </w:r>
            <w:r w:rsidR="005C6FD7">
              <w:rPr>
                <w:sz w:val="20"/>
                <w:szCs w:val="20"/>
              </w:rPr>
              <w:t>Devin Johnston</w:t>
            </w:r>
          </w:p>
          <w:p w:rsidR="00242AEE" w:rsidRPr="00A935AA" w:rsidRDefault="00242AEE" w:rsidP="003B3977">
            <w:pPr>
              <w:tabs>
                <w:tab w:val="left" w:pos="-1440"/>
                <w:tab w:val="left" w:pos="-720"/>
              </w:tabs>
              <w:rPr>
                <w:sz w:val="20"/>
                <w:szCs w:val="20"/>
              </w:rPr>
            </w:pPr>
            <w:r w:rsidRPr="00A935AA">
              <w:rPr>
                <w:sz w:val="20"/>
                <w:szCs w:val="20"/>
              </w:rPr>
              <w:tab/>
            </w:r>
            <w:r w:rsidR="005C6FD7">
              <w:rPr>
                <w:sz w:val="20"/>
                <w:szCs w:val="20"/>
              </w:rPr>
              <w:t>A.G. of Manitoba</w:t>
            </w:r>
          </w:p>
          <w:p w:rsidR="00242AEE" w:rsidRPr="00A935AA" w:rsidRDefault="00242AEE" w:rsidP="003B3977">
            <w:pPr>
              <w:tabs>
                <w:tab w:val="left" w:pos="-1440"/>
                <w:tab w:val="left" w:pos="-720"/>
              </w:tabs>
              <w:rPr>
                <w:sz w:val="20"/>
                <w:szCs w:val="20"/>
              </w:rPr>
            </w:pPr>
          </w:p>
          <w:p w:rsidR="00242AEE" w:rsidRPr="00A935AA" w:rsidRDefault="00242AEE" w:rsidP="003B3977">
            <w:pPr>
              <w:rPr>
                <w:sz w:val="20"/>
                <w:szCs w:val="20"/>
              </w:rPr>
            </w:pPr>
            <w:r w:rsidRPr="00A935AA">
              <w:rPr>
                <w:sz w:val="20"/>
                <w:szCs w:val="20"/>
              </w:rPr>
              <w:t>FILING DATE: 2</w:t>
            </w:r>
            <w:r w:rsidR="005C6FD7">
              <w:rPr>
                <w:sz w:val="20"/>
                <w:szCs w:val="20"/>
              </w:rPr>
              <w:t>5</w:t>
            </w:r>
            <w:r w:rsidRPr="00A935AA">
              <w:rPr>
                <w:sz w:val="20"/>
                <w:szCs w:val="20"/>
              </w:rPr>
              <w:t>.0</w:t>
            </w:r>
            <w:r w:rsidR="005C6FD7">
              <w:rPr>
                <w:sz w:val="20"/>
                <w:szCs w:val="20"/>
              </w:rPr>
              <w:t>1</w:t>
            </w:r>
            <w:r w:rsidRPr="00A935AA">
              <w:rPr>
                <w:sz w:val="20"/>
                <w:szCs w:val="20"/>
              </w:rPr>
              <w:t>.201</w:t>
            </w:r>
            <w:r w:rsidR="00732FF1">
              <w:rPr>
                <w:sz w:val="20"/>
                <w:szCs w:val="20"/>
              </w:rPr>
              <w:t>3</w:t>
            </w:r>
          </w:p>
          <w:p w:rsidR="00242AEE" w:rsidRPr="00A935AA" w:rsidRDefault="007368AD" w:rsidP="003B3977">
            <w:pPr>
              <w:rPr>
                <w:sz w:val="20"/>
                <w:szCs w:val="20"/>
              </w:rPr>
            </w:pPr>
            <w:r>
              <w:rPr>
                <w:sz w:val="20"/>
                <w:szCs w:val="20"/>
                <w:lang w:val="fr-CA"/>
              </w:rPr>
              <w:pict>
                <v:rect id="_x0000_i1025" style="width:108pt;height:1pt" o:hrpct="0" o:hralign="center" o:hrstd="t" o:hrnoshade="t" o:hr="t" fillcolor="black [3213]" stroked="f"/>
              </w:pict>
            </w:r>
          </w:p>
        </w:tc>
        <w:tc>
          <w:tcPr>
            <w:tcW w:w="1181" w:type="dxa"/>
            <w:shd w:val="clear" w:color="auto" w:fill="auto"/>
          </w:tcPr>
          <w:p w:rsidR="00242AEE" w:rsidRPr="00A935AA" w:rsidRDefault="00242AEE" w:rsidP="00242AEE">
            <w:pPr>
              <w:jc w:val="center"/>
              <w:rPr>
                <w:sz w:val="20"/>
                <w:szCs w:val="20"/>
              </w:rPr>
            </w:pPr>
          </w:p>
          <w:p w:rsidR="00242AEE" w:rsidRPr="00A935AA" w:rsidRDefault="00242AEE" w:rsidP="00242AEE">
            <w:pPr>
              <w:jc w:val="center"/>
              <w:rPr>
                <w:sz w:val="20"/>
                <w:szCs w:val="20"/>
              </w:rPr>
            </w:pPr>
          </w:p>
          <w:p w:rsidR="00242AEE" w:rsidRPr="00A935AA" w:rsidRDefault="00242AEE" w:rsidP="00242AEE">
            <w:pPr>
              <w:jc w:val="center"/>
              <w:rPr>
                <w:sz w:val="20"/>
                <w:szCs w:val="20"/>
              </w:rPr>
            </w:pPr>
          </w:p>
          <w:p w:rsidR="00242AEE" w:rsidRPr="00A935AA" w:rsidRDefault="00242AEE" w:rsidP="00242AEE">
            <w:pPr>
              <w:jc w:val="center"/>
              <w:rPr>
                <w:sz w:val="20"/>
                <w:szCs w:val="20"/>
              </w:rPr>
            </w:pPr>
          </w:p>
          <w:p w:rsidR="00242AEE" w:rsidRPr="00A935AA" w:rsidRDefault="00242AEE" w:rsidP="00242AEE">
            <w:pPr>
              <w:jc w:val="center"/>
              <w:rPr>
                <w:sz w:val="20"/>
                <w:szCs w:val="20"/>
              </w:rPr>
            </w:pPr>
          </w:p>
          <w:p w:rsidR="00242AEE" w:rsidRPr="00A935AA" w:rsidRDefault="00242AEE" w:rsidP="00242AEE">
            <w:pPr>
              <w:jc w:val="center"/>
              <w:rPr>
                <w:sz w:val="20"/>
                <w:szCs w:val="20"/>
              </w:rPr>
            </w:pPr>
          </w:p>
          <w:p w:rsidR="00242AEE" w:rsidRPr="00A935AA" w:rsidRDefault="00242AEE" w:rsidP="00242AEE">
            <w:pPr>
              <w:jc w:val="center"/>
              <w:rPr>
                <w:sz w:val="20"/>
                <w:szCs w:val="20"/>
              </w:rPr>
            </w:pPr>
          </w:p>
          <w:p w:rsidR="00242AEE" w:rsidRPr="00A935AA" w:rsidRDefault="00242AEE" w:rsidP="00242AEE">
            <w:pPr>
              <w:jc w:val="center"/>
              <w:rPr>
                <w:sz w:val="20"/>
                <w:szCs w:val="20"/>
              </w:rPr>
            </w:pPr>
          </w:p>
          <w:p w:rsidR="00242AEE" w:rsidRPr="00A935AA" w:rsidRDefault="00242AEE" w:rsidP="00242AEE">
            <w:pPr>
              <w:jc w:val="center"/>
              <w:rPr>
                <w:sz w:val="20"/>
                <w:szCs w:val="20"/>
              </w:rPr>
            </w:pPr>
          </w:p>
          <w:p w:rsidR="00242AEE" w:rsidRPr="00A935AA" w:rsidRDefault="00242AEE" w:rsidP="00242AEE">
            <w:pPr>
              <w:jc w:val="center"/>
              <w:rPr>
                <w:sz w:val="20"/>
                <w:szCs w:val="20"/>
              </w:rPr>
            </w:pPr>
          </w:p>
          <w:p w:rsidR="00242AEE" w:rsidRPr="00A935AA" w:rsidRDefault="00242AEE" w:rsidP="00242AEE">
            <w:pPr>
              <w:jc w:val="center"/>
              <w:rPr>
                <w:sz w:val="20"/>
                <w:szCs w:val="20"/>
              </w:rPr>
            </w:pPr>
          </w:p>
        </w:tc>
        <w:tc>
          <w:tcPr>
            <w:tcW w:w="4320" w:type="dxa"/>
            <w:shd w:val="clear" w:color="auto" w:fill="auto"/>
          </w:tcPr>
          <w:p w:rsidR="00242AEE" w:rsidRPr="00A935AA" w:rsidRDefault="005C6FD7" w:rsidP="003B3977">
            <w:pPr>
              <w:keepNext/>
              <w:keepLines/>
              <w:tabs>
                <w:tab w:val="left" w:pos="-1440"/>
                <w:tab w:val="left" w:pos="-720"/>
              </w:tabs>
              <w:rPr>
                <w:b/>
                <w:sz w:val="20"/>
                <w:szCs w:val="20"/>
              </w:rPr>
            </w:pPr>
            <w:r>
              <w:rPr>
                <w:b/>
                <w:sz w:val="20"/>
                <w:szCs w:val="20"/>
              </w:rPr>
              <w:t>Shawn Jordan</w:t>
            </w:r>
          </w:p>
          <w:p w:rsidR="00242AEE" w:rsidRPr="00A935AA" w:rsidRDefault="00242AEE" w:rsidP="003B3977">
            <w:pPr>
              <w:keepNext/>
              <w:keepLines/>
              <w:tabs>
                <w:tab w:val="left" w:pos="-1440"/>
                <w:tab w:val="left" w:pos="-720"/>
              </w:tabs>
              <w:rPr>
                <w:sz w:val="20"/>
                <w:szCs w:val="20"/>
              </w:rPr>
            </w:pPr>
            <w:r w:rsidRPr="00A935AA">
              <w:rPr>
                <w:sz w:val="20"/>
                <w:szCs w:val="20"/>
              </w:rPr>
              <w:tab/>
            </w:r>
            <w:r w:rsidR="005C6FD7">
              <w:rPr>
                <w:sz w:val="20"/>
                <w:szCs w:val="20"/>
              </w:rPr>
              <w:t>Shawn Jordan</w:t>
            </w:r>
          </w:p>
          <w:p w:rsidR="00242AEE" w:rsidRPr="00A935AA" w:rsidRDefault="00242AEE" w:rsidP="003B3977">
            <w:pPr>
              <w:keepNext/>
              <w:keepLines/>
              <w:tabs>
                <w:tab w:val="left" w:pos="-1440"/>
                <w:tab w:val="left" w:pos="-720"/>
              </w:tabs>
              <w:rPr>
                <w:sz w:val="20"/>
                <w:szCs w:val="20"/>
              </w:rPr>
            </w:pPr>
          </w:p>
          <w:p w:rsidR="00242AEE" w:rsidRPr="005C6FD7" w:rsidRDefault="00242AEE" w:rsidP="003B3977">
            <w:pPr>
              <w:keepNext/>
              <w:keepLines/>
              <w:tabs>
                <w:tab w:val="left" w:pos="-1440"/>
                <w:tab w:val="left" w:pos="-720"/>
              </w:tabs>
              <w:rPr>
                <w:sz w:val="20"/>
                <w:szCs w:val="20"/>
              </w:rPr>
            </w:pPr>
            <w:r w:rsidRPr="00A935AA">
              <w:rPr>
                <w:sz w:val="20"/>
                <w:szCs w:val="20"/>
              </w:rPr>
              <w:tab/>
            </w:r>
            <w:r w:rsidRPr="005C6FD7">
              <w:rPr>
                <w:sz w:val="20"/>
                <w:szCs w:val="20"/>
              </w:rPr>
              <w:t>v. (3</w:t>
            </w:r>
            <w:r w:rsidR="00732FF1" w:rsidRPr="005C6FD7">
              <w:rPr>
                <w:sz w:val="20"/>
                <w:szCs w:val="20"/>
              </w:rPr>
              <w:t>55</w:t>
            </w:r>
            <w:r w:rsidR="005C6FD7">
              <w:rPr>
                <w:sz w:val="20"/>
                <w:szCs w:val="20"/>
              </w:rPr>
              <w:t>92</w:t>
            </w:r>
            <w:r w:rsidRPr="005C6FD7">
              <w:rPr>
                <w:sz w:val="20"/>
                <w:szCs w:val="20"/>
              </w:rPr>
              <w:t>)</w:t>
            </w:r>
          </w:p>
          <w:p w:rsidR="00242AEE" w:rsidRPr="005C6FD7" w:rsidRDefault="00242AEE" w:rsidP="003B3977">
            <w:pPr>
              <w:keepNext/>
              <w:keepLines/>
              <w:tabs>
                <w:tab w:val="left" w:pos="-1440"/>
                <w:tab w:val="left" w:pos="-720"/>
              </w:tabs>
              <w:rPr>
                <w:sz w:val="20"/>
                <w:szCs w:val="20"/>
              </w:rPr>
            </w:pPr>
          </w:p>
          <w:p w:rsidR="00242AEE" w:rsidRPr="005C6FD7" w:rsidRDefault="005C6FD7" w:rsidP="003B3977">
            <w:pPr>
              <w:keepNext/>
              <w:keepLines/>
              <w:tabs>
                <w:tab w:val="left" w:pos="-1440"/>
                <w:tab w:val="left" w:pos="-720"/>
              </w:tabs>
              <w:rPr>
                <w:b/>
                <w:sz w:val="20"/>
                <w:szCs w:val="20"/>
              </w:rPr>
            </w:pPr>
            <w:r w:rsidRPr="005C6FD7">
              <w:rPr>
                <w:b/>
                <w:sz w:val="20"/>
                <w:szCs w:val="20"/>
              </w:rPr>
              <w:t xml:space="preserve">Dawn Johnson </w:t>
            </w:r>
            <w:r w:rsidR="00732FF1" w:rsidRPr="005C6FD7">
              <w:rPr>
                <w:b/>
                <w:sz w:val="20"/>
                <w:szCs w:val="20"/>
              </w:rPr>
              <w:t>(</w:t>
            </w:r>
            <w:r w:rsidRPr="005C6FD7">
              <w:rPr>
                <w:b/>
                <w:sz w:val="20"/>
                <w:szCs w:val="20"/>
              </w:rPr>
              <w:t>Alta</w:t>
            </w:r>
            <w:r w:rsidR="00242AEE" w:rsidRPr="005C6FD7">
              <w:rPr>
                <w:b/>
                <w:sz w:val="20"/>
                <w:szCs w:val="20"/>
              </w:rPr>
              <w:t>.)</w:t>
            </w:r>
          </w:p>
          <w:p w:rsidR="00242AEE" w:rsidRPr="005C6FD7" w:rsidRDefault="00242AEE" w:rsidP="003B3977">
            <w:pPr>
              <w:keepNext/>
              <w:keepLines/>
              <w:tabs>
                <w:tab w:val="left" w:pos="-1440"/>
                <w:tab w:val="left" w:pos="-720"/>
              </w:tabs>
              <w:rPr>
                <w:sz w:val="20"/>
                <w:szCs w:val="20"/>
              </w:rPr>
            </w:pPr>
            <w:r w:rsidRPr="005C6FD7">
              <w:rPr>
                <w:sz w:val="20"/>
                <w:szCs w:val="20"/>
              </w:rPr>
              <w:tab/>
            </w:r>
            <w:r w:rsidR="005C6FD7">
              <w:rPr>
                <w:sz w:val="20"/>
                <w:szCs w:val="20"/>
              </w:rPr>
              <w:t>Dawn Johnson</w:t>
            </w:r>
          </w:p>
          <w:p w:rsidR="00242AEE" w:rsidRPr="005C6FD7" w:rsidRDefault="00242AEE" w:rsidP="003B3977">
            <w:pPr>
              <w:keepNext/>
              <w:keepLines/>
              <w:tabs>
                <w:tab w:val="left" w:pos="-1440"/>
                <w:tab w:val="left" w:pos="-720"/>
              </w:tabs>
              <w:rPr>
                <w:sz w:val="20"/>
                <w:szCs w:val="20"/>
              </w:rPr>
            </w:pPr>
          </w:p>
          <w:p w:rsidR="00242AEE" w:rsidRPr="00A935AA" w:rsidRDefault="00242AEE" w:rsidP="005C6FD7">
            <w:pPr>
              <w:rPr>
                <w:sz w:val="20"/>
                <w:szCs w:val="20"/>
              </w:rPr>
            </w:pPr>
            <w:r w:rsidRPr="00A935AA">
              <w:rPr>
                <w:sz w:val="20"/>
                <w:szCs w:val="20"/>
              </w:rPr>
              <w:t>FILING DATE: 2</w:t>
            </w:r>
            <w:r w:rsidR="005C6FD7">
              <w:rPr>
                <w:sz w:val="20"/>
                <w:szCs w:val="20"/>
              </w:rPr>
              <w:t>6</w:t>
            </w:r>
            <w:r w:rsidRPr="00A935AA">
              <w:rPr>
                <w:sz w:val="20"/>
                <w:szCs w:val="20"/>
              </w:rPr>
              <w:t>.09.201</w:t>
            </w:r>
            <w:r w:rsidR="00732FF1">
              <w:rPr>
                <w:sz w:val="20"/>
                <w:szCs w:val="20"/>
              </w:rPr>
              <w:t>3</w:t>
            </w:r>
            <w:r w:rsidR="007368AD">
              <w:rPr>
                <w:sz w:val="20"/>
                <w:szCs w:val="20"/>
                <w:lang w:val="fr-CA"/>
              </w:rPr>
              <w:pict>
                <v:rect id="_x0000_i1026" style="width:108pt;height:1pt" o:hrpct="0" o:hralign="center" o:hrstd="t" o:hrnoshade="t" o:hr="t" fillcolor="black [3213]" stroked="f"/>
              </w:pict>
            </w:r>
          </w:p>
        </w:tc>
      </w:tr>
      <w:tr w:rsidR="00732FF1" w:rsidRPr="00A935AA" w:rsidTr="003B3977">
        <w:tc>
          <w:tcPr>
            <w:tcW w:w="4320" w:type="dxa"/>
            <w:shd w:val="clear" w:color="auto" w:fill="auto"/>
          </w:tcPr>
          <w:p w:rsidR="00732FF1" w:rsidRDefault="00732FF1" w:rsidP="00DB0773">
            <w:pPr>
              <w:rPr>
                <w:b/>
                <w:sz w:val="20"/>
                <w:szCs w:val="20"/>
              </w:rPr>
            </w:pPr>
          </w:p>
          <w:p w:rsidR="005C6FD7" w:rsidRPr="00A935AA" w:rsidRDefault="005C6FD7" w:rsidP="00DB0773">
            <w:pPr>
              <w:rPr>
                <w:b/>
                <w:sz w:val="20"/>
                <w:szCs w:val="20"/>
              </w:rPr>
            </w:pPr>
            <w:r>
              <w:rPr>
                <w:b/>
                <w:sz w:val="20"/>
                <w:szCs w:val="20"/>
              </w:rPr>
              <w:t>Michael Israel</w:t>
            </w:r>
          </w:p>
          <w:p w:rsidR="00732FF1" w:rsidRPr="00A935AA" w:rsidRDefault="00732FF1" w:rsidP="00DB0773">
            <w:pPr>
              <w:tabs>
                <w:tab w:val="left" w:pos="-1440"/>
                <w:tab w:val="left" w:pos="-720"/>
              </w:tabs>
              <w:rPr>
                <w:sz w:val="20"/>
                <w:szCs w:val="20"/>
              </w:rPr>
            </w:pPr>
            <w:r w:rsidRPr="00A935AA">
              <w:rPr>
                <w:sz w:val="20"/>
                <w:szCs w:val="20"/>
              </w:rPr>
              <w:tab/>
            </w:r>
            <w:r w:rsidR="005C6FD7">
              <w:rPr>
                <w:sz w:val="20"/>
                <w:szCs w:val="20"/>
              </w:rPr>
              <w:t>Michael Israel</w:t>
            </w:r>
          </w:p>
          <w:p w:rsidR="00732FF1" w:rsidRPr="00A935AA" w:rsidRDefault="00732FF1" w:rsidP="00DB0773">
            <w:pPr>
              <w:tabs>
                <w:tab w:val="left" w:pos="-1440"/>
                <w:tab w:val="left" w:pos="-720"/>
              </w:tabs>
              <w:rPr>
                <w:sz w:val="20"/>
                <w:szCs w:val="20"/>
              </w:rPr>
            </w:pPr>
          </w:p>
          <w:p w:rsidR="00732FF1" w:rsidRPr="00A935AA" w:rsidRDefault="00732FF1" w:rsidP="00DB0773">
            <w:pPr>
              <w:tabs>
                <w:tab w:val="left" w:pos="-1440"/>
                <w:tab w:val="left" w:pos="-720"/>
              </w:tabs>
              <w:rPr>
                <w:sz w:val="20"/>
                <w:szCs w:val="20"/>
              </w:rPr>
            </w:pPr>
            <w:r w:rsidRPr="00A935AA">
              <w:rPr>
                <w:sz w:val="20"/>
                <w:szCs w:val="20"/>
              </w:rPr>
              <w:tab/>
              <w:t>v. (3</w:t>
            </w:r>
            <w:r>
              <w:rPr>
                <w:sz w:val="20"/>
                <w:szCs w:val="20"/>
              </w:rPr>
              <w:t>55</w:t>
            </w:r>
            <w:r w:rsidR="005C6FD7">
              <w:rPr>
                <w:sz w:val="20"/>
                <w:szCs w:val="20"/>
              </w:rPr>
              <w:t>83</w:t>
            </w:r>
            <w:r w:rsidRPr="00A935AA">
              <w:rPr>
                <w:sz w:val="20"/>
                <w:szCs w:val="20"/>
              </w:rPr>
              <w:t>)</w:t>
            </w:r>
          </w:p>
          <w:p w:rsidR="00732FF1" w:rsidRPr="00A935AA" w:rsidRDefault="00732FF1" w:rsidP="00DB0773">
            <w:pPr>
              <w:tabs>
                <w:tab w:val="left" w:pos="-1440"/>
                <w:tab w:val="left" w:pos="-720"/>
              </w:tabs>
              <w:rPr>
                <w:sz w:val="20"/>
                <w:szCs w:val="20"/>
              </w:rPr>
            </w:pPr>
          </w:p>
          <w:p w:rsidR="00732FF1" w:rsidRPr="00A935AA" w:rsidRDefault="005C6FD7" w:rsidP="00DB0773">
            <w:pPr>
              <w:tabs>
                <w:tab w:val="left" w:pos="-1440"/>
                <w:tab w:val="left" w:pos="-720"/>
              </w:tabs>
              <w:rPr>
                <w:b/>
                <w:sz w:val="20"/>
                <w:szCs w:val="20"/>
              </w:rPr>
            </w:pPr>
            <w:r>
              <w:rPr>
                <w:b/>
                <w:sz w:val="20"/>
                <w:szCs w:val="20"/>
              </w:rPr>
              <w:t>Michelle Wright</w:t>
            </w:r>
            <w:r w:rsidR="00732FF1" w:rsidRPr="00A935AA">
              <w:rPr>
                <w:b/>
                <w:sz w:val="20"/>
                <w:szCs w:val="20"/>
              </w:rPr>
              <w:t xml:space="preserve"> (</w:t>
            </w:r>
            <w:r>
              <w:rPr>
                <w:b/>
                <w:sz w:val="20"/>
                <w:szCs w:val="20"/>
              </w:rPr>
              <w:t>Ont</w:t>
            </w:r>
            <w:r w:rsidR="00732FF1" w:rsidRPr="00A935AA">
              <w:rPr>
                <w:b/>
                <w:sz w:val="20"/>
                <w:szCs w:val="20"/>
              </w:rPr>
              <w:t>.)</w:t>
            </w:r>
          </w:p>
          <w:p w:rsidR="00732FF1" w:rsidRPr="00A935AA" w:rsidRDefault="00732FF1" w:rsidP="00DB0773">
            <w:pPr>
              <w:tabs>
                <w:tab w:val="left" w:pos="-1440"/>
                <w:tab w:val="left" w:pos="-720"/>
              </w:tabs>
              <w:rPr>
                <w:sz w:val="20"/>
                <w:szCs w:val="20"/>
              </w:rPr>
            </w:pPr>
            <w:r w:rsidRPr="00A935AA">
              <w:rPr>
                <w:sz w:val="20"/>
                <w:szCs w:val="20"/>
              </w:rPr>
              <w:tab/>
            </w:r>
            <w:r w:rsidR="005C6FD7">
              <w:rPr>
                <w:sz w:val="20"/>
                <w:szCs w:val="20"/>
              </w:rPr>
              <w:t>Michelle Wright</w:t>
            </w:r>
          </w:p>
          <w:p w:rsidR="00732FF1" w:rsidRPr="00A935AA" w:rsidRDefault="00732FF1" w:rsidP="00DB0773">
            <w:pPr>
              <w:tabs>
                <w:tab w:val="left" w:pos="-1440"/>
                <w:tab w:val="left" w:pos="-720"/>
              </w:tabs>
              <w:rPr>
                <w:sz w:val="20"/>
                <w:szCs w:val="20"/>
              </w:rPr>
            </w:pPr>
          </w:p>
          <w:p w:rsidR="00732FF1" w:rsidRPr="00A935AA" w:rsidRDefault="00732FF1" w:rsidP="00DB0773">
            <w:pPr>
              <w:rPr>
                <w:sz w:val="20"/>
                <w:szCs w:val="20"/>
              </w:rPr>
            </w:pPr>
            <w:r w:rsidRPr="00A935AA">
              <w:rPr>
                <w:sz w:val="20"/>
                <w:szCs w:val="20"/>
              </w:rPr>
              <w:t xml:space="preserve">FILING DATE: </w:t>
            </w:r>
            <w:r w:rsidR="005C6FD7">
              <w:rPr>
                <w:sz w:val="20"/>
                <w:szCs w:val="20"/>
              </w:rPr>
              <w:t>18</w:t>
            </w:r>
            <w:r w:rsidRPr="00A935AA">
              <w:rPr>
                <w:sz w:val="20"/>
                <w:szCs w:val="20"/>
              </w:rPr>
              <w:t>.</w:t>
            </w:r>
            <w:r w:rsidR="005C6FD7">
              <w:rPr>
                <w:sz w:val="20"/>
                <w:szCs w:val="20"/>
              </w:rPr>
              <w:t>1</w:t>
            </w:r>
            <w:r w:rsidRPr="00A935AA">
              <w:rPr>
                <w:sz w:val="20"/>
                <w:szCs w:val="20"/>
              </w:rPr>
              <w:t>0.201</w:t>
            </w:r>
            <w:r>
              <w:rPr>
                <w:sz w:val="20"/>
                <w:szCs w:val="20"/>
              </w:rPr>
              <w:t>3</w:t>
            </w:r>
          </w:p>
          <w:p w:rsidR="00732FF1" w:rsidRPr="00A935AA" w:rsidRDefault="007368AD" w:rsidP="00DB0773">
            <w:pPr>
              <w:rPr>
                <w:sz w:val="20"/>
                <w:szCs w:val="20"/>
              </w:rPr>
            </w:pPr>
            <w:r>
              <w:rPr>
                <w:sz w:val="20"/>
                <w:szCs w:val="20"/>
                <w:lang w:val="fr-CA"/>
              </w:rPr>
              <w:pict>
                <v:rect id="_x0000_i1027" style="width:108pt;height:1pt" o:hrpct="0" o:hralign="center" o:hrstd="t" o:hrnoshade="t" o:hr="t" fillcolor="black [3213]" stroked="f"/>
              </w:pict>
            </w:r>
          </w:p>
        </w:tc>
        <w:tc>
          <w:tcPr>
            <w:tcW w:w="1181" w:type="dxa"/>
            <w:shd w:val="clear" w:color="auto" w:fill="auto"/>
          </w:tcPr>
          <w:p w:rsidR="00732FF1" w:rsidRPr="00A935AA" w:rsidRDefault="00732FF1" w:rsidP="00242AEE">
            <w:pPr>
              <w:jc w:val="center"/>
              <w:rPr>
                <w:sz w:val="20"/>
                <w:szCs w:val="20"/>
              </w:rPr>
            </w:pPr>
          </w:p>
          <w:p w:rsidR="00732FF1" w:rsidRPr="00A935AA" w:rsidRDefault="00732FF1" w:rsidP="00242AEE">
            <w:pPr>
              <w:jc w:val="center"/>
              <w:rPr>
                <w:sz w:val="20"/>
                <w:szCs w:val="20"/>
              </w:rPr>
            </w:pPr>
          </w:p>
          <w:p w:rsidR="00732FF1" w:rsidRPr="00A935AA" w:rsidRDefault="00732FF1" w:rsidP="00242AEE">
            <w:pPr>
              <w:jc w:val="center"/>
              <w:rPr>
                <w:sz w:val="20"/>
                <w:szCs w:val="20"/>
              </w:rPr>
            </w:pPr>
          </w:p>
          <w:p w:rsidR="00732FF1" w:rsidRPr="00A935AA" w:rsidRDefault="00732FF1" w:rsidP="00242AEE">
            <w:pPr>
              <w:jc w:val="center"/>
              <w:rPr>
                <w:sz w:val="20"/>
                <w:szCs w:val="20"/>
              </w:rPr>
            </w:pPr>
          </w:p>
          <w:p w:rsidR="00732FF1" w:rsidRPr="00A935AA" w:rsidRDefault="00732FF1" w:rsidP="00242AEE">
            <w:pPr>
              <w:jc w:val="center"/>
              <w:rPr>
                <w:sz w:val="20"/>
                <w:szCs w:val="20"/>
              </w:rPr>
            </w:pPr>
          </w:p>
          <w:p w:rsidR="00732FF1" w:rsidRPr="00A935AA" w:rsidRDefault="00732FF1" w:rsidP="00242AEE">
            <w:pPr>
              <w:jc w:val="center"/>
              <w:rPr>
                <w:sz w:val="20"/>
                <w:szCs w:val="20"/>
              </w:rPr>
            </w:pPr>
          </w:p>
          <w:p w:rsidR="00732FF1" w:rsidRPr="00A935AA" w:rsidRDefault="00732FF1" w:rsidP="00242AEE">
            <w:pPr>
              <w:jc w:val="center"/>
              <w:rPr>
                <w:sz w:val="20"/>
                <w:szCs w:val="20"/>
              </w:rPr>
            </w:pPr>
          </w:p>
          <w:p w:rsidR="00732FF1" w:rsidRPr="00A935AA" w:rsidRDefault="00732FF1" w:rsidP="00242AEE">
            <w:pPr>
              <w:jc w:val="center"/>
              <w:rPr>
                <w:sz w:val="20"/>
                <w:szCs w:val="20"/>
              </w:rPr>
            </w:pPr>
          </w:p>
          <w:p w:rsidR="00732FF1" w:rsidRPr="00A935AA" w:rsidRDefault="00732FF1" w:rsidP="00242AEE">
            <w:pPr>
              <w:jc w:val="center"/>
              <w:rPr>
                <w:sz w:val="20"/>
                <w:szCs w:val="20"/>
              </w:rPr>
            </w:pPr>
          </w:p>
          <w:p w:rsidR="00732FF1" w:rsidRPr="00A935AA" w:rsidRDefault="00732FF1" w:rsidP="00242AEE">
            <w:pPr>
              <w:jc w:val="center"/>
              <w:rPr>
                <w:sz w:val="20"/>
                <w:szCs w:val="20"/>
              </w:rPr>
            </w:pPr>
          </w:p>
          <w:p w:rsidR="00732FF1" w:rsidRPr="00A935AA" w:rsidRDefault="00732FF1" w:rsidP="00242AEE">
            <w:pPr>
              <w:jc w:val="center"/>
              <w:rPr>
                <w:sz w:val="20"/>
                <w:szCs w:val="20"/>
              </w:rPr>
            </w:pPr>
          </w:p>
          <w:p w:rsidR="00732FF1" w:rsidRPr="00A935AA" w:rsidRDefault="00732FF1" w:rsidP="00242AEE">
            <w:pPr>
              <w:jc w:val="center"/>
              <w:rPr>
                <w:sz w:val="20"/>
                <w:szCs w:val="20"/>
              </w:rPr>
            </w:pPr>
          </w:p>
        </w:tc>
        <w:tc>
          <w:tcPr>
            <w:tcW w:w="4320" w:type="dxa"/>
            <w:shd w:val="clear" w:color="auto" w:fill="auto"/>
          </w:tcPr>
          <w:p w:rsidR="00732FF1" w:rsidRPr="00A935AA" w:rsidRDefault="005C6FD7" w:rsidP="00DB0773">
            <w:pPr>
              <w:keepNext/>
              <w:keepLines/>
              <w:tabs>
                <w:tab w:val="left" w:pos="-1440"/>
                <w:tab w:val="left" w:pos="-720"/>
              </w:tabs>
              <w:rPr>
                <w:b/>
                <w:sz w:val="20"/>
                <w:szCs w:val="20"/>
              </w:rPr>
            </w:pPr>
            <w:r>
              <w:rPr>
                <w:b/>
                <w:sz w:val="20"/>
                <w:szCs w:val="20"/>
              </w:rPr>
              <w:t xml:space="preserve">Her Majesty the Queen </w:t>
            </w:r>
          </w:p>
          <w:p w:rsidR="00732FF1" w:rsidRPr="00A935AA" w:rsidRDefault="00732FF1" w:rsidP="00DB0773">
            <w:pPr>
              <w:keepNext/>
              <w:keepLines/>
              <w:tabs>
                <w:tab w:val="left" w:pos="-1440"/>
                <w:tab w:val="left" w:pos="-720"/>
              </w:tabs>
              <w:rPr>
                <w:sz w:val="20"/>
                <w:szCs w:val="20"/>
              </w:rPr>
            </w:pPr>
            <w:r w:rsidRPr="00A935AA">
              <w:rPr>
                <w:sz w:val="20"/>
                <w:szCs w:val="20"/>
              </w:rPr>
              <w:tab/>
            </w:r>
            <w:r w:rsidR="005C6FD7">
              <w:rPr>
                <w:sz w:val="20"/>
                <w:szCs w:val="20"/>
              </w:rPr>
              <w:t>Alexander Alvaro</w:t>
            </w:r>
          </w:p>
          <w:p w:rsidR="00732FF1" w:rsidRPr="00A935AA" w:rsidRDefault="00732FF1" w:rsidP="00DB0773">
            <w:pPr>
              <w:keepNext/>
              <w:keepLines/>
              <w:tabs>
                <w:tab w:val="left" w:pos="-1440"/>
                <w:tab w:val="left" w:pos="-720"/>
              </w:tabs>
              <w:rPr>
                <w:sz w:val="20"/>
                <w:szCs w:val="20"/>
              </w:rPr>
            </w:pPr>
            <w:r w:rsidRPr="00A935AA">
              <w:rPr>
                <w:sz w:val="20"/>
                <w:szCs w:val="20"/>
              </w:rPr>
              <w:tab/>
            </w:r>
            <w:r w:rsidR="005C6FD7">
              <w:rPr>
                <w:sz w:val="20"/>
                <w:szCs w:val="20"/>
              </w:rPr>
              <w:t>A.G. of Ontario</w:t>
            </w:r>
          </w:p>
          <w:p w:rsidR="00732FF1" w:rsidRPr="00A935AA" w:rsidRDefault="00732FF1" w:rsidP="00DB0773">
            <w:pPr>
              <w:keepNext/>
              <w:keepLines/>
              <w:tabs>
                <w:tab w:val="left" w:pos="-1440"/>
                <w:tab w:val="left" w:pos="-720"/>
              </w:tabs>
              <w:rPr>
                <w:sz w:val="20"/>
                <w:szCs w:val="20"/>
              </w:rPr>
            </w:pPr>
          </w:p>
          <w:p w:rsidR="00732FF1" w:rsidRPr="005C6FD7" w:rsidRDefault="00732FF1" w:rsidP="00DB0773">
            <w:pPr>
              <w:keepNext/>
              <w:keepLines/>
              <w:tabs>
                <w:tab w:val="left" w:pos="-1440"/>
                <w:tab w:val="left" w:pos="-720"/>
              </w:tabs>
              <w:rPr>
                <w:sz w:val="20"/>
                <w:szCs w:val="20"/>
              </w:rPr>
            </w:pPr>
            <w:r w:rsidRPr="00A935AA">
              <w:rPr>
                <w:sz w:val="20"/>
                <w:szCs w:val="20"/>
              </w:rPr>
              <w:tab/>
            </w:r>
            <w:r w:rsidRPr="005C6FD7">
              <w:rPr>
                <w:sz w:val="20"/>
                <w:szCs w:val="20"/>
              </w:rPr>
              <w:t>v. (355</w:t>
            </w:r>
            <w:r w:rsidR="005C6FD7" w:rsidRPr="005C6FD7">
              <w:rPr>
                <w:sz w:val="20"/>
                <w:szCs w:val="20"/>
              </w:rPr>
              <w:t>84</w:t>
            </w:r>
            <w:r w:rsidRPr="005C6FD7">
              <w:rPr>
                <w:sz w:val="20"/>
                <w:szCs w:val="20"/>
              </w:rPr>
              <w:t>)</w:t>
            </w:r>
          </w:p>
          <w:p w:rsidR="00732FF1" w:rsidRPr="005C6FD7" w:rsidRDefault="00732FF1" w:rsidP="00DB0773">
            <w:pPr>
              <w:keepNext/>
              <w:keepLines/>
              <w:tabs>
                <w:tab w:val="left" w:pos="-1440"/>
                <w:tab w:val="left" w:pos="-720"/>
              </w:tabs>
              <w:rPr>
                <w:sz w:val="20"/>
                <w:szCs w:val="20"/>
              </w:rPr>
            </w:pPr>
          </w:p>
          <w:p w:rsidR="00732FF1" w:rsidRPr="005C6FD7" w:rsidRDefault="005C6FD7" w:rsidP="00DB0773">
            <w:pPr>
              <w:keepNext/>
              <w:keepLines/>
              <w:tabs>
                <w:tab w:val="left" w:pos="-1440"/>
                <w:tab w:val="left" w:pos="-720"/>
              </w:tabs>
              <w:rPr>
                <w:b/>
                <w:sz w:val="20"/>
                <w:szCs w:val="20"/>
              </w:rPr>
            </w:pPr>
            <w:r>
              <w:rPr>
                <w:b/>
                <w:sz w:val="20"/>
                <w:szCs w:val="20"/>
              </w:rPr>
              <w:t xml:space="preserve">P.G. </w:t>
            </w:r>
            <w:r w:rsidR="00732FF1" w:rsidRPr="005C6FD7">
              <w:rPr>
                <w:b/>
                <w:sz w:val="20"/>
                <w:szCs w:val="20"/>
              </w:rPr>
              <w:t>(Ont.)</w:t>
            </w:r>
          </w:p>
          <w:p w:rsidR="00732FF1" w:rsidRPr="005C6FD7" w:rsidRDefault="00732FF1" w:rsidP="00DB0773">
            <w:pPr>
              <w:keepNext/>
              <w:keepLines/>
              <w:tabs>
                <w:tab w:val="left" w:pos="-1440"/>
                <w:tab w:val="left" w:pos="-720"/>
              </w:tabs>
              <w:rPr>
                <w:sz w:val="20"/>
                <w:szCs w:val="20"/>
              </w:rPr>
            </w:pPr>
            <w:r w:rsidRPr="005C6FD7">
              <w:rPr>
                <w:sz w:val="20"/>
                <w:szCs w:val="20"/>
              </w:rPr>
              <w:tab/>
            </w:r>
            <w:r w:rsidR="005C6FD7">
              <w:rPr>
                <w:sz w:val="20"/>
                <w:szCs w:val="20"/>
              </w:rPr>
              <w:t>John McCulligh</w:t>
            </w:r>
          </w:p>
          <w:p w:rsidR="00732FF1" w:rsidRPr="005C6FD7" w:rsidRDefault="00732FF1" w:rsidP="00DB0773">
            <w:pPr>
              <w:keepNext/>
              <w:keepLines/>
              <w:tabs>
                <w:tab w:val="left" w:pos="-1440"/>
                <w:tab w:val="left" w:pos="-720"/>
              </w:tabs>
              <w:rPr>
                <w:sz w:val="20"/>
                <w:szCs w:val="20"/>
              </w:rPr>
            </w:pPr>
          </w:p>
          <w:p w:rsidR="00732FF1" w:rsidRPr="00A935AA" w:rsidRDefault="00732FF1" w:rsidP="005C6FD7">
            <w:pPr>
              <w:rPr>
                <w:sz w:val="20"/>
                <w:szCs w:val="20"/>
              </w:rPr>
            </w:pPr>
            <w:r w:rsidRPr="00A935AA">
              <w:rPr>
                <w:sz w:val="20"/>
                <w:szCs w:val="20"/>
              </w:rPr>
              <w:t xml:space="preserve">FILING DATE: </w:t>
            </w:r>
            <w:r w:rsidR="005C6FD7">
              <w:rPr>
                <w:sz w:val="20"/>
                <w:szCs w:val="20"/>
              </w:rPr>
              <w:t>1</w:t>
            </w:r>
            <w:r w:rsidRPr="00A935AA">
              <w:rPr>
                <w:sz w:val="20"/>
                <w:szCs w:val="20"/>
              </w:rPr>
              <w:t>8.</w:t>
            </w:r>
            <w:r w:rsidR="005C6FD7">
              <w:rPr>
                <w:sz w:val="20"/>
                <w:szCs w:val="20"/>
              </w:rPr>
              <w:t>10</w:t>
            </w:r>
            <w:r w:rsidRPr="00A935AA">
              <w:rPr>
                <w:sz w:val="20"/>
                <w:szCs w:val="20"/>
              </w:rPr>
              <w:t>.201</w:t>
            </w:r>
            <w:r>
              <w:rPr>
                <w:sz w:val="20"/>
                <w:szCs w:val="20"/>
              </w:rPr>
              <w:t>3</w:t>
            </w:r>
            <w:r w:rsidR="007368AD">
              <w:rPr>
                <w:sz w:val="20"/>
                <w:szCs w:val="20"/>
                <w:lang w:val="fr-CA"/>
              </w:rPr>
              <w:pict>
                <v:rect id="_x0000_i1028" style="width:108pt;height:1pt" o:hrpct="0" o:hralign="center" o:hrstd="t" o:hrnoshade="t" o:hr="t" fillcolor="black [3213]" stroked="f"/>
              </w:pict>
            </w:r>
          </w:p>
        </w:tc>
      </w:tr>
      <w:tr w:rsidR="00732FF1" w:rsidRPr="00A935AA" w:rsidTr="003B3977">
        <w:tc>
          <w:tcPr>
            <w:tcW w:w="4320" w:type="dxa"/>
            <w:shd w:val="clear" w:color="auto" w:fill="auto"/>
          </w:tcPr>
          <w:p w:rsidR="00732FF1" w:rsidRPr="00A935AA" w:rsidRDefault="005C6FD7" w:rsidP="00DB0773">
            <w:pPr>
              <w:rPr>
                <w:b/>
                <w:sz w:val="20"/>
                <w:szCs w:val="20"/>
              </w:rPr>
            </w:pPr>
            <w:r>
              <w:rPr>
                <w:b/>
                <w:sz w:val="20"/>
                <w:szCs w:val="20"/>
              </w:rPr>
              <w:t>Bahram Soltani</w:t>
            </w:r>
          </w:p>
          <w:p w:rsidR="00732FF1" w:rsidRPr="00A935AA" w:rsidRDefault="00732FF1" w:rsidP="00DB0773">
            <w:pPr>
              <w:tabs>
                <w:tab w:val="left" w:pos="-1440"/>
                <w:tab w:val="left" w:pos="-720"/>
              </w:tabs>
              <w:rPr>
                <w:sz w:val="20"/>
                <w:szCs w:val="20"/>
              </w:rPr>
            </w:pPr>
            <w:r w:rsidRPr="00A935AA">
              <w:rPr>
                <w:sz w:val="20"/>
                <w:szCs w:val="20"/>
              </w:rPr>
              <w:tab/>
            </w:r>
            <w:r w:rsidR="005C6FD7">
              <w:rPr>
                <w:sz w:val="20"/>
                <w:szCs w:val="20"/>
              </w:rPr>
              <w:t>Bahram Soltani</w:t>
            </w:r>
          </w:p>
          <w:p w:rsidR="00732FF1" w:rsidRPr="00A935AA" w:rsidRDefault="00732FF1" w:rsidP="00DB0773">
            <w:pPr>
              <w:tabs>
                <w:tab w:val="left" w:pos="-1440"/>
                <w:tab w:val="left" w:pos="-720"/>
              </w:tabs>
              <w:rPr>
                <w:sz w:val="20"/>
                <w:szCs w:val="20"/>
              </w:rPr>
            </w:pPr>
          </w:p>
          <w:p w:rsidR="00732FF1" w:rsidRPr="00850BA7" w:rsidRDefault="00732FF1" w:rsidP="00DB0773">
            <w:pPr>
              <w:tabs>
                <w:tab w:val="left" w:pos="-1440"/>
                <w:tab w:val="left" w:pos="-720"/>
              </w:tabs>
              <w:rPr>
                <w:sz w:val="20"/>
                <w:szCs w:val="20"/>
              </w:rPr>
            </w:pPr>
            <w:r w:rsidRPr="00A935AA">
              <w:rPr>
                <w:sz w:val="20"/>
                <w:szCs w:val="20"/>
              </w:rPr>
              <w:tab/>
            </w:r>
            <w:r w:rsidRPr="00850BA7">
              <w:rPr>
                <w:sz w:val="20"/>
                <w:szCs w:val="20"/>
              </w:rPr>
              <w:t>v. (355</w:t>
            </w:r>
            <w:r w:rsidR="005C6FD7" w:rsidRPr="00850BA7">
              <w:rPr>
                <w:sz w:val="20"/>
                <w:szCs w:val="20"/>
              </w:rPr>
              <w:t>87</w:t>
            </w:r>
            <w:r w:rsidRPr="00850BA7">
              <w:rPr>
                <w:sz w:val="20"/>
                <w:szCs w:val="20"/>
              </w:rPr>
              <w:t>)</w:t>
            </w:r>
          </w:p>
          <w:p w:rsidR="00732FF1" w:rsidRPr="00850BA7" w:rsidRDefault="00732FF1" w:rsidP="00DB0773">
            <w:pPr>
              <w:tabs>
                <w:tab w:val="left" w:pos="-1440"/>
                <w:tab w:val="left" w:pos="-720"/>
              </w:tabs>
              <w:rPr>
                <w:sz w:val="20"/>
                <w:szCs w:val="20"/>
              </w:rPr>
            </w:pPr>
          </w:p>
          <w:p w:rsidR="00732FF1" w:rsidRPr="00254909" w:rsidRDefault="005C6FD7" w:rsidP="00DB0773">
            <w:pPr>
              <w:tabs>
                <w:tab w:val="left" w:pos="-1440"/>
                <w:tab w:val="left" w:pos="-720"/>
              </w:tabs>
              <w:rPr>
                <w:b/>
                <w:sz w:val="20"/>
                <w:szCs w:val="20"/>
                <w:lang w:val="fr-CA"/>
              </w:rPr>
            </w:pPr>
            <w:r w:rsidRPr="00254909">
              <w:rPr>
                <w:b/>
                <w:sz w:val="20"/>
                <w:szCs w:val="20"/>
                <w:lang w:val="fr-CA"/>
              </w:rPr>
              <w:t>Lyne Desnoyers</w:t>
            </w:r>
            <w:r w:rsidR="00732FF1" w:rsidRPr="00254909">
              <w:rPr>
                <w:b/>
                <w:sz w:val="20"/>
                <w:szCs w:val="20"/>
                <w:lang w:val="fr-CA"/>
              </w:rPr>
              <w:t xml:space="preserve"> (</w:t>
            </w:r>
            <w:r w:rsidR="00745990" w:rsidRPr="00254909">
              <w:rPr>
                <w:b/>
                <w:sz w:val="20"/>
                <w:szCs w:val="20"/>
                <w:lang w:val="fr-CA"/>
              </w:rPr>
              <w:t>Que</w:t>
            </w:r>
            <w:r w:rsidR="00732FF1" w:rsidRPr="00254909">
              <w:rPr>
                <w:b/>
                <w:sz w:val="20"/>
                <w:szCs w:val="20"/>
                <w:lang w:val="fr-CA"/>
              </w:rPr>
              <w:t>.)</w:t>
            </w:r>
          </w:p>
          <w:p w:rsidR="00732FF1" w:rsidRPr="00254909" w:rsidRDefault="00732FF1" w:rsidP="00DB0773">
            <w:pPr>
              <w:tabs>
                <w:tab w:val="left" w:pos="-1440"/>
                <w:tab w:val="left" w:pos="-720"/>
              </w:tabs>
              <w:rPr>
                <w:sz w:val="20"/>
                <w:szCs w:val="20"/>
                <w:lang w:val="fr-CA"/>
              </w:rPr>
            </w:pPr>
            <w:r w:rsidRPr="00254909">
              <w:rPr>
                <w:sz w:val="20"/>
                <w:szCs w:val="20"/>
                <w:lang w:val="fr-CA"/>
              </w:rPr>
              <w:tab/>
            </w:r>
            <w:r w:rsidR="00254909" w:rsidRPr="00254909">
              <w:rPr>
                <w:sz w:val="20"/>
                <w:szCs w:val="20"/>
                <w:lang w:val="fr-CA"/>
              </w:rPr>
              <w:t>Emmanuelle Poupart</w:t>
            </w:r>
          </w:p>
          <w:p w:rsidR="00732FF1" w:rsidRPr="00850BA7" w:rsidRDefault="00732FF1" w:rsidP="00DB0773">
            <w:pPr>
              <w:tabs>
                <w:tab w:val="left" w:pos="-1440"/>
                <w:tab w:val="left" w:pos="-720"/>
              </w:tabs>
              <w:rPr>
                <w:sz w:val="20"/>
                <w:szCs w:val="20"/>
                <w:lang w:val="fr-CA"/>
              </w:rPr>
            </w:pPr>
            <w:r w:rsidRPr="00254909">
              <w:rPr>
                <w:sz w:val="20"/>
                <w:szCs w:val="20"/>
                <w:lang w:val="fr-CA"/>
              </w:rPr>
              <w:tab/>
            </w:r>
            <w:r w:rsidR="00254909" w:rsidRPr="00850BA7">
              <w:rPr>
                <w:sz w:val="20"/>
                <w:szCs w:val="20"/>
                <w:lang w:val="fr-CA"/>
              </w:rPr>
              <w:t>McCarthy Tétrault LLP</w:t>
            </w:r>
          </w:p>
          <w:p w:rsidR="00732FF1" w:rsidRPr="00850BA7" w:rsidRDefault="00732FF1" w:rsidP="00DB0773">
            <w:pPr>
              <w:tabs>
                <w:tab w:val="left" w:pos="-1440"/>
                <w:tab w:val="left" w:pos="-720"/>
              </w:tabs>
              <w:rPr>
                <w:sz w:val="20"/>
                <w:szCs w:val="20"/>
                <w:lang w:val="fr-CA"/>
              </w:rPr>
            </w:pPr>
          </w:p>
          <w:p w:rsidR="00732FF1" w:rsidRPr="00A935AA" w:rsidRDefault="00732FF1" w:rsidP="00DB0773">
            <w:pPr>
              <w:rPr>
                <w:sz w:val="20"/>
                <w:szCs w:val="20"/>
              </w:rPr>
            </w:pPr>
            <w:r w:rsidRPr="00A935AA">
              <w:rPr>
                <w:sz w:val="20"/>
                <w:szCs w:val="20"/>
              </w:rPr>
              <w:t>FILING DATE: 2</w:t>
            </w:r>
            <w:r w:rsidR="00254909">
              <w:rPr>
                <w:sz w:val="20"/>
                <w:szCs w:val="20"/>
              </w:rPr>
              <w:t>2</w:t>
            </w:r>
            <w:r w:rsidRPr="00A935AA">
              <w:rPr>
                <w:sz w:val="20"/>
                <w:szCs w:val="20"/>
              </w:rPr>
              <w:t>.</w:t>
            </w:r>
            <w:r w:rsidR="00254909">
              <w:rPr>
                <w:sz w:val="20"/>
                <w:szCs w:val="20"/>
              </w:rPr>
              <w:t>1</w:t>
            </w:r>
            <w:r w:rsidRPr="00A935AA">
              <w:rPr>
                <w:sz w:val="20"/>
                <w:szCs w:val="20"/>
              </w:rPr>
              <w:t>0.201</w:t>
            </w:r>
            <w:r>
              <w:rPr>
                <w:sz w:val="20"/>
                <w:szCs w:val="20"/>
              </w:rPr>
              <w:t>3</w:t>
            </w:r>
          </w:p>
          <w:p w:rsidR="00732FF1" w:rsidRPr="00A935AA" w:rsidRDefault="007368AD" w:rsidP="00DB0773">
            <w:pPr>
              <w:rPr>
                <w:sz w:val="20"/>
                <w:szCs w:val="20"/>
              </w:rPr>
            </w:pPr>
            <w:r>
              <w:rPr>
                <w:sz w:val="20"/>
                <w:szCs w:val="20"/>
                <w:lang w:val="fr-CA"/>
              </w:rPr>
              <w:pict>
                <v:rect id="_x0000_i1029" style="width:108pt;height:1pt" o:hrpct="0" o:hralign="center" o:hrstd="t" o:hrnoshade="t" o:hr="t" fillcolor="black [3213]" stroked="f"/>
              </w:pict>
            </w:r>
          </w:p>
        </w:tc>
        <w:tc>
          <w:tcPr>
            <w:tcW w:w="1181" w:type="dxa"/>
            <w:shd w:val="clear" w:color="auto" w:fill="auto"/>
          </w:tcPr>
          <w:p w:rsidR="00732FF1" w:rsidRPr="00A935AA" w:rsidRDefault="00732FF1" w:rsidP="00242AEE">
            <w:pPr>
              <w:jc w:val="center"/>
              <w:rPr>
                <w:sz w:val="20"/>
                <w:szCs w:val="20"/>
              </w:rPr>
            </w:pPr>
          </w:p>
          <w:p w:rsidR="00732FF1" w:rsidRPr="00A935AA" w:rsidRDefault="00732FF1" w:rsidP="00242AEE">
            <w:pPr>
              <w:jc w:val="center"/>
              <w:rPr>
                <w:sz w:val="20"/>
                <w:szCs w:val="20"/>
              </w:rPr>
            </w:pPr>
          </w:p>
          <w:p w:rsidR="00732FF1" w:rsidRPr="00A935AA" w:rsidRDefault="00732FF1" w:rsidP="00242AEE">
            <w:pPr>
              <w:jc w:val="center"/>
              <w:rPr>
                <w:sz w:val="20"/>
                <w:szCs w:val="20"/>
              </w:rPr>
            </w:pPr>
          </w:p>
          <w:p w:rsidR="00732FF1" w:rsidRPr="00A935AA" w:rsidRDefault="00732FF1" w:rsidP="00242AEE">
            <w:pPr>
              <w:jc w:val="center"/>
              <w:rPr>
                <w:sz w:val="20"/>
                <w:szCs w:val="20"/>
              </w:rPr>
            </w:pPr>
          </w:p>
          <w:p w:rsidR="00732FF1" w:rsidRPr="00A935AA" w:rsidRDefault="00732FF1" w:rsidP="00242AEE">
            <w:pPr>
              <w:jc w:val="center"/>
              <w:rPr>
                <w:sz w:val="20"/>
                <w:szCs w:val="20"/>
              </w:rPr>
            </w:pPr>
          </w:p>
          <w:p w:rsidR="00732FF1" w:rsidRPr="00A935AA" w:rsidRDefault="00732FF1" w:rsidP="00242AEE">
            <w:pPr>
              <w:jc w:val="center"/>
              <w:rPr>
                <w:sz w:val="20"/>
                <w:szCs w:val="20"/>
              </w:rPr>
            </w:pPr>
          </w:p>
          <w:p w:rsidR="00732FF1" w:rsidRPr="00A935AA" w:rsidRDefault="00732FF1" w:rsidP="00242AEE">
            <w:pPr>
              <w:jc w:val="center"/>
              <w:rPr>
                <w:sz w:val="20"/>
                <w:szCs w:val="20"/>
              </w:rPr>
            </w:pPr>
          </w:p>
          <w:p w:rsidR="00732FF1" w:rsidRPr="00A935AA" w:rsidRDefault="00732FF1" w:rsidP="00242AEE">
            <w:pPr>
              <w:jc w:val="center"/>
              <w:rPr>
                <w:sz w:val="20"/>
                <w:szCs w:val="20"/>
              </w:rPr>
            </w:pPr>
          </w:p>
          <w:p w:rsidR="00732FF1" w:rsidRPr="00A935AA" w:rsidRDefault="00732FF1" w:rsidP="00242AEE">
            <w:pPr>
              <w:jc w:val="center"/>
              <w:rPr>
                <w:sz w:val="20"/>
                <w:szCs w:val="20"/>
              </w:rPr>
            </w:pPr>
          </w:p>
          <w:p w:rsidR="00732FF1" w:rsidRPr="00A935AA" w:rsidRDefault="00732FF1" w:rsidP="00242AEE">
            <w:pPr>
              <w:jc w:val="center"/>
              <w:rPr>
                <w:sz w:val="20"/>
                <w:szCs w:val="20"/>
              </w:rPr>
            </w:pPr>
          </w:p>
          <w:p w:rsidR="00732FF1" w:rsidRDefault="00732FF1" w:rsidP="00242AEE">
            <w:pPr>
              <w:jc w:val="center"/>
              <w:rPr>
                <w:sz w:val="20"/>
                <w:szCs w:val="20"/>
              </w:rPr>
            </w:pPr>
          </w:p>
          <w:p w:rsidR="00732FF1" w:rsidRDefault="00732FF1" w:rsidP="00242AEE">
            <w:pPr>
              <w:jc w:val="center"/>
              <w:rPr>
                <w:sz w:val="20"/>
                <w:szCs w:val="20"/>
              </w:rPr>
            </w:pPr>
          </w:p>
          <w:p w:rsidR="00732FF1" w:rsidRPr="00A935AA" w:rsidRDefault="00732FF1" w:rsidP="00242AEE">
            <w:pPr>
              <w:jc w:val="center"/>
              <w:rPr>
                <w:sz w:val="20"/>
                <w:szCs w:val="20"/>
              </w:rPr>
            </w:pPr>
          </w:p>
        </w:tc>
        <w:tc>
          <w:tcPr>
            <w:tcW w:w="4320" w:type="dxa"/>
            <w:shd w:val="clear" w:color="auto" w:fill="auto"/>
          </w:tcPr>
          <w:p w:rsidR="00732FF1" w:rsidRPr="00254909" w:rsidRDefault="00254909" w:rsidP="00DB0773">
            <w:pPr>
              <w:keepNext/>
              <w:keepLines/>
              <w:tabs>
                <w:tab w:val="left" w:pos="-1440"/>
                <w:tab w:val="left" w:pos="-720"/>
              </w:tabs>
              <w:rPr>
                <w:b/>
                <w:sz w:val="20"/>
                <w:szCs w:val="20"/>
                <w:lang w:val="fr-CA"/>
              </w:rPr>
            </w:pPr>
            <w:r w:rsidRPr="00254909">
              <w:rPr>
                <w:b/>
                <w:sz w:val="20"/>
                <w:szCs w:val="20"/>
                <w:lang w:val="fr-CA"/>
              </w:rPr>
              <w:t>Lee Carter et al.</w:t>
            </w:r>
          </w:p>
          <w:p w:rsidR="00732FF1" w:rsidRPr="00850BA7" w:rsidRDefault="00732FF1" w:rsidP="00DB0773">
            <w:pPr>
              <w:keepNext/>
              <w:keepLines/>
              <w:tabs>
                <w:tab w:val="left" w:pos="-1440"/>
                <w:tab w:val="left" w:pos="-720"/>
              </w:tabs>
              <w:rPr>
                <w:sz w:val="20"/>
                <w:szCs w:val="20"/>
                <w:lang w:val="fr-CA"/>
              </w:rPr>
            </w:pPr>
            <w:r w:rsidRPr="00254909">
              <w:rPr>
                <w:sz w:val="20"/>
                <w:szCs w:val="20"/>
                <w:lang w:val="fr-CA"/>
              </w:rPr>
              <w:tab/>
            </w:r>
            <w:r w:rsidR="00254909" w:rsidRPr="00850BA7">
              <w:rPr>
                <w:sz w:val="20"/>
                <w:szCs w:val="20"/>
                <w:lang w:val="fr-CA"/>
              </w:rPr>
              <w:t>Joseph J. Arvay, Q.C.</w:t>
            </w:r>
          </w:p>
          <w:p w:rsidR="00732FF1" w:rsidRPr="00254909" w:rsidRDefault="00732FF1" w:rsidP="00DB0773">
            <w:pPr>
              <w:keepNext/>
              <w:keepLines/>
              <w:tabs>
                <w:tab w:val="left" w:pos="-1440"/>
                <w:tab w:val="left" w:pos="-720"/>
              </w:tabs>
              <w:rPr>
                <w:sz w:val="20"/>
                <w:szCs w:val="20"/>
              </w:rPr>
            </w:pPr>
            <w:r w:rsidRPr="00850BA7">
              <w:rPr>
                <w:sz w:val="20"/>
                <w:szCs w:val="20"/>
                <w:lang w:val="fr-CA"/>
              </w:rPr>
              <w:tab/>
            </w:r>
            <w:r w:rsidR="00254909">
              <w:rPr>
                <w:sz w:val="20"/>
                <w:szCs w:val="20"/>
              </w:rPr>
              <w:t>Arvay Finlay</w:t>
            </w:r>
          </w:p>
          <w:p w:rsidR="00732FF1" w:rsidRPr="00254909" w:rsidRDefault="00732FF1" w:rsidP="00DB0773">
            <w:pPr>
              <w:keepNext/>
              <w:keepLines/>
              <w:tabs>
                <w:tab w:val="left" w:pos="-1440"/>
                <w:tab w:val="left" w:pos="-720"/>
              </w:tabs>
              <w:rPr>
                <w:sz w:val="20"/>
                <w:szCs w:val="20"/>
              </w:rPr>
            </w:pPr>
          </w:p>
          <w:p w:rsidR="00732FF1" w:rsidRPr="005C6FD7" w:rsidRDefault="00732FF1" w:rsidP="00DB0773">
            <w:pPr>
              <w:keepNext/>
              <w:keepLines/>
              <w:tabs>
                <w:tab w:val="left" w:pos="-1440"/>
                <w:tab w:val="left" w:pos="-720"/>
              </w:tabs>
              <w:rPr>
                <w:sz w:val="20"/>
                <w:szCs w:val="20"/>
              </w:rPr>
            </w:pPr>
            <w:r w:rsidRPr="00254909">
              <w:rPr>
                <w:sz w:val="20"/>
                <w:szCs w:val="20"/>
              </w:rPr>
              <w:tab/>
            </w:r>
            <w:r w:rsidRPr="005C6FD7">
              <w:rPr>
                <w:sz w:val="20"/>
                <w:szCs w:val="20"/>
              </w:rPr>
              <w:t>v. (355</w:t>
            </w:r>
            <w:r w:rsidR="00254909">
              <w:rPr>
                <w:sz w:val="20"/>
                <w:szCs w:val="20"/>
              </w:rPr>
              <w:t>91</w:t>
            </w:r>
            <w:r w:rsidRPr="005C6FD7">
              <w:rPr>
                <w:sz w:val="20"/>
                <w:szCs w:val="20"/>
              </w:rPr>
              <w:t>)</w:t>
            </w:r>
          </w:p>
          <w:p w:rsidR="00732FF1" w:rsidRPr="005C6FD7" w:rsidRDefault="00732FF1" w:rsidP="00DB0773">
            <w:pPr>
              <w:keepNext/>
              <w:keepLines/>
              <w:tabs>
                <w:tab w:val="left" w:pos="-1440"/>
                <w:tab w:val="left" w:pos="-720"/>
              </w:tabs>
              <w:rPr>
                <w:sz w:val="20"/>
                <w:szCs w:val="20"/>
              </w:rPr>
            </w:pPr>
          </w:p>
          <w:p w:rsidR="00732FF1" w:rsidRPr="005C6FD7" w:rsidRDefault="00254909" w:rsidP="00DB0773">
            <w:pPr>
              <w:keepNext/>
              <w:keepLines/>
              <w:tabs>
                <w:tab w:val="left" w:pos="-1440"/>
                <w:tab w:val="left" w:pos="-720"/>
              </w:tabs>
              <w:rPr>
                <w:b/>
                <w:sz w:val="20"/>
                <w:szCs w:val="20"/>
              </w:rPr>
            </w:pPr>
            <w:r>
              <w:rPr>
                <w:b/>
                <w:sz w:val="20"/>
                <w:szCs w:val="20"/>
              </w:rPr>
              <w:t xml:space="preserve">Attorney General of Canada et al. </w:t>
            </w:r>
            <w:r w:rsidR="00732FF1" w:rsidRPr="005C6FD7">
              <w:rPr>
                <w:b/>
                <w:sz w:val="20"/>
                <w:szCs w:val="20"/>
              </w:rPr>
              <w:t>(</w:t>
            </w:r>
            <w:r>
              <w:rPr>
                <w:b/>
                <w:sz w:val="20"/>
                <w:szCs w:val="20"/>
              </w:rPr>
              <w:t>B</w:t>
            </w:r>
            <w:r w:rsidR="00732FF1" w:rsidRPr="005C6FD7">
              <w:rPr>
                <w:b/>
                <w:sz w:val="20"/>
                <w:szCs w:val="20"/>
              </w:rPr>
              <w:t>.</w:t>
            </w:r>
            <w:r>
              <w:rPr>
                <w:b/>
                <w:sz w:val="20"/>
                <w:szCs w:val="20"/>
              </w:rPr>
              <w:t>C.</w:t>
            </w:r>
            <w:r w:rsidR="00732FF1" w:rsidRPr="005C6FD7">
              <w:rPr>
                <w:b/>
                <w:sz w:val="20"/>
                <w:szCs w:val="20"/>
              </w:rPr>
              <w:t>)</w:t>
            </w:r>
          </w:p>
          <w:p w:rsidR="00732FF1" w:rsidRPr="005C6FD7" w:rsidRDefault="00732FF1" w:rsidP="00DB0773">
            <w:pPr>
              <w:keepNext/>
              <w:keepLines/>
              <w:tabs>
                <w:tab w:val="left" w:pos="-1440"/>
                <w:tab w:val="left" w:pos="-720"/>
              </w:tabs>
              <w:rPr>
                <w:sz w:val="20"/>
                <w:szCs w:val="20"/>
              </w:rPr>
            </w:pPr>
            <w:r w:rsidRPr="005C6FD7">
              <w:rPr>
                <w:sz w:val="20"/>
                <w:szCs w:val="20"/>
              </w:rPr>
              <w:tab/>
            </w:r>
            <w:r w:rsidR="00254909">
              <w:rPr>
                <w:sz w:val="20"/>
                <w:szCs w:val="20"/>
              </w:rPr>
              <w:t>Donnaree Nygard</w:t>
            </w:r>
          </w:p>
          <w:p w:rsidR="00732FF1" w:rsidRPr="005C6FD7" w:rsidRDefault="00732FF1" w:rsidP="00DB0773">
            <w:pPr>
              <w:keepNext/>
              <w:keepLines/>
              <w:tabs>
                <w:tab w:val="left" w:pos="-1440"/>
                <w:tab w:val="left" w:pos="-720"/>
              </w:tabs>
              <w:rPr>
                <w:sz w:val="20"/>
                <w:szCs w:val="20"/>
              </w:rPr>
            </w:pPr>
            <w:r w:rsidRPr="005C6FD7">
              <w:rPr>
                <w:sz w:val="20"/>
                <w:szCs w:val="20"/>
              </w:rPr>
              <w:tab/>
            </w:r>
            <w:r w:rsidR="00254909">
              <w:rPr>
                <w:sz w:val="20"/>
                <w:szCs w:val="20"/>
              </w:rPr>
              <w:t>A.G. of Canada</w:t>
            </w:r>
          </w:p>
          <w:p w:rsidR="00732FF1" w:rsidRPr="005C6FD7" w:rsidRDefault="00732FF1" w:rsidP="00DB0773">
            <w:pPr>
              <w:keepNext/>
              <w:keepLines/>
              <w:tabs>
                <w:tab w:val="left" w:pos="-1440"/>
                <w:tab w:val="left" w:pos="-720"/>
              </w:tabs>
              <w:rPr>
                <w:sz w:val="20"/>
                <w:szCs w:val="20"/>
              </w:rPr>
            </w:pPr>
          </w:p>
          <w:p w:rsidR="00732FF1" w:rsidRPr="00A935AA" w:rsidRDefault="00732FF1" w:rsidP="00254909">
            <w:pPr>
              <w:rPr>
                <w:sz w:val="20"/>
                <w:szCs w:val="20"/>
              </w:rPr>
            </w:pPr>
            <w:r w:rsidRPr="00A935AA">
              <w:rPr>
                <w:sz w:val="20"/>
                <w:szCs w:val="20"/>
              </w:rPr>
              <w:t>FILING DATE: 2</w:t>
            </w:r>
            <w:r w:rsidR="00254909">
              <w:rPr>
                <w:sz w:val="20"/>
                <w:szCs w:val="20"/>
              </w:rPr>
              <w:t>5</w:t>
            </w:r>
            <w:r w:rsidRPr="00A935AA">
              <w:rPr>
                <w:sz w:val="20"/>
                <w:szCs w:val="20"/>
              </w:rPr>
              <w:t>.</w:t>
            </w:r>
            <w:r w:rsidR="00254909">
              <w:rPr>
                <w:sz w:val="20"/>
                <w:szCs w:val="20"/>
              </w:rPr>
              <w:t>1</w:t>
            </w:r>
            <w:r w:rsidRPr="00A935AA">
              <w:rPr>
                <w:sz w:val="20"/>
                <w:szCs w:val="20"/>
              </w:rPr>
              <w:t>0.201</w:t>
            </w:r>
            <w:r>
              <w:rPr>
                <w:sz w:val="20"/>
                <w:szCs w:val="20"/>
              </w:rPr>
              <w:t>3</w:t>
            </w:r>
            <w:r w:rsidR="007368AD">
              <w:rPr>
                <w:sz w:val="20"/>
                <w:szCs w:val="20"/>
                <w:lang w:val="fr-CA"/>
              </w:rPr>
              <w:pict>
                <v:rect id="_x0000_i1030" style="width:108pt;height:1pt" o:hrpct="0" o:hralign="center" o:hrstd="t" o:hrnoshade="t" o:hr="t" fillcolor="black [3213]" stroked="f"/>
              </w:pict>
            </w:r>
          </w:p>
        </w:tc>
      </w:tr>
    </w:tbl>
    <w:p w:rsidR="006C3F47" w:rsidRDefault="006C3F47" w:rsidP="0095096B">
      <w:pPr>
        <w:tabs>
          <w:tab w:val="right" w:pos="9360"/>
        </w:tabs>
        <w:rPr>
          <w:sz w:val="20"/>
          <w:szCs w:val="20"/>
        </w:rPr>
      </w:pPr>
    </w:p>
    <w:p w:rsidR="00D94028" w:rsidRDefault="00D94028" w:rsidP="0095096B">
      <w:pPr>
        <w:tabs>
          <w:tab w:val="right" w:pos="9360"/>
        </w:tabs>
        <w:rPr>
          <w:sz w:val="20"/>
          <w:szCs w:val="20"/>
        </w:rPr>
      </w:pPr>
    </w:p>
    <w:p w:rsidR="00242AEE" w:rsidRDefault="00242AEE" w:rsidP="0095096B">
      <w:pPr>
        <w:tabs>
          <w:tab w:val="right" w:pos="9360"/>
        </w:tabs>
        <w:rPr>
          <w:sz w:val="20"/>
          <w:szCs w:val="20"/>
        </w:rPr>
      </w:pPr>
    </w:p>
    <w:p w:rsidR="00242AEE" w:rsidRPr="00C50A5C" w:rsidRDefault="00242AEE" w:rsidP="0095096B">
      <w:pPr>
        <w:tabs>
          <w:tab w:val="right" w:pos="9360"/>
        </w:tabs>
        <w:rPr>
          <w:sz w:val="20"/>
          <w:szCs w:val="20"/>
        </w:rPr>
        <w:sectPr w:rsidR="00242AEE" w:rsidRPr="00C50A5C" w:rsidSect="00C72F17">
          <w:headerReference w:type="default" r:id="rId17"/>
          <w:footerReference w:type="default" r:id="rId18"/>
          <w:headerReference w:type="first" r:id="rId19"/>
          <w:footerReference w:type="first" r:id="rId20"/>
          <w:pgSz w:w="12240" w:h="15840"/>
          <w:pgMar w:top="720" w:right="965" w:bottom="1080" w:left="1656" w:header="706" w:footer="706" w:gutter="0"/>
          <w:pgNumType w:start="1799"/>
          <w:cols w:space="708"/>
          <w:titlePg/>
          <w:docGrid w:linePitch="360"/>
        </w:sectPr>
      </w:pPr>
    </w:p>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080"/>
      </w:tblGrid>
      <w:tr w:rsidR="002E2327" w:rsidRPr="007368AD" w:rsidTr="00BA6468">
        <w:trPr>
          <w:trHeight w:val="900"/>
        </w:trPr>
        <w:tc>
          <w:tcPr>
            <w:tcW w:w="4200" w:type="dxa"/>
            <w:tcMar>
              <w:left w:w="0" w:type="dxa"/>
              <w:right w:w="0" w:type="dxa"/>
            </w:tcMar>
          </w:tcPr>
          <w:p w:rsidR="002E2327" w:rsidRPr="001D0D5F" w:rsidRDefault="002E2327" w:rsidP="002E2327">
            <w:pPr>
              <w:keepNext/>
              <w:keepLines/>
              <w:widowControl w:val="0"/>
              <w:rPr>
                <w:b/>
                <w:szCs w:val="24"/>
              </w:rPr>
            </w:pPr>
            <w:r w:rsidRPr="001D0D5F">
              <w:rPr>
                <w:b/>
                <w:szCs w:val="24"/>
              </w:rPr>
              <w:lastRenderedPageBreak/>
              <w:t>APPLICATIONS FOR LEAVE SUBMITTED TO COURT SINCE LAST ISSUE</w:t>
            </w:r>
          </w:p>
        </w:tc>
        <w:tc>
          <w:tcPr>
            <w:tcW w:w="1200" w:type="dxa"/>
            <w:tcMar>
              <w:left w:w="0" w:type="dxa"/>
              <w:right w:w="0" w:type="dxa"/>
            </w:tcMar>
          </w:tcPr>
          <w:p w:rsidR="002E2327" w:rsidRDefault="002E2327" w:rsidP="002E2327">
            <w:pPr>
              <w:keepNext/>
              <w:keepLines/>
              <w:widowControl w:val="0"/>
              <w:jc w:val="center"/>
              <w:rPr>
                <w:b/>
                <w:szCs w:val="24"/>
              </w:rPr>
            </w:pPr>
          </w:p>
          <w:p w:rsidR="001D0D5F" w:rsidRDefault="001D0D5F" w:rsidP="002E2327">
            <w:pPr>
              <w:keepNext/>
              <w:keepLines/>
              <w:widowControl w:val="0"/>
              <w:jc w:val="center"/>
              <w:rPr>
                <w:b/>
                <w:szCs w:val="24"/>
              </w:rPr>
            </w:pPr>
          </w:p>
          <w:p w:rsidR="001D0D5F" w:rsidRDefault="001D0D5F" w:rsidP="002E2327">
            <w:pPr>
              <w:keepNext/>
              <w:keepLines/>
              <w:widowControl w:val="0"/>
              <w:jc w:val="center"/>
              <w:rPr>
                <w:b/>
                <w:szCs w:val="24"/>
              </w:rPr>
            </w:pPr>
          </w:p>
          <w:p w:rsidR="001D0D5F" w:rsidRPr="001D0D5F" w:rsidRDefault="001D0D5F" w:rsidP="002E2327">
            <w:pPr>
              <w:keepNext/>
              <w:keepLines/>
              <w:widowControl w:val="0"/>
              <w:jc w:val="center"/>
              <w:rPr>
                <w:b/>
                <w:szCs w:val="24"/>
              </w:rPr>
            </w:pPr>
          </w:p>
        </w:tc>
        <w:tc>
          <w:tcPr>
            <w:tcW w:w="4080" w:type="dxa"/>
            <w:tcMar>
              <w:left w:w="0" w:type="dxa"/>
              <w:right w:w="0" w:type="dxa"/>
            </w:tcMar>
          </w:tcPr>
          <w:p w:rsidR="002E2327" w:rsidRPr="001D0D5F" w:rsidRDefault="002E2327" w:rsidP="002E2327">
            <w:pPr>
              <w:keepLines/>
              <w:widowControl w:val="0"/>
              <w:rPr>
                <w:szCs w:val="24"/>
                <w:lang w:val="fr-CA"/>
              </w:rPr>
            </w:pPr>
            <w:r w:rsidRPr="001D0D5F">
              <w:rPr>
                <w:b/>
                <w:szCs w:val="24"/>
                <w:lang w:val="fr-CA"/>
              </w:rPr>
              <w:t>DEMANDES SOUMISES À LA COUR DEPUIS LA DERNIÈRE PARUTION</w:t>
            </w:r>
          </w:p>
          <w:p w:rsidR="002E2327" w:rsidRPr="001D0D5F" w:rsidRDefault="002E2327" w:rsidP="002E2327">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lang w:val="fr-CA"/>
              </w:rPr>
            </w:pPr>
          </w:p>
        </w:tc>
      </w:tr>
    </w:tbl>
    <w:p w:rsidR="002E2327" w:rsidRPr="00C50A5C" w:rsidRDefault="002E2327" w:rsidP="002E2327">
      <w:pPr>
        <w:widowControl w:val="0"/>
        <w:rPr>
          <w:b/>
          <w:sz w:val="20"/>
          <w:szCs w:val="20"/>
          <w:lang w:val="fr-CA"/>
        </w:rPr>
      </w:pPr>
    </w:p>
    <w:p w:rsidR="004B7F60" w:rsidRPr="00C50A5C" w:rsidRDefault="00732FF1" w:rsidP="004B7F60">
      <w:pPr>
        <w:widowControl w:val="0"/>
        <w:rPr>
          <w:b/>
          <w:sz w:val="20"/>
          <w:szCs w:val="20"/>
        </w:rPr>
      </w:pPr>
      <w:r>
        <w:rPr>
          <w:b/>
          <w:sz w:val="20"/>
          <w:szCs w:val="20"/>
        </w:rPr>
        <w:t>NOV</w:t>
      </w:r>
      <w:r w:rsidR="00DE349D">
        <w:rPr>
          <w:b/>
          <w:sz w:val="20"/>
          <w:szCs w:val="20"/>
        </w:rPr>
        <w:t>EMBER</w:t>
      </w:r>
      <w:r w:rsidR="00F761A3">
        <w:rPr>
          <w:b/>
          <w:sz w:val="20"/>
          <w:szCs w:val="20"/>
        </w:rPr>
        <w:t xml:space="preserve"> </w:t>
      </w:r>
      <w:r>
        <w:rPr>
          <w:b/>
          <w:sz w:val="20"/>
          <w:szCs w:val="20"/>
        </w:rPr>
        <w:t>4</w:t>
      </w:r>
      <w:r w:rsidR="004B7F60" w:rsidRPr="00C50A5C">
        <w:rPr>
          <w:b/>
          <w:sz w:val="20"/>
          <w:szCs w:val="20"/>
        </w:rPr>
        <w:t>, 201</w:t>
      </w:r>
      <w:r w:rsidR="00F761A3">
        <w:rPr>
          <w:b/>
          <w:sz w:val="20"/>
          <w:szCs w:val="20"/>
        </w:rPr>
        <w:t>3</w:t>
      </w:r>
      <w:r w:rsidR="004B7F60" w:rsidRPr="00C50A5C">
        <w:rPr>
          <w:b/>
          <w:sz w:val="20"/>
          <w:szCs w:val="20"/>
        </w:rPr>
        <w:t xml:space="preserve"> / LE </w:t>
      </w:r>
      <w:r>
        <w:rPr>
          <w:b/>
          <w:sz w:val="20"/>
          <w:szCs w:val="20"/>
        </w:rPr>
        <w:t>4 NOV</w:t>
      </w:r>
      <w:r w:rsidR="00F761A3">
        <w:rPr>
          <w:b/>
          <w:sz w:val="20"/>
          <w:szCs w:val="20"/>
        </w:rPr>
        <w:t>E</w:t>
      </w:r>
      <w:r w:rsidR="00DE349D">
        <w:rPr>
          <w:b/>
          <w:sz w:val="20"/>
          <w:szCs w:val="20"/>
        </w:rPr>
        <w:t>MB</w:t>
      </w:r>
      <w:r w:rsidR="004B7F60">
        <w:rPr>
          <w:b/>
          <w:sz w:val="20"/>
          <w:szCs w:val="20"/>
        </w:rPr>
        <w:t>R</w:t>
      </w:r>
      <w:r w:rsidR="00DE349D">
        <w:rPr>
          <w:b/>
          <w:sz w:val="20"/>
          <w:szCs w:val="20"/>
        </w:rPr>
        <w:t>E</w:t>
      </w:r>
      <w:r w:rsidR="004B7F60" w:rsidRPr="00C50A5C">
        <w:rPr>
          <w:b/>
          <w:sz w:val="20"/>
          <w:szCs w:val="20"/>
        </w:rPr>
        <w:t xml:space="preserve"> 201</w:t>
      </w:r>
      <w:r w:rsidR="00F761A3">
        <w:rPr>
          <w:b/>
          <w:sz w:val="20"/>
          <w:szCs w:val="20"/>
        </w:rPr>
        <w:t>3</w:t>
      </w:r>
    </w:p>
    <w:p w:rsidR="004B7F60" w:rsidRPr="00C50A5C" w:rsidRDefault="004B7F60" w:rsidP="004B7F60">
      <w:pPr>
        <w:widowControl w:val="0"/>
        <w:rPr>
          <w:b/>
          <w:sz w:val="20"/>
          <w:szCs w:val="20"/>
        </w:rPr>
      </w:pPr>
    </w:p>
    <w:p w:rsidR="004B7F60" w:rsidRPr="00C50A5C" w:rsidRDefault="004B7F60" w:rsidP="004B7F60">
      <w:pPr>
        <w:widowControl w:val="0"/>
        <w:jc w:val="center"/>
        <w:rPr>
          <w:b/>
          <w:sz w:val="20"/>
          <w:szCs w:val="20"/>
        </w:rPr>
      </w:pPr>
      <w:r w:rsidRPr="00C50A5C">
        <w:rPr>
          <w:b/>
          <w:sz w:val="20"/>
          <w:szCs w:val="20"/>
        </w:rPr>
        <w:t xml:space="preserve">CORAM:  Chief Justice McLachlin and </w:t>
      </w:r>
      <w:r w:rsidR="00DE349D">
        <w:rPr>
          <w:b/>
          <w:sz w:val="20"/>
          <w:szCs w:val="20"/>
        </w:rPr>
        <w:t>Cromwell</w:t>
      </w:r>
      <w:r w:rsidRPr="00C50A5C">
        <w:rPr>
          <w:b/>
          <w:sz w:val="20"/>
          <w:szCs w:val="20"/>
        </w:rPr>
        <w:t xml:space="preserve"> and </w:t>
      </w:r>
      <w:r w:rsidR="00DE349D">
        <w:rPr>
          <w:b/>
          <w:sz w:val="20"/>
          <w:szCs w:val="20"/>
        </w:rPr>
        <w:t xml:space="preserve">Wagner </w:t>
      </w:r>
      <w:r w:rsidRPr="00C50A5C">
        <w:rPr>
          <w:b/>
          <w:sz w:val="20"/>
          <w:szCs w:val="20"/>
        </w:rPr>
        <w:t>JJ.</w:t>
      </w:r>
    </w:p>
    <w:p w:rsidR="004B7F60" w:rsidRPr="00C50A5C" w:rsidRDefault="004B7F60" w:rsidP="004B7F60">
      <w:pPr>
        <w:widowControl w:val="0"/>
        <w:jc w:val="center"/>
        <w:rPr>
          <w:sz w:val="20"/>
          <w:szCs w:val="20"/>
          <w:lang w:val="fr-CA"/>
        </w:rPr>
      </w:pPr>
      <w:r w:rsidRPr="00C50A5C">
        <w:rPr>
          <w:b/>
          <w:sz w:val="20"/>
          <w:szCs w:val="20"/>
          <w:lang w:val="fr-CA"/>
        </w:rPr>
        <w:t xml:space="preserve">La juge en chef McLachlin et les juges </w:t>
      </w:r>
      <w:r w:rsidR="00DE349D">
        <w:rPr>
          <w:b/>
          <w:sz w:val="20"/>
          <w:szCs w:val="20"/>
          <w:lang w:val="fr-CA"/>
        </w:rPr>
        <w:t>Cromwell</w:t>
      </w:r>
      <w:r w:rsidR="00DE349D" w:rsidRPr="00C50A5C">
        <w:rPr>
          <w:b/>
          <w:sz w:val="20"/>
          <w:szCs w:val="20"/>
          <w:lang w:val="fr-CA"/>
        </w:rPr>
        <w:t xml:space="preserve"> </w:t>
      </w:r>
      <w:r w:rsidRPr="00C50A5C">
        <w:rPr>
          <w:b/>
          <w:sz w:val="20"/>
          <w:szCs w:val="20"/>
          <w:lang w:val="fr-CA"/>
        </w:rPr>
        <w:t xml:space="preserve">et </w:t>
      </w:r>
      <w:r w:rsidR="00DE349D">
        <w:rPr>
          <w:b/>
          <w:sz w:val="20"/>
          <w:szCs w:val="20"/>
          <w:lang w:val="fr-CA"/>
        </w:rPr>
        <w:t>Wagn</w:t>
      </w:r>
      <w:r>
        <w:rPr>
          <w:b/>
          <w:sz w:val="20"/>
          <w:szCs w:val="20"/>
          <w:lang w:val="fr-CA"/>
        </w:rPr>
        <w:t>e</w:t>
      </w:r>
      <w:r w:rsidR="00DE349D">
        <w:rPr>
          <w:b/>
          <w:sz w:val="20"/>
          <w:szCs w:val="20"/>
          <w:lang w:val="fr-CA"/>
        </w:rPr>
        <w:t>r</w:t>
      </w:r>
    </w:p>
    <w:p w:rsidR="004B7F60" w:rsidRPr="00C50A5C" w:rsidRDefault="004B7F60" w:rsidP="004B7F60">
      <w:pPr>
        <w:widowControl w:val="0"/>
        <w:rPr>
          <w:sz w:val="20"/>
          <w:szCs w:val="20"/>
          <w:lang w:val="fr-CA"/>
        </w:rPr>
      </w:pPr>
    </w:p>
    <w:p w:rsidR="004B7F60" w:rsidRPr="00C50A5C" w:rsidRDefault="00B43D7E" w:rsidP="004B7F60">
      <w:pPr>
        <w:pStyle w:val="ListParagraph"/>
        <w:widowControl w:val="0"/>
        <w:numPr>
          <w:ilvl w:val="0"/>
          <w:numId w:val="1"/>
        </w:numPr>
        <w:ind w:hanging="720"/>
        <w:jc w:val="both"/>
        <w:rPr>
          <w:sz w:val="20"/>
          <w:szCs w:val="20"/>
        </w:rPr>
      </w:pPr>
      <w:r w:rsidRPr="00B43D7E">
        <w:rPr>
          <w:i/>
          <w:sz w:val="20"/>
          <w:szCs w:val="20"/>
          <w:lang w:val="fr-CA"/>
        </w:rPr>
        <w:t>Linda Hammerschmid v. Hélène Nadon Corriveau</w:t>
      </w:r>
      <w:r w:rsidRPr="00B43D7E">
        <w:rPr>
          <w:sz w:val="20"/>
          <w:szCs w:val="20"/>
          <w:lang w:val="fr-CA"/>
        </w:rPr>
        <w:t xml:space="preserve"> (Que.) </w:t>
      </w:r>
      <w:r w:rsidRPr="00B43D7E">
        <w:rPr>
          <w:sz w:val="20"/>
          <w:szCs w:val="20"/>
        </w:rPr>
        <w:t>(Civil) (By Leave)</w:t>
      </w:r>
      <w:r w:rsidRPr="00C50A5C">
        <w:rPr>
          <w:sz w:val="20"/>
          <w:szCs w:val="20"/>
        </w:rPr>
        <w:t xml:space="preserve"> </w:t>
      </w:r>
      <w:r w:rsidR="004B7F60" w:rsidRPr="00C50A5C">
        <w:rPr>
          <w:sz w:val="20"/>
          <w:szCs w:val="20"/>
        </w:rPr>
        <w:t>(3</w:t>
      </w:r>
      <w:r w:rsidR="00CD0B9D">
        <w:rPr>
          <w:sz w:val="20"/>
          <w:szCs w:val="20"/>
        </w:rPr>
        <w:t>5</w:t>
      </w:r>
      <w:r w:rsidR="004B7F60">
        <w:rPr>
          <w:sz w:val="20"/>
          <w:szCs w:val="20"/>
        </w:rPr>
        <w:t>41</w:t>
      </w:r>
      <w:r w:rsidR="00CD0B9D">
        <w:rPr>
          <w:sz w:val="20"/>
          <w:szCs w:val="20"/>
        </w:rPr>
        <w:t>0</w:t>
      </w:r>
      <w:r w:rsidR="004B7F60" w:rsidRPr="00C50A5C">
        <w:rPr>
          <w:sz w:val="20"/>
          <w:szCs w:val="20"/>
        </w:rPr>
        <w:t>)</w:t>
      </w:r>
    </w:p>
    <w:p w:rsidR="004B7F60" w:rsidRPr="00C50A5C" w:rsidRDefault="004B7F60" w:rsidP="004B7F60">
      <w:pPr>
        <w:widowControl w:val="0"/>
        <w:jc w:val="both"/>
        <w:rPr>
          <w:sz w:val="20"/>
          <w:szCs w:val="20"/>
        </w:rPr>
      </w:pPr>
    </w:p>
    <w:p w:rsidR="004B7F60" w:rsidRPr="00C612D0" w:rsidRDefault="00B43D7E" w:rsidP="004B7F60">
      <w:pPr>
        <w:pStyle w:val="ListParagraph"/>
        <w:widowControl w:val="0"/>
        <w:numPr>
          <w:ilvl w:val="0"/>
          <w:numId w:val="1"/>
        </w:numPr>
        <w:ind w:hanging="720"/>
        <w:jc w:val="both"/>
        <w:rPr>
          <w:sz w:val="20"/>
          <w:szCs w:val="20"/>
        </w:rPr>
      </w:pPr>
      <w:r w:rsidRPr="00B43D7E">
        <w:rPr>
          <w:i/>
          <w:sz w:val="20"/>
          <w:szCs w:val="20"/>
        </w:rPr>
        <w:t>Prescient Foundation v. Minister of National Revenue</w:t>
      </w:r>
      <w:r w:rsidRPr="00B43D7E">
        <w:rPr>
          <w:sz w:val="20"/>
          <w:szCs w:val="20"/>
        </w:rPr>
        <w:t xml:space="preserve"> (F.C.) (Civil) (By Leave)</w:t>
      </w:r>
      <w:r w:rsidRPr="00C612D0">
        <w:rPr>
          <w:sz w:val="20"/>
          <w:szCs w:val="20"/>
        </w:rPr>
        <w:t xml:space="preserve"> </w:t>
      </w:r>
      <w:r w:rsidR="004B7F60" w:rsidRPr="00C612D0">
        <w:rPr>
          <w:sz w:val="20"/>
          <w:szCs w:val="20"/>
        </w:rPr>
        <w:t>(3</w:t>
      </w:r>
      <w:r w:rsidR="00CD0B9D">
        <w:rPr>
          <w:sz w:val="20"/>
          <w:szCs w:val="20"/>
        </w:rPr>
        <w:t>5</w:t>
      </w:r>
      <w:r w:rsidR="004B7F60" w:rsidRPr="00C612D0">
        <w:rPr>
          <w:sz w:val="20"/>
          <w:szCs w:val="20"/>
        </w:rPr>
        <w:t>4</w:t>
      </w:r>
      <w:r w:rsidR="00CD0B9D">
        <w:rPr>
          <w:sz w:val="20"/>
          <w:szCs w:val="20"/>
        </w:rPr>
        <w:t>56</w:t>
      </w:r>
      <w:r w:rsidR="004B7F60" w:rsidRPr="00C612D0">
        <w:rPr>
          <w:sz w:val="20"/>
          <w:szCs w:val="20"/>
        </w:rPr>
        <w:t>)</w:t>
      </w:r>
    </w:p>
    <w:p w:rsidR="004B7F60" w:rsidRDefault="004B7F60" w:rsidP="004B7F60">
      <w:pPr>
        <w:widowControl w:val="0"/>
        <w:jc w:val="both"/>
        <w:rPr>
          <w:sz w:val="20"/>
          <w:szCs w:val="20"/>
        </w:rPr>
      </w:pPr>
    </w:p>
    <w:p w:rsidR="00CD0B9D" w:rsidRDefault="00CD0B9D" w:rsidP="004B7F60">
      <w:pPr>
        <w:widowControl w:val="0"/>
        <w:jc w:val="both"/>
        <w:rPr>
          <w:sz w:val="20"/>
          <w:szCs w:val="20"/>
        </w:rPr>
      </w:pPr>
    </w:p>
    <w:p w:rsidR="00CD0B9D" w:rsidRPr="00C50A5C" w:rsidRDefault="00CD0B9D" w:rsidP="00CD0B9D">
      <w:pPr>
        <w:widowControl w:val="0"/>
        <w:jc w:val="center"/>
        <w:rPr>
          <w:b/>
          <w:sz w:val="20"/>
          <w:szCs w:val="20"/>
        </w:rPr>
      </w:pPr>
      <w:r w:rsidRPr="00C50A5C">
        <w:rPr>
          <w:b/>
          <w:sz w:val="20"/>
          <w:szCs w:val="20"/>
        </w:rPr>
        <w:t xml:space="preserve">CORAM: </w:t>
      </w:r>
      <w:r>
        <w:rPr>
          <w:b/>
          <w:sz w:val="20"/>
          <w:szCs w:val="20"/>
        </w:rPr>
        <w:t>LeBel</w:t>
      </w:r>
      <w:r w:rsidRPr="00C50A5C">
        <w:rPr>
          <w:b/>
          <w:sz w:val="20"/>
          <w:szCs w:val="20"/>
        </w:rPr>
        <w:t xml:space="preserve">, </w:t>
      </w:r>
      <w:r>
        <w:rPr>
          <w:b/>
          <w:sz w:val="20"/>
          <w:szCs w:val="20"/>
        </w:rPr>
        <w:t>Karakatsanis</w:t>
      </w:r>
      <w:r w:rsidRPr="00C50A5C">
        <w:rPr>
          <w:b/>
          <w:sz w:val="20"/>
          <w:szCs w:val="20"/>
        </w:rPr>
        <w:t xml:space="preserve"> and </w:t>
      </w:r>
      <w:r>
        <w:rPr>
          <w:b/>
          <w:sz w:val="20"/>
          <w:szCs w:val="20"/>
        </w:rPr>
        <w:t>Wagner</w:t>
      </w:r>
      <w:r w:rsidRPr="00C50A5C">
        <w:rPr>
          <w:b/>
          <w:sz w:val="20"/>
          <w:szCs w:val="20"/>
        </w:rPr>
        <w:t xml:space="preserve"> JJ.</w:t>
      </w:r>
    </w:p>
    <w:p w:rsidR="00CD0B9D" w:rsidRPr="00C50A5C" w:rsidRDefault="00CD0B9D" w:rsidP="00CD0B9D">
      <w:pPr>
        <w:widowControl w:val="0"/>
        <w:jc w:val="center"/>
        <w:rPr>
          <w:b/>
          <w:sz w:val="20"/>
          <w:szCs w:val="20"/>
          <w:lang w:val="fr-CA"/>
        </w:rPr>
      </w:pPr>
      <w:r w:rsidRPr="00C50A5C">
        <w:rPr>
          <w:b/>
          <w:sz w:val="20"/>
          <w:szCs w:val="20"/>
          <w:lang w:val="fr-CA"/>
        </w:rPr>
        <w:t xml:space="preserve">Les juges </w:t>
      </w:r>
      <w:r>
        <w:rPr>
          <w:b/>
          <w:sz w:val="20"/>
          <w:szCs w:val="20"/>
          <w:lang w:val="fr-CA"/>
        </w:rPr>
        <w:t>LeBel</w:t>
      </w:r>
      <w:r w:rsidRPr="00C50A5C">
        <w:rPr>
          <w:b/>
          <w:sz w:val="20"/>
          <w:szCs w:val="20"/>
          <w:lang w:val="fr-CA"/>
        </w:rPr>
        <w:t xml:space="preserve">, </w:t>
      </w:r>
      <w:r>
        <w:rPr>
          <w:b/>
          <w:sz w:val="20"/>
          <w:szCs w:val="20"/>
          <w:lang w:val="fr-CA"/>
        </w:rPr>
        <w:t>Karakatsanis</w:t>
      </w:r>
      <w:r w:rsidRPr="00C50A5C">
        <w:rPr>
          <w:b/>
          <w:sz w:val="20"/>
          <w:szCs w:val="20"/>
          <w:lang w:val="fr-CA"/>
        </w:rPr>
        <w:t xml:space="preserve"> et </w:t>
      </w:r>
      <w:r>
        <w:rPr>
          <w:b/>
          <w:sz w:val="20"/>
          <w:szCs w:val="20"/>
          <w:lang w:val="fr-CA"/>
        </w:rPr>
        <w:t>Wagn</w:t>
      </w:r>
      <w:r w:rsidRPr="00C50A5C">
        <w:rPr>
          <w:b/>
          <w:sz w:val="20"/>
          <w:szCs w:val="20"/>
          <w:lang w:val="fr-CA"/>
        </w:rPr>
        <w:t>e</w:t>
      </w:r>
      <w:r>
        <w:rPr>
          <w:b/>
          <w:sz w:val="20"/>
          <w:szCs w:val="20"/>
          <w:lang w:val="fr-CA"/>
        </w:rPr>
        <w:t>r</w:t>
      </w:r>
    </w:p>
    <w:p w:rsidR="00CD0B9D" w:rsidRPr="00CD0B9D" w:rsidRDefault="00CD0B9D" w:rsidP="004B7F60">
      <w:pPr>
        <w:widowControl w:val="0"/>
        <w:jc w:val="both"/>
        <w:rPr>
          <w:sz w:val="20"/>
          <w:szCs w:val="20"/>
          <w:lang w:val="fr-CA"/>
        </w:rPr>
      </w:pPr>
    </w:p>
    <w:p w:rsidR="004B7F60" w:rsidRPr="00B43D7E" w:rsidRDefault="00B43D7E" w:rsidP="004B7F60">
      <w:pPr>
        <w:pStyle w:val="ListParagraph"/>
        <w:widowControl w:val="0"/>
        <w:numPr>
          <w:ilvl w:val="0"/>
          <w:numId w:val="1"/>
        </w:numPr>
        <w:ind w:hanging="720"/>
        <w:jc w:val="both"/>
        <w:rPr>
          <w:sz w:val="20"/>
          <w:szCs w:val="20"/>
          <w:lang w:val="fr-CA"/>
        </w:rPr>
      </w:pPr>
      <w:r w:rsidRPr="00B43D7E">
        <w:rPr>
          <w:i/>
          <w:sz w:val="20"/>
          <w:szCs w:val="20"/>
          <w:lang w:val="fr-CA"/>
        </w:rPr>
        <w:t>Rachel Parent et a</w:t>
      </w:r>
      <w:r>
        <w:rPr>
          <w:i/>
          <w:sz w:val="20"/>
          <w:szCs w:val="20"/>
          <w:lang w:val="fr-CA"/>
        </w:rPr>
        <w:t>utre</w:t>
      </w:r>
      <w:r w:rsidRPr="00B43D7E">
        <w:rPr>
          <w:i/>
          <w:sz w:val="20"/>
          <w:szCs w:val="20"/>
          <w:lang w:val="fr-CA"/>
        </w:rPr>
        <w:t xml:space="preserve"> c. James Schnob, faisant affaires sous la raison sociale Les Entreprises J. Schnob</w:t>
      </w:r>
      <w:r w:rsidRPr="00B43D7E">
        <w:rPr>
          <w:sz w:val="20"/>
          <w:szCs w:val="20"/>
          <w:lang w:val="fr-CA"/>
        </w:rPr>
        <w:t xml:space="preserve"> (Qc) (Civile) (Autorisation) </w:t>
      </w:r>
      <w:r w:rsidR="004B7F60" w:rsidRPr="00B43D7E">
        <w:rPr>
          <w:sz w:val="20"/>
          <w:szCs w:val="20"/>
          <w:lang w:val="fr-CA"/>
        </w:rPr>
        <w:t>(3</w:t>
      </w:r>
      <w:r w:rsidR="00CD0B9D" w:rsidRPr="00B43D7E">
        <w:rPr>
          <w:sz w:val="20"/>
          <w:szCs w:val="20"/>
          <w:lang w:val="fr-CA"/>
        </w:rPr>
        <w:t>5</w:t>
      </w:r>
      <w:r w:rsidR="004B7F60" w:rsidRPr="00B43D7E">
        <w:rPr>
          <w:sz w:val="20"/>
          <w:szCs w:val="20"/>
          <w:lang w:val="fr-CA"/>
        </w:rPr>
        <w:t>4</w:t>
      </w:r>
      <w:r w:rsidR="00CD0B9D" w:rsidRPr="00B43D7E">
        <w:rPr>
          <w:sz w:val="20"/>
          <w:szCs w:val="20"/>
          <w:lang w:val="fr-CA"/>
        </w:rPr>
        <w:t>81</w:t>
      </w:r>
      <w:r w:rsidR="004B7F60" w:rsidRPr="00B43D7E">
        <w:rPr>
          <w:sz w:val="20"/>
          <w:szCs w:val="20"/>
          <w:lang w:val="fr-CA"/>
        </w:rPr>
        <w:t>)</w:t>
      </w:r>
    </w:p>
    <w:p w:rsidR="004B7F60" w:rsidRPr="00B43D7E" w:rsidRDefault="004B7F60" w:rsidP="004B7F60">
      <w:pPr>
        <w:widowControl w:val="0"/>
        <w:rPr>
          <w:sz w:val="20"/>
          <w:szCs w:val="20"/>
          <w:lang w:val="fr-CA"/>
        </w:rPr>
      </w:pPr>
    </w:p>
    <w:p w:rsidR="004B7F60" w:rsidRPr="00B43D7E" w:rsidRDefault="00B43D7E" w:rsidP="004B7F60">
      <w:pPr>
        <w:pStyle w:val="ListParagraph"/>
        <w:widowControl w:val="0"/>
        <w:numPr>
          <w:ilvl w:val="0"/>
          <w:numId w:val="1"/>
        </w:numPr>
        <w:ind w:hanging="720"/>
        <w:jc w:val="both"/>
        <w:rPr>
          <w:sz w:val="20"/>
          <w:szCs w:val="20"/>
          <w:lang w:val="fr-CA"/>
        </w:rPr>
      </w:pPr>
      <w:r w:rsidRPr="00B43D7E">
        <w:rPr>
          <w:i/>
          <w:sz w:val="20"/>
          <w:szCs w:val="20"/>
          <w:lang w:val="fr-CA"/>
        </w:rPr>
        <w:t>Martine Labossière c. Université de Montréal et a</w:t>
      </w:r>
      <w:r>
        <w:rPr>
          <w:i/>
          <w:sz w:val="20"/>
          <w:szCs w:val="20"/>
          <w:lang w:val="fr-CA"/>
        </w:rPr>
        <w:t>utre</w:t>
      </w:r>
      <w:r w:rsidRPr="00B43D7E">
        <w:rPr>
          <w:sz w:val="20"/>
          <w:szCs w:val="20"/>
          <w:lang w:val="fr-CA"/>
        </w:rPr>
        <w:t xml:space="preserve"> (Qc) (Civile) (Autorisation)</w:t>
      </w:r>
      <w:r w:rsidR="004B7F60" w:rsidRPr="00B43D7E">
        <w:rPr>
          <w:sz w:val="20"/>
          <w:szCs w:val="20"/>
          <w:lang w:val="fr-CA"/>
        </w:rPr>
        <w:t xml:space="preserve"> (3</w:t>
      </w:r>
      <w:r w:rsidR="00CD0B9D" w:rsidRPr="00B43D7E">
        <w:rPr>
          <w:sz w:val="20"/>
          <w:szCs w:val="20"/>
          <w:lang w:val="fr-CA"/>
        </w:rPr>
        <w:t>55</w:t>
      </w:r>
      <w:r w:rsidR="004B7F60" w:rsidRPr="00B43D7E">
        <w:rPr>
          <w:sz w:val="20"/>
          <w:szCs w:val="20"/>
          <w:lang w:val="fr-CA"/>
        </w:rPr>
        <w:t>2</w:t>
      </w:r>
      <w:r w:rsidR="00CD0B9D" w:rsidRPr="00B43D7E">
        <w:rPr>
          <w:sz w:val="20"/>
          <w:szCs w:val="20"/>
          <w:lang w:val="fr-CA"/>
        </w:rPr>
        <w:t>5</w:t>
      </w:r>
      <w:r w:rsidR="004B7F60" w:rsidRPr="00B43D7E">
        <w:rPr>
          <w:sz w:val="20"/>
          <w:szCs w:val="20"/>
          <w:lang w:val="fr-CA"/>
        </w:rPr>
        <w:t>)</w:t>
      </w:r>
    </w:p>
    <w:p w:rsidR="004B7F60" w:rsidRPr="00B43D7E" w:rsidRDefault="004B7F60" w:rsidP="004B7F60">
      <w:pPr>
        <w:widowControl w:val="0"/>
        <w:jc w:val="both"/>
        <w:rPr>
          <w:sz w:val="20"/>
          <w:szCs w:val="20"/>
          <w:lang w:val="fr-CA"/>
        </w:rPr>
      </w:pPr>
    </w:p>
    <w:p w:rsidR="004B7F60" w:rsidRPr="00B43D7E" w:rsidRDefault="004B7F60" w:rsidP="004B7F60">
      <w:pPr>
        <w:widowControl w:val="0"/>
        <w:jc w:val="both"/>
        <w:rPr>
          <w:sz w:val="20"/>
          <w:szCs w:val="20"/>
          <w:lang w:val="fr-CA"/>
        </w:rPr>
      </w:pPr>
    </w:p>
    <w:p w:rsidR="00CD0B9D" w:rsidRPr="00C50A5C" w:rsidRDefault="00CD0B9D" w:rsidP="00CD0B9D">
      <w:pPr>
        <w:widowControl w:val="0"/>
        <w:jc w:val="center"/>
        <w:rPr>
          <w:b/>
          <w:sz w:val="20"/>
          <w:szCs w:val="20"/>
        </w:rPr>
      </w:pPr>
      <w:r w:rsidRPr="00C50A5C">
        <w:rPr>
          <w:b/>
          <w:sz w:val="20"/>
          <w:szCs w:val="20"/>
        </w:rPr>
        <w:t xml:space="preserve">CORAM: </w:t>
      </w:r>
      <w:r>
        <w:rPr>
          <w:b/>
          <w:sz w:val="20"/>
          <w:szCs w:val="20"/>
        </w:rPr>
        <w:t>Abella,</w:t>
      </w:r>
      <w:r w:rsidRPr="00C50A5C">
        <w:rPr>
          <w:b/>
          <w:sz w:val="20"/>
          <w:szCs w:val="20"/>
        </w:rPr>
        <w:t xml:space="preserve"> </w:t>
      </w:r>
      <w:r>
        <w:rPr>
          <w:b/>
          <w:sz w:val="20"/>
          <w:szCs w:val="20"/>
        </w:rPr>
        <w:t>Rothstein</w:t>
      </w:r>
      <w:r w:rsidRPr="00C50A5C">
        <w:rPr>
          <w:b/>
          <w:sz w:val="20"/>
          <w:szCs w:val="20"/>
        </w:rPr>
        <w:t xml:space="preserve"> and </w:t>
      </w:r>
      <w:r>
        <w:rPr>
          <w:b/>
          <w:sz w:val="20"/>
          <w:szCs w:val="20"/>
        </w:rPr>
        <w:t>Moldaver</w:t>
      </w:r>
      <w:r w:rsidRPr="00C50A5C">
        <w:rPr>
          <w:b/>
          <w:sz w:val="20"/>
          <w:szCs w:val="20"/>
        </w:rPr>
        <w:t xml:space="preserve"> JJ.</w:t>
      </w:r>
    </w:p>
    <w:p w:rsidR="00CD0B9D" w:rsidRPr="00C50A5C" w:rsidRDefault="00CD0B9D" w:rsidP="00CD0B9D">
      <w:pPr>
        <w:widowControl w:val="0"/>
        <w:jc w:val="center"/>
        <w:rPr>
          <w:b/>
          <w:sz w:val="20"/>
          <w:szCs w:val="20"/>
          <w:lang w:val="fr-CA"/>
        </w:rPr>
      </w:pPr>
      <w:r w:rsidRPr="00C50A5C">
        <w:rPr>
          <w:b/>
          <w:sz w:val="20"/>
          <w:szCs w:val="20"/>
          <w:lang w:val="fr-CA"/>
        </w:rPr>
        <w:t xml:space="preserve">Les juges </w:t>
      </w:r>
      <w:r>
        <w:rPr>
          <w:b/>
          <w:sz w:val="20"/>
          <w:szCs w:val="20"/>
          <w:lang w:val="fr-CA"/>
        </w:rPr>
        <w:t>Abella</w:t>
      </w:r>
      <w:r w:rsidRPr="00C50A5C">
        <w:rPr>
          <w:b/>
          <w:sz w:val="20"/>
          <w:szCs w:val="20"/>
          <w:lang w:val="fr-CA"/>
        </w:rPr>
        <w:t xml:space="preserve">, </w:t>
      </w:r>
      <w:r>
        <w:rPr>
          <w:b/>
          <w:sz w:val="20"/>
          <w:szCs w:val="20"/>
          <w:lang w:val="fr-CA"/>
        </w:rPr>
        <w:t>Rothstein</w:t>
      </w:r>
      <w:r w:rsidRPr="00C50A5C">
        <w:rPr>
          <w:b/>
          <w:sz w:val="20"/>
          <w:szCs w:val="20"/>
          <w:lang w:val="fr-CA"/>
        </w:rPr>
        <w:t xml:space="preserve"> et </w:t>
      </w:r>
      <w:r>
        <w:rPr>
          <w:b/>
          <w:sz w:val="20"/>
          <w:szCs w:val="20"/>
          <w:lang w:val="fr-CA"/>
        </w:rPr>
        <w:t>Moldaver</w:t>
      </w:r>
    </w:p>
    <w:p w:rsidR="004B7F60" w:rsidRPr="00CD0B9D" w:rsidRDefault="004B7F60" w:rsidP="004B7F60">
      <w:pPr>
        <w:widowControl w:val="0"/>
        <w:jc w:val="both"/>
        <w:rPr>
          <w:sz w:val="20"/>
          <w:szCs w:val="20"/>
          <w:lang w:val="fr-CA"/>
        </w:rPr>
      </w:pPr>
    </w:p>
    <w:p w:rsidR="004B7F60" w:rsidRPr="00C612D0" w:rsidRDefault="00B43D7E" w:rsidP="004B7F60">
      <w:pPr>
        <w:pStyle w:val="ListParagraph"/>
        <w:widowControl w:val="0"/>
        <w:numPr>
          <w:ilvl w:val="0"/>
          <w:numId w:val="1"/>
        </w:numPr>
        <w:ind w:hanging="720"/>
        <w:jc w:val="both"/>
        <w:rPr>
          <w:sz w:val="20"/>
          <w:szCs w:val="20"/>
          <w:lang w:val="fr-CA"/>
        </w:rPr>
      </w:pPr>
      <w:r w:rsidRPr="00B43D7E">
        <w:rPr>
          <w:i/>
          <w:sz w:val="20"/>
          <w:szCs w:val="20"/>
        </w:rPr>
        <w:t>J. Yuen, in the capacity as a Dispute Resolution Officer under the Manufactured Home Park Tenancy Act v. Sechelt Indian Band</w:t>
      </w:r>
      <w:r w:rsidRPr="00B43D7E">
        <w:rPr>
          <w:sz w:val="20"/>
          <w:szCs w:val="20"/>
        </w:rPr>
        <w:t xml:space="preserve"> (B.C.) (Civil) (By Leave)</w:t>
      </w:r>
      <w:r w:rsidRPr="00C612D0">
        <w:rPr>
          <w:sz w:val="20"/>
          <w:szCs w:val="20"/>
          <w:lang w:val="fr-CA"/>
        </w:rPr>
        <w:t xml:space="preserve"> </w:t>
      </w:r>
      <w:r w:rsidR="004B7F60" w:rsidRPr="00C612D0">
        <w:rPr>
          <w:sz w:val="20"/>
          <w:szCs w:val="20"/>
          <w:lang w:val="fr-CA"/>
        </w:rPr>
        <w:t>(3</w:t>
      </w:r>
      <w:r w:rsidR="00CD0B9D">
        <w:rPr>
          <w:sz w:val="20"/>
          <w:szCs w:val="20"/>
          <w:lang w:val="fr-CA"/>
        </w:rPr>
        <w:t>550</w:t>
      </w:r>
      <w:r w:rsidR="004B7F60" w:rsidRPr="00C612D0">
        <w:rPr>
          <w:sz w:val="20"/>
          <w:szCs w:val="20"/>
          <w:lang w:val="fr-CA"/>
        </w:rPr>
        <w:t>3)</w:t>
      </w:r>
    </w:p>
    <w:p w:rsidR="004B7F60" w:rsidRPr="00C612D0" w:rsidRDefault="004B7F60" w:rsidP="004B7F60">
      <w:pPr>
        <w:widowControl w:val="0"/>
        <w:rPr>
          <w:sz w:val="20"/>
          <w:szCs w:val="20"/>
          <w:lang w:val="fr-CA"/>
        </w:rPr>
      </w:pPr>
    </w:p>
    <w:p w:rsidR="004B7F60" w:rsidRPr="00B43D7E" w:rsidRDefault="00B43D7E" w:rsidP="004B7F60">
      <w:pPr>
        <w:pStyle w:val="ListParagraph"/>
        <w:widowControl w:val="0"/>
        <w:numPr>
          <w:ilvl w:val="0"/>
          <w:numId w:val="1"/>
        </w:numPr>
        <w:ind w:hanging="720"/>
        <w:jc w:val="both"/>
        <w:rPr>
          <w:sz w:val="20"/>
          <w:szCs w:val="20"/>
        </w:rPr>
      </w:pPr>
      <w:r w:rsidRPr="00B43D7E">
        <w:rPr>
          <w:i/>
          <w:sz w:val="20"/>
          <w:szCs w:val="20"/>
        </w:rPr>
        <w:t>Jones</w:t>
      </w:r>
      <w:r>
        <w:rPr>
          <w:i/>
          <w:sz w:val="20"/>
          <w:szCs w:val="20"/>
        </w:rPr>
        <w:t>’</w:t>
      </w:r>
      <w:r w:rsidRPr="00B43D7E">
        <w:rPr>
          <w:i/>
          <w:sz w:val="20"/>
          <w:szCs w:val="20"/>
        </w:rPr>
        <w:t xml:space="preserve"> Masonry Ltd. v. Labourers' International Union of North America, Local 900</w:t>
      </w:r>
      <w:r w:rsidRPr="00B43D7E">
        <w:rPr>
          <w:sz w:val="20"/>
          <w:szCs w:val="20"/>
        </w:rPr>
        <w:t xml:space="preserve"> (N.B.) (Civil) (By Leave) </w:t>
      </w:r>
      <w:r w:rsidR="004B7F60" w:rsidRPr="00B43D7E">
        <w:rPr>
          <w:sz w:val="20"/>
          <w:szCs w:val="20"/>
        </w:rPr>
        <w:t>(35</w:t>
      </w:r>
      <w:r w:rsidR="00CD0B9D" w:rsidRPr="00B43D7E">
        <w:rPr>
          <w:sz w:val="20"/>
          <w:szCs w:val="20"/>
        </w:rPr>
        <w:t>513</w:t>
      </w:r>
      <w:r w:rsidR="004B7F60" w:rsidRPr="00B43D7E">
        <w:rPr>
          <w:sz w:val="20"/>
          <w:szCs w:val="20"/>
        </w:rPr>
        <w:t>)</w:t>
      </w:r>
    </w:p>
    <w:p w:rsidR="002E2327" w:rsidRPr="00B43D7E" w:rsidRDefault="002E2327" w:rsidP="002E2327">
      <w:pPr>
        <w:widowControl w:val="0"/>
        <w:rPr>
          <w:sz w:val="20"/>
          <w:szCs w:val="20"/>
        </w:rPr>
      </w:pPr>
    </w:p>
    <w:p w:rsidR="002E2327" w:rsidRDefault="007368AD" w:rsidP="002E2327">
      <w:pPr>
        <w:widowControl w:val="0"/>
        <w:rPr>
          <w:sz w:val="20"/>
          <w:szCs w:val="20"/>
        </w:rPr>
      </w:pPr>
      <w:r>
        <w:rPr>
          <w:sz w:val="20"/>
          <w:szCs w:val="20"/>
        </w:rPr>
        <w:pict>
          <v:rect id="_x0000_i1033" style="width:2in;height:1pt" o:hrpct="0" o:hralign="center" o:hrstd="t" o:hrnoshade="t" o:hr="t" fillcolor="black [3213]" stroked="f"/>
        </w:pict>
      </w:r>
    </w:p>
    <w:p w:rsidR="00D94028" w:rsidRDefault="00D94028" w:rsidP="002E2327">
      <w:pPr>
        <w:widowControl w:val="0"/>
        <w:rPr>
          <w:sz w:val="20"/>
          <w:szCs w:val="20"/>
        </w:rPr>
      </w:pPr>
    </w:p>
    <w:p w:rsidR="00D94028" w:rsidRPr="00C50A5C" w:rsidRDefault="00D94028" w:rsidP="002E2327">
      <w:pPr>
        <w:widowControl w:val="0"/>
        <w:rPr>
          <w:sz w:val="20"/>
          <w:szCs w:val="20"/>
        </w:rPr>
      </w:pPr>
    </w:p>
    <w:p w:rsidR="0044776A" w:rsidRPr="00C50A5C" w:rsidRDefault="0044776A" w:rsidP="002E2327">
      <w:pPr>
        <w:widowControl w:val="0"/>
        <w:spacing w:line="0" w:lineRule="atLeast"/>
        <w:rPr>
          <w:sz w:val="20"/>
          <w:szCs w:val="20"/>
        </w:rPr>
        <w:sectPr w:rsidR="0044776A" w:rsidRPr="00C50A5C" w:rsidSect="0044776A">
          <w:headerReference w:type="default" r:id="rId21"/>
          <w:footerReference w:type="default" r:id="rId22"/>
          <w:headerReference w:type="first" r:id="rId23"/>
          <w:footerReference w:type="first" r:id="rId24"/>
          <w:pgSz w:w="12240" w:h="15840"/>
          <w:pgMar w:top="720" w:right="965" w:bottom="1080" w:left="1656" w:header="706" w:footer="706" w:gutter="0"/>
          <w:cols w:space="708"/>
          <w:titlePg/>
          <w:docGrid w:linePitch="360"/>
        </w:sectPr>
      </w:pPr>
    </w:p>
    <w:tbl>
      <w:tblPr>
        <w:tblW w:w="0" w:type="auto"/>
        <w:tblBorders>
          <w:bottom w:val="single" w:sz="12" w:space="0" w:color="auto"/>
        </w:tblBorders>
        <w:tblLayout w:type="fixed"/>
        <w:tblCellMar>
          <w:left w:w="0" w:type="dxa"/>
          <w:right w:w="0" w:type="dxa"/>
        </w:tblCellMar>
        <w:tblLook w:val="0000" w:firstRow="0" w:lastRow="0" w:firstColumn="0" w:lastColumn="0" w:noHBand="0" w:noVBand="0"/>
      </w:tblPr>
      <w:tblGrid>
        <w:gridCol w:w="4200"/>
        <w:gridCol w:w="1200"/>
        <w:gridCol w:w="4080"/>
      </w:tblGrid>
      <w:tr w:rsidR="008D292F" w:rsidRPr="007368AD" w:rsidTr="00ED7E83">
        <w:tc>
          <w:tcPr>
            <w:tcW w:w="4200" w:type="dxa"/>
            <w:tcMar>
              <w:left w:w="0" w:type="dxa"/>
              <w:right w:w="0" w:type="dxa"/>
            </w:tcMar>
          </w:tcPr>
          <w:p w:rsidR="008D292F" w:rsidRPr="001D0D5F" w:rsidRDefault="008D292F" w:rsidP="00ED7E83">
            <w:pPr>
              <w:keepNext/>
              <w:keepLines/>
              <w:jc w:val="both"/>
              <w:rPr>
                <w:b/>
                <w:szCs w:val="24"/>
              </w:rPr>
            </w:pPr>
            <w:bookmarkStart w:id="1" w:name="QuickMark_1"/>
            <w:bookmarkEnd w:id="1"/>
            <w:r w:rsidRPr="001D0D5F">
              <w:rPr>
                <w:b/>
                <w:szCs w:val="24"/>
              </w:rPr>
              <w:lastRenderedPageBreak/>
              <w:t>JUDGMENTS ON APPLICATIONS</w:t>
            </w:r>
          </w:p>
          <w:p w:rsidR="008D292F" w:rsidRPr="001D0D5F" w:rsidRDefault="008D292F" w:rsidP="00ED7E83">
            <w:pPr>
              <w:keepNext/>
              <w:keepLines/>
              <w:jc w:val="both"/>
              <w:rPr>
                <w:b/>
                <w:szCs w:val="24"/>
              </w:rPr>
            </w:pPr>
            <w:r w:rsidRPr="001D0D5F">
              <w:rPr>
                <w:b/>
                <w:szCs w:val="24"/>
              </w:rPr>
              <w:t>FOR LEAVE</w:t>
            </w:r>
          </w:p>
        </w:tc>
        <w:tc>
          <w:tcPr>
            <w:tcW w:w="1200" w:type="dxa"/>
            <w:tcMar>
              <w:left w:w="0" w:type="dxa"/>
              <w:right w:w="0" w:type="dxa"/>
            </w:tcMar>
          </w:tcPr>
          <w:p w:rsidR="008D292F" w:rsidRPr="001D0D5F" w:rsidRDefault="008D292F" w:rsidP="008D292F">
            <w:pPr>
              <w:keepNext/>
              <w:keepLines/>
              <w:jc w:val="center"/>
              <w:rPr>
                <w:b/>
                <w:szCs w:val="24"/>
              </w:rPr>
            </w:pPr>
          </w:p>
          <w:p w:rsidR="008D292F" w:rsidRPr="001D0D5F" w:rsidRDefault="008D292F" w:rsidP="008D292F">
            <w:pPr>
              <w:keepNext/>
              <w:keepLines/>
              <w:jc w:val="center"/>
              <w:rPr>
                <w:b/>
                <w:szCs w:val="24"/>
              </w:rPr>
            </w:pPr>
          </w:p>
          <w:p w:rsidR="008D292F" w:rsidRPr="001D0D5F" w:rsidRDefault="008D292F" w:rsidP="008D292F">
            <w:pPr>
              <w:keepNext/>
              <w:keepLines/>
              <w:jc w:val="center"/>
              <w:rPr>
                <w:b/>
                <w:szCs w:val="24"/>
              </w:rPr>
            </w:pPr>
          </w:p>
        </w:tc>
        <w:tc>
          <w:tcPr>
            <w:tcW w:w="4080" w:type="dxa"/>
            <w:tcMar>
              <w:left w:w="0" w:type="dxa"/>
              <w:right w:w="0" w:type="dxa"/>
            </w:tcMar>
          </w:tcPr>
          <w:p w:rsidR="008D292F" w:rsidRPr="001D0D5F" w:rsidRDefault="008D292F" w:rsidP="00ED7E83">
            <w:pPr>
              <w:keepNext/>
              <w:keepLines/>
              <w:jc w:val="both"/>
              <w:rPr>
                <w:b/>
                <w:szCs w:val="24"/>
                <w:lang w:val="fr-CA"/>
              </w:rPr>
            </w:pPr>
            <w:r w:rsidRPr="001D0D5F">
              <w:rPr>
                <w:b/>
                <w:szCs w:val="24"/>
                <w:lang w:val="fr-CA"/>
              </w:rPr>
              <w:t>JUGEMENTS RENDUS SUR LES DEMANDES D’AUTORISATION</w:t>
            </w:r>
          </w:p>
        </w:tc>
      </w:tr>
    </w:tbl>
    <w:p w:rsidR="008D292F" w:rsidRPr="00C50A5C" w:rsidRDefault="008D292F" w:rsidP="008D292F">
      <w:pPr>
        <w:rPr>
          <w:sz w:val="20"/>
          <w:szCs w:val="20"/>
          <w:lang w:val="fr-CA"/>
        </w:rPr>
      </w:pPr>
    </w:p>
    <w:p w:rsidR="000E2959" w:rsidRPr="00C50A5C" w:rsidRDefault="00E4451A" w:rsidP="000E2959">
      <w:pPr>
        <w:rPr>
          <w:b/>
          <w:sz w:val="20"/>
          <w:szCs w:val="20"/>
        </w:rPr>
      </w:pPr>
      <w:r>
        <w:rPr>
          <w:b/>
          <w:sz w:val="20"/>
          <w:szCs w:val="20"/>
        </w:rPr>
        <w:t>NOVEMBER</w:t>
      </w:r>
      <w:r w:rsidR="000E2959" w:rsidRPr="00C50A5C">
        <w:rPr>
          <w:b/>
          <w:sz w:val="20"/>
          <w:szCs w:val="20"/>
        </w:rPr>
        <w:t xml:space="preserve"> </w:t>
      </w:r>
      <w:r>
        <w:rPr>
          <w:b/>
          <w:sz w:val="20"/>
          <w:szCs w:val="20"/>
        </w:rPr>
        <w:t>7</w:t>
      </w:r>
      <w:r w:rsidR="000E2959" w:rsidRPr="00C50A5C">
        <w:rPr>
          <w:b/>
          <w:sz w:val="20"/>
          <w:szCs w:val="20"/>
        </w:rPr>
        <w:t>, 201</w:t>
      </w:r>
      <w:r w:rsidR="000E2959">
        <w:rPr>
          <w:b/>
          <w:sz w:val="20"/>
          <w:szCs w:val="20"/>
        </w:rPr>
        <w:t>3</w:t>
      </w:r>
      <w:r w:rsidR="000E2959" w:rsidRPr="00C50A5C">
        <w:rPr>
          <w:b/>
          <w:sz w:val="20"/>
          <w:szCs w:val="20"/>
        </w:rPr>
        <w:t xml:space="preserve"> / LE </w:t>
      </w:r>
      <w:r>
        <w:rPr>
          <w:b/>
          <w:sz w:val="20"/>
          <w:szCs w:val="20"/>
        </w:rPr>
        <w:t>7 NOVE</w:t>
      </w:r>
      <w:r w:rsidR="000E2959">
        <w:rPr>
          <w:b/>
          <w:sz w:val="20"/>
          <w:szCs w:val="20"/>
        </w:rPr>
        <w:t>M</w:t>
      </w:r>
      <w:r>
        <w:rPr>
          <w:b/>
          <w:sz w:val="20"/>
          <w:szCs w:val="20"/>
        </w:rPr>
        <w:t>BRE</w:t>
      </w:r>
      <w:r w:rsidR="000E2959" w:rsidRPr="00C50A5C">
        <w:rPr>
          <w:b/>
          <w:sz w:val="20"/>
          <w:szCs w:val="20"/>
        </w:rPr>
        <w:t xml:space="preserve"> 201</w:t>
      </w:r>
      <w:r w:rsidR="000E2959">
        <w:rPr>
          <w:b/>
          <w:sz w:val="20"/>
          <w:szCs w:val="20"/>
        </w:rPr>
        <w:t>3</w:t>
      </w:r>
    </w:p>
    <w:p w:rsidR="000E2959" w:rsidRDefault="000E2959" w:rsidP="000E2959">
      <w:pPr>
        <w:rPr>
          <w:sz w:val="20"/>
          <w:szCs w:val="20"/>
        </w:rPr>
      </w:pPr>
    </w:p>
    <w:tbl>
      <w:tblPr>
        <w:tblStyle w:val="TableGrid2"/>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1458"/>
        <w:gridCol w:w="8118"/>
      </w:tblGrid>
      <w:tr w:rsidR="00DE585D" w:rsidRPr="00DE585D" w:rsidTr="00E4451A">
        <w:trPr>
          <w:cantSplit/>
        </w:trPr>
        <w:tc>
          <w:tcPr>
            <w:tcW w:w="1458" w:type="dxa"/>
          </w:tcPr>
          <w:p w:rsidR="00DE585D" w:rsidRPr="00DE585D" w:rsidRDefault="00DE585D" w:rsidP="00DE585D">
            <w:pPr>
              <w:rPr>
                <w:sz w:val="20"/>
              </w:rPr>
            </w:pPr>
            <w:r w:rsidRPr="00DE585D">
              <w:rPr>
                <w:b/>
                <w:sz w:val="20"/>
                <w:lang w:val="fr-CA"/>
              </w:rPr>
              <w:t>35430</w:t>
            </w:r>
          </w:p>
          <w:p w:rsidR="00DE585D" w:rsidRPr="00DE585D" w:rsidRDefault="00DE585D" w:rsidP="00DE585D">
            <w:pPr>
              <w:rPr>
                <w:b/>
                <w:sz w:val="20"/>
                <w:lang w:val="fr-CA"/>
              </w:rPr>
            </w:pPr>
          </w:p>
        </w:tc>
        <w:tc>
          <w:tcPr>
            <w:tcW w:w="8118" w:type="dxa"/>
          </w:tcPr>
          <w:p w:rsidR="00DE585D" w:rsidRPr="00DE585D" w:rsidRDefault="00DE585D" w:rsidP="00DE585D">
            <w:pPr>
              <w:rPr>
                <w:sz w:val="20"/>
              </w:rPr>
            </w:pPr>
            <w:r w:rsidRPr="00DE585D">
              <w:rPr>
                <w:b/>
                <w:sz w:val="20"/>
                <w:u w:val="single"/>
              </w:rPr>
              <w:t>Bradman Lee v. Minister of National Revenue</w:t>
            </w:r>
            <w:r w:rsidRPr="00DE585D">
              <w:rPr>
                <w:sz w:val="20"/>
              </w:rPr>
              <w:t xml:space="preserve"> (F.C.) (Civil) (By Leave)</w:t>
            </w:r>
          </w:p>
          <w:p w:rsidR="00DE585D" w:rsidRPr="00DE585D" w:rsidRDefault="00DE585D" w:rsidP="00DE585D">
            <w:pPr>
              <w:rPr>
                <w:sz w:val="20"/>
              </w:rPr>
            </w:pPr>
          </w:p>
        </w:tc>
      </w:tr>
      <w:tr w:rsidR="00DE585D" w:rsidRPr="00DE585D" w:rsidTr="00E4451A">
        <w:trPr>
          <w:cantSplit/>
        </w:trPr>
        <w:tc>
          <w:tcPr>
            <w:tcW w:w="1458" w:type="dxa"/>
          </w:tcPr>
          <w:p w:rsidR="00DE585D" w:rsidRPr="00DE585D" w:rsidRDefault="00DE585D" w:rsidP="00DE585D">
            <w:pPr>
              <w:rPr>
                <w:sz w:val="20"/>
              </w:rPr>
            </w:pPr>
            <w:r w:rsidRPr="00DE585D">
              <w:rPr>
                <w:sz w:val="20"/>
              </w:rPr>
              <w:t>Coram :</w:t>
            </w:r>
          </w:p>
        </w:tc>
        <w:tc>
          <w:tcPr>
            <w:tcW w:w="8118" w:type="dxa"/>
          </w:tcPr>
          <w:p w:rsidR="00DE585D" w:rsidRPr="00DE585D" w:rsidRDefault="00DE585D" w:rsidP="00DE585D">
            <w:pPr>
              <w:rPr>
                <w:sz w:val="20"/>
              </w:rPr>
            </w:pPr>
            <w:r w:rsidRPr="00DE585D">
              <w:rPr>
                <w:sz w:val="20"/>
                <w:u w:val="single"/>
              </w:rPr>
              <w:t>Abella, Rothstein and Moldaver JJ.</w:t>
            </w:r>
          </w:p>
          <w:p w:rsidR="00DE585D" w:rsidRPr="00DE585D" w:rsidRDefault="00DE585D" w:rsidP="00DE585D">
            <w:pPr>
              <w:rPr>
                <w:sz w:val="20"/>
                <w:u w:val="single"/>
              </w:rPr>
            </w:pPr>
          </w:p>
        </w:tc>
      </w:tr>
      <w:tr w:rsidR="00DE585D" w:rsidRPr="007368AD" w:rsidTr="00E4451A">
        <w:trPr>
          <w:cantSplit/>
        </w:trPr>
        <w:tc>
          <w:tcPr>
            <w:tcW w:w="9576" w:type="dxa"/>
            <w:gridSpan w:val="2"/>
          </w:tcPr>
          <w:p w:rsidR="00DE585D" w:rsidRPr="00DE585D" w:rsidRDefault="00DE585D" w:rsidP="00DE585D">
            <w:pPr>
              <w:ind w:firstLine="720"/>
              <w:jc w:val="both"/>
              <w:rPr>
                <w:sz w:val="20"/>
              </w:rPr>
            </w:pPr>
            <w:r w:rsidRPr="00DE585D">
              <w:rPr>
                <w:sz w:val="20"/>
              </w:rPr>
              <w:t>The application for leave to appeal from the judgment of the Federal Court of Appeal, Number A-550-12, 2013 FCA 67 dated April 30, 2013, is dismissed with costs.</w:t>
            </w:r>
          </w:p>
          <w:p w:rsidR="00DE585D" w:rsidRPr="00DE585D" w:rsidRDefault="00DE585D" w:rsidP="00DE585D">
            <w:pPr>
              <w:jc w:val="both"/>
              <w:rPr>
                <w:sz w:val="20"/>
              </w:rPr>
            </w:pPr>
          </w:p>
          <w:p w:rsidR="00DE585D" w:rsidRPr="00DE585D" w:rsidRDefault="00DE585D" w:rsidP="00DE585D">
            <w:pPr>
              <w:ind w:firstLine="720"/>
              <w:jc w:val="both"/>
              <w:rPr>
                <w:sz w:val="20"/>
                <w:lang w:val="fr-CA"/>
              </w:rPr>
            </w:pPr>
            <w:r w:rsidRPr="00DE585D">
              <w:rPr>
                <w:sz w:val="20"/>
                <w:lang w:val="fr-CA"/>
              </w:rPr>
              <w:t>La demande d’autorisation d’appel de l’arrêt de la Cour d’appel fédérale, numéro A-550-12, 2013 CAF 67 daté du 30 avril 2013, est rejetée avec dépens.</w:t>
            </w:r>
          </w:p>
        </w:tc>
      </w:tr>
    </w:tbl>
    <w:p w:rsidR="00D70BA0" w:rsidRPr="00DE585D" w:rsidRDefault="00D70BA0" w:rsidP="00D70BA0">
      <w:pPr>
        <w:rPr>
          <w:sz w:val="20"/>
          <w:szCs w:val="20"/>
          <w:lang w:val="fr-CA"/>
        </w:rPr>
      </w:pPr>
    </w:p>
    <w:p w:rsidR="00D70BA0" w:rsidRPr="001B157C" w:rsidRDefault="00D70BA0" w:rsidP="00D70BA0">
      <w:pPr>
        <w:rPr>
          <w:sz w:val="20"/>
          <w:szCs w:val="20"/>
          <w:u w:val="single"/>
        </w:rPr>
      </w:pPr>
      <w:r w:rsidRPr="001B157C">
        <w:rPr>
          <w:sz w:val="20"/>
          <w:szCs w:val="20"/>
          <w:u w:val="single"/>
        </w:rPr>
        <w:t>CASE SUMMARY</w:t>
      </w:r>
    </w:p>
    <w:p w:rsidR="00D70BA0" w:rsidRDefault="00D70BA0" w:rsidP="00D70BA0">
      <w:pPr>
        <w:rPr>
          <w:sz w:val="20"/>
          <w:szCs w:val="20"/>
        </w:rPr>
      </w:pPr>
    </w:p>
    <w:tbl>
      <w:tblPr>
        <w:tblW w:w="4952" w:type="pct"/>
        <w:tblLayout w:type="fixed"/>
        <w:tblCellMar>
          <w:left w:w="0" w:type="dxa"/>
          <w:bottom w:w="99" w:type="dxa"/>
          <w:right w:w="0" w:type="dxa"/>
        </w:tblCellMar>
        <w:tblLook w:val="04A0" w:firstRow="1" w:lastRow="0" w:firstColumn="1" w:lastColumn="0" w:noHBand="0" w:noVBand="1"/>
      </w:tblPr>
      <w:tblGrid>
        <w:gridCol w:w="4624"/>
        <w:gridCol w:w="463"/>
        <w:gridCol w:w="4440"/>
      </w:tblGrid>
      <w:tr w:rsidR="00D70BA0" w:rsidRPr="009A6646" w:rsidTr="00D34781">
        <w:tc>
          <w:tcPr>
            <w:tcW w:w="5000" w:type="pct"/>
            <w:gridSpan w:val="3"/>
          </w:tcPr>
          <w:p w:rsidR="00D70BA0" w:rsidRPr="009A6646" w:rsidRDefault="00D70BA0" w:rsidP="00D34781">
            <w:pPr>
              <w:jc w:val="both"/>
              <w:rPr>
                <w:rFonts w:eastAsia="Calibri"/>
                <w:sz w:val="20"/>
              </w:rPr>
            </w:pPr>
            <w:r w:rsidRPr="009A6646">
              <w:rPr>
                <w:rFonts w:eastAsia="Calibri"/>
                <w:sz w:val="20"/>
              </w:rPr>
              <w:t xml:space="preserve">Appeals ― Tax Court referring assessment under </w:t>
            </w:r>
            <w:r w:rsidRPr="009A6646">
              <w:rPr>
                <w:rFonts w:eastAsia="Calibri"/>
                <w:i/>
                <w:sz w:val="20"/>
              </w:rPr>
              <w:t>Excise Tax Act</w:t>
            </w:r>
            <w:r w:rsidRPr="009A6646">
              <w:rPr>
                <w:rFonts w:eastAsia="Calibri"/>
                <w:sz w:val="20"/>
              </w:rPr>
              <w:t xml:space="preserve"> back to Minister for reconsideration ― Applicant appealing subsequent reassessment ― Federal Court of Appeal allowing Crown’s motion to quash appeal and dismissing Applicant’s motion for reconsideration ― Whether the lower courts erred in their reasoning and decisions ― </w:t>
            </w:r>
            <w:r w:rsidRPr="009A6646">
              <w:rPr>
                <w:rFonts w:eastAsia="Calibri"/>
                <w:i/>
                <w:sz w:val="20"/>
              </w:rPr>
              <w:t>Excise Tax Act</w:t>
            </w:r>
            <w:r w:rsidRPr="009A6646">
              <w:rPr>
                <w:rFonts w:eastAsia="Calibri"/>
                <w:sz w:val="20"/>
              </w:rPr>
              <w:t>, R.S.C. 1985, c. E-15.</w:t>
            </w:r>
          </w:p>
        </w:tc>
      </w:tr>
      <w:tr w:rsidR="00D70BA0" w:rsidRPr="009A6646" w:rsidTr="00D34781">
        <w:tc>
          <w:tcPr>
            <w:tcW w:w="5000" w:type="pct"/>
            <w:gridSpan w:val="3"/>
          </w:tcPr>
          <w:p w:rsidR="00D70BA0" w:rsidRPr="009A6646" w:rsidRDefault="00D70BA0" w:rsidP="00D34781">
            <w:pPr>
              <w:jc w:val="both"/>
              <w:rPr>
                <w:rFonts w:eastAsia="Calibri"/>
                <w:sz w:val="20"/>
              </w:rPr>
            </w:pPr>
          </w:p>
        </w:tc>
      </w:tr>
      <w:tr w:rsidR="00D70BA0" w:rsidRPr="009A6646" w:rsidTr="00D34781">
        <w:tc>
          <w:tcPr>
            <w:tcW w:w="5000" w:type="pct"/>
            <w:gridSpan w:val="3"/>
          </w:tcPr>
          <w:p w:rsidR="00D70BA0" w:rsidRPr="009A6646" w:rsidRDefault="00D70BA0" w:rsidP="00D34781">
            <w:pPr>
              <w:jc w:val="both"/>
              <w:rPr>
                <w:rFonts w:eastAsia="Calibri"/>
                <w:sz w:val="20"/>
              </w:rPr>
            </w:pPr>
            <w:r w:rsidRPr="009A6646">
              <w:rPr>
                <w:rFonts w:eastAsia="Calibri"/>
                <w:sz w:val="20"/>
              </w:rPr>
              <w:t xml:space="preserve">In 2005, the applicant, Bradman Lee was issued notices of assessment pursuant to the </w:t>
            </w:r>
            <w:r w:rsidRPr="009A6646">
              <w:rPr>
                <w:rFonts w:eastAsia="Calibri"/>
                <w:i/>
                <w:sz w:val="20"/>
              </w:rPr>
              <w:t>Excise Tax Act</w:t>
            </w:r>
            <w:r w:rsidRPr="009A6646">
              <w:rPr>
                <w:rFonts w:eastAsia="Calibri"/>
                <w:sz w:val="20"/>
              </w:rPr>
              <w:t>, R.S.C. 1985, c. E-15 for GST/HST and penalties.  Mr. Lee objected to the assessments without success.  He appealed to the Tax Court of Canada where the appeal was allowed in part and referred back to the Minister for reassessment.  Mr. Lee appealed to the Federal Court of Appeal.  That appeal was dismissed.</w:t>
            </w:r>
          </w:p>
          <w:p w:rsidR="00D70BA0" w:rsidRPr="009A6646" w:rsidRDefault="00D70BA0" w:rsidP="00D34781">
            <w:pPr>
              <w:jc w:val="both"/>
              <w:rPr>
                <w:rFonts w:eastAsia="Calibri"/>
                <w:sz w:val="20"/>
              </w:rPr>
            </w:pPr>
          </w:p>
          <w:p w:rsidR="00D70BA0" w:rsidRPr="009A6646" w:rsidRDefault="00D70BA0" w:rsidP="00D34781">
            <w:pPr>
              <w:jc w:val="both"/>
              <w:rPr>
                <w:rFonts w:eastAsia="Calibri"/>
                <w:sz w:val="20"/>
              </w:rPr>
            </w:pPr>
            <w:r w:rsidRPr="009A6646">
              <w:rPr>
                <w:rFonts w:eastAsia="Calibri"/>
                <w:sz w:val="20"/>
              </w:rPr>
              <w:t>By notice of reassessment dated June 7, 2011, Mr. Lee was reassessed to give effect to the prior judgment.  Mr. Lee objected to those reassessments.  The reassessments were confirmed on the basis that the reassessments correctly reflected the changes ordered in the first appeal.  Mr. Lee then appealed to the Tax Court in a second appeal.  The Crown filed a motion in the Tax Court to quash the second appeal.  The Tax Court dismissed the second appeal on September 21, 2012.  Mr. Lee did not appeal that judgment.</w:t>
            </w:r>
          </w:p>
          <w:p w:rsidR="00D70BA0" w:rsidRPr="009A6646" w:rsidRDefault="00D70BA0" w:rsidP="00D34781">
            <w:pPr>
              <w:jc w:val="both"/>
              <w:rPr>
                <w:rFonts w:eastAsia="Calibri"/>
                <w:sz w:val="20"/>
              </w:rPr>
            </w:pPr>
          </w:p>
          <w:p w:rsidR="00D70BA0" w:rsidRPr="009A6646" w:rsidRDefault="00D70BA0" w:rsidP="00D34781">
            <w:pPr>
              <w:jc w:val="both"/>
              <w:rPr>
                <w:rFonts w:eastAsia="Calibri"/>
                <w:sz w:val="20"/>
              </w:rPr>
            </w:pPr>
            <w:r w:rsidRPr="009A6646">
              <w:rPr>
                <w:rFonts w:eastAsia="Calibri"/>
                <w:sz w:val="20"/>
              </w:rPr>
              <w:t xml:space="preserve">An amended judgment was issued by the Tax Court on October 25, 2012.  Mr. Lee did not file a notice of appeal within the 30 days appeal period nor did he seek an extension of time.  On December 18, 2012, he filed a notice of appeal stating he was appealing the Tax Court decision of November 22, 2012.  But no judgment had been made after October 25, 2012.  The Crown moved to quash the appeal on the basis it was filed outside the statutory time limit without leave.  The Federal Court of Appeal quashed the appeal.  Mr. Lee filed a motion for reconsideration that was also dismissed by the Federal Court of Appeal.   </w:t>
            </w:r>
          </w:p>
          <w:p w:rsidR="00D70BA0" w:rsidRPr="009A6646" w:rsidRDefault="00D70BA0" w:rsidP="00D34781">
            <w:pPr>
              <w:jc w:val="both"/>
              <w:rPr>
                <w:rFonts w:eastAsia="Calibri"/>
                <w:sz w:val="20"/>
              </w:rPr>
            </w:pPr>
          </w:p>
        </w:tc>
      </w:tr>
      <w:tr w:rsidR="00D70BA0" w:rsidRPr="009A6646" w:rsidTr="00D34781">
        <w:tc>
          <w:tcPr>
            <w:tcW w:w="2427" w:type="pct"/>
          </w:tcPr>
          <w:p w:rsidR="00D70BA0" w:rsidRPr="009A6646" w:rsidRDefault="00D70BA0" w:rsidP="00D34781">
            <w:pPr>
              <w:jc w:val="both"/>
              <w:rPr>
                <w:rFonts w:eastAsia="Calibri"/>
                <w:sz w:val="20"/>
              </w:rPr>
            </w:pPr>
            <w:r w:rsidRPr="009A6646">
              <w:rPr>
                <w:rFonts w:eastAsia="Calibri"/>
                <w:sz w:val="20"/>
              </w:rPr>
              <w:t>July 28, 2010</w:t>
            </w:r>
          </w:p>
          <w:p w:rsidR="00D70BA0" w:rsidRPr="009A6646" w:rsidRDefault="00D70BA0" w:rsidP="00D34781">
            <w:pPr>
              <w:jc w:val="both"/>
              <w:rPr>
                <w:rFonts w:eastAsia="Calibri"/>
                <w:sz w:val="20"/>
              </w:rPr>
            </w:pPr>
            <w:r w:rsidRPr="009A6646">
              <w:rPr>
                <w:rFonts w:eastAsia="Calibri"/>
                <w:sz w:val="20"/>
              </w:rPr>
              <w:t>Tax Court of Canada</w:t>
            </w:r>
          </w:p>
          <w:p w:rsidR="00D70BA0" w:rsidRPr="009A6646" w:rsidRDefault="00D70BA0" w:rsidP="00D34781">
            <w:pPr>
              <w:jc w:val="both"/>
              <w:rPr>
                <w:rFonts w:eastAsia="Calibri"/>
                <w:sz w:val="20"/>
              </w:rPr>
            </w:pPr>
            <w:r w:rsidRPr="009A6646">
              <w:rPr>
                <w:rFonts w:eastAsia="Calibri"/>
                <w:sz w:val="20"/>
              </w:rPr>
              <w:t>(Woods J.)</w:t>
            </w:r>
          </w:p>
          <w:p w:rsidR="00D70BA0" w:rsidRPr="009A6646" w:rsidRDefault="007368AD" w:rsidP="00D34781">
            <w:pPr>
              <w:jc w:val="both"/>
              <w:rPr>
                <w:rFonts w:eastAsia="Calibri"/>
                <w:sz w:val="20"/>
              </w:rPr>
            </w:pPr>
            <w:hyperlink r:id="rId25" w:history="1">
              <w:r w:rsidR="00D70BA0" w:rsidRPr="009A6646">
                <w:rPr>
                  <w:rFonts w:eastAsia="Calibri"/>
                  <w:color w:val="0000FF"/>
                  <w:sz w:val="20"/>
                  <w:u w:val="single"/>
                </w:rPr>
                <w:t>2010 TCC 400</w:t>
              </w:r>
            </w:hyperlink>
            <w:r w:rsidR="00D70BA0" w:rsidRPr="009A6646">
              <w:rPr>
                <w:rFonts w:eastAsia="Calibri"/>
                <w:sz w:val="20"/>
              </w:rPr>
              <w:t xml:space="preserve"> </w:t>
            </w:r>
          </w:p>
          <w:p w:rsidR="00D70BA0" w:rsidRPr="009A6646" w:rsidRDefault="00D70BA0" w:rsidP="00D34781">
            <w:pPr>
              <w:jc w:val="both"/>
              <w:rPr>
                <w:rFonts w:eastAsia="Calibri"/>
                <w:sz w:val="20"/>
              </w:rPr>
            </w:pPr>
          </w:p>
        </w:tc>
        <w:tc>
          <w:tcPr>
            <w:tcW w:w="243" w:type="pct"/>
          </w:tcPr>
          <w:p w:rsidR="00D70BA0" w:rsidRPr="009A6646" w:rsidRDefault="00D70BA0" w:rsidP="00D34781">
            <w:pPr>
              <w:jc w:val="both"/>
              <w:rPr>
                <w:rFonts w:eastAsia="Calibri"/>
                <w:sz w:val="20"/>
              </w:rPr>
            </w:pPr>
          </w:p>
        </w:tc>
        <w:tc>
          <w:tcPr>
            <w:tcW w:w="2330" w:type="pct"/>
          </w:tcPr>
          <w:p w:rsidR="00D70BA0" w:rsidRPr="009A6646" w:rsidRDefault="00D70BA0" w:rsidP="00D34781">
            <w:pPr>
              <w:jc w:val="both"/>
              <w:rPr>
                <w:rFonts w:eastAsia="Calibri"/>
                <w:sz w:val="20"/>
              </w:rPr>
            </w:pPr>
            <w:r w:rsidRPr="009A6646">
              <w:rPr>
                <w:rFonts w:eastAsia="Calibri"/>
                <w:sz w:val="20"/>
              </w:rPr>
              <w:t xml:space="preserve">Appeal from assessment under </w:t>
            </w:r>
            <w:r w:rsidRPr="009A6646">
              <w:rPr>
                <w:rFonts w:eastAsia="Calibri"/>
                <w:i/>
                <w:sz w:val="20"/>
              </w:rPr>
              <w:t xml:space="preserve">Excise Tax Act </w:t>
            </w:r>
            <w:r w:rsidRPr="009A6646">
              <w:rPr>
                <w:rFonts w:eastAsia="Calibri"/>
                <w:sz w:val="20"/>
              </w:rPr>
              <w:t>from January 1, 1999 to December 31, 2002 allowed in part and assessment referred back to Minister for reconsideration and reassessment.</w:t>
            </w:r>
          </w:p>
          <w:p w:rsidR="00D70BA0" w:rsidRPr="009A6646" w:rsidRDefault="00D70BA0" w:rsidP="00D34781">
            <w:pPr>
              <w:jc w:val="both"/>
              <w:rPr>
                <w:rFonts w:eastAsia="Calibri"/>
                <w:sz w:val="20"/>
              </w:rPr>
            </w:pPr>
          </w:p>
        </w:tc>
      </w:tr>
      <w:tr w:rsidR="00D70BA0" w:rsidRPr="009A6646" w:rsidTr="00D34781">
        <w:tc>
          <w:tcPr>
            <w:tcW w:w="2427" w:type="pct"/>
          </w:tcPr>
          <w:p w:rsidR="00D70BA0" w:rsidRPr="009A6646" w:rsidRDefault="00D70BA0" w:rsidP="00D34781">
            <w:pPr>
              <w:jc w:val="both"/>
              <w:rPr>
                <w:rFonts w:eastAsia="Calibri"/>
                <w:sz w:val="20"/>
              </w:rPr>
            </w:pPr>
            <w:r w:rsidRPr="009A6646">
              <w:rPr>
                <w:rFonts w:eastAsia="Calibri"/>
                <w:sz w:val="20"/>
              </w:rPr>
              <w:t>April 28, 2011</w:t>
            </w:r>
          </w:p>
          <w:p w:rsidR="00D70BA0" w:rsidRPr="009A6646" w:rsidRDefault="00D70BA0" w:rsidP="00D34781">
            <w:pPr>
              <w:jc w:val="both"/>
              <w:rPr>
                <w:rFonts w:eastAsia="Calibri"/>
                <w:sz w:val="20"/>
              </w:rPr>
            </w:pPr>
            <w:r w:rsidRPr="009A6646">
              <w:rPr>
                <w:rFonts w:eastAsia="Calibri"/>
                <w:sz w:val="20"/>
              </w:rPr>
              <w:t>Federal Court of Appeal</w:t>
            </w:r>
          </w:p>
          <w:p w:rsidR="00D70BA0" w:rsidRPr="009A6646" w:rsidRDefault="00D70BA0" w:rsidP="00D34781">
            <w:pPr>
              <w:jc w:val="both"/>
              <w:rPr>
                <w:rFonts w:eastAsia="Calibri"/>
                <w:sz w:val="20"/>
              </w:rPr>
            </w:pPr>
            <w:r w:rsidRPr="009A6646">
              <w:rPr>
                <w:rFonts w:eastAsia="Calibri"/>
                <w:sz w:val="20"/>
              </w:rPr>
              <w:lastRenderedPageBreak/>
              <w:t>(Noël, Dawson and Layden-Stevenson JJ.A.)</w:t>
            </w:r>
          </w:p>
          <w:p w:rsidR="00D70BA0" w:rsidRPr="009A6646" w:rsidRDefault="00D70BA0" w:rsidP="00D34781">
            <w:pPr>
              <w:jc w:val="both"/>
              <w:rPr>
                <w:rFonts w:eastAsia="Calibri"/>
                <w:sz w:val="20"/>
              </w:rPr>
            </w:pPr>
          </w:p>
        </w:tc>
        <w:tc>
          <w:tcPr>
            <w:tcW w:w="243" w:type="pct"/>
          </w:tcPr>
          <w:p w:rsidR="00D70BA0" w:rsidRPr="009A6646" w:rsidRDefault="00D70BA0" w:rsidP="00D34781">
            <w:pPr>
              <w:jc w:val="both"/>
              <w:rPr>
                <w:rFonts w:eastAsia="Calibri"/>
                <w:sz w:val="20"/>
              </w:rPr>
            </w:pPr>
          </w:p>
        </w:tc>
        <w:tc>
          <w:tcPr>
            <w:tcW w:w="2330" w:type="pct"/>
          </w:tcPr>
          <w:p w:rsidR="00D70BA0" w:rsidRPr="009A6646" w:rsidRDefault="00D70BA0" w:rsidP="00D34781">
            <w:pPr>
              <w:jc w:val="both"/>
              <w:rPr>
                <w:rFonts w:eastAsia="Calibri"/>
                <w:sz w:val="20"/>
              </w:rPr>
            </w:pPr>
            <w:r w:rsidRPr="009A6646">
              <w:rPr>
                <w:rFonts w:eastAsia="Calibri"/>
                <w:sz w:val="20"/>
              </w:rPr>
              <w:t>Appeal dismissed for delay.</w:t>
            </w:r>
          </w:p>
        </w:tc>
      </w:tr>
      <w:tr w:rsidR="00D70BA0" w:rsidRPr="009A6646" w:rsidTr="00DE585D">
        <w:trPr>
          <w:cantSplit/>
        </w:trPr>
        <w:tc>
          <w:tcPr>
            <w:tcW w:w="2427" w:type="pct"/>
          </w:tcPr>
          <w:p w:rsidR="00D70BA0" w:rsidRPr="009A6646" w:rsidRDefault="00D70BA0" w:rsidP="00D34781">
            <w:pPr>
              <w:jc w:val="both"/>
              <w:rPr>
                <w:rFonts w:eastAsia="Calibri"/>
                <w:sz w:val="20"/>
              </w:rPr>
            </w:pPr>
            <w:r w:rsidRPr="009A6646">
              <w:rPr>
                <w:rFonts w:eastAsia="Calibri"/>
                <w:sz w:val="20"/>
              </w:rPr>
              <w:lastRenderedPageBreak/>
              <w:t>October 25, 2012</w:t>
            </w:r>
          </w:p>
          <w:p w:rsidR="00D70BA0" w:rsidRPr="009A6646" w:rsidRDefault="00D70BA0" w:rsidP="00D34781">
            <w:pPr>
              <w:jc w:val="both"/>
              <w:rPr>
                <w:rFonts w:eastAsia="Calibri"/>
                <w:sz w:val="20"/>
              </w:rPr>
            </w:pPr>
            <w:r w:rsidRPr="009A6646">
              <w:rPr>
                <w:rFonts w:eastAsia="Calibri"/>
                <w:sz w:val="20"/>
              </w:rPr>
              <w:t>Tax Court of Canada</w:t>
            </w:r>
          </w:p>
          <w:p w:rsidR="00D70BA0" w:rsidRPr="009A6646" w:rsidRDefault="00D70BA0" w:rsidP="00D34781">
            <w:pPr>
              <w:jc w:val="both"/>
              <w:rPr>
                <w:rFonts w:eastAsia="Calibri"/>
                <w:sz w:val="20"/>
              </w:rPr>
            </w:pPr>
            <w:r w:rsidRPr="009A6646">
              <w:rPr>
                <w:rFonts w:eastAsia="Calibri"/>
                <w:sz w:val="20"/>
              </w:rPr>
              <w:t>(Woods J.)</w:t>
            </w:r>
          </w:p>
          <w:p w:rsidR="00D70BA0" w:rsidRPr="009A6646" w:rsidRDefault="007368AD" w:rsidP="00D34781">
            <w:pPr>
              <w:jc w:val="both"/>
              <w:rPr>
                <w:rFonts w:eastAsia="Calibri"/>
                <w:sz w:val="20"/>
              </w:rPr>
            </w:pPr>
            <w:hyperlink r:id="rId26" w:history="1">
              <w:r w:rsidR="00D70BA0" w:rsidRPr="009A6646">
                <w:rPr>
                  <w:rFonts w:eastAsia="Calibri"/>
                  <w:color w:val="0000FF"/>
                  <w:sz w:val="20"/>
                  <w:u w:val="single"/>
                </w:rPr>
                <w:t>2012 TCC 335</w:t>
              </w:r>
            </w:hyperlink>
          </w:p>
          <w:p w:rsidR="00D70BA0" w:rsidRPr="009A6646" w:rsidRDefault="00D70BA0" w:rsidP="00D34781">
            <w:pPr>
              <w:jc w:val="both"/>
              <w:rPr>
                <w:rFonts w:eastAsia="Calibri"/>
                <w:sz w:val="20"/>
              </w:rPr>
            </w:pPr>
          </w:p>
        </w:tc>
        <w:tc>
          <w:tcPr>
            <w:tcW w:w="243" w:type="pct"/>
          </w:tcPr>
          <w:p w:rsidR="00D70BA0" w:rsidRPr="009A6646" w:rsidRDefault="00D70BA0" w:rsidP="00D34781">
            <w:pPr>
              <w:jc w:val="both"/>
              <w:rPr>
                <w:rFonts w:eastAsia="Calibri"/>
                <w:sz w:val="20"/>
              </w:rPr>
            </w:pPr>
          </w:p>
        </w:tc>
        <w:tc>
          <w:tcPr>
            <w:tcW w:w="2330" w:type="pct"/>
          </w:tcPr>
          <w:p w:rsidR="00D70BA0" w:rsidRPr="009A6646" w:rsidRDefault="00D70BA0" w:rsidP="00D34781">
            <w:pPr>
              <w:jc w:val="both"/>
              <w:rPr>
                <w:rFonts w:eastAsia="Calibri"/>
                <w:sz w:val="20"/>
              </w:rPr>
            </w:pPr>
            <w:r w:rsidRPr="009A6646">
              <w:rPr>
                <w:rFonts w:eastAsia="Calibri"/>
                <w:sz w:val="20"/>
              </w:rPr>
              <w:t>Appeal of 2011 reassessment dismissed.</w:t>
            </w:r>
          </w:p>
        </w:tc>
      </w:tr>
      <w:tr w:rsidR="00D70BA0" w:rsidRPr="009A6646" w:rsidTr="00DE585D">
        <w:trPr>
          <w:cantSplit/>
        </w:trPr>
        <w:tc>
          <w:tcPr>
            <w:tcW w:w="2427" w:type="pct"/>
          </w:tcPr>
          <w:p w:rsidR="00D70BA0" w:rsidRPr="009A6646" w:rsidRDefault="00D70BA0" w:rsidP="00D34781">
            <w:pPr>
              <w:jc w:val="both"/>
              <w:rPr>
                <w:rFonts w:eastAsia="Calibri"/>
                <w:sz w:val="20"/>
              </w:rPr>
            </w:pPr>
            <w:r w:rsidRPr="009A6646">
              <w:rPr>
                <w:rFonts w:eastAsia="Calibri"/>
                <w:sz w:val="20"/>
              </w:rPr>
              <w:t>March 6, 2013</w:t>
            </w:r>
          </w:p>
          <w:p w:rsidR="00D70BA0" w:rsidRPr="009A6646" w:rsidRDefault="00D70BA0" w:rsidP="00D34781">
            <w:pPr>
              <w:jc w:val="both"/>
              <w:rPr>
                <w:rFonts w:eastAsia="Calibri"/>
                <w:sz w:val="20"/>
              </w:rPr>
            </w:pPr>
            <w:r w:rsidRPr="009A6646">
              <w:rPr>
                <w:rFonts w:eastAsia="Calibri"/>
                <w:sz w:val="20"/>
              </w:rPr>
              <w:t>Federal Court of Appeal</w:t>
            </w:r>
          </w:p>
          <w:p w:rsidR="00D70BA0" w:rsidRPr="009A6646" w:rsidRDefault="00D70BA0" w:rsidP="00D34781">
            <w:pPr>
              <w:jc w:val="both"/>
              <w:rPr>
                <w:rFonts w:eastAsia="Calibri"/>
                <w:sz w:val="20"/>
              </w:rPr>
            </w:pPr>
            <w:r w:rsidRPr="009A6646">
              <w:rPr>
                <w:rFonts w:eastAsia="Calibri"/>
                <w:sz w:val="20"/>
              </w:rPr>
              <w:t>(Sharlow, Stratas and Webb JJ.A.)</w:t>
            </w:r>
          </w:p>
          <w:p w:rsidR="00D70BA0" w:rsidRPr="009A6646" w:rsidRDefault="007368AD" w:rsidP="00D34781">
            <w:pPr>
              <w:jc w:val="both"/>
              <w:rPr>
                <w:rFonts w:eastAsia="Calibri"/>
                <w:sz w:val="20"/>
              </w:rPr>
            </w:pPr>
            <w:hyperlink r:id="rId27" w:history="1">
              <w:r w:rsidR="00D70BA0" w:rsidRPr="009A6646">
                <w:rPr>
                  <w:rFonts w:eastAsia="Calibri"/>
                  <w:color w:val="0000FF"/>
                  <w:sz w:val="20"/>
                  <w:u w:val="single"/>
                </w:rPr>
                <w:t>2013 FCA 67</w:t>
              </w:r>
            </w:hyperlink>
          </w:p>
          <w:p w:rsidR="00D70BA0" w:rsidRPr="009A6646" w:rsidRDefault="00D70BA0" w:rsidP="00D34781">
            <w:pPr>
              <w:jc w:val="both"/>
              <w:rPr>
                <w:rFonts w:eastAsia="Calibri"/>
                <w:sz w:val="20"/>
              </w:rPr>
            </w:pPr>
          </w:p>
        </w:tc>
        <w:tc>
          <w:tcPr>
            <w:tcW w:w="243" w:type="pct"/>
          </w:tcPr>
          <w:p w:rsidR="00D70BA0" w:rsidRPr="009A6646" w:rsidRDefault="00D70BA0" w:rsidP="00D34781">
            <w:pPr>
              <w:jc w:val="both"/>
              <w:rPr>
                <w:rFonts w:eastAsia="Calibri"/>
                <w:sz w:val="20"/>
              </w:rPr>
            </w:pPr>
          </w:p>
        </w:tc>
        <w:tc>
          <w:tcPr>
            <w:tcW w:w="2330" w:type="pct"/>
          </w:tcPr>
          <w:p w:rsidR="00D70BA0" w:rsidRPr="009A6646" w:rsidRDefault="00D70BA0" w:rsidP="00D34781">
            <w:pPr>
              <w:jc w:val="both"/>
              <w:rPr>
                <w:rFonts w:eastAsia="Calibri"/>
                <w:sz w:val="20"/>
              </w:rPr>
            </w:pPr>
            <w:r w:rsidRPr="009A6646">
              <w:rPr>
                <w:rFonts w:eastAsia="Calibri"/>
                <w:sz w:val="20"/>
              </w:rPr>
              <w:t>Crown’s motion to quash appeal on basis it was filed outside of statutory time limit without leave granted.</w:t>
            </w:r>
          </w:p>
        </w:tc>
      </w:tr>
      <w:tr w:rsidR="00D70BA0" w:rsidRPr="009A6646" w:rsidTr="00DE585D">
        <w:trPr>
          <w:cantSplit/>
        </w:trPr>
        <w:tc>
          <w:tcPr>
            <w:tcW w:w="2427" w:type="pct"/>
          </w:tcPr>
          <w:p w:rsidR="00D70BA0" w:rsidRPr="009A6646" w:rsidRDefault="00D70BA0" w:rsidP="00D34781">
            <w:pPr>
              <w:jc w:val="both"/>
              <w:rPr>
                <w:rFonts w:eastAsia="Calibri"/>
                <w:sz w:val="20"/>
              </w:rPr>
            </w:pPr>
            <w:r w:rsidRPr="009A6646">
              <w:rPr>
                <w:rFonts w:eastAsia="Calibri"/>
                <w:sz w:val="20"/>
              </w:rPr>
              <w:t>April 30, 2013</w:t>
            </w:r>
          </w:p>
          <w:p w:rsidR="00D70BA0" w:rsidRPr="009A6646" w:rsidRDefault="00D70BA0" w:rsidP="00D34781">
            <w:pPr>
              <w:jc w:val="both"/>
              <w:rPr>
                <w:rFonts w:eastAsia="Calibri"/>
                <w:sz w:val="20"/>
              </w:rPr>
            </w:pPr>
            <w:r w:rsidRPr="009A6646">
              <w:rPr>
                <w:rFonts w:eastAsia="Calibri"/>
                <w:sz w:val="20"/>
              </w:rPr>
              <w:t>Federal Court of Appeal</w:t>
            </w:r>
          </w:p>
          <w:p w:rsidR="00D70BA0" w:rsidRPr="009A6646" w:rsidRDefault="00D70BA0" w:rsidP="00D34781">
            <w:pPr>
              <w:jc w:val="both"/>
              <w:rPr>
                <w:rFonts w:eastAsia="Calibri"/>
                <w:sz w:val="20"/>
              </w:rPr>
            </w:pPr>
            <w:r w:rsidRPr="009A6646">
              <w:rPr>
                <w:rFonts w:eastAsia="Calibri"/>
                <w:sz w:val="20"/>
              </w:rPr>
              <w:t>(Sharlow, Stratas and Webb JJ.A.)</w:t>
            </w:r>
          </w:p>
          <w:p w:rsidR="00D70BA0" w:rsidRPr="009A6646" w:rsidRDefault="00D70BA0" w:rsidP="00D34781">
            <w:pPr>
              <w:jc w:val="both"/>
              <w:rPr>
                <w:rFonts w:eastAsia="Calibri"/>
                <w:sz w:val="20"/>
              </w:rPr>
            </w:pPr>
            <w:r w:rsidRPr="009A6646">
              <w:rPr>
                <w:rFonts w:eastAsia="Calibri"/>
                <w:sz w:val="20"/>
              </w:rPr>
              <w:t>File No.: A-550-12</w:t>
            </w:r>
          </w:p>
          <w:p w:rsidR="00D70BA0" w:rsidRPr="009A6646" w:rsidRDefault="00D70BA0" w:rsidP="00D34781">
            <w:pPr>
              <w:jc w:val="both"/>
              <w:rPr>
                <w:rFonts w:eastAsia="Calibri"/>
                <w:sz w:val="20"/>
              </w:rPr>
            </w:pPr>
          </w:p>
        </w:tc>
        <w:tc>
          <w:tcPr>
            <w:tcW w:w="243" w:type="pct"/>
          </w:tcPr>
          <w:p w:rsidR="00D70BA0" w:rsidRPr="009A6646" w:rsidRDefault="00D70BA0" w:rsidP="00D34781">
            <w:pPr>
              <w:jc w:val="both"/>
              <w:rPr>
                <w:rFonts w:eastAsia="Calibri"/>
                <w:sz w:val="20"/>
              </w:rPr>
            </w:pPr>
          </w:p>
        </w:tc>
        <w:tc>
          <w:tcPr>
            <w:tcW w:w="2330" w:type="pct"/>
          </w:tcPr>
          <w:p w:rsidR="00D70BA0" w:rsidRPr="009A6646" w:rsidRDefault="00D70BA0" w:rsidP="00D34781">
            <w:pPr>
              <w:jc w:val="both"/>
              <w:rPr>
                <w:rFonts w:eastAsia="Calibri"/>
                <w:sz w:val="20"/>
              </w:rPr>
            </w:pPr>
            <w:r w:rsidRPr="009A6646">
              <w:rPr>
                <w:rFonts w:eastAsia="Calibri"/>
                <w:sz w:val="20"/>
              </w:rPr>
              <w:t>Motion for reconsideration dismissed.</w:t>
            </w:r>
          </w:p>
          <w:p w:rsidR="00D70BA0" w:rsidRPr="009A6646" w:rsidRDefault="00D70BA0" w:rsidP="00D34781">
            <w:pPr>
              <w:jc w:val="both"/>
              <w:rPr>
                <w:rFonts w:eastAsia="Calibri"/>
                <w:sz w:val="20"/>
              </w:rPr>
            </w:pPr>
          </w:p>
        </w:tc>
      </w:tr>
      <w:tr w:rsidR="00D70BA0" w:rsidRPr="009A6646" w:rsidTr="00DE585D">
        <w:trPr>
          <w:cantSplit/>
        </w:trPr>
        <w:tc>
          <w:tcPr>
            <w:tcW w:w="2427" w:type="pct"/>
          </w:tcPr>
          <w:p w:rsidR="00D70BA0" w:rsidRPr="009A6646" w:rsidRDefault="00D70BA0" w:rsidP="00D34781">
            <w:pPr>
              <w:jc w:val="both"/>
              <w:rPr>
                <w:rFonts w:eastAsia="Calibri"/>
                <w:sz w:val="20"/>
              </w:rPr>
            </w:pPr>
            <w:r w:rsidRPr="009A6646">
              <w:rPr>
                <w:rFonts w:eastAsia="Calibri"/>
                <w:sz w:val="20"/>
              </w:rPr>
              <w:t>June 26, 2013</w:t>
            </w:r>
          </w:p>
          <w:p w:rsidR="00D70BA0" w:rsidRPr="009A6646" w:rsidRDefault="00D70BA0" w:rsidP="00D34781">
            <w:pPr>
              <w:jc w:val="both"/>
              <w:rPr>
                <w:rFonts w:eastAsia="Calibri"/>
                <w:sz w:val="20"/>
              </w:rPr>
            </w:pPr>
            <w:r w:rsidRPr="009A6646">
              <w:rPr>
                <w:rFonts w:eastAsia="Calibri"/>
                <w:sz w:val="20"/>
              </w:rPr>
              <w:t>Supreme Court of Canada</w:t>
            </w:r>
          </w:p>
        </w:tc>
        <w:tc>
          <w:tcPr>
            <w:tcW w:w="243" w:type="pct"/>
          </w:tcPr>
          <w:p w:rsidR="00D70BA0" w:rsidRPr="009A6646" w:rsidRDefault="00D70BA0" w:rsidP="00D34781">
            <w:pPr>
              <w:jc w:val="both"/>
              <w:rPr>
                <w:rFonts w:eastAsia="Calibri"/>
                <w:sz w:val="20"/>
              </w:rPr>
            </w:pPr>
          </w:p>
        </w:tc>
        <w:tc>
          <w:tcPr>
            <w:tcW w:w="2330" w:type="pct"/>
          </w:tcPr>
          <w:p w:rsidR="00D70BA0" w:rsidRPr="009A6646" w:rsidRDefault="00D70BA0" w:rsidP="00D34781">
            <w:pPr>
              <w:jc w:val="both"/>
              <w:rPr>
                <w:rFonts w:eastAsia="Calibri"/>
                <w:sz w:val="20"/>
              </w:rPr>
            </w:pPr>
            <w:r w:rsidRPr="009A6646">
              <w:rPr>
                <w:rFonts w:eastAsia="Calibri"/>
                <w:sz w:val="20"/>
              </w:rPr>
              <w:t>Application for leave to appeal filed.</w:t>
            </w:r>
          </w:p>
          <w:p w:rsidR="00D70BA0" w:rsidRPr="009A6646" w:rsidRDefault="00D70BA0" w:rsidP="00D34781">
            <w:pPr>
              <w:jc w:val="both"/>
              <w:rPr>
                <w:rFonts w:eastAsia="Calibri"/>
                <w:sz w:val="20"/>
              </w:rPr>
            </w:pPr>
          </w:p>
        </w:tc>
      </w:tr>
    </w:tbl>
    <w:p w:rsidR="00D70BA0" w:rsidRDefault="00D70BA0" w:rsidP="00D70BA0">
      <w:pPr>
        <w:rPr>
          <w:sz w:val="20"/>
          <w:szCs w:val="20"/>
        </w:rPr>
      </w:pPr>
    </w:p>
    <w:p w:rsidR="00D70BA0" w:rsidRDefault="007368AD" w:rsidP="00D70BA0">
      <w:pPr>
        <w:rPr>
          <w:sz w:val="20"/>
          <w:szCs w:val="20"/>
        </w:rPr>
      </w:pPr>
      <w:r>
        <w:rPr>
          <w:sz w:val="20"/>
          <w:szCs w:val="20"/>
          <w:lang w:val="fr-CA"/>
        </w:rPr>
        <w:pict>
          <v:rect id="_x0000_i1036" style="width:2in;height:1pt" o:hrpct="0" o:hralign="center" o:hrstd="t" o:hrnoshade="t" o:hr="t" fillcolor="black [3213]" stroked="f"/>
        </w:pict>
      </w:r>
    </w:p>
    <w:p w:rsidR="00D70BA0" w:rsidRDefault="00D70BA0" w:rsidP="00D70BA0">
      <w:pPr>
        <w:rPr>
          <w:sz w:val="20"/>
          <w:szCs w:val="20"/>
        </w:rPr>
      </w:pPr>
    </w:p>
    <w:p w:rsidR="00D70BA0" w:rsidRPr="001B157C" w:rsidRDefault="00D70BA0" w:rsidP="00D70BA0">
      <w:pPr>
        <w:rPr>
          <w:sz w:val="20"/>
          <w:szCs w:val="20"/>
          <w:u w:val="single"/>
          <w:lang w:val="fr-CA"/>
        </w:rPr>
      </w:pPr>
      <w:r w:rsidRPr="001B157C">
        <w:rPr>
          <w:sz w:val="20"/>
          <w:szCs w:val="20"/>
          <w:u w:val="single"/>
          <w:lang w:val="fr-CA"/>
        </w:rPr>
        <w:t>RÉSUMÉ DE L’AFFAIRE</w:t>
      </w:r>
    </w:p>
    <w:p w:rsidR="00D70BA0" w:rsidRDefault="00D70BA0" w:rsidP="00D70BA0">
      <w:pPr>
        <w:rPr>
          <w:sz w:val="20"/>
          <w:szCs w:val="20"/>
        </w:rPr>
      </w:pPr>
    </w:p>
    <w:tbl>
      <w:tblPr>
        <w:tblW w:w="4952" w:type="pct"/>
        <w:tblLayout w:type="fixed"/>
        <w:tblCellMar>
          <w:left w:w="0" w:type="dxa"/>
          <w:bottom w:w="99" w:type="dxa"/>
          <w:right w:w="0" w:type="dxa"/>
        </w:tblCellMar>
        <w:tblLook w:val="04A0" w:firstRow="1" w:lastRow="0" w:firstColumn="1" w:lastColumn="0" w:noHBand="0" w:noVBand="1"/>
      </w:tblPr>
      <w:tblGrid>
        <w:gridCol w:w="4624"/>
        <w:gridCol w:w="463"/>
        <w:gridCol w:w="4440"/>
      </w:tblGrid>
      <w:tr w:rsidR="00D70BA0" w:rsidRPr="009A6646" w:rsidTr="00D34781">
        <w:trPr>
          <w:trHeight w:val="432"/>
        </w:trPr>
        <w:tc>
          <w:tcPr>
            <w:tcW w:w="5000" w:type="pct"/>
            <w:gridSpan w:val="3"/>
          </w:tcPr>
          <w:p w:rsidR="00D70BA0" w:rsidRPr="009A6646" w:rsidRDefault="00D70BA0" w:rsidP="00D34781">
            <w:pPr>
              <w:jc w:val="both"/>
              <w:rPr>
                <w:rFonts w:eastAsia="Calibri"/>
                <w:sz w:val="20"/>
                <w:lang w:val="fr-CA"/>
              </w:rPr>
            </w:pPr>
            <w:r w:rsidRPr="009A6646">
              <w:rPr>
                <w:rFonts w:eastAsia="Calibri"/>
                <w:sz w:val="20"/>
                <w:lang w:val="fr-CA"/>
              </w:rPr>
              <w:t>Appels ― La Cour de l'impôt a renvoyé la cotisation établie en vertu de la</w:t>
            </w:r>
            <w:r w:rsidRPr="009A6646">
              <w:rPr>
                <w:rFonts w:eastAsia="Calibri"/>
                <w:i/>
                <w:sz w:val="20"/>
                <w:lang w:val="fr-CA"/>
              </w:rPr>
              <w:t xml:space="preserve"> Loi sur la taxe d'accise</w:t>
            </w:r>
            <w:r w:rsidRPr="009A6646">
              <w:rPr>
                <w:rFonts w:eastAsia="Calibri"/>
                <w:sz w:val="20"/>
                <w:lang w:val="fr-CA"/>
              </w:rPr>
              <w:t xml:space="preserve"> au ministre pour nouvelle cotisation ― Le demandeur a interjeté appel de la nouvelle cotisation subséquente ― La Cour d'appel fédérale a accueilli la requête de la Couronne en annulation de l'appel et a rejeté la requête du demandeur en réexamen ― Les juridictions inférieures ont-elles commis des erreurs dans leurs raisonnements et dans leurs décisions? ―</w:t>
            </w:r>
            <w:r w:rsidRPr="009A6646">
              <w:rPr>
                <w:rFonts w:eastAsia="Calibri"/>
                <w:i/>
                <w:sz w:val="20"/>
                <w:lang w:val="fr-CA"/>
              </w:rPr>
              <w:t xml:space="preserve"> Loi sur la taxe d'accise</w:t>
            </w:r>
            <w:r w:rsidRPr="009A6646">
              <w:rPr>
                <w:rFonts w:eastAsia="Calibri"/>
                <w:sz w:val="20"/>
                <w:lang w:val="fr-CA"/>
              </w:rPr>
              <w:t>, L.R.C. 1985, ch. E-15.</w:t>
            </w:r>
          </w:p>
        </w:tc>
      </w:tr>
      <w:tr w:rsidR="00D70BA0" w:rsidRPr="009A6646" w:rsidTr="00D34781">
        <w:tc>
          <w:tcPr>
            <w:tcW w:w="5000" w:type="pct"/>
            <w:gridSpan w:val="3"/>
          </w:tcPr>
          <w:p w:rsidR="00D70BA0" w:rsidRPr="009A6646" w:rsidRDefault="00D70BA0" w:rsidP="00D34781">
            <w:pPr>
              <w:jc w:val="both"/>
              <w:rPr>
                <w:rFonts w:eastAsia="Calibri"/>
                <w:sz w:val="20"/>
                <w:lang w:val="fr-CA"/>
              </w:rPr>
            </w:pPr>
          </w:p>
        </w:tc>
      </w:tr>
      <w:tr w:rsidR="00D70BA0" w:rsidRPr="007368AD" w:rsidTr="00D34781">
        <w:tc>
          <w:tcPr>
            <w:tcW w:w="5000" w:type="pct"/>
            <w:gridSpan w:val="3"/>
          </w:tcPr>
          <w:p w:rsidR="00D70BA0" w:rsidRPr="009A6646" w:rsidRDefault="00D70BA0" w:rsidP="00D34781">
            <w:pPr>
              <w:jc w:val="both"/>
              <w:rPr>
                <w:rFonts w:eastAsia="Calibri"/>
                <w:sz w:val="20"/>
                <w:lang w:val="fr-CA"/>
              </w:rPr>
            </w:pPr>
            <w:r w:rsidRPr="009A6646">
              <w:rPr>
                <w:rFonts w:eastAsia="Calibri"/>
                <w:sz w:val="20"/>
                <w:lang w:val="fr-CA"/>
              </w:rPr>
              <w:t>En 2005, le demandeur, Bradman Lee s'est vu remettre des avis de cotisation en vertu de la</w:t>
            </w:r>
            <w:r w:rsidRPr="009A6646">
              <w:rPr>
                <w:rFonts w:eastAsia="Calibri"/>
                <w:i/>
                <w:sz w:val="20"/>
                <w:lang w:val="fr-CA"/>
              </w:rPr>
              <w:t xml:space="preserve"> Loi sur la taxe d'accise</w:t>
            </w:r>
            <w:r w:rsidRPr="009A6646">
              <w:rPr>
                <w:rFonts w:eastAsia="Calibri"/>
                <w:sz w:val="20"/>
                <w:lang w:val="fr-CA"/>
              </w:rPr>
              <w:t>, L.R.C. 1985, ch. E-15 portant sur la TPS/TVH et des pénalités.  Monsieur Lee s’est opposé aux cotisations, mais sans succès.  Il a interjeté appel à la Cour canadienne de l'impôt qui a accueilli l'appel en partie et renvoyé l'affaire au ministre pour nouvelle cotisation.  Monsieur Lee a interjeté appel à la Cour d'appel fédérale.  Cet appel a été rejeté.</w:t>
            </w:r>
          </w:p>
          <w:p w:rsidR="00D70BA0" w:rsidRPr="009A6646" w:rsidRDefault="00D70BA0" w:rsidP="00D34781">
            <w:pPr>
              <w:jc w:val="both"/>
              <w:rPr>
                <w:rFonts w:eastAsia="Calibri"/>
                <w:sz w:val="20"/>
                <w:lang w:val="fr-CA"/>
              </w:rPr>
            </w:pPr>
          </w:p>
          <w:p w:rsidR="00D70BA0" w:rsidRPr="009A6646" w:rsidRDefault="00D70BA0" w:rsidP="00D34781">
            <w:pPr>
              <w:jc w:val="both"/>
              <w:rPr>
                <w:rFonts w:eastAsia="Calibri"/>
                <w:sz w:val="20"/>
                <w:lang w:val="fr-CA"/>
              </w:rPr>
            </w:pPr>
            <w:r w:rsidRPr="009A6646">
              <w:rPr>
                <w:rFonts w:eastAsia="Calibri"/>
                <w:sz w:val="20"/>
                <w:lang w:val="fr-CA"/>
              </w:rPr>
              <w:t>Par avis daté du 7 juin 2011, de nouvelles cotisations ont été établies à l’égard de M. Lee pour donner effet au jugement précédent.  Monsieur Lee s’est opposé à ces nouvelles cotisations.  Les nouvelles cotisations ont été confirmées au motif qu’elles tenaient compte correctement des modifications ordonnées dans le cadre du premier appel.  Monsieur Lee a alors interjeté appel à la Cour canadienne de l’impôt dans le cadre d’un deuxième appel.  La Cour de l'impôt a rejeté le deuxième appel le 21 septembre 2012.  Monsieur Lee n’a pas porté ce jugement en appel.</w:t>
            </w:r>
          </w:p>
          <w:p w:rsidR="00D70BA0" w:rsidRPr="009A6646" w:rsidRDefault="00D70BA0" w:rsidP="00D34781">
            <w:pPr>
              <w:jc w:val="both"/>
              <w:rPr>
                <w:rFonts w:eastAsia="Calibri"/>
                <w:sz w:val="20"/>
                <w:lang w:val="fr-CA"/>
              </w:rPr>
            </w:pPr>
          </w:p>
          <w:p w:rsidR="00D70BA0" w:rsidRPr="009A6646" w:rsidRDefault="00D70BA0" w:rsidP="00D34781">
            <w:pPr>
              <w:jc w:val="both"/>
              <w:rPr>
                <w:rFonts w:eastAsia="Calibri"/>
                <w:sz w:val="20"/>
                <w:lang w:val="fr-CA"/>
              </w:rPr>
            </w:pPr>
            <w:r w:rsidRPr="009A6646">
              <w:rPr>
                <w:rFonts w:eastAsia="Calibri"/>
                <w:sz w:val="20"/>
                <w:lang w:val="fr-CA"/>
              </w:rPr>
              <w:t xml:space="preserve">La Cour de l'impôt a rendu un jugement modifié le 25 octobre 2012.  Monsieur Lee n’a pas déposé d’avis d’appel dans </w:t>
            </w:r>
            <w:r w:rsidRPr="009A6646">
              <w:rPr>
                <w:rFonts w:eastAsia="Calibri"/>
                <w:sz w:val="20"/>
                <w:lang w:val="fr-CA"/>
              </w:rPr>
              <w:lastRenderedPageBreak/>
              <w:t>le délai d’appel de 30 jours et il n’a pas demandé de prorogation du délai.  Le 18 décembre 2012, il a déposé un avis d’appel indiquant qu’il interjetait appel du jugement de la Cour canadienne de l’impôt daté du </w:t>
            </w:r>
            <w:r w:rsidRPr="009A6646">
              <w:rPr>
                <w:rFonts w:eastAsia="Calibri"/>
                <w:iCs/>
                <w:sz w:val="20"/>
                <w:lang w:val="fr-CA"/>
              </w:rPr>
              <w:t>22 novembre 2012</w:t>
            </w:r>
            <w:r w:rsidRPr="009A6646">
              <w:rPr>
                <w:rFonts w:eastAsia="Calibri"/>
                <w:sz w:val="20"/>
                <w:lang w:val="fr-CA"/>
              </w:rPr>
              <w:t>.  Toutefois, aucun jugement n'avait été rendu après le 25 octobre 2012.  La Couronne a présenté une requête en annulation de l’appel au motif que celui</w:t>
            </w:r>
            <w:r w:rsidRPr="009A6646">
              <w:rPr>
                <w:rFonts w:eastAsia="Calibri"/>
                <w:sz w:val="20"/>
                <w:lang w:val="fr-CA"/>
              </w:rPr>
              <w:noBreakHyphen/>
              <w:t xml:space="preserve">ci avait été déposé hors délai et sans autorisation.  La Cour d'appel fédérale a annulé l'appel.  Monsieur Lee a déposé un avis de nouvel examen qui a lui-aussi été rejeté par la Cour d'appel fédérale.   </w:t>
            </w:r>
          </w:p>
          <w:p w:rsidR="00D70BA0" w:rsidRPr="009A6646" w:rsidRDefault="00D70BA0" w:rsidP="00D34781">
            <w:pPr>
              <w:jc w:val="both"/>
              <w:rPr>
                <w:rFonts w:eastAsia="Calibri"/>
                <w:sz w:val="20"/>
                <w:lang w:val="fr-CA"/>
              </w:rPr>
            </w:pPr>
          </w:p>
        </w:tc>
      </w:tr>
      <w:tr w:rsidR="00D70BA0" w:rsidRPr="007368AD" w:rsidTr="00D34781">
        <w:tc>
          <w:tcPr>
            <w:tcW w:w="2427" w:type="pct"/>
          </w:tcPr>
          <w:p w:rsidR="00D70BA0" w:rsidRPr="009A6646" w:rsidRDefault="00D70BA0" w:rsidP="00D34781">
            <w:pPr>
              <w:jc w:val="both"/>
              <w:rPr>
                <w:rFonts w:eastAsia="Calibri"/>
                <w:sz w:val="20"/>
                <w:lang w:val="fr-CA"/>
              </w:rPr>
            </w:pPr>
            <w:r w:rsidRPr="009A6646">
              <w:rPr>
                <w:rFonts w:eastAsia="Calibri"/>
                <w:sz w:val="20"/>
                <w:lang w:val="fr-CA"/>
              </w:rPr>
              <w:lastRenderedPageBreak/>
              <w:t>28 juillet 2010</w:t>
            </w:r>
          </w:p>
          <w:p w:rsidR="00D70BA0" w:rsidRPr="009A6646" w:rsidRDefault="00D70BA0" w:rsidP="00D34781">
            <w:pPr>
              <w:jc w:val="both"/>
              <w:rPr>
                <w:rFonts w:eastAsia="Calibri"/>
                <w:sz w:val="20"/>
                <w:lang w:val="fr-CA"/>
              </w:rPr>
            </w:pPr>
            <w:r w:rsidRPr="009A6646">
              <w:rPr>
                <w:rFonts w:eastAsia="Calibri"/>
                <w:sz w:val="20"/>
                <w:lang w:val="fr-CA"/>
              </w:rPr>
              <w:t>Cour canadienne de l'impôt</w:t>
            </w:r>
          </w:p>
          <w:p w:rsidR="00D70BA0" w:rsidRPr="009A6646" w:rsidRDefault="00D70BA0" w:rsidP="00D34781">
            <w:pPr>
              <w:jc w:val="both"/>
              <w:rPr>
                <w:rFonts w:eastAsia="Calibri"/>
                <w:sz w:val="20"/>
                <w:lang w:val="fr-CA"/>
              </w:rPr>
            </w:pPr>
            <w:r w:rsidRPr="009A6646">
              <w:rPr>
                <w:rFonts w:eastAsia="Calibri"/>
                <w:sz w:val="20"/>
                <w:lang w:val="fr-CA"/>
              </w:rPr>
              <w:t>(Juge Woods)</w:t>
            </w:r>
          </w:p>
          <w:p w:rsidR="00D70BA0" w:rsidRPr="009A6646" w:rsidRDefault="007368AD" w:rsidP="00D34781">
            <w:pPr>
              <w:jc w:val="both"/>
              <w:rPr>
                <w:rFonts w:eastAsia="Calibri"/>
                <w:sz w:val="20"/>
                <w:lang w:val="fr-CA"/>
              </w:rPr>
            </w:pPr>
            <w:hyperlink r:id="rId28" w:history="1">
              <w:r w:rsidR="00D70BA0" w:rsidRPr="009A6646">
                <w:rPr>
                  <w:rFonts w:eastAsia="Calibri"/>
                  <w:color w:val="0000FF"/>
                  <w:sz w:val="20"/>
                  <w:u w:val="single"/>
                  <w:lang w:val="fr-CA"/>
                </w:rPr>
                <w:t>2010 TCC 400</w:t>
              </w:r>
            </w:hyperlink>
            <w:r w:rsidR="00D70BA0" w:rsidRPr="009A6646">
              <w:rPr>
                <w:rFonts w:eastAsia="Calibri"/>
                <w:sz w:val="20"/>
                <w:lang w:val="fr-CA"/>
              </w:rPr>
              <w:t xml:space="preserve"> </w:t>
            </w:r>
          </w:p>
          <w:p w:rsidR="00D70BA0" w:rsidRPr="009A6646" w:rsidRDefault="00D70BA0" w:rsidP="00D34781">
            <w:pPr>
              <w:jc w:val="both"/>
              <w:rPr>
                <w:rFonts w:eastAsia="Calibri"/>
                <w:sz w:val="20"/>
                <w:lang w:val="fr-CA"/>
              </w:rPr>
            </w:pPr>
          </w:p>
        </w:tc>
        <w:tc>
          <w:tcPr>
            <w:tcW w:w="243" w:type="pct"/>
          </w:tcPr>
          <w:p w:rsidR="00D70BA0" w:rsidRPr="009A6646" w:rsidRDefault="00D70BA0" w:rsidP="00D34781">
            <w:pPr>
              <w:jc w:val="both"/>
              <w:rPr>
                <w:rFonts w:eastAsia="Calibri"/>
                <w:sz w:val="20"/>
                <w:lang w:val="fr-CA"/>
              </w:rPr>
            </w:pPr>
          </w:p>
        </w:tc>
        <w:tc>
          <w:tcPr>
            <w:tcW w:w="2330" w:type="pct"/>
          </w:tcPr>
          <w:p w:rsidR="00D70BA0" w:rsidRPr="009A6646" w:rsidRDefault="00D70BA0" w:rsidP="00D34781">
            <w:pPr>
              <w:jc w:val="both"/>
              <w:rPr>
                <w:rFonts w:eastAsia="Calibri"/>
                <w:sz w:val="20"/>
                <w:lang w:val="fr-CA"/>
              </w:rPr>
            </w:pPr>
            <w:r w:rsidRPr="009A6646">
              <w:rPr>
                <w:rFonts w:eastAsia="Calibri"/>
                <w:sz w:val="20"/>
                <w:lang w:val="fr-CA"/>
              </w:rPr>
              <w:t>Appel d'une cotisation établie en vertu de la</w:t>
            </w:r>
            <w:r w:rsidRPr="009A6646">
              <w:rPr>
                <w:rFonts w:eastAsia="Calibri"/>
                <w:i/>
                <w:sz w:val="20"/>
                <w:lang w:val="fr-CA"/>
              </w:rPr>
              <w:t xml:space="preserve"> Loi sur la taxe d'accise</w:t>
            </w:r>
            <w:r w:rsidRPr="009A6646">
              <w:rPr>
                <w:rFonts w:eastAsia="Calibri"/>
                <w:sz w:val="20"/>
                <w:lang w:val="fr-CA"/>
              </w:rPr>
              <w:t xml:space="preserve"> du 1</w:t>
            </w:r>
            <w:r w:rsidRPr="009A6646">
              <w:rPr>
                <w:rFonts w:eastAsia="Calibri"/>
                <w:sz w:val="20"/>
                <w:vertAlign w:val="superscript"/>
                <w:lang w:val="fr-CA"/>
              </w:rPr>
              <w:t>er</w:t>
            </w:r>
            <w:r w:rsidRPr="009A6646">
              <w:rPr>
                <w:rFonts w:eastAsia="Calibri"/>
                <w:sz w:val="20"/>
                <w:lang w:val="fr-CA"/>
              </w:rPr>
              <w:t xml:space="preserve"> janvier 1999 au 31 décembre 2002, accueillie en partie; cotisation renvoyée au ministre pour réexamen et nouvelle cotisation.</w:t>
            </w:r>
          </w:p>
          <w:p w:rsidR="00D70BA0" w:rsidRPr="009A6646" w:rsidRDefault="00D70BA0" w:rsidP="00D34781">
            <w:pPr>
              <w:jc w:val="both"/>
              <w:rPr>
                <w:rFonts w:eastAsia="Calibri"/>
                <w:sz w:val="20"/>
                <w:lang w:val="fr-CA"/>
              </w:rPr>
            </w:pPr>
          </w:p>
        </w:tc>
      </w:tr>
      <w:tr w:rsidR="00D70BA0" w:rsidRPr="007368AD" w:rsidTr="00D34781">
        <w:tc>
          <w:tcPr>
            <w:tcW w:w="2427" w:type="pct"/>
          </w:tcPr>
          <w:p w:rsidR="00D70BA0" w:rsidRPr="009A6646" w:rsidRDefault="00D70BA0" w:rsidP="00D34781">
            <w:pPr>
              <w:jc w:val="both"/>
              <w:rPr>
                <w:rFonts w:eastAsia="Calibri"/>
                <w:sz w:val="20"/>
                <w:lang w:val="fr-CA"/>
              </w:rPr>
            </w:pPr>
            <w:r w:rsidRPr="009A6646">
              <w:rPr>
                <w:rFonts w:eastAsia="Calibri"/>
                <w:sz w:val="20"/>
                <w:lang w:val="fr-CA"/>
              </w:rPr>
              <w:t>28 avril 2011</w:t>
            </w:r>
          </w:p>
          <w:p w:rsidR="00D70BA0" w:rsidRPr="009A6646" w:rsidRDefault="00D70BA0" w:rsidP="00D34781">
            <w:pPr>
              <w:jc w:val="both"/>
              <w:rPr>
                <w:rFonts w:eastAsia="Calibri"/>
                <w:sz w:val="20"/>
                <w:lang w:val="fr-CA"/>
              </w:rPr>
            </w:pPr>
            <w:r w:rsidRPr="009A6646">
              <w:rPr>
                <w:rFonts w:eastAsia="Calibri"/>
                <w:sz w:val="20"/>
                <w:lang w:val="fr-CA"/>
              </w:rPr>
              <w:t>Cour d'appel fédérale</w:t>
            </w:r>
          </w:p>
          <w:p w:rsidR="00D70BA0" w:rsidRPr="009A6646" w:rsidRDefault="00D70BA0" w:rsidP="00D34781">
            <w:pPr>
              <w:jc w:val="both"/>
              <w:rPr>
                <w:rFonts w:eastAsia="Calibri"/>
                <w:sz w:val="20"/>
                <w:lang w:val="fr-CA"/>
              </w:rPr>
            </w:pPr>
            <w:r w:rsidRPr="009A6646">
              <w:rPr>
                <w:rFonts w:eastAsia="Calibri"/>
                <w:sz w:val="20"/>
                <w:lang w:val="fr-CA"/>
              </w:rPr>
              <w:t>(Juges Noël, Dawson et Layden-Stevenson)</w:t>
            </w:r>
          </w:p>
          <w:p w:rsidR="00D70BA0" w:rsidRPr="009A6646" w:rsidRDefault="00D70BA0" w:rsidP="00D34781">
            <w:pPr>
              <w:jc w:val="both"/>
              <w:rPr>
                <w:rFonts w:eastAsia="Calibri"/>
                <w:sz w:val="20"/>
                <w:lang w:val="fr-CA"/>
              </w:rPr>
            </w:pPr>
          </w:p>
        </w:tc>
        <w:tc>
          <w:tcPr>
            <w:tcW w:w="243" w:type="pct"/>
          </w:tcPr>
          <w:p w:rsidR="00D70BA0" w:rsidRPr="009A6646" w:rsidRDefault="00D70BA0" w:rsidP="00D34781">
            <w:pPr>
              <w:jc w:val="both"/>
              <w:rPr>
                <w:rFonts w:eastAsia="Calibri"/>
                <w:sz w:val="20"/>
                <w:lang w:val="fr-CA"/>
              </w:rPr>
            </w:pPr>
          </w:p>
        </w:tc>
        <w:tc>
          <w:tcPr>
            <w:tcW w:w="2330" w:type="pct"/>
          </w:tcPr>
          <w:p w:rsidR="00D70BA0" w:rsidRPr="009A6646" w:rsidRDefault="00D70BA0" w:rsidP="00D34781">
            <w:pPr>
              <w:jc w:val="both"/>
              <w:rPr>
                <w:rFonts w:eastAsia="Calibri"/>
                <w:sz w:val="20"/>
                <w:lang w:val="fr-CA"/>
              </w:rPr>
            </w:pPr>
            <w:r w:rsidRPr="009A6646">
              <w:rPr>
                <w:rFonts w:eastAsia="Calibri"/>
                <w:sz w:val="20"/>
                <w:lang w:val="fr-CA"/>
              </w:rPr>
              <w:t>Appel rejeté pour cause de retard.</w:t>
            </w:r>
          </w:p>
        </w:tc>
      </w:tr>
      <w:tr w:rsidR="00D70BA0" w:rsidRPr="007368AD" w:rsidTr="00D34781">
        <w:tc>
          <w:tcPr>
            <w:tcW w:w="2427" w:type="pct"/>
          </w:tcPr>
          <w:p w:rsidR="00D70BA0" w:rsidRPr="009A6646" w:rsidRDefault="00D70BA0" w:rsidP="00D34781">
            <w:pPr>
              <w:jc w:val="both"/>
              <w:rPr>
                <w:rFonts w:eastAsia="Calibri"/>
                <w:sz w:val="20"/>
                <w:lang w:val="fr-CA"/>
              </w:rPr>
            </w:pPr>
            <w:r w:rsidRPr="009A6646">
              <w:rPr>
                <w:rFonts w:eastAsia="Calibri"/>
                <w:sz w:val="20"/>
                <w:lang w:val="fr-CA"/>
              </w:rPr>
              <w:t>25 octobre 2012</w:t>
            </w:r>
          </w:p>
          <w:p w:rsidR="00D70BA0" w:rsidRPr="009A6646" w:rsidRDefault="00D70BA0" w:rsidP="00D34781">
            <w:pPr>
              <w:jc w:val="both"/>
              <w:rPr>
                <w:rFonts w:eastAsia="Calibri"/>
                <w:sz w:val="20"/>
                <w:lang w:val="fr-CA"/>
              </w:rPr>
            </w:pPr>
            <w:r w:rsidRPr="009A6646">
              <w:rPr>
                <w:rFonts w:eastAsia="Calibri"/>
                <w:sz w:val="20"/>
                <w:lang w:val="fr-CA"/>
              </w:rPr>
              <w:t>Cour canadienne de l'impôt</w:t>
            </w:r>
          </w:p>
          <w:p w:rsidR="00D70BA0" w:rsidRPr="009A6646" w:rsidRDefault="00D70BA0" w:rsidP="00D34781">
            <w:pPr>
              <w:jc w:val="both"/>
              <w:rPr>
                <w:rFonts w:eastAsia="Calibri"/>
                <w:sz w:val="20"/>
                <w:lang w:val="fr-CA"/>
              </w:rPr>
            </w:pPr>
            <w:r w:rsidRPr="009A6646">
              <w:rPr>
                <w:rFonts w:eastAsia="Calibri"/>
                <w:sz w:val="20"/>
                <w:lang w:val="fr-CA"/>
              </w:rPr>
              <w:t>(Juge Woods)</w:t>
            </w:r>
          </w:p>
          <w:p w:rsidR="00D70BA0" w:rsidRPr="009A6646" w:rsidRDefault="007368AD" w:rsidP="00D34781">
            <w:pPr>
              <w:jc w:val="both"/>
              <w:rPr>
                <w:rFonts w:eastAsia="Calibri"/>
                <w:sz w:val="20"/>
                <w:lang w:val="fr-CA"/>
              </w:rPr>
            </w:pPr>
            <w:hyperlink r:id="rId29" w:history="1">
              <w:r w:rsidR="00D70BA0" w:rsidRPr="009A6646">
                <w:rPr>
                  <w:rFonts w:eastAsia="Calibri"/>
                  <w:color w:val="0000FF"/>
                  <w:sz w:val="20"/>
                  <w:u w:val="single"/>
                  <w:lang w:val="fr-CA"/>
                </w:rPr>
                <w:t>2012 TCC 335</w:t>
              </w:r>
            </w:hyperlink>
          </w:p>
          <w:p w:rsidR="00D70BA0" w:rsidRPr="009A6646" w:rsidRDefault="00D70BA0" w:rsidP="00D34781">
            <w:pPr>
              <w:jc w:val="both"/>
              <w:rPr>
                <w:rFonts w:eastAsia="Calibri"/>
                <w:sz w:val="20"/>
                <w:lang w:val="fr-CA"/>
              </w:rPr>
            </w:pPr>
          </w:p>
        </w:tc>
        <w:tc>
          <w:tcPr>
            <w:tcW w:w="243" w:type="pct"/>
          </w:tcPr>
          <w:p w:rsidR="00D70BA0" w:rsidRPr="009A6646" w:rsidRDefault="00D70BA0" w:rsidP="00D34781">
            <w:pPr>
              <w:jc w:val="both"/>
              <w:rPr>
                <w:rFonts w:eastAsia="Calibri"/>
                <w:sz w:val="20"/>
                <w:lang w:val="fr-CA"/>
              </w:rPr>
            </w:pPr>
          </w:p>
        </w:tc>
        <w:tc>
          <w:tcPr>
            <w:tcW w:w="2330" w:type="pct"/>
          </w:tcPr>
          <w:p w:rsidR="00D70BA0" w:rsidRPr="009A6646" w:rsidRDefault="00D70BA0" w:rsidP="00D34781">
            <w:pPr>
              <w:jc w:val="both"/>
              <w:rPr>
                <w:rFonts w:eastAsia="Calibri"/>
                <w:sz w:val="20"/>
                <w:lang w:val="fr-CA"/>
              </w:rPr>
            </w:pPr>
            <w:r w:rsidRPr="009A6646">
              <w:rPr>
                <w:rFonts w:eastAsia="Calibri"/>
                <w:sz w:val="20"/>
                <w:lang w:val="fr-CA"/>
              </w:rPr>
              <w:t>Appel de la nouvelle cotisation de 2011, rejeté.</w:t>
            </w:r>
          </w:p>
        </w:tc>
      </w:tr>
      <w:tr w:rsidR="00D70BA0" w:rsidRPr="007368AD" w:rsidTr="00D34781">
        <w:tc>
          <w:tcPr>
            <w:tcW w:w="2427" w:type="pct"/>
          </w:tcPr>
          <w:p w:rsidR="00D70BA0" w:rsidRPr="009A6646" w:rsidRDefault="00D70BA0" w:rsidP="00D34781">
            <w:pPr>
              <w:jc w:val="both"/>
              <w:rPr>
                <w:rFonts w:eastAsia="Calibri"/>
                <w:sz w:val="20"/>
                <w:lang w:val="fr-CA"/>
              </w:rPr>
            </w:pPr>
            <w:r w:rsidRPr="009A6646">
              <w:rPr>
                <w:rFonts w:eastAsia="Calibri"/>
                <w:sz w:val="20"/>
                <w:lang w:val="fr-CA"/>
              </w:rPr>
              <w:t>6 mars 2013</w:t>
            </w:r>
          </w:p>
          <w:p w:rsidR="00D70BA0" w:rsidRPr="009A6646" w:rsidRDefault="00D70BA0" w:rsidP="00D34781">
            <w:pPr>
              <w:jc w:val="both"/>
              <w:rPr>
                <w:rFonts w:eastAsia="Calibri"/>
                <w:sz w:val="20"/>
                <w:lang w:val="fr-CA"/>
              </w:rPr>
            </w:pPr>
            <w:r w:rsidRPr="009A6646">
              <w:rPr>
                <w:rFonts w:eastAsia="Calibri"/>
                <w:sz w:val="20"/>
                <w:lang w:val="fr-CA"/>
              </w:rPr>
              <w:t>Cour d'appel fédérale</w:t>
            </w:r>
          </w:p>
          <w:p w:rsidR="00D70BA0" w:rsidRPr="009A6646" w:rsidRDefault="00D70BA0" w:rsidP="00D34781">
            <w:pPr>
              <w:jc w:val="both"/>
              <w:rPr>
                <w:rFonts w:eastAsia="Calibri"/>
                <w:sz w:val="20"/>
                <w:lang w:val="fr-CA"/>
              </w:rPr>
            </w:pPr>
            <w:r w:rsidRPr="009A6646">
              <w:rPr>
                <w:rFonts w:eastAsia="Calibri"/>
                <w:sz w:val="20"/>
                <w:lang w:val="fr-CA"/>
              </w:rPr>
              <w:t>(Juges Sharlow, Stratas et Webb)</w:t>
            </w:r>
          </w:p>
          <w:p w:rsidR="00D70BA0" w:rsidRPr="009A6646" w:rsidRDefault="007368AD" w:rsidP="00D34781">
            <w:pPr>
              <w:jc w:val="both"/>
              <w:rPr>
                <w:rFonts w:eastAsia="Calibri"/>
                <w:sz w:val="20"/>
                <w:lang w:val="fr-CA"/>
              </w:rPr>
            </w:pPr>
            <w:hyperlink r:id="rId30" w:history="1">
              <w:r w:rsidR="00D70BA0" w:rsidRPr="009A6646">
                <w:rPr>
                  <w:rFonts w:eastAsia="Calibri"/>
                  <w:color w:val="0000FF"/>
                  <w:sz w:val="20"/>
                  <w:u w:val="single"/>
                  <w:lang w:val="fr-CA"/>
                </w:rPr>
                <w:t>2013 FCA 67</w:t>
              </w:r>
            </w:hyperlink>
          </w:p>
          <w:p w:rsidR="00D70BA0" w:rsidRPr="009A6646" w:rsidRDefault="00D70BA0" w:rsidP="00D34781">
            <w:pPr>
              <w:jc w:val="both"/>
              <w:rPr>
                <w:rFonts w:eastAsia="Calibri"/>
                <w:sz w:val="20"/>
                <w:lang w:val="fr-CA"/>
              </w:rPr>
            </w:pPr>
          </w:p>
        </w:tc>
        <w:tc>
          <w:tcPr>
            <w:tcW w:w="243" w:type="pct"/>
          </w:tcPr>
          <w:p w:rsidR="00D70BA0" w:rsidRPr="009A6646" w:rsidRDefault="00D70BA0" w:rsidP="00D34781">
            <w:pPr>
              <w:jc w:val="both"/>
              <w:rPr>
                <w:rFonts w:eastAsia="Calibri"/>
                <w:sz w:val="20"/>
                <w:lang w:val="fr-CA"/>
              </w:rPr>
            </w:pPr>
          </w:p>
        </w:tc>
        <w:tc>
          <w:tcPr>
            <w:tcW w:w="2330" w:type="pct"/>
          </w:tcPr>
          <w:p w:rsidR="00D70BA0" w:rsidRPr="009A6646" w:rsidRDefault="00D70BA0" w:rsidP="00D34781">
            <w:pPr>
              <w:jc w:val="both"/>
              <w:rPr>
                <w:rFonts w:eastAsia="Calibri"/>
                <w:sz w:val="20"/>
                <w:lang w:val="fr-CA"/>
              </w:rPr>
            </w:pPr>
            <w:r w:rsidRPr="009A6646">
              <w:rPr>
                <w:rFonts w:eastAsia="Calibri"/>
                <w:sz w:val="20"/>
                <w:lang w:val="fr-CA"/>
              </w:rPr>
              <w:t>Requête de la Couronne en annulation de l’appel au motif que celui</w:t>
            </w:r>
            <w:r w:rsidRPr="009A6646">
              <w:rPr>
                <w:rFonts w:eastAsia="Calibri"/>
                <w:sz w:val="20"/>
                <w:lang w:val="fr-CA"/>
              </w:rPr>
              <w:noBreakHyphen/>
              <w:t>ci a été déposé hors délai et sans autorisation, accueillie.</w:t>
            </w:r>
          </w:p>
        </w:tc>
      </w:tr>
      <w:tr w:rsidR="00D70BA0" w:rsidRPr="009A6646" w:rsidTr="00D34781">
        <w:tc>
          <w:tcPr>
            <w:tcW w:w="2427" w:type="pct"/>
          </w:tcPr>
          <w:p w:rsidR="00D70BA0" w:rsidRPr="009A6646" w:rsidRDefault="00D70BA0" w:rsidP="00D34781">
            <w:pPr>
              <w:jc w:val="both"/>
              <w:rPr>
                <w:rFonts w:eastAsia="Calibri"/>
                <w:sz w:val="20"/>
                <w:lang w:val="fr-CA"/>
              </w:rPr>
            </w:pPr>
            <w:r w:rsidRPr="009A6646">
              <w:rPr>
                <w:rFonts w:eastAsia="Calibri"/>
                <w:sz w:val="20"/>
                <w:lang w:val="fr-CA"/>
              </w:rPr>
              <w:t>30 avril 2013</w:t>
            </w:r>
          </w:p>
          <w:p w:rsidR="00D70BA0" w:rsidRPr="009A6646" w:rsidRDefault="00D70BA0" w:rsidP="00D34781">
            <w:pPr>
              <w:jc w:val="both"/>
              <w:rPr>
                <w:rFonts w:eastAsia="Calibri"/>
                <w:sz w:val="20"/>
                <w:lang w:val="fr-CA"/>
              </w:rPr>
            </w:pPr>
            <w:r w:rsidRPr="009A6646">
              <w:rPr>
                <w:rFonts w:eastAsia="Calibri"/>
                <w:sz w:val="20"/>
                <w:lang w:val="fr-CA"/>
              </w:rPr>
              <w:t>Cour d'appel fédérale</w:t>
            </w:r>
          </w:p>
          <w:p w:rsidR="00D70BA0" w:rsidRPr="009A6646" w:rsidRDefault="00D70BA0" w:rsidP="00D34781">
            <w:pPr>
              <w:jc w:val="both"/>
              <w:rPr>
                <w:rFonts w:eastAsia="Calibri"/>
                <w:sz w:val="20"/>
                <w:lang w:val="fr-CA"/>
              </w:rPr>
            </w:pPr>
            <w:r w:rsidRPr="009A6646">
              <w:rPr>
                <w:rFonts w:eastAsia="Calibri"/>
                <w:sz w:val="20"/>
                <w:lang w:val="fr-CA"/>
              </w:rPr>
              <w:t>(Juges Sharlow, Stratas et Webb)</w:t>
            </w:r>
          </w:p>
          <w:p w:rsidR="00D70BA0" w:rsidRPr="009A6646" w:rsidRDefault="00D70BA0" w:rsidP="00D34781">
            <w:pPr>
              <w:jc w:val="both"/>
              <w:rPr>
                <w:rFonts w:eastAsia="Calibri"/>
                <w:sz w:val="20"/>
                <w:lang w:val="fr-CA"/>
              </w:rPr>
            </w:pPr>
            <w:r w:rsidRPr="009A6646">
              <w:rPr>
                <w:rFonts w:eastAsia="Calibri"/>
                <w:sz w:val="20"/>
                <w:lang w:val="fr-CA"/>
              </w:rPr>
              <w:t>N</w:t>
            </w:r>
            <w:r w:rsidRPr="009A6646">
              <w:rPr>
                <w:rFonts w:eastAsia="Calibri"/>
                <w:sz w:val="20"/>
                <w:vertAlign w:val="superscript"/>
                <w:lang w:val="fr-CA"/>
              </w:rPr>
              <w:t>o</w:t>
            </w:r>
            <w:r w:rsidRPr="009A6646">
              <w:rPr>
                <w:rFonts w:eastAsia="Calibri"/>
                <w:sz w:val="20"/>
                <w:lang w:val="fr-CA"/>
              </w:rPr>
              <w:t xml:space="preserve"> du greffe A-550-12</w:t>
            </w:r>
          </w:p>
          <w:p w:rsidR="00D70BA0" w:rsidRPr="009A6646" w:rsidRDefault="00D70BA0" w:rsidP="00D34781">
            <w:pPr>
              <w:jc w:val="both"/>
              <w:rPr>
                <w:rFonts w:eastAsia="Calibri"/>
                <w:sz w:val="20"/>
                <w:lang w:val="fr-CA"/>
              </w:rPr>
            </w:pPr>
          </w:p>
        </w:tc>
        <w:tc>
          <w:tcPr>
            <w:tcW w:w="243" w:type="pct"/>
          </w:tcPr>
          <w:p w:rsidR="00D70BA0" w:rsidRPr="009A6646" w:rsidRDefault="00D70BA0" w:rsidP="00D34781">
            <w:pPr>
              <w:jc w:val="both"/>
              <w:rPr>
                <w:rFonts w:eastAsia="Calibri"/>
                <w:sz w:val="20"/>
                <w:lang w:val="fr-CA"/>
              </w:rPr>
            </w:pPr>
          </w:p>
        </w:tc>
        <w:tc>
          <w:tcPr>
            <w:tcW w:w="2330" w:type="pct"/>
          </w:tcPr>
          <w:p w:rsidR="00D70BA0" w:rsidRPr="009A6646" w:rsidRDefault="00D70BA0" w:rsidP="00D34781">
            <w:pPr>
              <w:jc w:val="both"/>
              <w:rPr>
                <w:rFonts w:eastAsia="Calibri"/>
                <w:sz w:val="20"/>
                <w:lang w:val="fr-CA"/>
              </w:rPr>
            </w:pPr>
            <w:r w:rsidRPr="009A6646">
              <w:rPr>
                <w:rFonts w:eastAsia="Calibri"/>
                <w:sz w:val="20"/>
                <w:lang w:val="fr-CA"/>
              </w:rPr>
              <w:t>Requête en réexamen, rejetée.</w:t>
            </w:r>
          </w:p>
          <w:p w:rsidR="00D70BA0" w:rsidRPr="009A6646" w:rsidRDefault="00D70BA0" w:rsidP="00D34781">
            <w:pPr>
              <w:jc w:val="both"/>
              <w:rPr>
                <w:rFonts w:eastAsia="Calibri"/>
                <w:sz w:val="20"/>
                <w:lang w:val="fr-CA"/>
              </w:rPr>
            </w:pPr>
          </w:p>
        </w:tc>
      </w:tr>
      <w:tr w:rsidR="00D70BA0" w:rsidRPr="009A6646" w:rsidTr="00D34781">
        <w:tc>
          <w:tcPr>
            <w:tcW w:w="2427" w:type="pct"/>
          </w:tcPr>
          <w:p w:rsidR="00D70BA0" w:rsidRPr="009A6646" w:rsidRDefault="00D70BA0" w:rsidP="00D34781">
            <w:pPr>
              <w:jc w:val="both"/>
              <w:rPr>
                <w:rFonts w:eastAsia="Calibri"/>
                <w:sz w:val="20"/>
                <w:lang w:val="fr-CA"/>
              </w:rPr>
            </w:pPr>
            <w:r w:rsidRPr="009A6646">
              <w:rPr>
                <w:rFonts w:eastAsia="Calibri"/>
                <w:sz w:val="20"/>
                <w:lang w:val="fr-CA"/>
              </w:rPr>
              <w:t>26 juin 2013</w:t>
            </w:r>
          </w:p>
          <w:p w:rsidR="00D70BA0" w:rsidRPr="009A6646" w:rsidRDefault="00D70BA0" w:rsidP="00D34781">
            <w:pPr>
              <w:jc w:val="both"/>
              <w:rPr>
                <w:rFonts w:eastAsia="Calibri"/>
                <w:sz w:val="20"/>
                <w:lang w:val="fr-CA"/>
              </w:rPr>
            </w:pPr>
            <w:r w:rsidRPr="009A6646">
              <w:rPr>
                <w:rFonts w:eastAsia="Calibri"/>
                <w:sz w:val="20"/>
                <w:lang w:val="fr-CA"/>
              </w:rPr>
              <w:t>Cour suprême du Canada</w:t>
            </w:r>
          </w:p>
        </w:tc>
        <w:tc>
          <w:tcPr>
            <w:tcW w:w="243" w:type="pct"/>
          </w:tcPr>
          <w:p w:rsidR="00D70BA0" w:rsidRPr="009A6646" w:rsidRDefault="00D70BA0" w:rsidP="00D34781">
            <w:pPr>
              <w:jc w:val="both"/>
              <w:rPr>
                <w:rFonts w:eastAsia="Calibri"/>
                <w:sz w:val="20"/>
                <w:lang w:val="fr-CA"/>
              </w:rPr>
            </w:pPr>
          </w:p>
        </w:tc>
        <w:tc>
          <w:tcPr>
            <w:tcW w:w="2330" w:type="pct"/>
          </w:tcPr>
          <w:p w:rsidR="00D70BA0" w:rsidRPr="009A6646" w:rsidRDefault="00D70BA0" w:rsidP="00D34781">
            <w:pPr>
              <w:jc w:val="both"/>
              <w:rPr>
                <w:rFonts w:eastAsia="Calibri"/>
                <w:sz w:val="20"/>
                <w:lang w:val="fr-CA"/>
              </w:rPr>
            </w:pPr>
            <w:r w:rsidRPr="009A6646">
              <w:rPr>
                <w:rFonts w:eastAsia="Calibri"/>
                <w:sz w:val="20"/>
                <w:lang w:val="fr-CA"/>
              </w:rPr>
              <w:t>Demande d'autorisation d'appel, déposée.</w:t>
            </w:r>
          </w:p>
          <w:p w:rsidR="00D70BA0" w:rsidRPr="009A6646" w:rsidRDefault="00D70BA0" w:rsidP="00D34781">
            <w:pPr>
              <w:jc w:val="both"/>
              <w:rPr>
                <w:rFonts w:eastAsia="Calibri"/>
                <w:sz w:val="20"/>
                <w:lang w:val="fr-CA"/>
              </w:rPr>
            </w:pPr>
          </w:p>
        </w:tc>
      </w:tr>
    </w:tbl>
    <w:p w:rsidR="00D70BA0" w:rsidRDefault="00D70BA0" w:rsidP="00D70BA0">
      <w:pPr>
        <w:rPr>
          <w:sz w:val="20"/>
          <w:szCs w:val="20"/>
        </w:rPr>
      </w:pPr>
    </w:p>
    <w:p w:rsidR="00D70BA0" w:rsidRDefault="007368AD" w:rsidP="000E2959">
      <w:pPr>
        <w:rPr>
          <w:sz w:val="20"/>
          <w:szCs w:val="20"/>
        </w:rPr>
      </w:pPr>
      <w:r>
        <w:rPr>
          <w:sz w:val="20"/>
          <w:szCs w:val="20"/>
          <w:lang w:val="fr-CA"/>
        </w:rPr>
        <w:pict>
          <v:rect id="_x0000_i1037" style="width:2in;height:1pt" o:hrpct="0" o:hralign="center" o:hrstd="t" o:hrnoshade="t" o:hr="t" fillcolor="black [3213]" stroked="f"/>
        </w:pict>
      </w:r>
    </w:p>
    <w:p w:rsidR="00D70BA0" w:rsidRDefault="00D70BA0" w:rsidP="00D70BA0">
      <w:pPr>
        <w:rPr>
          <w:sz w:val="20"/>
          <w:szCs w:val="20"/>
        </w:rPr>
      </w:pPr>
    </w:p>
    <w:tbl>
      <w:tblPr>
        <w:tblStyle w:val="TableGrid3"/>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1458"/>
        <w:gridCol w:w="8118"/>
      </w:tblGrid>
      <w:tr w:rsidR="00DE585D" w:rsidRPr="00DE585D" w:rsidTr="00E4451A">
        <w:trPr>
          <w:cantSplit/>
        </w:trPr>
        <w:tc>
          <w:tcPr>
            <w:tcW w:w="1458" w:type="dxa"/>
          </w:tcPr>
          <w:p w:rsidR="00DE585D" w:rsidRPr="00DE585D" w:rsidRDefault="00DE585D" w:rsidP="00DE585D">
            <w:pPr>
              <w:rPr>
                <w:sz w:val="20"/>
              </w:rPr>
            </w:pPr>
            <w:r w:rsidRPr="00DE585D">
              <w:rPr>
                <w:b/>
                <w:sz w:val="20"/>
                <w:lang w:val="fr-CA"/>
              </w:rPr>
              <w:lastRenderedPageBreak/>
              <w:t>35435</w:t>
            </w:r>
          </w:p>
          <w:p w:rsidR="00DE585D" w:rsidRPr="00DE585D" w:rsidRDefault="00DE585D" w:rsidP="00DE585D">
            <w:pPr>
              <w:rPr>
                <w:b/>
                <w:sz w:val="20"/>
                <w:lang w:val="fr-CA"/>
              </w:rPr>
            </w:pPr>
          </w:p>
        </w:tc>
        <w:tc>
          <w:tcPr>
            <w:tcW w:w="8118" w:type="dxa"/>
          </w:tcPr>
          <w:p w:rsidR="00DE585D" w:rsidRPr="00DE585D" w:rsidRDefault="00DE585D" w:rsidP="00DE585D">
            <w:pPr>
              <w:jc w:val="both"/>
              <w:rPr>
                <w:sz w:val="20"/>
              </w:rPr>
            </w:pPr>
            <w:r w:rsidRPr="00DE585D">
              <w:rPr>
                <w:b/>
                <w:sz w:val="20"/>
                <w:u w:val="single"/>
              </w:rPr>
              <w:t>Daniel Walter Hill v. Paul James Hill, Richard P. Rendek, Rand Flynn, Famhill Investments Limited</w:t>
            </w:r>
            <w:r w:rsidR="00E4451A">
              <w:rPr>
                <w:b/>
                <w:sz w:val="20"/>
                <w:u w:val="single"/>
              </w:rPr>
              <w:t xml:space="preserve"> and</w:t>
            </w:r>
            <w:r w:rsidRPr="00DE585D">
              <w:rPr>
                <w:b/>
                <w:sz w:val="20"/>
                <w:u w:val="single"/>
              </w:rPr>
              <w:t xml:space="preserve"> Harvard Developments Inc.</w:t>
            </w:r>
            <w:r w:rsidRPr="00DE585D">
              <w:rPr>
                <w:sz w:val="20"/>
              </w:rPr>
              <w:t xml:space="preserve"> (Alta.) (Civil) (By Leave)</w:t>
            </w:r>
          </w:p>
          <w:p w:rsidR="00DE585D" w:rsidRPr="00DE585D" w:rsidRDefault="00DE585D" w:rsidP="00DE585D">
            <w:pPr>
              <w:jc w:val="both"/>
              <w:rPr>
                <w:sz w:val="20"/>
              </w:rPr>
            </w:pPr>
          </w:p>
        </w:tc>
      </w:tr>
      <w:tr w:rsidR="00DE585D" w:rsidRPr="00DE585D" w:rsidTr="00E4451A">
        <w:trPr>
          <w:cantSplit/>
        </w:trPr>
        <w:tc>
          <w:tcPr>
            <w:tcW w:w="1458" w:type="dxa"/>
          </w:tcPr>
          <w:p w:rsidR="00DE585D" w:rsidRPr="00DE585D" w:rsidRDefault="00DE585D" w:rsidP="00DE585D">
            <w:pPr>
              <w:rPr>
                <w:sz w:val="20"/>
              </w:rPr>
            </w:pPr>
            <w:r w:rsidRPr="00DE585D">
              <w:rPr>
                <w:sz w:val="20"/>
              </w:rPr>
              <w:t>Coram :</w:t>
            </w:r>
          </w:p>
        </w:tc>
        <w:tc>
          <w:tcPr>
            <w:tcW w:w="8118" w:type="dxa"/>
          </w:tcPr>
          <w:p w:rsidR="00DE585D" w:rsidRPr="00DE585D" w:rsidRDefault="00DE585D" w:rsidP="00DE585D">
            <w:pPr>
              <w:rPr>
                <w:sz w:val="20"/>
              </w:rPr>
            </w:pPr>
            <w:r w:rsidRPr="00DE585D">
              <w:rPr>
                <w:sz w:val="20"/>
                <w:u w:val="single"/>
              </w:rPr>
              <w:t>Abella, Rothstein and Moldaver JJ.</w:t>
            </w:r>
          </w:p>
          <w:p w:rsidR="00DE585D" w:rsidRPr="00DE585D" w:rsidRDefault="00DE585D" w:rsidP="00DE585D">
            <w:pPr>
              <w:rPr>
                <w:sz w:val="20"/>
                <w:u w:val="single"/>
              </w:rPr>
            </w:pPr>
          </w:p>
        </w:tc>
      </w:tr>
      <w:tr w:rsidR="00DE585D" w:rsidRPr="007368AD" w:rsidTr="00E4451A">
        <w:trPr>
          <w:cantSplit/>
        </w:trPr>
        <w:tc>
          <w:tcPr>
            <w:tcW w:w="9576" w:type="dxa"/>
            <w:gridSpan w:val="2"/>
          </w:tcPr>
          <w:p w:rsidR="00DE585D" w:rsidRPr="00DE585D" w:rsidRDefault="00DE585D" w:rsidP="00DE585D">
            <w:pPr>
              <w:ind w:firstLine="720"/>
              <w:jc w:val="both"/>
              <w:rPr>
                <w:sz w:val="20"/>
              </w:rPr>
            </w:pPr>
            <w:r w:rsidRPr="00DE585D">
              <w:rPr>
                <w:sz w:val="20"/>
              </w:rPr>
              <w:t>The motions for an extension of time to serve and file the application for leave to appeal and the motion for leave to intervene are granted. The motion for leave to intervene by George Robert Swan is dismissed.  The motion to hold the application for leave to appeal in abeyance is dismissed.  The application for leave to appeal from the judgment of the Court of Appeal of Alberta (Calgary), Number 1201-0146-AC, 2013 ABCA 137, dated April 23, 2013 is dismissed with costs.</w:t>
            </w:r>
          </w:p>
          <w:p w:rsidR="00DE585D" w:rsidRPr="00DE585D" w:rsidRDefault="00DE585D" w:rsidP="00DE585D">
            <w:pPr>
              <w:jc w:val="both"/>
              <w:rPr>
                <w:sz w:val="20"/>
              </w:rPr>
            </w:pPr>
          </w:p>
          <w:p w:rsidR="00DE585D" w:rsidRPr="00DE585D" w:rsidRDefault="00DE585D" w:rsidP="00DE585D">
            <w:pPr>
              <w:ind w:firstLine="720"/>
              <w:jc w:val="both"/>
              <w:rPr>
                <w:sz w:val="20"/>
                <w:lang w:val="fr-CA"/>
              </w:rPr>
            </w:pPr>
            <w:r w:rsidRPr="00DE585D">
              <w:rPr>
                <w:sz w:val="20"/>
                <w:lang w:val="fr-CA"/>
              </w:rPr>
              <w:t>Les requêtes en prorogation du délai de signification et de dépôt de la demande d’autorisation d’appel et de la requête pour permission d’intervenir sont accueillies.  La requête pour permission d’intervenir de George Robert Swan est rejetée.  La requête en vue de faire suspendre la demande d’autorisation d’appel est rejetée.  La demande d’autorisation d’appel de l’arrêt de la Cour d'appel de l’Alberta (Calgary), numéro 1201-0146-AC, 2013 ABCA 137, daté du 23 avril 2013, est rejetée avec dépens.</w:t>
            </w:r>
          </w:p>
        </w:tc>
      </w:tr>
    </w:tbl>
    <w:p w:rsidR="00D70BA0" w:rsidRPr="00DE585D" w:rsidRDefault="00D70BA0" w:rsidP="00D70BA0">
      <w:pPr>
        <w:rPr>
          <w:sz w:val="20"/>
          <w:szCs w:val="20"/>
          <w:lang w:val="fr-CA"/>
        </w:rPr>
      </w:pPr>
    </w:p>
    <w:p w:rsidR="00D70BA0" w:rsidRPr="001B157C" w:rsidRDefault="00D70BA0" w:rsidP="00D70BA0">
      <w:pPr>
        <w:rPr>
          <w:sz w:val="20"/>
          <w:szCs w:val="20"/>
          <w:u w:val="single"/>
        </w:rPr>
      </w:pPr>
      <w:r w:rsidRPr="001B157C">
        <w:rPr>
          <w:sz w:val="20"/>
          <w:szCs w:val="20"/>
          <w:u w:val="single"/>
        </w:rPr>
        <w:t>CASE SUMMARY</w:t>
      </w:r>
    </w:p>
    <w:p w:rsidR="00D70BA0" w:rsidRDefault="00D70BA0" w:rsidP="00D70BA0">
      <w:pPr>
        <w:rPr>
          <w:sz w:val="20"/>
          <w:szCs w:val="20"/>
        </w:rPr>
      </w:pPr>
    </w:p>
    <w:tbl>
      <w:tblPr>
        <w:tblW w:w="4952" w:type="pct"/>
        <w:tblLayout w:type="fixed"/>
        <w:tblCellMar>
          <w:left w:w="0" w:type="dxa"/>
          <w:bottom w:w="99" w:type="dxa"/>
          <w:right w:w="0" w:type="dxa"/>
        </w:tblCellMar>
        <w:tblLook w:val="04A0" w:firstRow="1" w:lastRow="0" w:firstColumn="1" w:lastColumn="0" w:noHBand="0" w:noVBand="1"/>
      </w:tblPr>
      <w:tblGrid>
        <w:gridCol w:w="4624"/>
        <w:gridCol w:w="463"/>
        <w:gridCol w:w="4440"/>
      </w:tblGrid>
      <w:tr w:rsidR="00D70BA0" w:rsidRPr="002B3EA3" w:rsidTr="00D34781">
        <w:tc>
          <w:tcPr>
            <w:tcW w:w="5000" w:type="pct"/>
            <w:gridSpan w:val="3"/>
          </w:tcPr>
          <w:p w:rsidR="00D70BA0" w:rsidRPr="002B3EA3" w:rsidRDefault="00D70BA0" w:rsidP="00D34781">
            <w:pPr>
              <w:jc w:val="both"/>
              <w:rPr>
                <w:rFonts w:eastAsia="Calibri"/>
                <w:sz w:val="20"/>
              </w:rPr>
            </w:pPr>
            <w:r w:rsidRPr="002B3EA3">
              <w:rPr>
                <w:rFonts w:eastAsia="Calibri"/>
                <w:sz w:val="20"/>
              </w:rPr>
              <w:t>Trusts – Property – Personal property – Effective transfer – Fiduciary duties – Whether the evidence established that a valid deed of appointment transferred common shares held in trust to some beneficiaries in 1975 – What is required to exercise a power bestowed by a trust – What is required to avoid the effect of a document signed by the trustees, for want of subjective intent – Can a trustee rely on a breach of his own duties to avoid the effect of a document he signed, in particular where that trustee will take the trust property for himself – Should a party be bound to representations to a third party government licensing body – May a party resile from information in a sworn affidavit that its co-defendant had submitted – Is a party entitled to appellate review of inherently inconsistent trial findings.</w:t>
            </w:r>
          </w:p>
        </w:tc>
      </w:tr>
      <w:tr w:rsidR="00D70BA0" w:rsidRPr="002B3EA3" w:rsidTr="00D34781">
        <w:tc>
          <w:tcPr>
            <w:tcW w:w="5000" w:type="pct"/>
            <w:gridSpan w:val="3"/>
          </w:tcPr>
          <w:p w:rsidR="00D70BA0" w:rsidRPr="002B3EA3" w:rsidRDefault="00D70BA0" w:rsidP="00D34781">
            <w:pPr>
              <w:jc w:val="both"/>
              <w:rPr>
                <w:rFonts w:eastAsia="Calibri"/>
                <w:sz w:val="20"/>
              </w:rPr>
            </w:pPr>
          </w:p>
        </w:tc>
      </w:tr>
      <w:tr w:rsidR="00D70BA0" w:rsidRPr="002B3EA3" w:rsidTr="00D34781">
        <w:tc>
          <w:tcPr>
            <w:tcW w:w="5000" w:type="pct"/>
            <w:gridSpan w:val="3"/>
          </w:tcPr>
          <w:p w:rsidR="00D70BA0" w:rsidRPr="002B3EA3" w:rsidRDefault="00D70BA0" w:rsidP="00D34781">
            <w:pPr>
              <w:jc w:val="both"/>
              <w:rPr>
                <w:rFonts w:eastAsia="Calibri"/>
                <w:sz w:val="20"/>
              </w:rPr>
            </w:pPr>
            <w:r w:rsidRPr="002B3EA3">
              <w:rPr>
                <w:rFonts w:eastAsia="Calibri"/>
                <w:sz w:val="20"/>
              </w:rPr>
              <w:t>This application relates to a dispute over the effectiveness of a 1975-76 deed of appointment by the trustees of the Frederick W. Hill Family Trust.  The trust had been set up as a sprinkling trust, under which the trustees were given 21 years in which to decide how to allocate transfers of the capital among a class of beneficiaries.  Among the beneficiaries were the five young children of Fred Hill, two of whom were described as incapable of handling their own affairs. The applicant claimed that a year after the trust’s creation, the trustees executed a deed of appointment transferring the common shares of the family company to four of the five Hill children, of which he was one.  One of the defendants and a defence witness who were also beneficiaries of the purported transfer claim that no such appointment took place until 1995, when all common shares were transferred to the defendant Paul Hill.  The deed of appointment was never found, but the applicant relies on a power of attorney to transfer shares that had been executed by the trustees and a directors’ resolution consenting to the transfer.  There was contradictory evidence before the court.</w:t>
            </w:r>
          </w:p>
          <w:p w:rsidR="00D70BA0" w:rsidRPr="002B3EA3" w:rsidRDefault="00D70BA0" w:rsidP="00D34781">
            <w:pPr>
              <w:jc w:val="both"/>
              <w:rPr>
                <w:rFonts w:eastAsia="Calibri"/>
                <w:sz w:val="20"/>
              </w:rPr>
            </w:pPr>
          </w:p>
          <w:p w:rsidR="00D70BA0" w:rsidRPr="002B3EA3" w:rsidRDefault="00D70BA0" w:rsidP="00D34781">
            <w:pPr>
              <w:jc w:val="both"/>
              <w:rPr>
                <w:rFonts w:eastAsia="Calibri"/>
                <w:sz w:val="20"/>
              </w:rPr>
            </w:pPr>
            <w:r w:rsidRPr="002B3EA3">
              <w:rPr>
                <w:rFonts w:eastAsia="Calibri"/>
                <w:sz w:val="20"/>
              </w:rPr>
              <w:t>The Court of Queen’s Bench of Alberta held that no valid appointment of trust assets took place in 1975-76.  The applicant’s action was dismissed, as was his appeal.</w:t>
            </w:r>
          </w:p>
          <w:p w:rsidR="00D70BA0" w:rsidRPr="002B3EA3" w:rsidRDefault="00D70BA0" w:rsidP="00D34781">
            <w:pPr>
              <w:jc w:val="both"/>
              <w:rPr>
                <w:rFonts w:eastAsia="Calibri"/>
                <w:sz w:val="20"/>
              </w:rPr>
            </w:pPr>
          </w:p>
        </w:tc>
      </w:tr>
      <w:tr w:rsidR="00D70BA0" w:rsidRPr="002B3EA3" w:rsidTr="00D34781">
        <w:tc>
          <w:tcPr>
            <w:tcW w:w="2427" w:type="pct"/>
          </w:tcPr>
          <w:p w:rsidR="00D70BA0" w:rsidRPr="002B3EA3" w:rsidRDefault="00D70BA0" w:rsidP="00D34781">
            <w:pPr>
              <w:jc w:val="both"/>
              <w:rPr>
                <w:rFonts w:eastAsia="Calibri"/>
                <w:sz w:val="20"/>
              </w:rPr>
            </w:pPr>
            <w:r w:rsidRPr="002B3EA3">
              <w:rPr>
                <w:rFonts w:eastAsia="Calibri"/>
                <w:sz w:val="20"/>
              </w:rPr>
              <w:t>May 9, 2012</w:t>
            </w:r>
          </w:p>
          <w:p w:rsidR="00D70BA0" w:rsidRPr="002B3EA3" w:rsidRDefault="00D70BA0" w:rsidP="00D34781">
            <w:pPr>
              <w:jc w:val="both"/>
              <w:rPr>
                <w:rFonts w:eastAsia="Calibri"/>
                <w:sz w:val="20"/>
              </w:rPr>
            </w:pPr>
            <w:r w:rsidRPr="002B3EA3">
              <w:rPr>
                <w:rFonts w:eastAsia="Calibri"/>
                <w:sz w:val="20"/>
              </w:rPr>
              <w:t>Court of Queen’s Bench of Alberta</w:t>
            </w:r>
          </w:p>
          <w:p w:rsidR="00D70BA0" w:rsidRPr="002B3EA3" w:rsidRDefault="00D70BA0" w:rsidP="00D34781">
            <w:pPr>
              <w:jc w:val="both"/>
              <w:rPr>
                <w:rFonts w:eastAsia="Calibri"/>
                <w:sz w:val="20"/>
              </w:rPr>
            </w:pPr>
            <w:r w:rsidRPr="002B3EA3">
              <w:rPr>
                <w:rFonts w:eastAsia="Calibri"/>
                <w:sz w:val="20"/>
              </w:rPr>
              <w:t>(Wilson J.)</w:t>
            </w:r>
          </w:p>
          <w:p w:rsidR="00D70BA0" w:rsidRPr="002B3EA3" w:rsidRDefault="007368AD" w:rsidP="00D34781">
            <w:pPr>
              <w:jc w:val="both"/>
              <w:rPr>
                <w:rFonts w:eastAsia="Calibri"/>
                <w:sz w:val="20"/>
              </w:rPr>
            </w:pPr>
            <w:hyperlink r:id="rId31" w:history="1">
              <w:r w:rsidR="00D70BA0" w:rsidRPr="002B3EA3">
                <w:rPr>
                  <w:rFonts w:eastAsia="Calibri"/>
                  <w:color w:val="0000FF"/>
                  <w:sz w:val="20"/>
                  <w:u w:val="single"/>
                </w:rPr>
                <w:t>2012 ABQB 256</w:t>
              </w:r>
            </w:hyperlink>
          </w:p>
          <w:p w:rsidR="00D70BA0" w:rsidRPr="002B3EA3" w:rsidRDefault="00D70BA0" w:rsidP="00D34781">
            <w:pPr>
              <w:jc w:val="both"/>
              <w:rPr>
                <w:rFonts w:eastAsia="Calibri"/>
                <w:sz w:val="20"/>
              </w:rPr>
            </w:pPr>
          </w:p>
        </w:tc>
        <w:tc>
          <w:tcPr>
            <w:tcW w:w="243" w:type="pct"/>
          </w:tcPr>
          <w:p w:rsidR="00D70BA0" w:rsidRPr="002B3EA3" w:rsidRDefault="00D70BA0" w:rsidP="00D34781">
            <w:pPr>
              <w:jc w:val="both"/>
              <w:rPr>
                <w:rFonts w:eastAsia="Calibri"/>
                <w:sz w:val="20"/>
              </w:rPr>
            </w:pPr>
          </w:p>
        </w:tc>
        <w:tc>
          <w:tcPr>
            <w:tcW w:w="2330" w:type="pct"/>
          </w:tcPr>
          <w:p w:rsidR="00D70BA0" w:rsidRPr="002B3EA3" w:rsidRDefault="00D70BA0" w:rsidP="00D34781">
            <w:pPr>
              <w:jc w:val="both"/>
              <w:rPr>
                <w:rFonts w:eastAsia="Calibri"/>
                <w:sz w:val="20"/>
              </w:rPr>
            </w:pPr>
            <w:r w:rsidRPr="002B3EA3">
              <w:rPr>
                <w:rFonts w:eastAsia="Calibri"/>
                <w:sz w:val="20"/>
              </w:rPr>
              <w:t>Applicant’s action dismissed</w:t>
            </w:r>
          </w:p>
          <w:p w:rsidR="00D70BA0" w:rsidRPr="002B3EA3" w:rsidRDefault="00D70BA0" w:rsidP="00D34781">
            <w:pPr>
              <w:jc w:val="both"/>
              <w:rPr>
                <w:rFonts w:eastAsia="Calibri"/>
                <w:sz w:val="20"/>
              </w:rPr>
            </w:pPr>
          </w:p>
        </w:tc>
      </w:tr>
      <w:tr w:rsidR="00D70BA0" w:rsidRPr="002B3EA3" w:rsidTr="00D34781">
        <w:tc>
          <w:tcPr>
            <w:tcW w:w="2427" w:type="pct"/>
          </w:tcPr>
          <w:p w:rsidR="00D70BA0" w:rsidRPr="002B3EA3" w:rsidRDefault="00D70BA0" w:rsidP="00D34781">
            <w:pPr>
              <w:jc w:val="both"/>
              <w:rPr>
                <w:rFonts w:eastAsia="Calibri"/>
                <w:sz w:val="20"/>
              </w:rPr>
            </w:pPr>
            <w:r w:rsidRPr="002B3EA3">
              <w:rPr>
                <w:rFonts w:eastAsia="Calibri"/>
                <w:sz w:val="20"/>
              </w:rPr>
              <w:t>April 23, 2013</w:t>
            </w:r>
          </w:p>
          <w:p w:rsidR="00D70BA0" w:rsidRPr="002B3EA3" w:rsidRDefault="00D70BA0" w:rsidP="00D34781">
            <w:pPr>
              <w:jc w:val="both"/>
              <w:rPr>
                <w:rFonts w:eastAsia="Calibri"/>
                <w:sz w:val="20"/>
              </w:rPr>
            </w:pPr>
            <w:r w:rsidRPr="002B3EA3">
              <w:rPr>
                <w:rFonts w:eastAsia="Calibri"/>
                <w:sz w:val="20"/>
              </w:rPr>
              <w:t>Court of Appeal of Alberta (Calgary)</w:t>
            </w:r>
          </w:p>
          <w:p w:rsidR="00D70BA0" w:rsidRPr="002B3EA3" w:rsidRDefault="00D70BA0" w:rsidP="00D34781">
            <w:pPr>
              <w:jc w:val="both"/>
              <w:rPr>
                <w:rFonts w:eastAsia="Calibri"/>
                <w:sz w:val="20"/>
              </w:rPr>
            </w:pPr>
            <w:r w:rsidRPr="002B3EA3">
              <w:rPr>
                <w:rFonts w:eastAsia="Calibri"/>
                <w:sz w:val="20"/>
              </w:rPr>
              <w:t>(Côté, Costigan and Hughes JJ. A.)</w:t>
            </w:r>
          </w:p>
          <w:p w:rsidR="00D70BA0" w:rsidRPr="002B3EA3" w:rsidRDefault="007368AD" w:rsidP="00D34781">
            <w:pPr>
              <w:jc w:val="both"/>
              <w:rPr>
                <w:rFonts w:eastAsia="Calibri"/>
                <w:sz w:val="20"/>
              </w:rPr>
            </w:pPr>
            <w:hyperlink r:id="rId32" w:history="1">
              <w:r w:rsidR="00D70BA0" w:rsidRPr="002B3EA3">
                <w:rPr>
                  <w:rFonts w:eastAsia="Calibri"/>
                  <w:color w:val="0000FF"/>
                  <w:sz w:val="20"/>
                  <w:u w:val="single"/>
                </w:rPr>
                <w:t>2013 ABCA 137</w:t>
              </w:r>
            </w:hyperlink>
          </w:p>
          <w:p w:rsidR="00D70BA0" w:rsidRPr="002B3EA3" w:rsidRDefault="00D70BA0" w:rsidP="00D34781">
            <w:pPr>
              <w:jc w:val="both"/>
              <w:rPr>
                <w:rFonts w:eastAsia="Calibri"/>
                <w:sz w:val="20"/>
              </w:rPr>
            </w:pPr>
          </w:p>
        </w:tc>
        <w:tc>
          <w:tcPr>
            <w:tcW w:w="243" w:type="pct"/>
          </w:tcPr>
          <w:p w:rsidR="00D70BA0" w:rsidRPr="002B3EA3" w:rsidRDefault="00D70BA0" w:rsidP="00D34781">
            <w:pPr>
              <w:jc w:val="both"/>
              <w:rPr>
                <w:rFonts w:eastAsia="Calibri"/>
                <w:sz w:val="20"/>
              </w:rPr>
            </w:pPr>
          </w:p>
        </w:tc>
        <w:tc>
          <w:tcPr>
            <w:tcW w:w="2330" w:type="pct"/>
          </w:tcPr>
          <w:p w:rsidR="00D70BA0" w:rsidRPr="002B3EA3" w:rsidRDefault="00D70BA0" w:rsidP="00D34781">
            <w:pPr>
              <w:jc w:val="both"/>
              <w:rPr>
                <w:rFonts w:eastAsia="Calibri"/>
                <w:sz w:val="20"/>
              </w:rPr>
            </w:pPr>
            <w:r w:rsidRPr="002B3EA3">
              <w:rPr>
                <w:rFonts w:eastAsia="Calibri"/>
                <w:sz w:val="20"/>
              </w:rPr>
              <w:t>Appeal dismissed</w:t>
            </w:r>
          </w:p>
          <w:p w:rsidR="00D70BA0" w:rsidRPr="002B3EA3" w:rsidRDefault="00D70BA0" w:rsidP="00D34781">
            <w:pPr>
              <w:jc w:val="both"/>
              <w:rPr>
                <w:rFonts w:eastAsia="Calibri"/>
                <w:sz w:val="20"/>
              </w:rPr>
            </w:pPr>
          </w:p>
        </w:tc>
      </w:tr>
      <w:tr w:rsidR="00D70BA0" w:rsidRPr="002B3EA3" w:rsidTr="00D34781">
        <w:tc>
          <w:tcPr>
            <w:tcW w:w="2427" w:type="pct"/>
          </w:tcPr>
          <w:p w:rsidR="00D70BA0" w:rsidRPr="002B3EA3" w:rsidRDefault="00D70BA0" w:rsidP="00D34781">
            <w:pPr>
              <w:jc w:val="both"/>
              <w:rPr>
                <w:rFonts w:eastAsia="Calibri"/>
                <w:sz w:val="20"/>
              </w:rPr>
            </w:pPr>
            <w:r w:rsidRPr="002B3EA3">
              <w:rPr>
                <w:rFonts w:eastAsia="Calibri"/>
                <w:sz w:val="20"/>
              </w:rPr>
              <w:lastRenderedPageBreak/>
              <w:t>July 2, 2013</w:t>
            </w:r>
          </w:p>
          <w:p w:rsidR="00D70BA0" w:rsidRPr="002B3EA3" w:rsidRDefault="00D70BA0" w:rsidP="00D34781">
            <w:pPr>
              <w:jc w:val="both"/>
              <w:rPr>
                <w:rFonts w:eastAsia="Calibri"/>
                <w:sz w:val="20"/>
              </w:rPr>
            </w:pPr>
            <w:r w:rsidRPr="002B3EA3">
              <w:rPr>
                <w:rFonts w:eastAsia="Calibri"/>
                <w:sz w:val="20"/>
              </w:rPr>
              <w:t>Supreme Court of Canada</w:t>
            </w:r>
          </w:p>
        </w:tc>
        <w:tc>
          <w:tcPr>
            <w:tcW w:w="243" w:type="pct"/>
          </w:tcPr>
          <w:p w:rsidR="00D70BA0" w:rsidRPr="002B3EA3" w:rsidRDefault="00D70BA0" w:rsidP="00D34781">
            <w:pPr>
              <w:jc w:val="both"/>
              <w:rPr>
                <w:rFonts w:eastAsia="Calibri"/>
                <w:sz w:val="20"/>
              </w:rPr>
            </w:pPr>
          </w:p>
        </w:tc>
        <w:tc>
          <w:tcPr>
            <w:tcW w:w="2330" w:type="pct"/>
          </w:tcPr>
          <w:p w:rsidR="00D70BA0" w:rsidRPr="002B3EA3" w:rsidRDefault="00D70BA0" w:rsidP="00D34781">
            <w:pPr>
              <w:jc w:val="both"/>
              <w:rPr>
                <w:rFonts w:eastAsia="Calibri"/>
                <w:sz w:val="20"/>
              </w:rPr>
            </w:pPr>
            <w:r w:rsidRPr="002B3EA3">
              <w:rPr>
                <w:rFonts w:eastAsia="Calibri"/>
                <w:sz w:val="20"/>
              </w:rPr>
              <w:t>Motion for an extension of time to serve and file the leave application and application for leave to appeal filed</w:t>
            </w:r>
          </w:p>
        </w:tc>
      </w:tr>
    </w:tbl>
    <w:p w:rsidR="00D70BA0" w:rsidRDefault="00D70BA0" w:rsidP="00D70BA0">
      <w:pPr>
        <w:rPr>
          <w:sz w:val="20"/>
          <w:szCs w:val="20"/>
        </w:rPr>
      </w:pPr>
    </w:p>
    <w:p w:rsidR="00D70BA0" w:rsidRDefault="007368AD" w:rsidP="00D70BA0">
      <w:pPr>
        <w:rPr>
          <w:sz w:val="20"/>
          <w:szCs w:val="20"/>
        </w:rPr>
      </w:pPr>
      <w:r>
        <w:rPr>
          <w:sz w:val="20"/>
          <w:szCs w:val="20"/>
          <w:lang w:val="fr-CA"/>
        </w:rPr>
        <w:pict>
          <v:rect id="_x0000_i1038" style="width:2in;height:1pt" o:hrpct="0" o:hralign="center" o:hrstd="t" o:hrnoshade="t" o:hr="t" fillcolor="black [3213]" stroked="f"/>
        </w:pict>
      </w:r>
    </w:p>
    <w:p w:rsidR="00D70BA0" w:rsidRDefault="00D70BA0" w:rsidP="00D70BA0">
      <w:pPr>
        <w:rPr>
          <w:sz w:val="20"/>
          <w:szCs w:val="20"/>
        </w:rPr>
      </w:pPr>
    </w:p>
    <w:p w:rsidR="00D70BA0" w:rsidRPr="001B157C" w:rsidRDefault="00D70BA0" w:rsidP="00D70BA0">
      <w:pPr>
        <w:rPr>
          <w:sz w:val="20"/>
          <w:szCs w:val="20"/>
          <w:u w:val="single"/>
          <w:lang w:val="fr-CA"/>
        </w:rPr>
      </w:pPr>
      <w:r w:rsidRPr="001B157C">
        <w:rPr>
          <w:sz w:val="20"/>
          <w:szCs w:val="20"/>
          <w:u w:val="single"/>
          <w:lang w:val="fr-CA"/>
        </w:rPr>
        <w:t>RÉSUMÉ DE L’AFFAIRE</w:t>
      </w:r>
    </w:p>
    <w:p w:rsidR="00D70BA0" w:rsidRDefault="00D70BA0" w:rsidP="00D70BA0">
      <w:pPr>
        <w:rPr>
          <w:sz w:val="20"/>
          <w:szCs w:val="20"/>
        </w:rPr>
      </w:pPr>
    </w:p>
    <w:tbl>
      <w:tblPr>
        <w:tblW w:w="4952" w:type="pct"/>
        <w:tblLayout w:type="fixed"/>
        <w:tblCellMar>
          <w:left w:w="0" w:type="dxa"/>
          <w:bottom w:w="99" w:type="dxa"/>
          <w:right w:w="0" w:type="dxa"/>
        </w:tblCellMar>
        <w:tblLook w:val="04A0" w:firstRow="1" w:lastRow="0" w:firstColumn="1" w:lastColumn="0" w:noHBand="0" w:noVBand="1"/>
      </w:tblPr>
      <w:tblGrid>
        <w:gridCol w:w="4624"/>
        <w:gridCol w:w="463"/>
        <w:gridCol w:w="4440"/>
      </w:tblGrid>
      <w:tr w:rsidR="00D70BA0" w:rsidRPr="007368AD" w:rsidTr="00D34781">
        <w:tc>
          <w:tcPr>
            <w:tcW w:w="5000" w:type="pct"/>
            <w:gridSpan w:val="3"/>
          </w:tcPr>
          <w:p w:rsidR="00D70BA0" w:rsidRPr="002B3EA3" w:rsidRDefault="00D70BA0" w:rsidP="00D34781">
            <w:pPr>
              <w:jc w:val="both"/>
              <w:rPr>
                <w:rFonts w:eastAsia="Calibri"/>
                <w:sz w:val="20"/>
                <w:lang w:val="fr-CA"/>
              </w:rPr>
            </w:pPr>
            <w:r w:rsidRPr="002B3EA3">
              <w:rPr>
                <w:rFonts w:eastAsia="Calibri"/>
                <w:sz w:val="20"/>
                <w:lang w:val="fr-CA"/>
              </w:rPr>
              <w:t>Fiducies – Biens – Biens personnels – Transfert effectif – Obligations fiduciaires – La preuve a</w:t>
            </w:r>
            <w:r w:rsidRPr="002B3EA3">
              <w:rPr>
                <w:rFonts w:eastAsia="Calibri"/>
                <w:sz w:val="20"/>
                <w:lang w:val="fr-CA"/>
              </w:rPr>
              <w:noBreakHyphen/>
              <w:t>t</w:t>
            </w:r>
            <w:r w:rsidRPr="002B3EA3">
              <w:rPr>
                <w:rFonts w:eastAsia="Calibri"/>
                <w:sz w:val="20"/>
                <w:lang w:val="fr-CA"/>
              </w:rPr>
              <w:noBreakHyphen/>
              <w:t>elle permis d'établir qu'un acte d’attribution valide avait eu pour effet de transférer les actions ordinaires détenues en fiducie à des bénéficiaires en 1975? – Que faut</w:t>
            </w:r>
            <w:r w:rsidRPr="002B3EA3">
              <w:rPr>
                <w:rFonts w:eastAsia="Calibri"/>
                <w:sz w:val="20"/>
                <w:lang w:val="fr-CA"/>
              </w:rPr>
              <w:noBreakHyphen/>
              <w:t>il pour exercer un pouvoir conféré par une fiducie? – Que faut</w:t>
            </w:r>
            <w:r w:rsidRPr="002B3EA3">
              <w:rPr>
                <w:rFonts w:eastAsia="Calibri"/>
                <w:sz w:val="20"/>
                <w:lang w:val="fr-CA"/>
              </w:rPr>
              <w:noBreakHyphen/>
              <w:t>il pour éviter l'effet d'un document signé par les fiduciaires, faute d'intention subjective? – Un fiduciaire peut</w:t>
            </w:r>
            <w:r w:rsidRPr="002B3EA3">
              <w:rPr>
                <w:rFonts w:eastAsia="Calibri"/>
                <w:sz w:val="20"/>
                <w:lang w:val="fr-CA"/>
              </w:rPr>
              <w:noBreakHyphen/>
              <w:t>il s'appuyer sur un manquement à ses propres obligations pour éviter l'effet d'un document qu'il a signé, en particulier lorsque ce fiduciaire prendra les biens fiduciaires pour lui</w:t>
            </w:r>
            <w:r w:rsidRPr="002B3EA3">
              <w:rPr>
                <w:rFonts w:eastAsia="Calibri"/>
                <w:sz w:val="20"/>
                <w:lang w:val="fr-CA"/>
              </w:rPr>
              <w:noBreakHyphen/>
              <w:t>même? – Une personne devrait</w:t>
            </w:r>
            <w:r w:rsidRPr="002B3EA3">
              <w:rPr>
                <w:rFonts w:eastAsia="Calibri"/>
                <w:sz w:val="20"/>
                <w:lang w:val="fr-CA"/>
              </w:rPr>
              <w:noBreakHyphen/>
              <w:t>elle être liée par les déclarations faites à un organisme gouvernemental d'attribution des permis? – Une personne peut</w:t>
            </w:r>
            <w:r w:rsidRPr="002B3EA3">
              <w:rPr>
                <w:rFonts w:eastAsia="Calibri"/>
                <w:sz w:val="20"/>
                <w:lang w:val="fr-CA"/>
              </w:rPr>
              <w:noBreakHyphen/>
              <w:t>elle répudier des renseignements dans une déclaration sous serment que son codéfendeur avait présentée? – Une personne a</w:t>
            </w:r>
            <w:r w:rsidRPr="002B3EA3">
              <w:rPr>
                <w:rFonts w:eastAsia="Calibri"/>
                <w:sz w:val="20"/>
                <w:lang w:val="fr-CA"/>
              </w:rPr>
              <w:noBreakHyphen/>
              <w:t>t</w:t>
            </w:r>
            <w:r w:rsidRPr="002B3EA3">
              <w:rPr>
                <w:rFonts w:eastAsia="Calibri"/>
                <w:sz w:val="20"/>
                <w:lang w:val="fr-CA"/>
              </w:rPr>
              <w:noBreakHyphen/>
              <w:t>elle droit à un examen en appel de conclusions intrinsèquement incompatibles tirées en première instance?</w:t>
            </w:r>
          </w:p>
        </w:tc>
      </w:tr>
      <w:tr w:rsidR="00D70BA0" w:rsidRPr="007368AD" w:rsidTr="00D34781">
        <w:tc>
          <w:tcPr>
            <w:tcW w:w="5000" w:type="pct"/>
            <w:gridSpan w:val="3"/>
          </w:tcPr>
          <w:p w:rsidR="00D70BA0" w:rsidRPr="002B3EA3" w:rsidRDefault="00D70BA0" w:rsidP="00D34781">
            <w:pPr>
              <w:jc w:val="both"/>
              <w:rPr>
                <w:rFonts w:eastAsia="Calibri"/>
                <w:sz w:val="20"/>
                <w:lang w:val="fr-CA"/>
              </w:rPr>
            </w:pPr>
          </w:p>
        </w:tc>
      </w:tr>
      <w:tr w:rsidR="00D70BA0" w:rsidRPr="007368AD" w:rsidTr="00D34781">
        <w:tc>
          <w:tcPr>
            <w:tcW w:w="5000" w:type="pct"/>
            <w:gridSpan w:val="3"/>
          </w:tcPr>
          <w:p w:rsidR="00D70BA0" w:rsidRPr="002B3EA3" w:rsidRDefault="00D70BA0" w:rsidP="00D34781">
            <w:pPr>
              <w:jc w:val="both"/>
              <w:rPr>
                <w:rFonts w:eastAsia="Calibri"/>
                <w:sz w:val="20"/>
                <w:lang w:val="fr-CA"/>
              </w:rPr>
            </w:pPr>
            <w:r w:rsidRPr="002B3EA3">
              <w:rPr>
                <w:rFonts w:eastAsia="Calibri"/>
                <w:sz w:val="20"/>
                <w:lang w:val="fr-CA"/>
              </w:rPr>
              <w:t>La présente demande a rapport à un différend portant sur l'effectivité d'un acte d’attribution fait en 1975</w:t>
            </w:r>
            <w:r w:rsidRPr="002B3EA3">
              <w:rPr>
                <w:rFonts w:eastAsia="Calibri"/>
                <w:sz w:val="20"/>
                <w:lang w:val="fr-CA"/>
              </w:rPr>
              <w:noBreakHyphen/>
              <w:t>76 par les fiduciaires de la fiducie familiale Frederick W. Hill.  La fiducie avait été créée en tant que fiducie discrétionnaire en vertu de laquelle les fiduciaires se voyaient accorder 21 ans pour décider comment répartir des transferts du capital entre les membres d’une catégorie de bénéficiaires.  Parmi les bénéficiaires se trouvaient les cinq jeunes enfants de Fred Hill, dont deux étaient décrits comme incapables de gérer leurs propres affaires.  Le demandeur a allégué qu’un an après la création de la fiducie, les fiduciaires avaient signé un acte d’attribution ayant eu pour effet de transférer les actions ordinaires de la compagnie familiale à quatre des cinq enfants Hill, dont lui</w:t>
            </w:r>
            <w:r w:rsidRPr="002B3EA3">
              <w:rPr>
                <w:rFonts w:eastAsia="Calibri"/>
                <w:sz w:val="20"/>
                <w:lang w:val="fr-CA"/>
              </w:rPr>
              <w:noBreakHyphen/>
              <w:t>même.  L'un des défendeurs et un témoin de la défense, qui étaient eux</w:t>
            </w:r>
            <w:r w:rsidRPr="002B3EA3">
              <w:rPr>
                <w:rFonts w:eastAsia="Calibri"/>
                <w:sz w:val="20"/>
                <w:lang w:val="fr-CA"/>
              </w:rPr>
              <w:noBreakHyphen/>
              <w:t>aussi bénéficiaires du transfert présumé, allèguent qu'aucune attribution de la sorte n'avait été faite avant 1995, lorsque toutes les actions ordinaires ont été transférées au défendeur Paul Hill.  L'acte d’attribution n'a jamais été trouvé, mais le demandeur s’appuie sur une procuration pour le transfert des actions qui avait été signée par les fiduciaires et une résolution des administrateurs consentant au transfert.  Il y avait des éléments de preuve contradictoires devant la cour.</w:t>
            </w:r>
          </w:p>
          <w:p w:rsidR="00D70BA0" w:rsidRPr="002B3EA3" w:rsidRDefault="00D70BA0" w:rsidP="00D34781">
            <w:pPr>
              <w:jc w:val="both"/>
              <w:rPr>
                <w:rFonts w:eastAsia="Calibri"/>
                <w:sz w:val="20"/>
                <w:lang w:val="fr-CA"/>
              </w:rPr>
            </w:pPr>
          </w:p>
          <w:p w:rsidR="00D70BA0" w:rsidRPr="002B3EA3" w:rsidRDefault="00D70BA0" w:rsidP="00D34781">
            <w:pPr>
              <w:jc w:val="both"/>
              <w:rPr>
                <w:rFonts w:eastAsia="Calibri"/>
                <w:sz w:val="20"/>
                <w:lang w:val="fr-CA"/>
              </w:rPr>
            </w:pPr>
            <w:r w:rsidRPr="002B3EA3">
              <w:rPr>
                <w:rFonts w:eastAsia="Calibri"/>
                <w:sz w:val="20"/>
                <w:lang w:val="fr-CA"/>
              </w:rPr>
              <w:t>La Cour du Banc de la Reine de l'Alberta a statué qu'aucune attribution valide de biens de la fiducie n'avait eu lieu en 1975</w:t>
            </w:r>
            <w:r w:rsidRPr="002B3EA3">
              <w:rPr>
                <w:rFonts w:eastAsia="Calibri"/>
                <w:sz w:val="20"/>
                <w:lang w:val="fr-CA"/>
              </w:rPr>
              <w:noBreakHyphen/>
              <w:t>76.  L'action du demandeur a été rejetée, tout comme son appel.</w:t>
            </w:r>
          </w:p>
          <w:p w:rsidR="00D70BA0" w:rsidRPr="002B3EA3" w:rsidRDefault="00D70BA0" w:rsidP="00D34781">
            <w:pPr>
              <w:jc w:val="both"/>
              <w:rPr>
                <w:rFonts w:eastAsia="Calibri"/>
                <w:sz w:val="20"/>
                <w:lang w:val="fr-CA"/>
              </w:rPr>
            </w:pPr>
          </w:p>
        </w:tc>
      </w:tr>
      <w:tr w:rsidR="00D70BA0" w:rsidRPr="002B3EA3" w:rsidTr="00D34781">
        <w:tc>
          <w:tcPr>
            <w:tcW w:w="2427" w:type="pct"/>
          </w:tcPr>
          <w:p w:rsidR="00D70BA0" w:rsidRPr="002B3EA3" w:rsidRDefault="00D70BA0" w:rsidP="00D34781">
            <w:pPr>
              <w:jc w:val="both"/>
              <w:rPr>
                <w:rFonts w:eastAsia="Calibri"/>
                <w:sz w:val="20"/>
                <w:lang w:val="fr-CA"/>
              </w:rPr>
            </w:pPr>
            <w:r w:rsidRPr="002B3EA3">
              <w:rPr>
                <w:rFonts w:eastAsia="Calibri"/>
                <w:sz w:val="20"/>
                <w:lang w:val="fr-CA"/>
              </w:rPr>
              <w:t>9 mai 2012</w:t>
            </w:r>
          </w:p>
          <w:p w:rsidR="00D70BA0" w:rsidRPr="002B3EA3" w:rsidRDefault="00D70BA0" w:rsidP="00D34781">
            <w:pPr>
              <w:jc w:val="both"/>
              <w:rPr>
                <w:rFonts w:eastAsia="Calibri"/>
                <w:sz w:val="20"/>
                <w:lang w:val="fr-CA"/>
              </w:rPr>
            </w:pPr>
            <w:r w:rsidRPr="002B3EA3">
              <w:rPr>
                <w:rFonts w:eastAsia="Calibri"/>
                <w:sz w:val="20"/>
                <w:lang w:val="fr-CA"/>
              </w:rPr>
              <w:t>Cour du Banc de la Reine de l'Alberta</w:t>
            </w:r>
          </w:p>
          <w:p w:rsidR="00D70BA0" w:rsidRPr="002B3EA3" w:rsidRDefault="00D70BA0" w:rsidP="00D34781">
            <w:pPr>
              <w:jc w:val="both"/>
              <w:rPr>
                <w:rFonts w:eastAsia="Calibri"/>
                <w:sz w:val="20"/>
                <w:lang w:val="fr-CA"/>
              </w:rPr>
            </w:pPr>
            <w:r w:rsidRPr="002B3EA3">
              <w:rPr>
                <w:rFonts w:eastAsia="Calibri"/>
                <w:sz w:val="20"/>
                <w:lang w:val="fr-CA"/>
              </w:rPr>
              <w:t>(Juge Wilson)</w:t>
            </w:r>
          </w:p>
          <w:p w:rsidR="00D70BA0" w:rsidRPr="002B3EA3" w:rsidRDefault="007368AD" w:rsidP="00D34781">
            <w:pPr>
              <w:jc w:val="both"/>
              <w:rPr>
                <w:rFonts w:eastAsia="Calibri"/>
                <w:sz w:val="20"/>
                <w:lang w:val="fr-CA"/>
              </w:rPr>
            </w:pPr>
            <w:hyperlink r:id="rId33" w:history="1">
              <w:r w:rsidR="00D70BA0" w:rsidRPr="002B3EA3">
                <w:rPr>
                  <w:rFonts w:eastAsia="Calibri"/>
                  <w:color w:val="0000FF"/>
                  <w:sz w:val="20"/>
                  <w:u w:val="single"/>
                  <w:lang w:val="fr-CA"/>
                </w:rPr>
                <w:t>2012 ABQB 256</w:t>
              </w:r>
            </w:hyperlink>
          </w:p>
          <w:p w:rsidR="00D70BA0" w:rsidRPr="002B3EA3" w:rsidRDefault="00D70BA0" w:rsidP="00D34781">
            <w:pPr>
              <w:jc w:val="both"/>
              <w:rPr>
                <w:rFonts w:eastAsia="Calibri"/>
                <w:sz w:val="20"/>
                <w:lang w:val="fr-CA"/>
              </w:rPr>
            </w:pPr>
          </w:p>
        </w:tc>
        <w:tc>
          <w:tcPr>
            <w:tcW w:w="243" w:type="pct"/>
          </w:tcPr>
          <w:p w:rsidR="00D70BA0" w:rsidRPr="002B3EA3" w:rsidRDefault="00D70BA0" w:rsidP="00D34781">
            <w:pPr>
              <w:jc w:val="both"/>
              <w:rPr>
                <w:rFonts w:eastAsia="Calibri"/>
                <w:sz w:val="20"/>
                <w:lang w:val="fr-CA"/>
              </w:rPr>
            </w:pPr>
          </w:p>
        </w:tc>
        <w:tc>
          <w:tcPr>
            <w:tcW w:w="2330" w:type="pct"/>
          </w:tcPr>
          <w:p w:rsidR="00D70BA0" w:rsidRPr="002B3EA3" w:rsidRDefault="00D70BA0" w:rsidP="00D34781">
            <w:pPr>
              <w:jc w:val="both"/>
              <w:rPr>
                <w:rFonts w:eastAsia="Calibri"/>
                <w:sz w:val="20"/>
                <w:lang w:val="fr-CA"/>
              </w:rPr>
            </w:pPr>
            <w:r w:rsidRPr="002B3EA3">
              <w:rPr>
                <w:rFonts w:eastAsia="Calibri"/>
                <w:sz w:val="20"/>
                <w:lang w:val="fr-CA"/>
              </w:rPr>
              <w:t>Action du demandeur, rejetée</w:t>
            </w:r>
          </w:p>
          <w:p w:rsidR="00D70BA0" w:rsidRPr="002B3EA3" w:rsidRDefault="00D70BA0" w:rsidP="00D34781">
            <w:pPr>
              <w:jc w:val="both"/>
              <w:rPr>
                <w:rFonts w:eastAsia="Calibri"/>
                <w:sz w:val="20"/>
                <w:lang w:val="fr-CA"/>
              </w:rPr>
            </w:pPr>
          </w:p>
        </w:tc>
      </w:tr>
      <w:tr w:rsidR="00D70BA0" w:rsidRPr="002B3EA3" w:rsidTr="00D34781">
        <w:tc>
          <w:tcPr>
            <w:tcW w:w="2427" w:type="pct"/>
          </w:tcPr>
          <w:p w:rsidR="00D70BA0" w:rsidRPr="002B3EA3" w:rsidRDefault="00D70BA0" w:rsidP="00D34781">
            <w:pPr>
              <w:jc w:val="both"/>
              <w:rPr>
                <w:rFonts w:eastAsia="Calibri"/>
                <w:sz w:val="20"/>
                <w:lang w:val="fr-CA"/>
              </w:rPr>
            </w:pPr>
            <w:r w:rsidRPr="002B3EA3">
              <w:rPr>
                <w:rFonts w:eastAsia="Calibri"/>
                <w:sz w:val="20"/>
                <w:lang w:val="fr-CA"/>
              </w:rPr>
              <w:t>23 avril 2013</w:t>
            </w:r>
          </w:p>
          <w:p w:rsidR="00D70BA0" w:rsidRPr="002B3EA3" w:rsidRDefault="00D70BA0" w:rsidP="00D34781">
            <w:pPr>
              <w:jc w:val="both"/>
              <w:rPr>
                <w:rFonts w:eastAsia="Calibri"/>
                <w:sz w:val="20"/>
                <w:lang w:val="fr-CA"/>
              </w:rPr>
            </w:pPr>
            <w:r w:rsidRPr="002B3EA3">
              <w:rPr>
                <w:rFonts w:eastAsia="Calibri"/>
                <w:sz w:val="20"/>
                <w:lang w:val="fr-CA"/>
              </w:rPr>
              <w:t>Cour d'appel de l'Alberta (Calgary)</w:t>
            </w:r>
          </w:p>
          <w:p w:rsidR="00D70BA0" w:rsidRPr="002B3EA3" w:rsidRDefault="00D70BA0" w:rsidP="00D34781">
            <w:pPr>
              <w:jc w:val="both"/>
              <w:rPr>
                <w:rFonts w:eastAsia="Calibri"/>
                <w:sz w:val="20"/>
                <w:lang w:val="fr-CA"/>
              </w:rPr>
            </w:pPr>
            <w:r w:rsidRPr="002B3EA3">
              <w:rPr>
                <w:rFonts w:eastAsia="Calibri"/>
                <w:sz w:val="20"/>
                <w:lang w:val="fr-CA"/>
              </w:rPr>
              <w:t>(Juges Côté, Costigan et Hughes)</w:t>
            </w:r>
          </w:p>
          <w:p w:rsidR="00D70BA0" w:rsidRPr="002B3EA3" w:rsidRDefault="007368AD" w:rsidP="00D34781">
            <w:pPr>
              <w:jc w:val="both"/>
              <w:rPr>
                <w:rFonts w:eastAsia="Calibri"/>
                <w:sz w:val="20"/>
                <w:lang w:val="fr-CA"/>
              </w:rPr>
            </w:pPr>
            <w:hyperlink r:id="rId34" w:history="1">
              <w:r w:rsidR="00D70BA0" w:rsidRPr="002B3EA3">
                <w:rPr>
                  <w:rFonts w:eastAsia="Calibri"/>
                  <w:color w:val="0000FF"/>
                  <w:sz w:val="20"/>
                  <w:u w:val="single"/>
                  <w:lang w:val="fr-CA"/>
                </w:rPr>
                <w:t>2013 ABCA 137</w:t>
              </w:r>
            </w:hyperlink>
          </w:p>
          <w:p w:rsidR="00D70BA0" w:rsidRPr="002B3EA3" w:rsidRDefault="00D70BA0" w:rsidP="00D34781">
            <w:pPr>
              <w:jc w:val="both"/>
              <w:rPr>
                <w:rFonts w:eastAsia="Calibri"/>
                <w:sz w:val="20"/>
                <w:lang w:val="fr-CA"/>
              </w:rPr>
            </w:pPr>
          </w:p>
        </w:tc>
        <w:tc>
          <w:tcPr>
            <w:tcW w:w="243" w:type="pct"/>
          </w:tcPr>
          <w:p w:rsidR="00D70BA0" w:rsidRPr="002B3EA3" w:rsidRDefault="00D70BA0" w:rsidP="00D34781">
            <w:pPr>
              <w:jc w:val="both"/>
              <w:rPr>
                <w:rFonts w:eastAsia="Calibri"/>
                <w:sz w:val="20"/>
                <w:lang w:val="fr-CA"/>
              </w:rPr>
            </w:pPr>
          </w:p>
        </w:tc>
        <w:tc>
          <w:tcPr>
            <w:tcW w:w="2330" w:type="pct"/>
          </w:tcPr>
          <w:p w:rsidR="00D70BA0" w:rsidRPr="002B3EA3" w:rsidRDefault="00D70BA0" w:rsidP="00D34781">
            <w:pPr>
              <w:jc w:val="both"/>
              <w:rPr>
                <w:rFonts w:eastAsia="Calibri"/>
                <w:sz w:val="20"/>
                <w:lang w:val="fr-CA"/>
              </w:rPr>
            </w:pPr>
            <w:r w:rsidRPr="002B3EA3">
              <w:rPr>
                <w:rFonts w:eastAsia="Calibri"/>
                <w:sz w:val="20"/>
                <w:lang w:val="fr-CA"/>
              </w:rPr>
              <w:t>Appel rejeté</w:t>
            </w:r>
          </w:p>
          <w:p w:rsidR="00D70BA0" w:rsidRPr="002B3EA3" w:rsidRDefault="00D70BA0" w:rsidP="00D34781">
            <w:pPr>
              <w:jc w:val="both"/>
              <w:rPr>
                <w:rFonts w:eastAsia="Calibri"/>
                <w:sz w:val="20"/>
                <w:lang w:val="fr-CA"/>
              </w:rPr>
            </w:pPr>
          </w:p>
        </w:tc>
      </w:tr>
      <w:tr w:rsidR="00D70BA0" w:rsidRPr="007368AD" w:rsidTr="00D34781">
        <w:tc>
          <w:tcPr>
            <w:tcW w:w="2427" w:type="pct"/>
          </w:tcPr>
          <w:p w:rsidR="00D70BA0" w:rsidRPr="002B3EA3" w:rsidRDefault="00D70BA0" w:rsidP="00D34781">
            <w:pPr>
              <w:jc w:val="both"/>
              <w:rPr>
                <w:rFonts w:eastAsia="Calibri"/>
                <w:sz w:val="20"/>
                <w:lang w:val="fr-CA"/>
              </w:rPr>
            </w:pPr>
            <w:r w:rsidRPr="002B3EA3">
              <w:rPr>
                <w:rFonts w:eastAsia="Calibri"/>
                <w:sz w:val="20"/>
                <w:lang w:val="fr-CA"/>
              </w:rPr>
              <w:t>2 juillet 2013</w:t>
            </w:r>
          </w:p>
          <w:p w:rsidR="00D70BA0" w:rsidRPr="002B3EA3" w:rsidRDefault="00D70BA0" w:rsidP="00D34781">
            <w:pPr>
              <w:jc w:val="both"/>
              <w:rPr>
                <w:rFonts w:eastAsia="Calibri"/>
                <w:sz w:val="20"/>
                <w:lang w:val="fr-CA"/>
              </w:rPr>
            </w:pPr>
            <w:r w:rsidRPr="002B3EA3">
              <w:rPr>
                <w:rFonts w:eastAsia="Calibri"/>
                <w:sz w:val="20"/>
                <w:lang w:val="fr-CA"/>
              </w:rPr>
              <w:t>Cour suprême du Canada</w:t>
            </w:r>
          </w:p>
        </w:tc>
        <w:tc>
          <w:tcPr>
            <w:tcW w:w="243" w:type="pct"/>
          </w:tcPr>
          <w:p w:rsidR="00D70BA0" w:rsidRPr="002B3EA3" w:rsidRDefault="00D70BA0" w:rsidP="00D34781">
            <w:pPr>
              <w:jc w:val="both"/>
              <w:rPr>
                <w:rFonts w:eastAsia="Calibri"/>
                <w:sz w:val="20"/>
                <w:lang w:val="fr-CA"/>
              </w:rPr>
            </w:pPr>
          </w:p>
        </w:tc>
        <w:tc>
          <w:tcPr>
            <w:tcW w:w="2330" w:type="pct"/>
          </w:tcPr>
          <w:p w:rsidR="00D70BA0" w:rsidRPr="002B3EA3" w:rsidRDefault="00D70BA0" w:rsidP="00D34781">
            <w:pPr>
              <w:jc w:val="both"/>
              <w:rPr>
                <w:rFonts w:eastAsia="Calibri"/>
                <w:sz w:val="20"/>
                <w:lang w:val="fr-CA"/>
              </w:rPr>
            </w:pPr>
            <w:r w:rsidRPr="002B3EA3">
              <w:rPr>
                <w:rFonts w:eastAsia="Calibri"/>
                <w:sz w:val="20"/>
                <w:lang w:val="fr-CA"/>
              </w:rPr>
              <w:t>Requête en prorogation du délai de signification et de dépôt de la demande d'autorisation et demande d'autorisation d'appel, déposées</w:t>
            </w:r>
          </w:p>
        </w:tc>
      </w:tr>
    </w:tbl>
    <w:p w:rsidR="00D70BA0" w:rsidRPr="00D70BA0" w:rsidRDefault="00D70BA0" w:rsidP="00D70BA0">
      <w:pPr>
        <w:rPr>
          <w:sz w:val="20"/>
          <w:szCs w:val="20"/>
          <w:lang w:val="fr-CA"/>
        </w:rPr>
      </w:pPr>
    </w:p>
    <w:p w:rsidR="00D70BA0" w:rsidRDefault="007368AD" w:rsidP="00D70BA0">
      <w:pPr>
        <w:rPr>
          <w:sz w:val="20"/>
          <w:szCs w:val="20"/>
        </w:rPr>
      </w:pPr>
      <w:r>
        <w:rPr>
          <w:sz w:val="20"/>
          <w:szCs w:val="20"/>
          <w:lang w:val="fr-CA"/>
        </w:rPr>
        <w:lastRenderedPageBreak/>
        <w:pict>
          <v:rect id="_x0000_i1039" style="width:2in;height:1pt" o:hrpct="0" o:hralign="center" o:hrstd="t" o:hrnoshade="t" o:hr="t" fillcolor="black [3213]" stroked="f"/>
        </w:pict>
      </w:r>
    </w:p>
    <w:p w:rsidR="00D70BA0" w:rsidRDefault="00D70BA0" w:rsidP="00D70BA0">
      <w:pPr>
        <w:rPr>
          <w:sz w:val="20"/>
          <w:szCs w:val="20"/>
        </w:rPr>
      </w:pPr>
    </w:p>
    <w:tbl>
      <w:tblPr>
        <w:tblStyle w:val="TableGrid4"/>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1458"/>
        <w:gridCol w:w="8118"/>
      </w:tblGrid>
      <w:tr w:rsidR="00DE585D" w:rsidRPr="00DE585D" w:rsidTr="00E4451A">
        <w:trPr>
          <w:cantSplit/>
        </w:trPr>
        <w:tc>
          <w:tcPr>
            <w:tcW w:w="1458" w:type="dxa"/>
          </w:tcPr>
          <w:p w:rsidR="00DE585D" w:rsidRPr="00DE585D" w:rsidRDefault="00DE585D" w:rsidP="00DE585D">
            <w:pPr>
              <w:rPr>
                <w:sz w:val="20"/>
              </w:rPr>
            </w:pPr>
            <w:r w:rsidRPr="00DE585D">
              <w:rPr>
                <w:b/>
                <w:sz w:val="20"/>
                <w:lang w:val="fr-CA"/>
              </w:rPr>
              <w:t>35454</w:t>
            </w:r>
          </w:p>
          <w:p w:rsidR="00DE585D" w:rsidRPr="00DE585D" w:rsidRDefault="00DE585D" w:rsidP="00DE585D">
            <w:pPr>
              <w:rPr>
                <w:b/>
                <w:sz w:val="20"/>
                <w:lang w:val="fr-CA"/>
              </w:rPr>
            </w:pPr>
          </w:p>
        </w:tc>
        <w:tc>
          <w:tcPr>
            <w:tcW w:w="8118" w:type="dxa"/>
          </w:tcPr>
          <w:p w:rsidR="00DE585D" w:rsidRPr="00DE585D" w:rsidRDefault="00DE585D" w:rsidP="00DE585D">
            <w:pPr>
              <w:rPr>
                <w:sz w:val="20"/>
              </w:rPr>
            </w:pPr>
            <w:r w:rsidRPr="00DE585D">
              <w:rPr>
                <w:b/>
                <w:sz w:val="20"/>
                <w:u w:val="single"/>
              </w:rPr>
              <w:t>Richard Norman Ryan v. Her Majesty the Queen</w:t>
            </w:r>
            <w:r w:rsidRPr="00DE585D">
              <w:rPr>
                <w:sz w:val="20"/>
              </w:rPr>
              <w:t xml:space="preserve"> (N.L.) (Criminal) (By Leave)</w:t>
            </w:r>
          </w:p>
          <w:p w:rsidR="00DE585D" w:rsidRPr="00DE585D" w:rsidRDefault="00DE585D" w:rsidP="00DE585D">
            <w:pPr>
              <w:rPr>
                <w:sz w:val="20"/>
              </w:rPr>
            </w:pPr>
          </w:p>
        </w:tc>
      </w:tr>
      <w:tr w:rsidR="00DE585D" w:rsidRPr="00DE585D" w:rsidTr="00E4451A">
        <w:trPr>
          <w:cantSplit/>
        </w:trPr>
        <w:tc>
          <w:tcPr>
            <w:tcW w:w="1458" w:type="dxa"/>
          </w:tcPr>
          <w:p w:rsidR="00DE585D" w:rsidRPr="00DE585D" w:rsidRDefault="00DE585D" w:rsidP="00DE585D">
            <w:pPr>
              <w:rPr>
                <w:sz w:val="20"/>
              </w:rPr>
            </w:pPr>
            <w:r w:rsidRPr="00DE585D">
              <w:rPr>
                <w:sz w:val="20"/>
              </w:rPr>
              <w:t>Coram :</w:t>
            </w:r>
          </w:p>
        </w:tc>
        <w:tc>
          <w:tcPr>
            <w:tcW w:w="8118" w:type="dxa"/>
          </w:tcPr>
          <w:p w:rsidR="00DE585D" w:rsidRPr="00DE585D" w:rsidRDefault="00DE585D" w:rsidP="00DE585D">
            <w:pPr>
              <w:rPr>
                <w:sz w:val="20"/>
              </w:rPr>
            </w:pPr>
            <w:r w:rsidRPr="00DE585D">
              <w:rPr>
                <w:sz w:val="20"/>
                <w:u w:val="single"/>
              </w:rPr>
              <w:t>Abella, Rothstein and Moldaver JJ.</w:t>
            </w:r>
          </w:p>
          <w:p w:rsidR="00DE585D" w:rsidRPr="00DE585D" w:rsidRDefault="00DE585D" w:rsidP="00DE585D">
            <w:pPr>
              <w:rPr>
                <w:sz w:val="20"/>
                <w:u w:val="single"/>
              </w:rPr>
            </w:pPr>
          </w:p>
        </w:tc>
      </w:tr>
      <w:tr w:rsidR="00DE585D" w:rsidRPr="007368AD" w:rsidTr="00E4451A">
        <w:trPr>
          <w:cantSplit/>
        </w:trPr>
        <w:tc>
          <w:tcPr>
            <w:tcW w:w="9576" w:type="dxa"/>
            <w:gridSpan w:val="2"/>
          </w:tcPr>
          <w:p w:rsidR="00DE585D" w:rsidRPr="00DE585D" w:rsidRDefault="00DE585D" w:rsidP="00DE585D">
            <w:pPr>
              <w:ind w:firstLine="720"/>
              <w:jc w:val="both"/>
              <w:rPr>
                <w:sz w:val="20"/>
              </w:rPr>
            </w:pPr>
            <w:r w:rsidRPr="00DE585D">
              <w:rPr>
                <w:sz w:val="20"/>
              </w:rPr>
              <w:t>The motion for an extension of time to serve and file the application for leave to appeal from the judgment of the Supreme Court of Newfoundland and Labrador - Court of Appeal, Number 99/126, 2000 NFCA 41, dated July 5, 2000 is dismissed. In any event, had the motion for an extension of time been granted, the motions for an extension of time to serve and file the reply and to file supplementary documents in support of the application for leave to appeal would have been granted and the motion to adduce new evidence and the application for leave to appeal would have been dismissed.</w:t>
            </w:r>
          </w:p>
          <w:p w:rsidR="00DE585D" w:rsidRPr="00DE585D" w:rsidRDefault="00DE585D" w:rsidP="00DE585D">
            <w:pPr>
              <w:jc w:val="both"/>
              <w:rPr>
                <w:sz w:val="20"/>
              </w:rPr>
            </w:pPr>
          </w:p>
          <w:p w:rsidR="00DE585D" w:rsidRPr="00DE585D" w:rsidRDefault="00DE585D" w:rsidP="00DE585D">
            <w:pPr>
              <w:ind w:firstLine="720"/>
              <w:jc w:val="both"/>
              <w:rPr>
                <w:sz w:val="20"/>
                <w:lang w:val="fr-CA"/>
              </w:rPr>
            </w:pPr>
            <w:r w:rsidRPr="00DE585D">
              <w:rPr>
                <w:sz w:val="20"/>
                <w:lang w:val="fr-CA"/>
              </w:rPr>
              <w:t>La requête en prorogation du délai de signification et de dépôt de la demande d’autorisation d’appel de l’arrêt de la Cour suprême de Terre-Neuve-et-Labrador - Cour d'appel, numéro 99/126, 2000 NFCA 41, daté du 5 juillet 2000 est rejetée. Quoiqu’il en soit, même si la requête en prorogation avait été accordée, les requêtes en prorogation du délai de signification et dépôt de la réplique et en vue de déposer des documents supplémentaires au soutien de la demande d’autorisation d’appel auraient été accordées et la requête en vue de déposer de nouveaux éléments de preuve et la demande d’autorisation d’appel auraient été rejetées.</w:t>
            </w:r>
          </w:p>
        </w:tc>
      </w:tr>
    </w:tbl>
    <w:p w:rsidR="00D70BA0" w:rsidRPr="00DE585D" w:rsidRDefault="00D70BA0" w:rsidP="00D70BA0">
      <w:pPr>
        <w:rPr>
          <w:sz w:val="20"/>
          <w:szCs w:val="20"/>
          <w:lang w:val="fr-CA"/>
        </w:rPr>
      </w:pPr>
    </w:p>
    <w:p w:rsidR="00D70BA0" w:rsidRPr="001B157C" w:rsidRDefault="00D70BA0" w:rsidP="00D70BA0">
      <w:pPr>
        <w:rPr>
          <w:sz w:val="20"/>
          <w:szCs w:val="20"/>
          <w:u w:val="single"/>
        </w:rPr>
      </w:pPr>
      <w:r w:rsidRPr="001B157C">
        <w:rPr>
          <w:sz w:val="20"/>
          <w:szCs w:val="20"/>
          <w:u w:val="single"/>
        </w:rPr>
        <w:t>CASE SUMMARY</w:t>
      </w:r>
    </w:p>
    <w:p w:rsidR="00D70BA0" w:rsidRDefault="00D70BA0" w:rsidP="00D70BA0">
      <w:pPr>
        <w:rPr>
          <w:sz w:val="20"/>
          <w:szCs w:val="20"/>
        </w:rPr>
      </w:pPr>
    </w:p>
    <w:tbl>
      <w:tblPr>
        <w:tblW w:w="4952" w:type="pct"/>
        <w:tblLayout w:type="fixed"/>
        <w:tblCellMar>
          <w:left w:w="0" w:type="dxa"/>
          <w:bottom w:w="99" w:type="dxa"/>
          <w:right w:w="0" w:type="dxa"/>
        </w:tblCellMar>
        <w:tblLook w:val="04A0" w:firstRow="1" w:lastRow="0" w:firstColumn="1" w:lastColumn="0" w:noHBand="0" w:noVBand="1"/>
      </w:tblPr>
      <w:tblGrid>
        <w:gridCol w:w="4624"/>
        <w:gridCol w:w="463"/>
        <w:gridCol w:w="4440"/>
      </w:tblGrid>
      <w:tr w:rsidR="00D70BA0" w:rsidRPr="009A6646" w:rsidTr="00D34781">
        <w:tc>
          <w:tcPr>
            <w:tcW w:w="5000" w:type="pct"/>
            <w:gridSpan w:val="3"/>
          </w:tcPr>
          <w:p w:rsidR="00D70BA0" w:rsidRPr="009A6646" w:rsidRDefault="00D70BA0" w:rsidP="00D34781">
            <w:pPr>
              <w:jc w:val="both"/>
              <w:rPr>
                <w:rFonts w:eastAsia="Calibri"/>
                <w:smallCaps/>
                <w:sz w:val="20"/>
              </w:rPr>
            </w:pPr>
            <w:r w:rsidRPr="009A6646">
              <w:rPr>
                <w:rFonts w:eastAsia="Calibri"/>
                <w:smallCaps/>
                <w:sz w:val="20"/>
              </w:rPr>
              <w:t xml:space="preserve">(Publication </w:t>
            </w:r>
            <w:r>
              <w:rPr>
                <w:rFonts w:eastAsia="Calibri"/>
                <w:smallCaps/>
                <w:sz w:val="20"/>
              </w:rPr>
              <w:t>B</w:t>
            </w:r>
            <w:r w:rsidRPr="009A6646">
              <w:rPr>
                <w:rFonts w:eastAsia="Calibri"/>
                <w:smallCaps/>
                <w:sz w:val="20"/>
              </w:rPr>
              <w:t xml:space="preserve">an in </w:t>
            </w:r>
            <w:r>
              <w:rPr>
                <w:rFonts w:eastAsia="Calibri"/>
                <w:smallCaps/>
                <w:sz w:val="20"/>
              </w:rPr>
              <w:t>C</w:t>
            </w:r>
            <w:r w:rsidRPr="009A6646">
              <w:rPr>
                <w:rFonts w:eastAsia="Calibri"/>
                <w:smallCaps/>
                <w:sz w:val="20"/>
              </w:rPr>
              <w:t>ase)</w:t>
            </w:r>
          </w:p>
          <w:p w:rsidR="00D70BA0" w:rsidRPr="009A6646" w:rsidRDefault="00D70BA0" w:rsidP="00D34781">
            <w:pPr>
              <w:jc w:val="both"/>
              <w:rPr>
                <w:rFonts w:eastAsia="Calibri"/>
                <w:sz w:val="20"/>
              </w:rPr>
            </w:pPr>
          </w:p>
          <w:p w:rsidR="00D70BA0" w:rsidRPr="009A6646" w:rsidRDefault="00D70BA0" w:rsidP="00D34781">
            <w:pPr>
              <w:jc w:val="both"/>
              <w:rPr>
                <w:rFonts w:eastAsia="Calibri"/>
                <w:sz w:val="20"/>
              </w:rPr>
            </w:pPr>
            <w:r w:rsidRPr="009A6646">
              <w:rPr>
                <w:rFonts w:eastAsia="Calibri"/>
                <w:sz w:val="20"/>
              </w:rPr>
              <w:t>Criminal law – Evidence – Whether new evidence provided to this court is of sufficient probative force that it might have altered the result at trial</w:t>
            </w:r>
          </w:p>
          <w:p w:rsidR="00D70BA0" w:rsidRPr="009A6646" w:rsidRDefault="00D70BA0" w:rsidP="00D34781">
            <w:pPr>
              <w:jc w:val="both"/>
              <w:rPr>
                <w:rFonts w:eastAsia="Calibri"/>
                <w:sz w:val="20"/>
              </w:rPr>
            </w:pPr>
          </w:p>
        </w:tc>
      </w:tr>
      <w:tr w:rsidR="00D70BA0" w:rsidRPr="009A6646" w:rsidTr="00D34781">
        <w:tc>
          <w:tcPr>
            <w:tcW w:w="5000" w:type="pct"/>
            <w:gridSpan w:val="3"/>
          </w:tcPr>
          <w:p w:rsidR="00D70BA0" w:rsidRPr="009A6646" w:rsidRDefault="00D70BA0" w:rsidP="00D34781">
            <w:pPr>
              <w:jc w:val="both"/>
              <w:rPr>
                <w:rFonts w:eastAsia="Calibri"/>
                <w:sz w:val="20"/>
              </w:rPr>
            </w:pPr>
            <w:r w:rsidRPr="009A6646">
              <w:rPr>
                <w:rFonts w:eastAsia="Calibri"/>
                <w:sz w:val="20"/>
              </w:rPr>
              <w:t>The applicant Richard Ryan and the complainant D.H. met at a campus bar at Memorial University.  They chatted regularly.  D.H. informed the applicant that she had home exams to write with which she was concerned.  He offered to help.  He composed answers for her which she used to respond to her exams.  In January 1998, D.H agreed to go to a motel with the applicant.  She testified they were going for a meal but she had no intention of engaging in sexual activity with him.  She testified that once there, he threatened to tie her up and sodomize her and she consequently engaged in reciprocal oral sex with him.  The applicant testified that everything that occurred at the hotel was consensual.  She subsequently talked to the university authorities and the police became involved.</w:t>
            </w:r>
          </w:p>
        </w:tc>
      </w:tr>
      <w:tr w:rsidR="00D70BA0" w:rsidRPr="009A6646" w:rsidTr="00D34781">
        <w:tc>
          <w:tcPr>
            <w:tcW w:w="5000" w:type="pct"/>
            <w:gridSpan w:val="3"/>
          </w:tcPr>
          <w:p w:rsidR="00D70BA0" w:rsidRPr="009A6646" w:rsidRDefault="00D70BA0" w:rsidP="00D34781">
            <w:pPr>
              <w:jc w:val="both"/>
              <w:rPr>
                <w:rFonts w:eastAsia="Calibri"/>
                <w:sz w:val="20"/>
              </w:rPr>
            </w:pPr>
          </w:p>
        </w:tc>
      </w:tr>
      <w:tr w:rsidR="00D70BA0" w:rsidRPr="009A6646" w:rsidTr="00D34781">
        <w:tc>
          <w:tcPr>
            <w:tcW w:w="2427" w:type="pct"/>
          </w:tcPr>
          <w:p w:rsidR="00D70BA0" w:rsidRPr="009A6646" w:rsidRDefault="00D70BA0" w:rsidP="00D34781">
            <w:pPr>
              <w:jc w:val="both"/>
              <w:rPr>
                <w:rFonts w:eastAsia="Calibri"/>
                <w:sz w:val="20"/>
              </w:rPr>
            </w:pPr>
            <w:r w:rsidRPr="009A6646">
              <w:rPr>
                <w:rFonts w:eastAsia="Calibri"/>
                <w:sz w:val="20"/>
              </w:rPr>
              <w:t>October 8, 1999</w:t>
            </w:r>
          </w:p>
          <w:p w:rsidR="00D70BA0" w:rsidRPr="009A6646" w:rsidRDefault="00D70BA0" w:rsidP="00D34781">
            <w:pPr>
              <w:jc w:val="both"/>
              <w:rPr>
                <w:rFonts w:eastAsia="Calibri"/>
                <w:sz w:val="20"/>
              </w:rPr>
            </w:pPr>
            <w:r w:rsidRPr="009A6646">
              <w:rPr>
                <w:rFonts w:eastAsia="Calibri"/>
                <w:sz w:val="20"/>
              </w:rPr>
              <w:t xml:space="preserve">Provincial Court of Newfoundland and </w:t>
            </w:r>
          </w:p>
          <w:p w:rsidR="00D70BA0" w:rsidRPr="009A6646" w:rsidRDefault="00D70BA0" w:rsidP="00D34781">
            <w:pPr>
              <w:jc w:val="both"/>
              <w:rPr>
                <w:rFonts w:eastAsia="Calibri"/>
                <w:sz w:val="20"/>
              </w:rPr>
            </w:pPr>
            <w:r w:rsidRPr="009A6646">
              <w:rPr>
                <w:rFonts w:eastAsia="Calibri"/>
                <w:sz w:val="20"/>
              </w:rPr>
              <w:t>Labrador</w:t>
            </w:r>
          </w:p>
          <w:p w:rsidR="00D70BA0" w:rsidRPr="009A6646" w:rsidRDefault="00D70BA0" w:rsidP="00D34781">
            <w:pPr>
              <w:jc w:val="both"/>
              <w:rPr>
                <w:rFonts w:eastAsia="Calibri"/>
                <w:sz w:val="20"/>
              </w:rPr>
            </w:pPr>
            <w:r w:rsidRPr="009A6646">
              <w:rPr>
                <w:rFonts w:eastAsia="Calibri"/>
                <w:sz w:val="20"/>
              </w:rPr>
              <w:t>(Kennedy J.)</w:t>
            </w:r>
          </w:p>
          <w:p w:rsidR="00D70BA0" w:rsidRPr="009A6646" w:rsidRDefault="00D70BA0" w:rsidP="00D34781">
            <w:pPr>
              <w:jc w:val="both"/>
              <w:rPr>
                <w:rFonts w:eastAsia="Calibri"/>
                <w:sz w:val="20"/>
              </w:rPr>
            </w:pPr>
          </w:p>
        </w:tc>
        <w:tc>
          <w:tcPr>
            <w:tcW w:w="243" w:type="pct"/>
          </w:tcPr>
          <w:p w:rsidR="00D70BA0" w:rsidRPr="009A6646" w:rsidRDefault="00D70BA0" w:rsidP="00D34781">
            <w:pPr>
              <w:jc w:val="both"/>
              <w:rPr>
                <w:rFonts w:eastAsia="Calibri"/>
                <w:sz w:val="20"/>
              </w:rPr>
            </w:pPr>
          </w:p>
        </w:tc>
        <w:tc>
          <w:tcPr>
            <w:tcW w:w="2330" w:type="pct"/>
          </w:tcPr>
          <w:p w:rsidR="00D70BA0" w:rsidRPr="009A6646" w:rsidRDefault="00D70BA0" w:rsidP="00D34781">
            <w:pPr>
              <w:jc w:val="both"/>
              <w:rPr>
                <w:rFonts w:eastAsia="Calibri"/>
                <w:sz w:val="20"/>
              </w:rPr>
            </w:pPr>
            <w:r w:rsidRPr="009A6646">
              <w:rPr>
                <w:rFonts w:eastAsia="Calibri"/>
                <w:sz w:val="20"/>
              </w:rPr>
              <w:t xml:space="preserve">The applicant was convicted of sexual assault, unlawful confinement and uttering threats contrary to ss. 271(1)(a), 279(2)(a), 264.1(1)(a)-264.1(2)(a) of the </w:t>
            </w:r>
            <w:r w:rsidRPr="009A6646">
              <w:rPr>
                <w:rFonts w:eastAsia="Calibri"/>
                <w:i/>
                <w:sz w:val="20"/>
              </w:rPr>
              <w:t>Criminal Code</w:t>
            </w:r>
            <w:r w:rsidRPr="009A6646">
              <w:rPr>
                <w:rFonts w:eastAsia="Calibri"/>
                <w:sz w:val="20"/>
              </w:rPr>
              <w:t>.</w:t>
            </w:r>
          </w:p>
          <w:p w:rsidR="00D70BA0" w:rsidRPr="009A6646" w:rsidRDefault="00D70BA0" w:rsidP="00D34781">
            <w:pPr>
              <w:jc w:val="both"/>
              <w:rPr>
                <w:rFonts w:eastAsia="Calibri"/>
                <w:sz w:val="20"/>
              </w:rPr>
            </w:pPr>
          </w:p>
        </w:tc>
      </w:tr>
      <w:tr w:rsidR="00D70BA0" w:rsidRPr="009A6646" w:rsidTr="00D34781">
        <w:tc>
          <w:tcPr>
            <w:tcW w:w="2427" w:type="pct"/>
          </w:tcPr>
          <w:p w:rsidR="00D70BA0" w:rsidRPr="009A6646" w:rsidRDefault="00D70BA0" w:rsidP="00D34781">
            <w:pPr>
              <w:jc w:val="both"/>
              <w:rPr>
                <w:rFonts w:eastAsia="Calibri"/>
                <w:sz w:val="20"/>
              </w:rPr>
            </w:pPr>
            <w:r w:rsidRPr="009A6646">
              <w:rPr>
                <w:rFonts w:eastAsia="Calibri"/>
                <w:sz w:val="20"/>
              </w:rPr>
              <w:t>July 5, 2000</w:t>
            </w:r>
          </w:p>
          <w:p w:rsidR="00D70BA0" w:rsidRPr="009A6646" w:rsidRDefault="00D70BA0" w:rsidP="00D34781">
            <w:pPr>
              <w:jc w:val="both"/>
              <w:rPr>
                <w:rFonts w:eastAsia="Calibri"/>
                <w:sz w:val="20"/>
              </w:rPr>
            </w:pPr>
            <w:r w:rsidRPr="009A6646">
              <w:rPr>
                <w:rFonts w:eastAsia="Calibri"/>
                <w:sz w:val="20"/>
              </w:rPr>
              <w:t xml:space="preserve">Supreme Court of Newfoundland and </w:t>
            </w:r>
          </w:p>
          <w:p w:rsidR="00D70BA0" w:rsidRPr="009A6646" w:rsidRDefault="00D70BA0" w:rsidP="00D34781">
            <w:pPr>
              <w:jc w:val="both"/>
              <w:rPr>
                <w:rFonts w:eastAsia="Calibri"/>
                <w:sz w:val="20"/>
              </w:rPr>
            </w:pPr>
            <w:r w:rsidRPr="009A6646">
              <w:rPr>
                <w:rFonts w:eastAsia="Calibri"/>
                <w:sz w:val="20"/>
              </w:rPr>
              <w:t>Labrador - Court of Appeal</w:t>
            </w:r>
          </w:p>
          <w:p w:rsidR="00D70BA0" w:rsidRPr="009A6646" w:rsidRDefault="00D70BA0" w:rsidP="00D34781">
            <w:pPr>
              <w:jc w:val="both"/>
              <w:rPr>
                <w:rFonts w:eastAsia="Calibri"/>
                <w:sz w:val="20"/>
              </w:rPr>
            </w:pPr>
            <w:r w:rsidRPr="009A6646">
              <w:rPr>
                <w:rFonts w:eastAsia="Calibri"/>
                <w:sz w:val="20"/>
              </w:rPr>
              <w:t>(Gushue, O'Neill, and Steele JJ.A.)</w:t>
            </w:r>
          </w:p>
          <w:p w:rsidR="00D70BA0" w:rsidRPr="009A6646" w:rsidRDefault="00D70BA0" w:rsidP="00D34781">
            <w:pPr>
              <w:jc w:val="both"/>
              <w:rPr>
                <w:rFonts w:eastAsia="Calibri"/>
                <w:sz w:val="20"/>
              </w:rPr>
            </w:pPr>
            <w:r w:rsidRPr="009A6646">
              <w:rPr>
                <w:rFonts w:eastAsia="Calibri"/>
                <w:sz w:val="20"/>
              </w:rPr>
              <w:t xml:space="preserve">Neutral citation: </w:t>
            </w:r>
            <w:hyperlink r:id="rId35" w:history="1">
              <w:r w:rsidRPr="009A6646">
                <w:rPr>
                  <w:rFonts w:eastAsia="Calibri"/>
                  <w:color w:val="0000FF"/>
                  <w:sz w:val="20"/>
                  <w:u w:val="single"/>
                </w:rPr>
                <w:t>2000 NFCA 41</w:t>
              </w:r>
            </w:hyperlink>
          </w:p>
          <w:p w:rsidR="00D70BA0" w:rsidRPr="009A6646" w:rsidRDefault="00D70BA0" w:rsidP="00D34781">
            <w:pPr>
              <w:jc w:val="both"/>
              <w:rPr>
                <w:rFonts w:eastAsia="Calibri"/>
                <w:sz w:val="20"/>
              </w:rPr>
            </w:pPr>
          </w:p>
        </w:tc>
        <w:tc>
          <w:tcPr>
            <w:tcW w:w="243" w:type="pct"/>
          </w:tcPr>
          <w:p w:rsidR="00D70BA0" w:rsidRPr="009A6646" w:rsidRDefault="00D70BA0" w:rsidP="00D34781">
            <w:pPr>
              <w:jc w:val="both"/>
              <w:rPr>
                <w:rFonts w:eastAsia="Calibri"/>
                <w:sz w:val="20"/>
              </w:rPr>
            </w:pPr>
          </w:p>
        </w:tc>
        <w:tc>
          <w:tcPr>
            <w:tcW w:w="2330" w:type="pct"/>
          </w:tcPr>
          <w:p w:rsidR="00D70BA0" w:rsidRPr="009A6646" w:rsidRDefault="00D70BA0" w:rsidP="00D34781">
            <w:pPr>
              <w:jc w:val="both"/>
              <w:rPr>
                <w:rFonts w:eastAsia="Calibri"/>
                <w:sz w:val="20"/>
              </w:rPr>
            </w:pPr>
            <w:r w:rsidRPr="009A6646">
              <w:rPr>
                <w:rFonts w:eastAsia="Calibri"/>
                <w:sz w:val="20"/>
              </w:rPr>
              <w:t>Appeal dismissed.</w:t>
            </w:r>
          </w:p>
          <w:p w:rsidR="00D70BA0" w:rsidRPr="009A6646" w:rsidRDefault="00D70BA0" w:rsidP="00D34781">
            <w:pPr>
              <w:jc w:val="both"/>
              <w:rPr>
                <w:rFonts w:eastAsia="Calibri"/>
                <w:sz w:val="20"/>
              </w:rPr>
            </w:pPr>
          </w:p>
        </w:tc>
      </w:tr>
      <w:tr w:rsidR="00D70BA0" w:rsidRPr="009A6646" w:rsidTr="00D34781">
        <w:tc>
          <w:tcPr>
            <w:tcW w:w="2427" w:type="pct"/>
          </w:tcPr>
          <w:p w:rsidR="00D70BA0" w:rsidRPr="009A6646" w:rsidRDefault="00D70BA0" w:rsidP="00D34781">
            <w:pPr>
              <w:jc w:val="both"/>
              <w:rPr>
                <w:rFonts w:eastAsia="Calibri"/>
                <w:sz w:val="20"/>
              </w:rPr>
            </w:pPr>
            <w:r w:rsidRPr="009A6646">
              <w:rPr>
                <w:rFonts w:eastAsia="Calibri"/>
                <w:sz w:val="20"/>
              </w:rPr>
              <w:lastRenderedPageBreak/>
              <w:t>July 31, 2013</w:t>
            </w:r>
          </w:p>
          <w:p w:rsidR="00D70BA0" w:rsidRPr="009A6646" w:rsidRDefault="00D70BA0" w:rsidP="00D34781">
            <w:pPr>
              <w:jc w:val="both"/>
              <w:rPr>
                <w:rFonts w:eastAsia="Calibri"/>
                <w:sz w:val="20"/>
              </w:rPr>
            </w:pPr>
            <w:r w:rsidRPr="009A6646">
              <w:rPr>
                <w:rFonts w:eastAsia="Calibri"/>
                <w:sz w:val="20"/>
              </w:rPr>
              <w:t>Supreme Court of Canada</w:t>
            </w:r>
          </w:p>
          <w:p w:rsidR="00D70BA0" w:rsidRPr="009A6646" w:rsidRDefault="00D70BA0" w:rsidP="00D34781">
            <w:pPr>
              <w:jc w:val="both"/>
              <w:rPr>
                <w:rFonts w:eastAsia="Calibri"/>
                <w:sz w:val="20"/>
              </w:rPr>
            </w:pPr>
          </w:p>
        </w:tc>
        <w:tc>
          <w:tcPr>
            <w:tcW w:w="243" w:type="pct"/>
          </w:tcPr>
          <w:p w:rsidR="00D70BA0" w:rsidRPr="009A6646" w:rsidRDefault="00D70BA0" w:rsidP="00D34781">
            <w:pPr>
              <w:jc w:val="both"/>
              <w:rPr>
                <w:rFonts w:eastAsia="Calibri"/>
                <w:sz w:val="20"/>
              </w:rPr>
            </w:pPr>
          </w:p>
        </w:tc>
        <w:tc>
          <w:tcPr>
            <w:tcW w:w="2330" w:type="pct"/>
          </w:tcPr>
          <w:p w:rsidR="00D70BA0" w:rsidRPr="009A6646" w:rsidRDefault="00D70BA0" w:rsidP="00D34781">
            <w:pPr>
              <w:jc w:val="both"/>
              <w:rPr>
                <w:rFonts w:eastAsia="Calibri"/>
                <w:sz w:val="20"/>
              </w:rPr>
            </w:pPr>
            <w:r w:rsidRPr="009A6646">
              <w:rPr>
                <w:rFonts w:eastAsia="Calibri"/>
                <w:sz w:val="20"/>
              </w:rPr>
              <w:t>Motion for extension of time to serve and/or file application for leave to appeal, motion to introduce new evidence and application for leave to appeal filed.</w:t>
            </w:r>
          </w:p>
          <w:p w:rsidR="00D70BA0" w:rsidRPr="009A6646" w:rsidRDefault="00D70BA0" w:rsidP="00D34781">
            <w:pPr>
              <w:jc w:val="both"/>
              <w:rPr>
                <w:rFonts w:eastAsia="Calibri"/>
                <w:sz w:val="20"/>
              </w:rPr>
            </w:pPr>
          </w:p>
        </w:tc>
      </w:tr>
      <w:tr w:rsidR="00D70BA0" w:rsidRPr="009A6646" w:rsidTr="00D34781">
        <w:trPr>
          <w:trHeight w:val="20"/>
        </w:trPr>
        <w:tc>
          <w:tcPr>
            <w:tcW w:w="2427" w:type="pct"/>
          </w:tcPr>
          <w:p w:rsidR="00D70BA0" w:rsidRPr="009A6646" w:rsidRDefault="00D70BA0" w:rsidP="00D34781">
            <w:pPr>
              <w:jc w:val="both"/>
              <w:rPr>
                <w:rFonts w:eastAsia="Calibri"/>
                <w:sz w:val="20"/>
              </w:rPr>
            </w:pPr>
            <w:r w:rsidRPr="009A6646">
              <w:rPr>
                <w:rFonts w:eastAsia="Calibri"/>
                <w:sz w:val="20"/>
              </w:rPr>
              <w:t>October 1, 2013</w:t>
            </w:r>
          </w:p>
          <w:p w:rsidR="00D70BA0" w:rsidRPr="009A6646" w:rsidRDefault="00D70BA0" w:rsidP="00D34781">
            <w:pPr>
              <w:jc w:val="both"/>
              <w:rPr>
                <w:rFonts w:eastAsia="Calibri"/>
                <w:sz w:val="20"/>
              </w:rPr>
            </w:pPr>
            <w:r w:rsidRPr="009A6646">
              <w:rPr>
                <w:rFonts w:eastAsia="Calibri"/>
                <w:sz w:val="20"/>
              </w:rPr>
              <w:t>Supreme Court of Canada</w:t>
            </w:r>
          </w:p>
        </w:tc>
        <w:tc>
          <w:tcPr>
            <w:tcW w:w="243" w:type="pct"/>
          </w:tcPr>
          <w:p w:rsidR="00D70BA0" w:rsidRPr="009A6646" w:rsidRDefault="00D70BA0" w:rsidP="00D34781">
            <w:pPr>
              <w:jc w:val="both"/>
              <w:rPr>
                <w:rFonts w:eastAsia="Calibri"/>
                <w:sz w:val="20"/>
              </w:rPr>
            </w:pPr>
          </w:p>
        </w:tc>
        <w:tc>
          <w:tcPr>
            <w:tcW w:w="2330" w:type="pct"/>
          </w:tcPr>
          <w:p w:rsidR="00D70BA0" w:rsidRPr="009A6646" w:rsidRDefault="00D70BA0" w:rsidP="00D34781">
            <w:pPr>
              <w:jc w:val="both"/>
              <w:rPr>
                <w:rFonts w:eastAsia="Calibri"/>
                <w:sz w:val="20"/>
              </w:rPr>
            </w:pPr>
            <w:r w:rsidRPr="009A6646">
              <w:rPr>
                <w:rFonts w:eastAsia="Calibri"/>
                <w:sz w:val="20"/>
              </w:rPr>
              <w:t>Motion for extension of time to file reply and motion to deposit new exhibits for application for leave filed.</w:t>
            </w:r>
          </w:p>
        </w:tc>
      </w:tr>
    </w:tbl>
    <w:p w:rsidR="00D70BA0" w:rsidRDefault="00D70BA0" w:rsidP="00D70BA0">
      <w:pPr>
        <w:rPr>
          <w:sz w:val="20"/>
          <w:szCs w:val="20"/>
        </w:rPr>
      </w:pPr>
    </w:p>
    <w:p w:rsidR="00D70BA0" w:rsidRDefault="007368AD" w:rsidP="00D70BA0">
      <w:pPr>
        <w:rPr>
          <w:sz w:val="20"/>
          <w:szCs w:val="20"/>
        </w:rPr>
      </w:pPr>
      <w:r>
        <w:rPr>
          <w:sz w:val="20"/>
          <w:szCs w:val="20"/>
          <w:lang w:val="fr-CA"/>
        </w:rPr>
        <w:pict>
          <v:rect id="_x0000_i1040" style="width:2in;height:1pt" o:hrpct="0" o:hralign="center" o:hrstd="t" o:hrnoshade="t" o:hr="t" fillcolor="black [3213]" stroked="f"/>
        </w:pict>
      </w:r>
    </w:p>
    <w:p w:rsidR="00D70BA0" w:rsidRDefault="00D70BA0" w:rsidP="00D70BA0">
      <w:pPr>
        <w:rPr>
          <w:sz w:val="20"/>
          <w:szCs w:val="20"/>
        </w:rPr>
      </w:pPr>
    </w:p>
    <w:p w:rsidR="00D70BA0" w:rsidRPr="001B157C" w:rsidRDefault="00D70BA0" w:rsidP="00D70BA0">
      <w:pPr>
        <w:rPr>
          <w:sz w:val="20"/>
          <w:szCs w:val="20"/>
          <w:u w:val="single"/>
          <w:lang w:val="fr-CA"/>
        </w:rPr>
      </w:pPr>
      <w:r w:rsidRPr="001B157C">
        <w:rPr>
          <w:sz w:val="20"/>
          <w:szCs w:val="20"/>
          <w:u w:val="single"/>
          <w:lang w:val="fr-CA"/>
        </w:rPr>
        <w:t>RÉSUMÉ DE L’AFFAIRE</w:t>
      </w:r>
    </w:p>
    <w:p w:rsidR="00D70BA0" w:rsidRDefault="00D70BA0" w:rsidP="00D70BA0">
      <w:pPr>
        <w:rPr>
          <w:sz w:val="20"/>
          <w:szCs w:val="20"/>
        </w:rPr>
      </w:pPr>
    </w:p>
    <w:tbl>
      <w:tblPr>
        <w:tblW w:w="4952" w:type="pct"/>
        <w:tblLayout w:type="fixed"/>
        <w:tblCellMar>
          <w:left w:w="0" w:type="dxa"/>
          <w:bottom w:w="99" w:type="dxa"/>
          <w:right w:w="0" w:type="dxa"/>
        </w:tblCellMar>
        <w:tblLook w:val="04A0" w:firstRow="1" w:lastRow="0" w:firstColumn="1" w:lastColumn="0" w:noHBand="0" w:noVBand="1"/>
      </w:tblPr>
      <w:tblGrid>
        <w:gridCol w:w="4624"/>
        <w:gridCol w:w="463"/>
        <w:gridCol w:w="4440"/>
      </w:tblGrid>
      <w:tr w:rsidR="00D70BA0" w:rsidRPr="007368AD" w:rsidTr="00D34781">
        <w:tc>
          <w:tcPr>
            <w:tcW w:w="5000" w:type="pct"/>
            <w:gridSpan w:val="3"/>
          </w:tcPr>
          <w:p w:rsidR="00D70BA0" w:rsidRPr="009A6646" w:rsidRDefault="00D70BA0" w:rsidP="00D34781">
            <w:pPr>
              <w:jc w:val="both"/>
              <w:rPr>
                <w:rFonts w:eastAsia="Calibri"/>
                <w:smallCaps/>
                <w:sz w:val="20"/>
                <w:lang w:val="fr-CA"/>
              </w:rPr>
            </w:pPr>
            <w:r w:rsidRPr="009A6646">
              <w:rPr>
                <w:rFonts w:eastAsia="Calibri"/>
                <w:smallCaps/>
                <w:sz w:val="20"/>
                <w:lang w:val="fr-CA"/>
              </w:rPr>
              <w:t>(Ordonnance de non-publication dans le dossier)</w:t>
            </w:r>
          </w:p>
          <w:p w:rsidR="00D70BA0" w:rsidRPr="009A6646" w:rsidRDefault="00D70BA0" w:rsidP="00D34781">
            <w:pPr>
              <w:jc w:val="both"/>
              <w:rPr>
                <w:rFonts w:eastAsia="Calibri"/>
                <w:sz w:val="20"/>
                <w:lang w:val="fr-CA"/>
              </w:rPr>
            </w:pPr>
          </w:p>
          <w:p w:rsidR="00D70BA0" w:rsidRPr="009A6646" w:rsidRDefault="00D70BA0" w:rsidP="00D34781">
            <w:pPr>
              <w:jc w:val="both"/>
              <w:rPr>
                <w:rFonts w:eastAsia="Calibri"/>
                <w:sz w:val="20"/>
                <w:lang w:val="fr-CA"/>
              </w:rPr>
            </w:pPr>
            <w:r w:rsidRPr="009A6646">
              <w:rPr>
                <w:rFonts w:eastAsia="Calibri"/>
                <w:sz w:val="20"/>
                <w:lang w:val="fr-CA"/>
              </w:rPr>
              <w:t>Droit criminel – Preuve – La nouvelle preuve fournie à cette cour a-t-elle une force probante suffisante au point où elle aurait pu changer l'issue du procès?</w:t>
            </w:r>
          </w:p>
          <w:p w:rsidR="00D70BA0" w:rsidRPr="009A6646" w:rsidRDefault="00D70BA0" w:rsidP="00D34781">
            <w:pPr>
              <w:jc w:val="both"/>
              <w:rPr>
                <w:rFonts w:eastAsia="Calibri"/>
                <w:sz w:val="20"/>
                <w:lang w:val="fr-CA"/>
              </w:rPr>
            </w:pPr>
          </w:p>
        </w:tc>
      </w:tr>
      <w:tr w:rsidR="00D70BA0" w:rsidRPr="007368AD" w:rsidTr="00D34781">
        <w:tc>
          <w:tcPr>
            <w:tcW w:w="5000" w:type="pct"/>
            <w:gridSpan w:val="3"/>
          </w:tcPr>
          <w:p w:rsidR="00D70BA0" w:rsidRPr="009A6646" w:rsidRDefault="00D70BA0" w:rsidP="00D34781">
            <w:pPr>
              <w:jc w:val="both"/>
              <w:rPr>
                <w:rFonts w:eastAsia="Calibri"/>
                <w:sz w:val="20"/>
                <w:lang w:val="fr-CA"/>
              </w:rPr>
            </w:pPr>
            <w:r w:rsidRPr="009A6646">
              <w:rPr>
                <w:rFonts w:eastAsia="Calibri"/>
                <w:sz w:val="20"/>
                <w:lang w:val="fr-CA"/>
              </w:rPr>
              <w:t>Le demandeur Richard Ryan et la plaignante D.H. se sont rencontrés dans un bar du campus de l'Université Memorial.  Ils se parlaient souvent.  D.H. a informé le demandeur qu'elle avait des examens à rédiger à la maison et qui l'inquiétaient.  Il lui a offert de l'aider.  Il a composé des réponses dont elle s'est servie pour répondre à l’examen.  En janvier 1998, D.H a accepté de se rendre à un hôtel avec le demandeur.  Dans son témoignage, elle a affirmé qu'ils s'y rendaient pour prendre un repas, mais qu'elle n'avait nullement l'intention d'avoir des rapports sexuels avec lui.  Elle a affirmé qu'une fois sur place, il avait menacé de l'attacher et de la sodomiser et elle a eu par la suite des relations sexuelles orales réciproques avec lui.  Dans son témoignage, le demandeur a affirmé que tout ce qui s'était passé à l'hôtel était consensuel.  La plaignante a parlé aux autorités universitaires par la suite et la police est intervenue.</w:t>
            </w:r>
          </w:p>
        </w:tc>
      </w:tr>
      <w:tr w:rsidR="00D70BA0" w:rsidRPr="007368AD" w:rsidTr="00D34781">
        <w:tc>
          <w:tcPr>
            <w:tcW w:w="5000" w:type="pct"/>
            <w:gridSpan w:val="3"/>
          </w:tcPr>
          <w:p w:rsidR="00D70BA0" w:rsidRPr="009A6646" w:rsidRDefault="00D70BA0" w:rsidP="00D34781">
            <w:pPr>
              <w:jc w:val="both"/>
              <w:rPr>
                <w:rFonts w:eastAsia="Calibri"/>
                <w:sz w:val="20"/>
                <w:lang w:val="fr-CA"/>
              </w:rPr>
            </w:pPr>
          </w:p>
        </w:tc>
      </w:tr>
      <w:tr w:rsidR="00D70BA0" w:rsidRPr="007368AD" w:rsidTr="00D34781">
        <w:tc>
          <w:tcPr>
            <w:tcW w:w="2427" w:type="pct"/>
          </w:tcPr>
          <w:p w:rsidR="00D70BA0" w:rsidRPr="009A6646" w:rsidRDefault="00D70BA0" w:rsidP="00D34781">
            <w:pPr>
              <w:jc w:val="both"/>
              <w:rPr>
                <w:rFonts w:eastAsia="Calibri"/>
                <w:sz w:val="20"/>
                <w:lang w:val="fr-CA"/>
              </w:rPr>
            </w:pPr>
            <w:r w:rsidRPr="009A6646">
              <w:rPr>
                <w:rFonts w:eastAsia="Calibri"/>
                <w:sz w:val="20"/>
                <w:lang w:val="fr-CA"/>
              </w:rPr>
              <w:t>8 octobre 1999</w:t>
            </w:r>
          </w:p>
          <w:p w:rsidR="00D70BA0" w:rsidRPr="009A6646" w:rsidRDefault="00D70BA0" w:rsidP="00D34781">
            <w:pPr>
              <w:jc w:val="both"/>
              <w:rPr>
                <w:rFonts w:eastAsia="Calibri"/>
                <w:sz w:val="20"/>
                <w:lang w:val="fr-CA"/>
              </w:rPr>
            </w:pPr>
            <w:r w:rsidRPr="009A6646">
              <w:rPr>
                <w:rFonts w:eastAsia="Calibri"/>
                <w:sz w:val="20"/>
                <w:lang w:val="fr-CA"/>
              </w:rPr>
              <w:t>Cour provinciale de Terre-Neuve-et-</w:t>
            </w:r>
          </w:p>
          <w:p w:rsidR="00D70BA0" w:rsidRPr="009A6646" w:rsidRDefault="00D70BA0" w:rsidP="00D34781">
            <w:pPr>
              <w:jc w:val="both"/>
              <w:rPr>
                <w:rFonts w:eastAsia="Calibri"/>
                <w:sz w:val="20"/>
                <w:lang w:val="fr-CA"/>
              </w:rPr>
            </w:pPr>
            <w:r w:rsidRPr="009A6646">
              <w:rPr>
                <w:rFonts w:eastAsia="Calibri"/>
                <w:sz w:val="20"/>
                <w:lang w:val="fr-CA"/>
              </w:rPr>
              <w:t>Labrador</w:t>
            </w:r>
          </w:p>
          <w:p w:rsidR="00D70BA0" w:rsidRPr="009A6646" w:rsidRDefault="00D70BA0" w:rsidP="00D34781">
            <w:pPr>
              <w:jc w:val="both"/>
              <w:rPr>
                <w:rFonts w:eastAsia="Calibri"/>
                <w:sz w:val="20"/>
                <w:lang w:val="fr-CA"/>
              </w:rPr>
            </w:pPr>
            <w:r w:rsidRPr="009A6646">
              <w:rPr>
                <w:rFonts w:eastAsia="Calibri"/>
                <w:sz w:val="20"/>
                <w:lang w:val="fr-CA"/>
              </w:rPr>
              <w:t>(Juge Kennedy)</w:t>
            </w:r>
          </w:p>
          <w:p w:rsidR="00D70BA0" w:rsidRPr="009A6646" w:rsidRDefault="00D70BA0" w:rsidP="00D34781">
            <w:pPr>
              <w:jc w:val="both"/>
              <w:rPr>
                <w:rFonts w:eastAsia="Calibri"/>
                <w:sz w:val="20"/>
                <w:lang w:val="fr-CA"/>
              </w:rPr>
            </w:pPr>
          </w:p>
        </w:tc>
        <w:tc>
          <w:tcPr>
            <w:tcW w:w="243" w:type="pct"/>
          </w:tcPr>
          <w:p w:rsidR="00D70BA0" w:rsidRPr="009A6646" w:rsidRDefault="00D70BA0" w:rsidP="00D34781">
            <w:pPr>
              <w:jc w:val="both"/>
              <w:rPr>
                <w:rFonts w:eastAsia="Calibri"/>
                <w:sz w:val="20"/>
                <w:lang w:val="fr-CA"/>
              </w:rPr>
            </w:pPr>
          </w:p>
        </w:tc>
        <w:tc>
          <w:tcPr>
            <w:tcW w:w="2330" w:type="pct"/>
          </w:tcPr>
          <w:p w:rsidR="00D70BA0" w:rsidRPr="009A6646" w:rsidRDefault="00D70BA0" w:rsidP="00D34781">
            <w:pPr>
              <w:jc w:val="both"/>
              <w:rPr>
                <w:rFonts w:eastAsia="Calibri"/>
                <w:sz w:val="20"/>
                <w:lang w:val="fr-CA"/>
              </w:rPr>
            </w:pPr>
            <w:r w:rsidRPr="009A6646">
              <w:rPr>
                <w:rFonts w:eastAsia="Calibri"/>
                <w:sz w:val="20"/>
                <w:lang w:val="fr-CA"/>
              </w:rPr>
              <w:t>Le demandeur a été déclaré coupable d'agression sexuelle, de séquestration et de menaces, infractions prévues aux al. 271(1)</w:t>
            </w:r>
            <w:r w:rsidRPr="009A6646">
              <w:rPr>
                <w:rFonts w:eastAsia="Calibri"/>
                <w:i/>
                <w:sz w:val="20"/>
                <w:lang w:val="fr-CA"/>
              </w:rPr>
              <w:t>a)</w:t>
            </w:r>
            <w:r w:rsidRPr="009A6646">
              <w:rPr>
                <w:rFonts w:eastAsia="Calibri"/>
                <w:sz w:val="20"/>
                <w:lang w:val="fr-CA"/>
              </w:rPr>
              <w:t>, 279(2)</w:t>
            </w:r>
            <w:r w:rsidRPr="009A6646">
              <w:rPr>
                <w:rFonts w:eastAsia="Calibri"/>
                <w:i/>
                <w:sz w:val="20"/>
                <w:lang w:val="fr-CA"/>
              </w:rPr>
              <w:t>a)</w:t>
            </w:r>
            <w:r w:rsidRPr="009A6646">
              <w:rPr>
                <w:rFonts w:eastAsia="Calibri"/>
                <w:sz w:val="20"/>
                <w:lang w:val="fr-CA"/>
              </w:rPr>
              <w:t>, 264.1(1)</w:t>
            </w:r>
            <w:r w:rsidRPr="009A6646">
              <w:rPr>
                <w:rFonts w:eastAsia="Calibri"/>
                <w:i/>
                <w:sz w:val="20"/>
                <w:lang w:val="fr-CA"/>
              </w:rPr>
              <w:t>a)</w:t>
            </w:r>
            <w:r w:rsidRPr="009A6646">
              <w:rPr>
                <w:rFonts w:eastAsia="Calibri"/>
                <w:sz w:val="20"/>
                <w:lang w:val="fr-CA"/>
              </w:rPr>
              <w:t>-264.1(2)</w:t>
            </w:r>
            <w:r w:rsidRPr="009A6646">
              <w:rPr>
                <w:rFonts w:eastAsia="Calibri"/>
                <w:i/>
                <w:sz w:val="20"/>
                <w:lang w:val="fr-CA"/>
              </w:rPr>
              <w:t>a)</w:t>
            </w:r>
            <w:r w:rsidRPr="009A6646">
              <w:rPr>
                <w:rFonts w:eastAsia="Calibri"/>
                <w:sz w:val="20"/>
                <w:lang w:val="fr-CA"/>
              </w:rPr>
              <w:t xml:space="preserve"> du</w:t>
            </w:r>
            <w:r w:rsidRPr="009A6646">
              <w:rPr>
                <w:rFonts w:eastAsia="Calibri"/>
                <w:i/>
                <w:sz w:val="20"/>
                <w:lang w:val="fr-CA"/>
              </w:rPr>
              <w:t xml:space="preserve"> Code criminel</w:t>
            </w:r>
            <w:r w:rsidRPr="009A6646">
              <w:rPr>
                <w:rFonts w:eastAsia="Calibri"/>
                <w:sz w:val="20"/>
                <w:lang w:val="fr-CA"/>
              </w:rPr>
              <w:t>.</w:t>
            </w:r>
          </w:p>
          <w:p w:rsidR="00D70BA0" w:rsidRPr="009A6646" w:rsidRDefault="00D70BA0" w:rsidP="00D34781">
            <w:pPr>
              <w:jc w:val="both"/>
              <w:rPr>
                <w:rFonts w:eastAsia="Calibri"/>
                <w:sz w:val="20"/>
                <w:lang w:val="fr-CA"/>
              </w:rPr>
            </w:pPr>
          </w:p>
        </w:tc>
      </w:tr>
      <w:tr w:rsidR="00D70BA0" w:rsidRPr="009A6646" w:rsidTr="00DE585D">
        <w:trPr>
          <w:cantSplit/>
        </w:trPr>
        <w:tc>
          <w:tcPr>
            <w:tcW w:w="2427" w:type="pct"/>
          </w:tcPr>
          <w:p w:rsidR="00D70BA0" w:rsidRPr="009A6646" w:rsidRDefault="00D70BA0" w:rsidP="00D34781">
            <w:pPr>
              <w:jc w:val="both"/>
              <w:rPr>
                <w:rFonts w:eastAsia="Calibri"/>
                <w:sz w:val="20"/>
                <w:lang w:val="fr-CA"/>
              </w:rPr>
            </w:pPr>
            <w:r w:rsidRPr="009A6646">
              <w:rPr>
                <w:rFonts w:eastAsia="Calibri"/>
                <w:sz w:val="20"/>
                <w:lang w:val="fr-CA"/>
              </w:rPr>
              <w:t>5 juillet 2000</w:t>
            </w:r>
          </w:p>
          <w:p w:rsidR="00D70BA0" w:rsidRPr="009A6646" w:rsidRDefault="00D70BA0" w:rsidP="00D34781">
            <w:pPr>
              <w:jc w:val="both"/>
              <w:rPr>
                <w:rFonts w:eastAsia="Calibri"/>
                <w:sz w:val="20"/>
                <w:lang w:val="fr-CA"/>
              </w:rPr>
            </w:pPr>
            <w:r w:rsidRPr="009A6646">
              <w:rPr>
                <w:rFonts w:eastAsia="Calibri"/>
                <w:sz w:val="20"/>
                <w:lang w:val="fr-CA"/>
              </w:rPr>
              <w:t>Cour suprême de Terre-Neuve-et-Labrador Cour d'appel</w:t>
            </w:r>
          </w:p>
          <w:p w:rsidR="00D70BA0" w:rsidRPr="009A6646" w:rsidRDefault="00D70BA0" w:rsidP="00D34781">
            <w:pPr>
              <w:jc w:val="both"/>
              <w:rPr>
                <w:rFonts w:eastAsia="Calibri"/>
                <w:sz w:val="20"/>
                <w:lang w:val="fr-CA"/>
              </w:rPr>
            </w:pPr>
            <w:r w:rsidRPr="009A6646">
              <w:rPr>
                <w:rFonts w:eastAsia="Calibri"/>
                <w:sz w:val="20"/>
                <w:lang w:val="fr-CA"/>
              </w:rPr>
              <w:t>(Juges Gushue, O'Neill et Steele)</w:t>
            </w:r>
          </w:p>
          <w:p w:rsidR="00D70BA0" w:rsidRPr="009A6646" w:rsidRDefault="00D70BA0" w:rsidP="00D34781">
            <w:pPr>
              <w:jc w:val="both"/>
              <w:rPr>
                <w:rFonts w:eastAsia="Calibri"/>
                <w:sz w:val="20"/>
                <w:lang w:val="fr-CA"/>
              </w:rPr>
            </w:pPr>
            <w:r w:rsidRPr="009A6646">
              <w:rPr>
                <w:rFonts w:eastAsia="Calibri"/>
                <w:sz w:val="20"/>
                <w:lang w:val="fr-CA"/>
              </w:rPr>
              <w:t xml:space="preserve">Référence neutre : </w:t>
            </w:r>
            <w:hyperlink r:id="rId36" w:history="1">
              <w:r w:rsidRPr="009A6646">
                <w:rPr>
                  <w:rFonts w:eastAsia="Calibri"/>
                  <w:color w:val="0000FF"/>
                  <w:sz w:val="20"/>
                  <w:u w:val="single"/>
                  <w:lang w:val="fr-CA"/>
                </w:rPr>
                <w:t>2000 NFCA 41</w:t>
              </w:r>
            </w:hyperlink>
          </w:p>
          <w:p w:rsidR="00D70BA0" w:rsidRPr="009A6646" w:rsidRDefault="00D70BA0" w:rsidP="00D34781">
            <w:pPr>
              <w:jc w:val="both"/>
              <w:rPr>
                <w:rFonts w:eastAsia="Calibri"/>
                <w:sz w:val="20"/>
                <w:lang w:val="fr-CA"/>
              </w:rPr>
            </w:pPr>
          </w:p>
        </w:tc>
        <w:tc>
          <w:tcPr>
            <w:tcW w:w="243" w:type="pct"/>
          </w:tcPr>
          <w:p w:rsidR="00D70BA0" w:rsidRPr="009A6646" w:rsidRDefault="00D70BA0" w:rsidP="00D34781">
            <w:pPr>
              <w:jc w:val="both"/>
              <w:rPr>
                <w:rFonts w:eastAsia="Calibri"/>
                <w:sz w:val="20"/>
                <w:lang w:val="fr-CA"/>
              </w:rPr>
            </w:pPr>
          </w:p>
        </w:tc>
        <w:tc>
          <w:tcPr>
            <w:tcW w:w="2330" w:type="pct"/>
          </w:tcPr>
          <w:p w:rsidR="00D70BA0" w:rsidRPr="009A6646" w:rsidRDefault="00D70BA0" w:rsidP="00D34781">
            <w:pPr>
              <w:jc w:val="both"/>
              <w:rPr>
                <w:rFonts w:eastAsia="Calibri"/>
                <w:sz w:val="20"/>
                <w:lang w:val="fr-CA"/>
              </w:rPr>
            </w:pPr>
            <w:r w:rsidRPr="009A6646">
              <w:rPr>
                <w:rFonts w:eastAsia="Calibri"/>
                <w:sz w:val="20"/>
                <w:lang w:val="fr-CA"/>
              </w:rPr>
              <w:t>Appel rejeté.</w:t>
            </w:r>
          </w:p>
          <w:p w:rsidR="00D70BA0" w:rsidRPr="009A6646" w:rsidRDefault="00D70BA0" w:rsidP="00D34781">
            <w:pPr>
              <w:jc w:val="both"/>
              <w:rPr>
                <w:rFonts w:eastAsia="Calibri"/>
                <w:sz w:val="20"/>
                <w:lang w:val="fr-CA"/>
              </w:rPr>
            </w:pPr>
          </w:p>
        </w:tc>
      </w:tr>
      <w:tr w:rsidR="00D70BA0" w:rsidRPr="007368AD" w:rsidTr="00DE585D">
        <w:trPr>
          <w:cantSplit/>
        </w:trPr>
        <w:tc>
          <w:tcPr>
            <w:tcW w:w="2427" w:type="pct"/>
          </w:tcPr>
          <w:p w:rsidR="00D70BA0" w:rsidRPr="009A6646" w:rsidRDefault="00D70BA0" w:rsidP="00D34781">
            <w:pPr>
              <w:jc w:val="both"/>
              <w:rPr>
                <w:rFonts w:eastAsia="Calibri"/>
                <w:sz w:val="20"/>
                <w:lang w:val="fr-CA"/>
              </w:rPr>
            </w:pPr>
            <w:r w:rsidRPr="009A6646">
              <w:rPr>
                <w:rFonts w:eastAsia="Calibri"/>
                <w:sz w:val="20"/>
                <w:lang w:val="fr-CA"/>
              </w:rPr>
              <w:t>31 juillet 2013</w:t>
            </w:r>
          </w:p>
          <w:p w:rsidR="00D70BA0" w:rsidRPr="009A6646" w:rsidRDefault="00D70BA0" w:rsidP="00D34781">
            <w:pPr>
              <w:jc w:val="both"/>
              <w:rPr>
                <w:rFonts w:eastAsia="Calibri"/>
                <w:sz w:val="20"/>
                <w:lang w:val="fr-CA"/>
              </w:rPr>
            </w:pPr>
            <w:r w:rsidRPr="009A6646">
              <w:rPr>
                <w:rFonts w:eastAsia="Calibri"/>
                <w:sz w:val="20"/>
                <w:lang w:val="fr-CA"/>
              </w:rPr>
              <w:t>Cour suprême du Canada</w:t>
            </w:r>
          </w:p>
          <w:p w:rsidR="00D70BA0" w:rsidRPr="009A6646" w:rsidRDefault="00D70BA0" w:rsidP="00D34781">
            <w:pPr>
              <w:jc w:val="both"/>
              <w:rPr>
                <w:rFonts w:eastAsia="Calibri"/>
                <w:sz w:val="20"/>
                <w:lang w:val="fr-CA"/>
              </w:rPr>
            </w:pPr>
          </w:p>
        </w:tc>
        <w:tc>
          <w:tcPr>
            <w:tcW w:w="243" w:type="pct"/>
          </w:tcPr>
          <w:p w:rsidR="00D70BA0" w:rsidRPr="009A6646" w:rsidRDefault="00D70BA0" w:rsidP="00D34781">
            <w:pPr>
              <w:jc w:val="both"/>
              <w:rPr>
                <w:rFonts w:eastAsia="Calibri"/>
                <w:sz w:val="20"/>
                <w:lang w:val="fr-CA"/>
              </w:rPr>
            </w:pPr>
          </w:p>
        </w:tc>
        <w:tc>
          <w:tcPr>
            <w:tcW w:w="2330" w:type="pct"/>
          </w:tcPr>
          <w:p w:rsidR="00D70BA0" w:rsidRPr="009A6646" w:rsidRDefault="00D70BA0" w:rsidP="00D34781">
            <w:pPr>
              <w:jc w:val="both"/>
              <w:rPr>
                <w:rFonts w:eastAsia="Calibri"/>
                <w:sz w:val="20"/>
                <w:lang w:val="fr-CA"/>
              </w:rPr>
            </w:pPr>
            <w:r w:rsidRPr="009A6646">
              <w:rPr>
                <w:rFonts w:eastAsia="Calibri"/>
                <w:sz w:val="20"/>
                <w:lang w:val="fr-CA"/>
              </w:rPr>
              <w:t>Requête en prorogation du délai de signification et de dépôt de la demande d'autorisation d'appel, requête en vue de produire de nouveaux éléments de preuve et demande d'autorisation d'appel, déposées.</w:t>
            </w:r>
          </w:p>
          <w:p w:rsidR="00D70BA0" w:rsidRPr="009A6646" w:rsidRDefault="00D70BA0" w:rsidP="00D34781">
            <w:pPr>
              <w:jc w:val="both"/>
              <w:rPr>
                <w:rFonts w:eastAsia="Calibri"/>
                <w:sz w:val="20"/>
                <w:lang w:val="fr-CA"/>
              </w:rPr>
            </w:pPr>
          </w:p>
        </w:tc>
      </w:tr>
      <w:tr w:rsidR="00D70BA0" w:rsidRPr="007368AD" w:rsidTr="00DE585D">
        <w:trPr>
          <w:cantSplit/>
        </w:trPr>
        <w:tc>
          <w:tcPr>
            <w:tcW w:w="2427" w:type="pct"/>
          </w:tcPr>
          <w:p w:rsidR="00D70BA0" w:rsidRPr="009A6646" w:rsidRDefault="00D70BA0" w:rsidP="00D34781">
            <w:pPr>
              <w:jc w:val="both"/>
              <w:rPr>
                <w:rFonts w:eastAsia="Calibri"/>
                <w:sz w:val="20"/>
                <w:lang w:val="fr-CA"/>
              </w:rPr>
            </w:pPr>
            <w:r w:rsidRPr="009A6646">
              <w:rPr>
                <w:rFonts w:eastAsia="Calibri"/>
                <w:sz w:val="20"/>
                <w:lang w:val="fr-CA"/>
              </w:rPr>
              <w:t>1</w:t>
            </w:r>
            <w:r w:rsidRPr="009A6646">
              <w:rPr>
                <w:rFonts w:eastAsia="Calibri"/>
                <w:sz w:val="20"/>
                <w:vertAlign w:val="superscript"/>
                <w:lang w:val="fr-CA"/>
              </w:rPr>
              <w:t>er</w:t>
            </w:r>
            <w:r w:rsidRPr="009A6646">
              <w:rPr>
                <w:rFonts w:eastAsia="Calibri"/>
                <w:sz w:val="20"/>
                <w:lang w:val="fr-CA"/>
              </w:rPr>
              <w:t xml:space="preserve"> octobre 2013</w:t>
            </w:r>
          </w:p>
          <w:p w:rsidR="00D70BA0" w:rsidRPr="009A6646" w:rsidRDefault="00D70BA0" w:rsidP="00D34781">
            <w:pPr>
              <w:jc w:val="both"/>
              <w:rPr>
                <w:rFonts w:eastAsia="Calibri"/>
                <w:sz w:val="20"/>
                <w:lang w:val="fr-CA"/>
              </w:rPr>
            </w:pPr>
            <w:r w:rsidRPr="009A6646">
              <w:rPr>
                <w:rFonts w:eastAsia="Calibri"/>
                <w:sz w:val="20"/>
                <w:lang w:val="fr-CA"/>
              </w:rPr>
              <w:t>Cour suprême du Canada</w:t>
            </w:r>
          </w:p>
          <w:p w:rsidR="00D70BA0" w:rsidRPr="009A6646" w:rsidRDefault="00D70BA0" w:rsidP="00D34781">
            <w:pPr>
              <w:jc w:val="both"/>
              <w:rPr>
                <w:rFonts w:eastAsia="Calibri"/>
                <w:sz w:val="20"/>
                <w:lang w:val="fr-CA"/>
              </w:rPr>
            </w:pPr>
          </w:p>
        </w:tc>
        <w:tc>
          <w:tcPr>
            <w:tcW w:w="243" w:type="pct"/>
          </w:tcPr>
          <w:p w:rsidR="00D70BA0" w:rsidRPr="009A6646" w:rsidRDefault="00D70BA0" w:rsidP="00D34781">
            <w:pPr>
              <w:jc w:val="both"/>
              <w:rPr>
                <w:rFonts w:eastAsia="Calibri"/>
                <w:sz w:val="20"/>
                <w:lang w:val="fr-CA"/>
              </w:rPr>
            </w:pPr>
          </w:p>
        </w:tc>
        <w:tc>
          <w:tcPr>
            <w:tcW w:w="2330" w:type="pct"/>
          </w:tcPr>
          <w:p w:rsidR="00D70BA0" w:rsidRPr="009A6646" w:rsidRDefault="00D70BA0" w:rsidP="00D34781">
            <w:pPr>
              <w:jc w:val="both"/>
              <w:rPr>
                <w:rFonts w:eastAsia="Calibri"/>
                <w:sz w:val="20"/>
                <w:lang w:val="fr-CA"/>
              </w:rPr>
            </w:pPr>
            <w:r w:rsidRPr="009A6646">
              <w:rPr>
                <w:rFonts w:eastAsia="Calibri"/>
                <w:sz w:val="20"/>
                <w:lang w:val="fr-CA"/>
              </w:rPr>
              <w:t>Requête en prorogation du délai de dépôt de la réplique et requête en vue déposer de nouvelles pièces au soutien de la demande d'autorisation, déposées.</w:t>
            </w:r>
          </w:p>
        </w:tc>
      </w:tr>
    </w:tbl>
    <w:p w:rsidR="00D70BA0" w:rsidRPr="00D70BA0" w:rsidRDefault="00D70BA0" w:rsidP="00D70BA0">
      <w:pPr>
        <w:rPr>
          <w:sz w:val="20"/>
          <w:szCs w:val="20"/>
          <w:lang w:val="fr-CA"/>
        </w:rPr>
      </w:pPr>
    </w:p>
    <w:p w:rsidR="00D70BA0" w:rsidRDefault="007368AD" w:rsidP="00D70BA0">
      <w:pPr>
        <w:rPr>
          <w:sz w:val="20"/>
          <w:szCs w:val="20"/>
        </w:rPr>
      </w:pPr>
      <w:r>
        <w:rPr>
          <w:sz w:val="20"/>
          <w:szCs w:val="20"/>
          <w:lang w:val="fr-CA"/>
        </w:rPr>
        <w:pict>
          <v:rect id="_x0000_i1041" style="width:2in;height:1pt" o:hrpct="0" o:hralign="center" o:hrstd="t" o:hrnoshade="t" o:hr="t" fillcolor="black [3213]" stroked="f"/>
        </w:pict>
      </w:r>
    </w:p>
    <w:p w:rsidR="00D70BA0" w:rsidRDefault="00D70BA0" w:rsidP="00D70BA0">
      <w:pPr>
        <w:rPr>
          <w:sz w:val="20"/>
          <w:szCs w:val="20"/>
        </w:rPr>
      </w:pPr>
    </w:p>
    <w:tbl>
      <w:tblPr>
        <w:tblStyle w:val="TableGrid5"/>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1458"/>
        <w:gridCol w:w="8118"/>
      </w:tblGrid>
      <w:tr w:rsidR="006C5B6E" w:rsidRPr="006C5B6E" w:rsidTr="00E4451A">
        <w:trPr>
          <w:cantSplit/>
        </w:trPr>
        <w:tc>
          <w:tcPr>
            <w:tcW w:w="1458" w:type="dxa"/>
          </w:tcPr>
          <w:p w:rsidR="006C5B6E" w:rsidRPr="006C5B6E" w:rsidRDefault="006C5B6E" w:rsidP="006C5B6E">
            <w:pPr>
              <w:rPr>
                <w:sz w:val="20"/>
              </w:rPr>
            </w:pPr>
            <w:r w:rsidRPr="006C5B6E">
              <w:rPr>
                <w:b/>
                <w:sz w:val="20"/>
                <w:lang w:val="fr-CA"/>
              </w:rPr>
              <w:t>35463</w:t>
            </w:r>
          </w:p>
          <w:p w:rsidR="006C5B6E" w:rsidRPr="006C5B6E" w:rsidRDefault="006C5B6E" w:rsidP="006C5B6E">
            <w:pPr>
              <w:rPr>
                <w:b/>
                <w:sz w:val="20"/>
                <w:lang w:val="fr-CA"/>
              </w:rPr>
            </w:pPr>
          </w:p>
        </w:tc>
        <w:tc>
          <w:tcPr>
            <w:tcW w:w="8118" w:type="dxa"/>
          </w:tcPr>
          <w:p w:rsidR="006C5B6E" w:rsidRPr="006C5B6E" w:rsidRDefault="006C5B6E" w:rsidP="006C5B6E">
            <w:pPr>
              <w:jc w:val="both"/>
              <w:rPr>
                <w:sz w:val="20"/>
              </w:rPr>
            </w:pPr>
            <w:r w:rsidRPr="006C5B6E">
              <w:rPr>
                <w:b/>
                <w:sz w:val="20"/>
                <w:u w:val="single"/>
              </w:rPr>
              <w:t>Lesslie Askin v. Law Society of British Columbia</w:t>
            </w:r>
            <w:r w:rsidR="008F08EE">
              <w:rPr>
                <w:b/>
                <w:sz w:val="20"/>
                <w:u w:val="single"/>
              </w:rPr>
              <w:t xml:space="preserve"> and</w:t>
            </w:r>
            <w:r w:rsidRPr="006C5B6E">
              <w:rPr>
                <w:b/>
                <w:sz w:val="20"/>
                <w:u w:val="single"/>
              </w:rPr>
              <w:t xml:space="preserve"> Attorney General of British Columbia</w:t>
            </w:r>
            <w:r w:rsidRPr="006C5B6E">
              <w:rPr>
                <w:sz w:val="20"/>
              </w:rPr>
              <w:t xml:space="preserve"> (B.C.) (Civil) (By Leave)</w:t>
            </w:r>
          </w:p>
          <w:p w:rsidR="006C5B6E" w:rsidRPr="006C5B6E" w:rsidRDefault="006C5B6E" w:rsidP="006C5B6E">
            <w:pPr>
              <w:jc w:val="both"/>
              <w:rPr>
                <w:sz w:val="20"/>
              </w:rPr>
            </w:pPr>
          </w:p>
        </w:tc>
      </w:tr>
      <w:tr w:rsidR="006C5B6E" w:rsidRPr="006C5B6E" w:rsidTr="00E4451A">
        <w:trPr>
          <w:cantSplit/>
        </w:trPr>
        <w:tc>
          <w:tcPr>
            <w:tcW w:w="1458" w:type="dxa"/>
          </w:tcPr>
          <w:p w:rsidR="006C5B6E" w:rsidRPr="006C5B6E" w:rsidRDefault="006C5B6E" w:rsidP="006C5B6E">
            <w:pPr>
              <w:rPr>
                <w:sz w:val="20"/>
              </w:rPr>
            </w:pPr>
            <w:r w:rsidRPr="006C5B6E">
              <w:rPr>
                <w:sz w:val="20"/>
              </w:rPr>
              <w:t>Coram :</w:t>
            </w:r>
          </w:p>
        </w:tc>
        <w:tc>
          <w:tcPr>
            <w:tcW w:w="8118" w:type="dxa"/>
          </w:tcPr>
          <w:p w:rsidR="006C5B6E" w:rsidRPr="006C5B6E" w:rsidRDefault="006C5B6E" w:rsidP="006C5B6E">
            <w:pPr>
              <w:rPr>
                <w:sz w:val="20"/>
              </w:rPr>
            </w:pPr>
            <w:r w:rsidRPr="006C5B6E">
              <w:rPr>
                <w:sz w:val="20"/>
                <w:u w:val="single"/>
              </w:rPr>
              <w:t>Abella, Rothstein and Moldaver JJ.</w:t>
            </w:r>
          </w:p>
          <w:p w:rsidR="006C5B6E" w:rsidRPr="006C5B6E" w:rsidRDefault="006C5B6E" w:rsidP="006C5B6E">
            <w:pPr>
              <w:rPr>
                <w:sz w:val="20"/>
                <w:u w:val="single"/>
              </w:rPr>
            </w:pPr>
          </w:p>
        </w:tc>
      </w:tr>
      <w:tr w:rsidR="006C5B6E" w:rsidRPr="007368AD" w:rsidTr="00E4451A">
        <w:trPr>
          <w:cantSplit/>
        </w:trPr>
        <w:tc>
          <w:tcPr>
            <w:tcW w:w="9576" w:type="dxa"/>
            <w:gridSpan w:val="2"/>
          </w:tcPr>
          <w:p w:rsidR="006C5B6E" w:rsidRPr="006C5B6E" w:rsidRDefault="006C5B6E" w:rsidP="006C5B6E">
            <w:pPr>
              <w:ind w:firstLine="720"/>
              <w:jc w:val="both"/>
              <w:rPr>
                <w:sz w:val="20"/>
              </w:rPr>
            </w:pPr>
            <w:r w:rsidRPr="006C5B6E">
              <w:rPr>
                <w:sz w:val="20"/>
              </w:rPr>
              <w:t>The application for leave to appeal from the judgment of the Court of Appeal for British Columbia (Vancouver), Number CA040054, 2013 BCCA 233, dated May 7, 2013, is dismissed with costs to the respondent, Law Society of British Columbia.</w:t>
            </w:r>
          </w:p>
          <w:p w:rsidR="006C5B6E" w:rsidRPr="006C5B6E" w:rsidRDefault="006C5B6E" w:rsidP="006C5B6E">
            <w:pPr>
              <w:jc w:val="both"/>
              <w:rPr>
                <w:sz w:val="20"/>
              </w:rPr>
            </w:pPr>
          </w:p>
          <w:p w:rsidR="006C5B6E" w:rsidRPr="006C5B6E" w:rsidRDefault="006C5B6E" w:rsidP="006C5B6E">
            <w:pPr>
              <w:ind w:firstLine="720"/>
              <w:jc w:val="both"/>
              <w:rPr>
                <w:sz w:val="20"/>
                <w:lang w:val="fr-CA"/>
              </w:rPr>
            </w:pPr>
            <w:r w:rsidRPr="006C5B6E">
              <w:rPr>
                <w:sz w:val="20"/>
                <w:lang w:val="fr-CA"/>
              </w:rPr>
              <w:t>La demande d’autorisation d’appel de l’arrêt de la Cour d’appel de la Colombie-Britannique (Vancouver), numéro CA040054, 2013 BCCA 233, daté du 7 mai 2013, est rejetée avec dépens en faveur de l’intimée, Law Society of British Columbia.</w:t>
            </w:r>
          </w:p>
        </w:tc>
      </w:tr>
    </w:tbl>
    <w:p w:rsidR="00D70BA0" w:rsidRPr="006C5B6E" w:rsidRDefault="00D70BA0" w:rsidP="00D70BA0">
      <w:pPr>
        <w:rPr>
          <w:sz w:val="20"/>
          <w:szCs w:val="20"/>
          <w:lang w:val="fr-CA"/>
        </w:rPr>
      </w:pPr>
    </w:p>
    <w:p w:rsidR="00D70BA0" w:rsidRPr="001B157C" w:rsidRDefault="00D70BA0" w:rsidP="00D70BA0">
      <w:pPr>
        <w:rPr>
          <w:sz w:val="20"/>
          <w:szCs w:val="20"/>
          <w:u w:val="single"/>
        </w:rPr>
      </w:pPr>
      <w:r w:rsidRPr="001B157C">
        <w:rPr>
          <w:sz w:val="20"/>
          <w:szCs w:val="20"/>
          <w:u w:val="single"/>
        </w:rPr>
        <w:t>CASE SUMMARY</w:t>
      </w:r>
    </w:p>
    <w:p w:rsidR="00D70BA0" w:rsidRDefault="00D70BA0" w:rsidP="00D70BA0">
      <w:pPr>
        <w:rPr>
          <w:sz w:val="20"/>
          <w:szCs w:val="20"/>
        </w:rPr>
      </w:pPr>
    </w:p>
    <w:tbl>
      <w:tblPr>
        <w:tblW w:w="4952" w:type="pct"/>
        <w:tblLayout w:type="fixed"/>
        <w:tblCellMar>
          <w:left w:w="0" w:type="dxa"/>
          <w:bottom w:w="99" w:type="dxa"/>
          <w:right w:w="0" w:type="dxa"/>
        </w:tblCellMar>
        <w:tblLook w:val="04A0" w:firstRow="1" w:lastRow="0" w:firstColumn="1" w:lastColumn="0" w:noHBand="0" w:noVBand="1"/>
      </w:tblPr>
      <w:tblGrid>
        <w:gridCol w:w="4624"/>
        <w:gridCol w:w="463"/>
        <w:gridCol w:w="4440"/>
      </w:tblGrid>
      <w:tr w:rsidR="00D70BA0" w:rsidRPr="009A6646" w:rsidTr="00D34781">
        <w:tc>
          <w:tcPr>
            <w:tcW w:w="5000" w:type="pct"/>
            <w:gridSpan w:val="3"/>
          </w:tcPr>
          <w:p w:rsidR="00D70BA0" w:rsidRPr="009A6646" w:rsidRDefault="00D70BA0" w:rsidP="00D34781">
            <w:pPr>
              <w:jc w:val="both"/>
              <w:rPr>
                <w:rFonts w:eastAsia="Calibri"/>
                <w:sz w:val="20"/>
              </w:rPr>
            </w:pPr>
            <w:r w:rsidRPr="009A6646">
              <w:rPr>
                <w:rFonts w:eastAsia="Calibri"/>
                <w:sz w:val="20"/>
              </w:rPr>
              <w:t>Crown law – Prerogatives – Constitutional law – Conventions – Whether the Attorney General of British Columbia is required by law to be qualified to practice law in the province.</w:t>
            </w:r>
          </w:p>
        </w:tc>
      </w:tr>
      <w:tr w:rsidR="00D70BA0" w:rsidRPr="009A6646" w:rsidTr="00D34781">
        <w:tc>
          <w:tcPr>
            <w:tcW w:w="5000" w:type="pct"/>
            <w:gridSpan w:val="3"/>
          </w:tcPr>
          <w:p w:rsidR="00D70BA0" w:rsidRPr="009A6646" w:rsidRDefault="00D70BA0" w:rsidP="00D34781">
            <w:pPr>
              <w:jc w:val="both"/>
              <w:rPr>
                <w:rFonts w:eastAsia="Calibri"/>
                <w:sz w:val="20"/>
              </w:rPr>
            </w:pPr>
          </w:p>
        </w:tc>
      </w:tr>
      <w:tr w:rsidR="00D70BA0" w:rsidRPr="009A6646" w:rsidTr="00D34781">
        <w:tc>
          <w:tcPr>
            <w:tcW w:w="5000" w:type="pct"/>
            <w:gridSpan w:val="3"/>
          </w:tcPr>
          <w:p w:rsidR="00D70BA0" w:rsidRPr="009A6646" w:rsidRDefault="00D70BA0" w:rsidP="00D34781">
            <w:pPr>
              <w:jc w:val="both"/>
              <w:rPr>
                <w:rFonts w:eastAsia="Calibri"/>
                <w:sz w:val="20"/>
              </w:rPr>
            </w:pPr>
            <w:r w:rsidRPr="009A6646">
              <w:rPr>
                <w:rFonts w:eastAsia="Calibri"/>
                <w:sz w:val="20"/>
              </w:rPr>
              <w:t>The applicant, Ms. Askin, sought declarations from the Supreme Court of British Columbia that the Attorney General of British Columbia is required by law to be qualified to practice law in the province and that the appointment of the Hon. Shirley Bond, then Attorney General, was invalid because she did not meet that requirement.  Ms. Askin had previously filed a complaint with the Law Society of British Columbia which alleged that Ms. Bond was engaged in the unauthorized practice of law, but the Law Society determined it had no jurisdiction to act on that complaint.  The Supreme Court dismissed Ms. Askin’s petition for declaratory relief.  The Court of Appeal dismissed her appeal, finding that when the relevant provincial legislation is considered separately and cumulatively, it cannot be said that there is an express or necessarily implied requirement that a person appointed to the Office of the Attorney General be a member of the Bar of British Columbia for five years or even be qualified to practice law.</w:t>
            </w:r>
          </w:p>
          <w:p w:rsidR="00D70BA0" w:rsidRPr="009A6646" w:rsidRDefault="00D70BA0" w:rsidP="00D34781">
            <w:pPr>
              <w:jc w:val="both"/>
              <w:rPr>
                <w:rFonts w:eastAsia="Calibri"/>
                <w:sz w:val="20"/>
              </w:rPr>
            </w:pPr>
          </w:p>
        </w:tc>
      </w:tr>
      <w:tr w:rsidR="00D70BA0" w:rsidRPr="009A6646" w:rsidTr="00D34781">
        <w:tc>
          <w:tcPr>
            <w:tcW w:w="2427" w:type="pct"/>
          </w:tcPr>
          <w:p w:rsidR="00D70BA0" w:rsidRPr="009A6646" w:rsidRDefault="00D70BA0" w:rsidP="00D34781">
            <w:pPr>
              <w:jc w:val="both"/>
              <w:rPr>
                <w:rFonts w:eastAsia="Calibri"/>
                <w:sz w:val="20"/>
              </w:rPr>
            </w:pPr>
            <w:r w:rsidRPr="009A6646">
              <w:rPr>
                <w:rFonts w:eastAsia="Calibri"/>
                <w:sz w:val="20"/>
              </w:rPr>
              <w:t>June 6, 2012</w:t>
            </w:r>
          </w:p>
          <w:p w:rsidR="00D70BA0" w:rsidRPr="009A6646" w:rsidRDefault="00D70BA0" w:rsidP="00D34781">
            <w:pPr>
              <w:jc w:val="both"/>
              <w:rPr>
                <w:rFonts w:eastAsia="Calibri"/>
                <w:sz w:val="20"/>
              </w:rPr>
            </w:pPr>
            <w:r w:rsidRPr="009A6646">
              <w:rPr>
                <w:rFonts w:eastAsia="Calibri"/>
                <w:sz w:val="20"/>
              </w:rPr>
              <w:t>Supreme Court of British Columbia</w:t>
            </w:r>
          </w:p>
          <w:p w:rsidR="00D70BA0" w:rsidRPr="009A6646" w:rsidRDefault="00D70BA0" w:rsidP="00D34781">
            <w:pPr>
              <w:jc w:val="both"/>
              <w:rPr>
                <w:rFonts w:eastAsia="Calibri"/>
                <w:sz w:val="20"/>
              </w:rPr>
            </w:pPr>
            <w:r w:rsidRPr="009A6646">
              <w:rPr>
                <w:rFonts w:eastAsia="Calibri"/>
                <w:sz w:val="20"/>
              </w:rPr>
              <w:t>(Stromberg-Stein J.)</w:t>
            </w:r>
          </w:p>
          <w:p w:rsidR="00D70BA0" w:rsidRPr="009A6646" w:rsidRDefault="007368AD" w:rsidP="00D34781">
            <w:pPr>
              <w:jc w:val="both"/>
              <w:rPr>
                <w:rFonts w:eastAsia="Calibri"/>
                <w:sz w:val="20"/>
              </w:rPr>
            </w:pPr>
            <w:hyperlink r:id="rId37" w:history="1">
              <w:r w:rsidR="00D70BA0" w:rsidRPr="009A6646">
                <w:rPr>
                  <w:rFonts w:eastAsia="Calibri"/>
                  <w:color w:val="0000FF"/>
                  <w:sz w:val="20"/>
                  <w:u w:val="single"/>
                </w:rPr>
                <w:t>2012 BCSC 895</w:t>
              </w:r>
            </w:hyperlink>
          </w:p>
          <w:p w:rsidR="00D70BA0" w:rsidRPr="009A6646" w:rsidRDefault="00D70BA0" w:rsidP="00D34781">
            <w:pPr>
              <w:jc w:val="both"/>
              <w:rPr>
                <w:rFonts w:eastAsia="Calibri"/>
                <w:sz w:val="20"/>
              </w:rPr>
            </w:pPr>
          </w:p>
        </w:tc>
        <w:tc>
          <w:tcPr>
            <w:tcW w:w="243" w:type="pct"/>
          </w:tcPr>
          <w:p w:rsidR="00D70BA0" w:rsidRPr="009A6646" w:rsidRDefault="00D70BA0" w:rsidP="00D34781">
            <w:pPr>
              <w:jc w:val="both"/>
              <w:rPr>
                <w:rFonts w:eastAsia="Calibri"/>
                <w:sz w:val="20"/>
              </w:rPr>
            </w:pPr>
          </w:p>
        </w:tc>
        <w:tc>
          <w:tcPr>
            <w:tcW w:w="2330" w:type="pct"/>
          </w:tcPr>
          <w:p w:rsidR="00D70BA0" w:rsidRPr="009A6646" w:rsidRDefault="00D70BA0" w:rsidP="00D34781">
            <w:pPr>
              <w:jc w:val="both"/>
              <w:rPr>
                <w:rFonts w:eastAsia="Calibri"/>
                <w:sz w:val="20"/>
              </w:rPr>
            </w:pPr>
            <w:r w:rsidRPr="009A6646">
              <w:rPr>
                <w:rFonts w:eastAsia="Calibri"/>
                <w:sz w:val="20"/>
              </w:rPr>
              <w:t xml:space="preserve">Applicant’s petition for declaratory relief dismissed </w:t>
            </w:r>
          </w:p>
        </w:tc>
      </w:tr>
      <w:tr w:rsidR="00D70BA0" w:rsidRPr="009A6646" w:rsidTr="00D34781">
        <w:tc>
          <w:tcPr>
            <w:tcW w:w="2427" w:type="pct"/>
          </w:tcPr>
          <w:p w:rsidR="00D70BA0" w:rsidRPr="009A6646" w:rsidRDefault="00D70BA0" w:rsidP="00D34781">
            <w:pPr>
              <w:jc w:val="both"/>
              <w:rPr>
                <w:rFonts w:eastAsia="Calibri"/>
                <w:sz w:val="20"/>
              </w:rPr>
            </w:pPr>
            <w:r w:rsidRPr="009A6646">
              <w:rPr>
                <w:rFonts w:eastAsia="Calibri"/>
                <w:sz w:val="20"/>
              </w:rPr>
              <w:t>May 7, 2013</w:t>
            </w:r>
          </w:p>
          <w:p w:rsidR="00D70BA0" w:rsidRPr="009A6646" w:rsidRDefault="00D70BA0" w:rsidP="00D34781">
            <w:pPr>
              <w:jc w:val="both"/>
              <w:rPr>
                <w:rFonts w:eastAsia="Calibri"/>
                <w:sz w:val="20"/>
              </w:rPr>
            </w:pPr>
            <w:r w:rsidRPr="009A6646">
              <w:rPr>
                <w:rFonts w:eastAsia="Calibri"/>
                <w:sz w:val="20"/>
              </w:rPr>
              <w:t>Court of Appeal for British Columbia (Vancouver)</w:t>
            </w:r>
          </w:p>
          <w:p w:rsidR="00D70BA0" w:rsidRPr="009A6646" w:rsidRDefault="00D70BA0" w:rsidP="00D34781">
            <w:pPr>
              <w:jc w:val="both"/>
              <w:rPr>
                <w:rFonts w:eastAsia="Calibri"/>
                <w:sz w:val="20"/>
              </w:rPr>
            </w:pPr>
            <w:r w:rsidRPr="009A6646">
              <w:rPr>
                <w:rFonts w:eastAsia="Calibri"/>
                <w:sz w:val="20"/>
              </w:rPr>
              <w:t>(Tysoe, Bennett and Hinkson JJ.A.)</w:t>
            </w:r>
          </w:p>
          <w:p w:rsidR="00D70BA0" w:rsidRPr="009A6646" w:rsidRDefault="007368AD" w:rsidP="00D34781">
            <w:pPr>
              <w:jc w:val="both"/>
              <w:rPr>
                <w:rFonts w:eastAsia="Calibri"/>
                <w:sz w:val="20"/>
              </w:rPr>
            </w:pPr>
            <w:hyperlink r:id="rId38" w:history="1">
              <w:r w:rsidR="00D70BA0" w:rsidRPr="009A6646">
                <w:rPr>
                  <w:rFonts w:eastAsia="Calibri"/>
                  <w:color w:val="0000FF"/>
                  <w:sz w:val="20"/>
                  <w:u w:val="single"/>
                </w:rPr>
                <w:t>2013 BCCA 233</w:t>
              </w:r>
            </w:hyperlink>
          </w:p>
          <w:p w:rsidR="00D70BA0" w:rsidRPr="009A6646" w:rsidRDefault="00D70BA0" w:rsidP="00D34781">
            <w:pPr>
              <w:jc w:val="both"/>
              <w:rPr>
                <w:rFonts w:eastAsia="Calibri"/>
                <w:sz w:val="20"/>
              </w:rPr>
            </w:pPr>
          </w:p>
        </w:tc>
        <w:tc>
          <w:tcPr>
            <w:tcW w:w="243" w:type="pct"/>
          </w:tcPr>
          <w:p w:rsidR="00D70BA0" w:rsidRPr="009A6646" w:rsidRDefault="00D70BA0" w:rsidP="00D34781">
            <w:pPr>
              <w:jc w:val="both"/>
              <w:rPr>
                <w:rFonts w:eastAsia="Calibri"/>
                <w:sz w:val="20"/>
              </w:rPr>
            </w:pPr>
          </w:p>
        </w:tc>
        <w:tc>
          <w:tcPr>
            <w:tcW w:w="2330" w:type="pct"/>
          </w:tcPr>
          <w:p w:rsidR="00D70BA0" w:rsidRPr="009A6646" w:rsidRDefault="00D70BA0" w:rsidP="00D34781">
            <w:pPr>
              <w:jc w:val="both"/>
              <w:rPr>
                <w:rFonts w:eastAsia="Calibri"/>
                <w:sz w:val="20"/>
              </w:rPr>
            </w:pPr>
            <w:r w:rsidRPr="009A6646">
              <w:rPr>
                <w:rFonts w:eastAsia="Calibri"/>
                <w:sz w:val="20"/>
              </w:rPr>
              <w:t>Appeal dismissed</w:t>
            </w:r>
          </w:p>
          <w:p w:rsidR="00D70BA0" w:rsidRPr="009A6646" w:rsidRDefault="00D70BA0" w:rsidP="00D34781">
            <w:pPr>
              <w:jc w:val="both"/>
              <w:rPr>
                <w:rFonts w:eastAsia="Calibri"/>
                <w:sz w:val="20"/>
              </w:rPr>
            </w:pPr>
          </w:p>
        </w:tc>
      </w:tr>
      <w:tr w:rsidR="00D70BA0" w:rsidRPr="009A6646" w:rsidTr="00D34781">
        <w:tc>
          <w:tcPr>
            <w:tcW w:w="2427" w:type="pct"/>
          </w:tcPr>
          <w:p w:rsidR="00D70BA0" w:rsidRPr="009A6646" w:rsidRDefault="00D70BA0" w:rsidP="00D34781">
            <w:pPr>
              <w:jc w:val="both"/>
              <w:rPr>
                <w:rFonts w:eastAsia="Calibri"/>
                <w:sz w:val="20"/>
              </w:rPr>
            </w:pPr>
            <w:r w:rsidRPr="009A6646">
              <w:rPr>
                <w:rFonts w:eastAsia="Calibri"/>
                <w:sz w:val="20"/>
              </w:rPr>
              <w:t>August 6, 2013</w:t>
            </w:r>
          </w:p>
          <w:p w:rsidR="00D70BA0" w:rsidRPr="009A6646" w:rsidRDefault="00D70BA0" w:rsidP="00D70BA0">
            <w:pPr>
              <w:jc w:val="both"/>
              <w:rPr>
                <w:rFonts w:eastAsia="Calibri"/>
                <w:sz w:val="20"/>
              </w:rPr>
            </w:pPr>
            <w:r w:rsidRPr="009A6646">
              <w:rPr>
                <w:rFonts w:eastAsia="Calibri"/>
                <w:sz w:val="20"/>
              </w:rPr>
              <w:t>Supreme Court of Canada</w:t>
            </w:r>
          </w:p>
        </w:tc>
        <w:tc>
          <w:tcPr>
            <w:tcW w:w="243" w:type="pct"/>
          </w:tcPr>
          <w:p w:rsidR="00D70BA0" w:rsidRPr="009A6646" w:rsidRDefault="00D70BA0" w:rsidP="00D34781">
            <w:pPr>
              <w:jc w:val="both"/>
              <w:rPr>
                <w:rFonts w:eastAsia="Calibri"/>
                <w:sz w:val="20"/>
              </w:rPr>
            </w:pPr>
          </w:p>
        </w:tc>
        <w:tc>
          <w:tcPr>
            <w:tcW w:w="2330" w:type="pct"/>
          </w:tcPr>
          <w:p w:rsidR="00D70BA0" w:rsidRPr="009A6646" w:rsidRDefault="00D70BA0" w:rsidP="00D34781">
            <w:pPr>
              <w:jc w:val="both"/>
              <w:rPr>
                <w:rFonts w:eastAsia="Calibri"/>
                <w:sz w:val="20"/>
              </w:rPr>
            </w:pPr>
            <w:r w:rsidRPr="009A6646">
              <w:rPr>
                <w:rFonts w:eastAsia="Calibri"/>
                <w:sz w:val="20"/>
              </w:rPr>
              <w:t>Application for leave to appeal filed</w:t>
            </w:r>
          </w:p>
          <w:p w:rsidR="00D70BA0" w:rsidRPr="009A6646" w:rsidRDefault="00D70BA0" w:rsidP="00D34781">
            <w:pPr>
              <w:jc w:val="both"/>
              <w:rPr>
                <w:rFonts w:eastAsia="Calibri"/>
                <w:sz w:val="20"/>
              </w:rPr>
            </w:pPr>
          </w:p>
        </w:tc>
      </w:tr>
    </w:tbl>
    <w:p w:rsidR="00D70BA0" w:rsidRDefault="00D70BA0" w:rsidP="00D70BA0">
      <w:pPr>
        <w:rPr>
          <w:sz w:val="20"/>
          <w:szCs w:val="20"/>
        </w:rPr>
      </w:pPr>
    </w:p>
    <w:p w:rsidR="00D70BA0" w:rsidRDefault="007368AD" w:rsidP="00D70BA0">
      <w:pPr>
        <w:rPr>
          <w:sz w:val="20"/>
          <w:szCs w:val="20"/>
        </w:rPr>
      </w:pPr>
      <w:r>
        <w:rPr>
          <w:sz w:val="20"/>
          <w:szCs w:val="20"/>
          <w:lang w:val="fr-CA"/>
        </w:rPr>
        <w:lastRenderedPageBreak/>
        <w:pict>
          <v:rect id="_x0000_i1042" style="width:2in;height:1pt" o:hrpct="0" o:hralign="center" o:hrstd="t" o:hrnoshade="t" o:hr="t" fillcolor="black [3213]" stroked="f"/>
        </w:pict>
      </w:r>
    </w:p>
    <w:p w:rsidR="00D70BA0" w:rsidRDefault="00D70BA0" w:rsidP="00D70BA0">
      <w:pPr>
        <w:rPr>
          <w:sz w:val="20"/>
          <w:szCs w:val="20"/>
        </w:rPr>
      </w:pPr>
    </w:p>
    <w:p w:rsidR="00D70BA0" w:rsidRPr="001B157C" w:rsidRDefault="00D70BA0" w:rsidP="00D70BA0">
      <w:pPr>
        <w:rPr>
          <w:sz w:val="20"/>
          <w:szCs w:val="20"/>
          <w:u w:val="single"/>
          <w:lang w:val="fr-CA"/>
        </w:rPr>
      </w:pPr>
      <w:r w:rsidRPr="001B157C">
        <w:rPr>
          <w:sz w:val="20"/>
          <w:szCs w:val="20"/>
          <w:u w:val="single"/>
          <w:lang w:val="fr-CA"/>
        </w:rPr>
        <w:t>RÉSUMÉ DE L’AFFAIRE</w:t>
      </w:r>
    </w:p>
    <w:p w:rsidR="00D70BA0" w:rsidRDefault="00D70BA0" w:rsidP="00D70BA0">
      <w:pPr>
        <w:rPr>
          <w:sz w:val="20"/>
          <w:szCs w:val="20"/>
        </w:rPr>
      </w:pPr>
    </w:p>
    <w:tbl>
      <w:tblPr>
        <w:tblW w:w="4952" w:type="pct"/>
        <w:tblLayout w:type="fixed"/>
        <w:tblCellMar>
          <w:left w:w="0" w:type="dxa"/>
          <w:bottom w:w="99" w:type="dxa"/>
          <w:right w:w="0" w:type="dxa"/>
        </w:tblCellMar>
        <w:tblLook w:val="04A0" w:firstRow="1" w:lastRow="0" w:firstColumn="1" w:lastColumn="0" w:noHBand="0" w:noVBand="1"/>
      </w:tblPr>
      <w:tblGrid>
        <w:gridCol w:w="4624"/>
        <w:gridCol w:w="463"/>
        <w:gridCol w:w="4440"/>
      </w:tblGrid>
      <w:tr w:rsidR="00D70BA0" w:rsidRPr="007368AD" w:rsidTr="00D34781">
        <w:tc>
          <w:tcPr>
            <w:tcW w:w="5000" w:type="pct"/>
            <w:gridSpan w:val="3"/>
          </w:tcPr>
          <w:p w:rsidR="00D70BA0" w:rsidRPr="009A6646" w:rsidRDefault="00D70BA0" w:rsidP="00D34781">
            <w:pPr>
              <w:jc w:val="both"/>
              <w:rPr>
                <w:rFonts w:eastAsia="Calibri"/>
                <w:sz w:val="20"/>
                <w:lang w:val="fr-CA"/>
              </w:rPr>
            </w:pPr>
            <w:r w:rsidRPr="009A6646">
              <w:rPr>
                <w:rFonts w:eastAsia="Calibri"/>
                <w:sz w:val="20"/>
                <w:lang w:val="fr-CA"/>
              </w:rPr>
              <w:t>Droit de la Couronne – Prérogatives – Droit constitutionnel – Conventions – Le procureur général de la Colombie-Britannique est-il légalement tenu d'être habilité à exercer la profession d'avocat dans la province?</w:t>
            </w:r>
          </w:p>
        </w:tc>
      </w:tr>
      <w:tr w:rsidR="00D70BA0" w:rsidRPr="007368AD" w:rsidTr="00D34781">
        <w:tc>
          <w:tcPr>
            <w:tcW w:w="5000" w:type="pct"/>
            <w:gridSpan w:val="3"/>
          </w:tcPr>
          <w:p w:rsidR="00D70BA0" w:rsidRPr="009A6646" w:rsidRDefault="00D70BA0" w:rsidP="00D34781">
            <w:pPr>
              <w:jc w:val="both"/>
              <w:rPr>
                <w:rFonts w:eastAsia="Calibri"/>
                <w:sz w:val="20"/>
                <w:lang w:val="fr-CA"/>
              </w:rPr>
            </w:pPr>
          </w:p>
        </w:tc>
      </w:tr>
      <w:tr w:rsidR="00D70BA0" w:rsidRPr="007368AD" w:rsidTr="00D34781">
        <w:tc>
          <w:tcPr>
            <w:tcW w:w="5000" w:type="pct"/>
            <w:gridSpan w:val="3"/>
          </w:tcPr>
          <w:p w:rsidR="00D70BA0" w:rsidRPr="009A6646" w:rsidRDefault="00D70BA0" w:rsidP="00D34781">
            <w:pPr>
              <w:jc w:val="both"/>
              <w:rPr>
                <w:rFonts w:eastAsia="Calibri"/>
                <w:sz w:val="20"/>
                <w:lang w:val="fr-CA"/>
              </w:rPr>
            </w:pPr>
            <w:r w:rsidRPr="009A6646">
              <w:rPr>
                <w:rFonts w:eastAsia="Calibri"/>
                <w:sz w:val="20"/>
                <w:lang w:val="fr-CA"/>
              </w:rPr>
              <w:t>La demanderesse, Mme Askin, a demandé à la Cour suprême de la Colombie-Britannique de prononcer un jugement déclarant que le procureur général de la Colombie-Britannique était légalement tenu d’être habilité à exercer la profession d'avocat dans la province et que la nomination de l'honorable Shirley Bond, procureure générale de l'époque, était invalide parce qu'elle ne répondait pas à cette exigence.  Madame Askin avait déjà déposé une plainte au Barreau de la Colombie-Britannique dans laquelle elle a allégué que Mme Bond exerçait illégalement la profession d'avocat, mais le Barreau a jugé qu'il n'avait pas compétence pour donner suite à la plainte.  La Cour suprême a rejeté la requête en jugement déclaratoire de Mme Askin.  La Cour d'appel a rejeté son appel, concluant que lorsque la loi provinciale en cause est examinée séparément et dans l’ensemble, l'on ne peut pas dire qu'il existe une exigence expresse ou nécessairement implicite qu'une personne nommée au poste de procureur général doive être un membre du Barreau de la Colombie-Britannique pendant une période de cinq ans ni même être habilitée à exercer la profession d'avocat.</w:t>
            </w:r>
          </w:p>
          <w:p w:rsidR="00D70BA0" w:rsidRPr="009A6646" w:rsidRDefault="00D70BA0" w:rsidP="00D34781">
            <w:pPr>
              <w:jc w:val="both"/>
              <w:rPr>
                <w:rFonts w:eastAsia="Calibri"/>
                <w:sz w:val="20"/>
                <w:lang w:val="fr-CA"/>
              </w:rPr>
            </w:pPr>
          </w:p>
        </w:tc>
      </w:tr>
      <w:tr w:rsidR="00D70BA0" w:rsidRPr="007368AD" w:rsidTr="00D34781">
        <w:tc>
          <w:tcPr>
            <w:tcW w:w="2427" w:type="pct"/>
          </w:tcPr>
          <w:p w:rsidR="00D70BA0" w:rsidRPr="009A6646" w:rsidRDefault="00D70BA0" w:rsidP="00D34781">
            <w:pPr>
              <w:jc w:val="both"/>
              <w:rPr>
                <w:rFonts w:eastAsia="Calibri"/>
                <w:sz w:val="20"/>
                <w:lang w:val="fr-CA"/>
              </w:rPr>
            </w:pPr>
            <w:r w:rsidRPr="009A6646">
              <w:rPr>
                <w:rFonts w:eastAsia="Calibri"/>
                <w:sz w:val="20"/>
                <w:lang w:val="fr-CA"/>
              </w:rPr>
              <w:t>6 juin 2012</w:t>
            </w:r>
          </w:p>
          <w:p w:rsidR="00D70BA0" w:rsidRPr="009A6646" w:rsidRDefault="00D70BA0" w:rsidP="00D34781">
            <w:pPr>
              <w:jc w:val="both"/>
              <w:rPr>
                <w:rFonts w:eastAsia="Calibri"/>
                <w:sz w:val="20"/>
                <w:lang w:val="fr-CA"/>
              </w:rPr>
            </w:pPr>
            <w:r w:rsidRPr="009A6646">
              <w:rPr>
                <w:rFonts w:eastAsia="Calibri"/>
                <w:sz w:val="20"/>
                <w:lang w:val="fr-CA"/>
              </w:rPr>
              <w:t>Cour suprême de la Colombie-Britannique</w:t>
            </w:r>
          </w:p>
          <w:p w:rsidR="00D70BA0" w:rsidRPr="009A6646" w:rsidRDefault="00D70BA0" w:rsidP="00D34781">
            <w:pPr>
              <w:jc w:val="both"/>
              <w:rPr>
                <w:rFonts w:eastAsia="Calibri"/>
                <w:sz w:val="20"/>
                <w:lang w:val="fr-CA"/>
              </w:rPr>
            </w:pPr>
            <w:r w:rsidRPr="009A6646">
              <w:rPr>
                <w:rFonts w:eastAsia="Calibri"/>
                <w:sz w:val="20"/>
                <w:lang w:val="fr-CA"/>
              </w:rPr>
              <w:t>(Juge Stromberg-Stein)</w:t>
            </w:r>
          </w:p>
          <w:p w:rsidR="00D70BA0" w:rsidRPr="009A6646" w:rsidRDefault="007368AD" w:rsidP="00D34781">
            <w:pPr>
              <w:jc w:val="both"/>
              <w:rPr>
                <w:rFonts w:eastAsia="Calibri"/>
                <w:sz w:val="20"/>
                <w:lang w:val="fr-CA"/>
              </w:rPr>
            </w:pPr>
            <w:hyperlink r:id="rId39" w:history="1">
              <w:r w:rsidR="00D70BA0" w:rsidRPr="009A6646">
                <w:rPr>
                  <w:rFonts w:eastAsia="Calibri"/>
                  <w:color w:val="0000FF"/>
                  <w:sz w:val="20"/>
                  <w:u w:val="single"/>
                  <w:lang w:val="fr-CA"/>
                </w:rPr>
                <w:t>2012 BCSC 895</w:t>
              </w:r>
            </w:hyperlink>
          </w:p>
          <w:p w:rsidR="00D70BA0" w:rsidRPr="009A6646" w:rsidRDefault="00D70BA0" w:rsidP="00D34781">
            <w:pPr>
              <w:jc w:val="both"/>
              <w:rPr>
                <w:rFonts w:eastAsia="Calibri"/>
                <w:sz w:val="20"/>
                <w:lang w:val="fr-CA"/>
              </w:rPr>
            </w:pPr>
          </w:p>
        </w:tc>
        <w:tc>
          <w:tcPr>
            <w:tcW w:w="243" w:type="pct"/>
          </w:tcPr>
          <w:p w:rsidR="00D70BA0" w:rsidRPr="009A6646" w:rsidRDefault="00D70BA0" w:rsidP="00D34781">
            <w:pPr>
              <w:jc w:val="both"/>
              <w:rPr>
                <w:rFonts w:eastAsia="Calibri"/>
                <w:sz w:val="20"/>
                <w:lang w:val="fr-CA"/>
              </w:rPr>
            </w:pPr>
          </w:p>
        </w:tc>
        <w:tc>
          <w:tcPr>
            <w:tcW w:w="2330" w:type="pct"/>
          </w:tcPr>
          <w:p w:rsidR="00D70BA0" w:rsidRPr="009A6646" w:rsidRDefault="00D70BA0" w:rsidP="00D34781">
            <w:pPr>
              <w:jc w:val="both"/>
              <w:rPr>
                <w:rFonts w:eastAsia="Calibri"/>
                <w:sz w:val="20"/>
                <w:lang w:val="fr-CA"/>
              </w:rPr>
            </w:pPr>
            <w:r w:rsidRPr="009A6646">
              <w:rPr>
                <w:rFonts w:eastAsia="Calibri"/>
                <w:sz w:val="20"/>
                <w:lang w:val="fr-CA"/>
              </w:rPr>
              <w:t>Requête de la demanderesse en jugement déclaratoire, rejetée</w:t>
            </w:r>
          </w:p>
        </w:tc>
      </w:tr>
      <w:tr w:rsidR="00D70BA0" w:rsidRPr="009A6646" w:rsidTr="00D34781">
        <w:tc>
          <w:tcPr>
            <w:tcW w:w="2427" w:type="pct"/>
          </w:tcPr>
          <w:p w:rsidR="00D70BA0" w:rsidRPr="009A6646" w:rsidRDefault="00D70BA0" w:rsidP="00D34781">
            <w:pPr>
              <w:jc w:val="both"/>
              <w:rPr>
                <w:rFonts w:eastAsia="Calibri"/>
                <w:sz w:val="20"/>
                <w:lang w:val="fr-CA"/>
              </w:rPr>
            </w:pPr>
            <w:r w:rsidRPr="009A6646">
              <w:rPr>
                <w:rFonts w:eastAsia="Calibri"/>
                <w:sz w:val="20"/>
                <w:lang w:val="fr-CA"/>
              </w:rPr>
              <w:t>7 mai 2013</w:t>
            </w:r>
          </w:p>
          <w:p w:rsidR="00D70BA0" w:rsidRPr="009A6646" w:rsidRDefault="00D70BA0" w:rsidP="00D34781">
            <w:pPr>
              <w:jc w:val="both"/>
              <w:rPr>
                <w:rFonts w:eastAsia="Calibri"/>
                <w:sz w:val="20"/>
                <w:lang w:val="fr-CA"/>
              </w:rPr>
            </w:pPr>
            <w:r w:rsidRPr="009A6646">
              <w:rPr>
                <w:rFonts w:eastAsia="Calibri"/>
                <w:sz w:val="20"/>
                <w:lang w:val="fr-CA"/>
              </w:rPr>
              <w:t>Cour d'appel de la Colombie-Britannique (Vancouver)</w:t>
            </w:r>
          </w:p>
          <w:p w:rsidR="00D70BA0" w:rsidRPr="009A6646" w:rsidRDefault="00D70BA0" w:rsidP="00D34781">
            <w:pPr>
              <w:jc w:val="both"/>
              <w:rPr>
                <w:rFonts w:eastAsia="Calibri"/>
                <w:sz w:val="20"/>
                <w:lang w:val="fr-CA"/>
              </w:rPr>
            </w:pPr>
            <w:r w:rsidRPr="009A6646">
              <w:rPr>
                <w:rFonts w:eastAsia="Calibri"/>
                <w:sz w:val="20"/>
                <w:lang w:val="fr-CA"/>
              </w:rPr>
              <w:t>(Juges Tysoe, Bennett et Hinkson)</w:t>
            </w:r>
          </w:p>
          <w:p w:rsidR="00D70BA0" w:rsidRPr="009A6646" w:rsidRDefault="007368AD" w:rsidP="00D34781">
            <w:pPr>
              <w:jc w:val="both"/>
              <w:rPr>
                <w:rFonts w:eastAsia="Calibri"/>
                <w:sz w:val="20"/>
                <w:lang w:val="fr-CA"/>
              </w:rPr>
            </w:pPr>
            <w:hyperlink r:id="rId40" w:history="1">
              <w:r w:rsidR="00D70BA0" w:rsidRPr="009A6646">
                <w:rPr>
                  <w:rFonts w:eastAsia="Calibri"/>
                  <w:color w:val="0000FF"/>
                  <w:sz w:val="20"/>
                  <w:u w:val="single"/>
                  <w:lang w:val="fr-CA"/>
                </w:rPr>
                <w:t>2013 BCCA 233</w:t>
              </w:r>
            </w:hyperlink>
          </w:p>
          <w:p w:rsidR="00D70BA0" w:rsidRPr="009A6646" w:rsidRDefault="00D70BA0" w:rsidP="00D34781">
            <w:pPr>
              <w:jc w:val="both"/>
              <w:rPr>
                <w:rFonts w:eastAsia="Calibri"/>
                <w:sz w:val="20"/>
                <w:lang w:val="fr-CA"/>
              </w:rPr>
            </w:pPr>
          </w:p>
        </w:tc>
        <w:tc>
          <w:tcPr>
            <w:tcW w:w="243" w:type="pct"/>
          </w:tcPr>
          <w:p w:rsidR="00D70BA0" w:rsidRPr="009A6646" w:rsidRDefault="00D70BA0" w:rsidP="00D34781">
            <w:pPr>
              <w:jc w:val="both"/>
              <w:rPr>
                <w:rFonts w:eastAsia="Calibri"/>
                <w:sz w:val="20"/>
                <w:lang w:val="fr-CA"/>
              </w:rPr>
            </w:pPr>
          </w:p>
        </w:tc>
        <w:tc>
          <w:tcPr>
            <w:tcW w:w="2330" w:type="pct"/>
          </w:tcPr>
          <w:p w:rsidR="00D70BA0" w:rsidRPr="009A6646" w:rsidRDefault="00D70BA0" w:rsidP="00D34781">
            <w:pPr>
              <w:jc w:val="both"/>
              <w:rPr>
                <w:rFonts w:eastAsia="Calibri"/>
                <w:sz w:val="20"/>
                <w:lang w:val="fr-CA"/>
              </w:rPr>
            </w:pPr>
            <w:r w:rsidRPr="009A6646">
              <w:rPr>
                <w:rFonts w:eastAsia="Calibri"/>
                <w:sz w:val="20"/>
                <w:lang w:val="fr-CA"/>
              </w:rPr>
              <w:t>Appel rejeté</w:t>
            </w:r>
          </w:p>
          <w:p w:rsidR="00D70BA0" w:rsidRPr="009A6646" w:rsidRDefault="00D70BA0" w:rsidP="00D34781">
            <w:pPr>
              <w:jc w:val="both"/>
              <w:rPr>
                <w:rFonts w:eastAsia="Calibri"/>
                <w:sz w:val="20"/>
                <w:lang w:val="fr-CA"/>
              </w:rPr>
            </w:pPr>
          </w:p>
        </w:tc>
      </w:tr>
      <w:tr w:rsidR="00D70BA0" w:rsidRPr="009A6646" w:rsidTr="00D34781">
        <w:tc>
          <w:tcPr>
            <w:tcW w:w="2427" w:type="pct"/>
          </w:tcPr>
          <w:p w:rsidR="00D70BA0" w:rsidRPr="009A6646" w:rsidRDefault="00D70BA0" w:rsidP="00D34781">
            <w:pPr>
              <w:jc w:val="both"/>
              <w:rPr>
                <w:rFonts w:eastAsia="Calibri"/>
                <w:sz w:val="20"/>
                <w:lang w:val="fr-CA"/>
              </w:rPr>
            </w:pPr>
            <w:r w:rsidRPr="009A6646">
              <w:rPr>
                <w:rFonts w:eastAsia="Calibri"/>
                <w:sz w:val="20"/>
                <w:lang w:val="fr-CA"/>
              </w:rPr>
              <w:t>6 août 2013</w:t>
            </w:r>
          </w:p>
          <w:p w:rsidR="00D70BA0" w:rsidRPr="009A6646" w:rsidRDefault="00D70BA0" w:rsidP="00D34781">
            <w:pPr>
              <w:jc w:val="both"/>
              <w:rPr>
                <w:rFonts w:eastAsia="Calibri"/>
                <w:sz w:val="20"/>
                <w:lang w:val="fr-CA"/>
              </w:rPr>
            </w:pPr>
            <w:r w:rsidRPr="009A6646">
              <w:rPr>
                <w:rFonts w:eastAsia="Calibri"/>
                <w:sz w:val="20"/>
                <w:lang w:val="fr-CA"/>
              </w:rPr>
              <w:t>Cour suprême du Canada</w:t>
            </w:r>
          </w:p>
        </w:tc>
        <w:tc>
          <w:tcPr>
            <w:tcW w:w="243" w:type="pct"/>
          </w:tcPr>
          <w:p w:rsidR="00D70BA0" w:rsidRPr="009A6646" w:rsidRDefault="00D70BA0" w:rsidP="00D34781">
            <w:pPr>
              <w:jc w:val="both"/>
              <w:rPr>
                <w:rFonts w:eastAsia="Calibri"/>
                <w:sz w:val="20"/>
                <w:lang w:val="fr-CA"/>
              </w:rPr>
            </w:pPr>
          </w:p>
        </w:tc>
        <w:tc>
          <w:tcPr>
            <w:tcW w:w="2330" w:type="pct"/>
          </w:tcPr>
          <w:p w:rsidR="00D70BA0" w:rsidRPr="009A6646" w:rsidRDefault="00D70BA0" w:rsidP="00D34781">
            <w:pPr>
              <w:jc w:val="both"/>
              <w:rPr>
                <w:rFonts w:eastAsia="Calibri"/>
                <w:sz w:val="20"/>
                <w:lang w:val="fr-CA"/>
              </w:rPr>
            </w:pPr>
            <w:r w:rsidRPr="009A6646">
              <w:rPr>
                <w:rFonts w:eastAsia="Calibri"/>
                <w:sz w:val="20"/>
                <w:lang w:val="fr-CA"/>
              </w:rPr>
              <w:t>Demande d'autorisation d'appel, déposée</w:t>
            </w:r>
          </w:p>
          <w:p w:rsidR="00D70BA0" w:rsidRPr="009A6646" w:rsidRDefault="00D70BA0" w:rsidP="00D34781">
            <w:pPr>
              <w:jc w:val="both"/>
              <w:rPr>
                <w:rFonts w:eastAsia="Calibri"/>
                <w:sz w:val="20"/>
                <w:lang w:val="fr-CA"/>
              </w:rPr>
            </w:pPr>
          </w:p>
        </w:tc>
      </w:tr>
    </w:tbl>
    <w:p w:rsidR="00D70BA0" w:rsidRDefault="00D70BA0" w:rsidP="00D70BA0">
      <w:pPr>
        <w:rPr>
          <w:sz w:val="20"/>
          <w:szCs w:val="20"/>
        </w:rPr>
      </w:pPr>
    </w:p>
    <w:p w:rsidR="00D70BA0" w:rsidRDefault="007368AD" w:rsidP="00D70BA0">
      <w:pPr>
        <w:rPr>
          <w:sz w:val="20"/>
          <w:szCs w:val="20"/>
        </w:rPr>
      </w:pPr>
      <w:r>
        <w:rPr>
          <w:sz w:val="20"/>
          <w:szCs w:val="20"/>
          <w:lang w:val="fr-CA"/>
        </w:rPr>
        <w:pict>
          <v:rect id="_x0000_i1043" style="width:2in;height:1pt" o:hrpct="0" o:hralign="center" o:hrstd="t" o:hrnoshade="t" o:hr="t" fillcolor="black [3213]" stroked="f"/>
        </w:pict>
      </w:r>
    </w:p>
    <w:p w:rsidR="00D70BA0" w:rsidRDefault="00D70BA0" w:rsidP="00D70BA0">
      <w:pPr>
        <w:rPr>
          <w:sz w:val="20"/>
          <w:szCs w:val="20"/>
        </w:rPr>
      </w:pPr>
    </w:p>
    <w:tbl>
      <w:tblPr>
        <w:tblStyle w:val="TableGrid6"/>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1458"/>
        <w:gridCol w:w="8118"/>
      </w:tblGrid>
      <w:tr w:rsidR="006C5B6E" w:rsidRPr="006C5B6E" w:rsidTr="006C5B6E">
        <w:tc>
          <w:tcPr>
            <w:tcW w:w="1458" w:type="dxa"/>
          </w:tcPr>
          <w:p w:rsidR="006C5B6E" w:rsidRPr="006C5B6E" w:rsidRDefault="006C5B6E" w:rsidP="006C5B6E">
            <w:pPr>
              <w:rPr>
                <w:sz w:val="20"/>
              </w:rPr>
            </w:pPr>
            <w:r w:rsidRPr="006C5B6E">
              <w:rPr>
                <w:b/>
                <w:sz w:val="20"/>
                <w:lang w:val="fr-CA"/>
              </w:rPr>
              <w:t>35493</w:t>
            </w:r>
          </w:p>
          <w:p w:rsidR="006C5B6E" w:rsidRPr="006C5B6E" w:rsidRDefault="006C5B6E" w:rsidP="006C5B6E">
            <w:pPr>
              <w:rPr>
                <w:b/>
                <w:sz w:val="20"/>
                <w:lang w:val="fr-CA"/>
              </w:rPr>
            </w:pPr>
          </w:p>
        </w:tc>
        <w:tc>
          <w:tcPr>
            <w:tcW w:w="8118" w:type="dxa"/>
          </w:tcPr>
          <w:p w:rsidR="006C5B6E" w:rsidRPr="006C5B6E" w:rsidRDefault="006C5B6E" w:rsidP="006C5B6E">
            <w:pPr>
              <w:rPr>
                <w:sz w:val="20"/>
              </w:rPr>
            </w:pPr>
            <w:r w:rsidRPr="006C5B6E">
              <w:rPr>
                <w:b/>
                <w:sz w:val="20"/>
                <w:u w:val="single"/>
              </w:rPr>
              <w:t>James Earle Boudreau v. Her Majesty the Queen</w:t>
            </w:r>
            <w:r w:rsidRPr="006C5B6E">
              <w:rPr>
                <w:sz w:val="20"/>
              </w:rPr>
              <w:t xml:space="preserve"> (Ont.) (Criminal) (By Leave)</w:t>
            </w:r>
          </w:p>
          <w:p w:rsidR="006C5B6E" w:rsidRPr="006C5B6E" w:rsidRDefault="006C5B6E" w:rsidP="006C5B6E">
            <w:pPr>
              <w:rPr>
                <w:sz w:val="20"/>
              </w:rPr>
            </w:pPr>
          </w:p>
        </w:tc>
      </w:tr>
      <w:tr w:rsidR="006C5B6E" w:rsidRPr="006C5B6E" w:rsidTr="006C5B6E">
        <w:tc>
          <w:tcPr>
            <w:tcW w:w="1458" w:type="dxa"/>
          </w:tcPr>
          <w:p w:rsidR="006C5B6E" w:rsidRPr="006C5B6E" w:rsidRDefault="006C5B6E" w:rsidP="006C5B6E">
            <w:pPr>
              <w:rPr>
                <w:sz w:val="20"/>
              </w:rPr>
            </w:pPr>
            <w:r w:rsidRPr="006C5B6E">
              <w:rPr>
                <w:sz w:val="20"/>
              </w:rPr>
              <w:t>Coram :</w:t>
            </w:r>
          </w:p>
        </w:tc>
        <w:tc>
          <w:tcPr>
            <w:tcW w:w="8118" w:type="dxa"/>
          </w:tcPr>
          <w:p w:rsidR="006C5B6E" w:rsidRPr="006C5B6E" w:rsidRDefault="006C5B6E" w:rsidP="006C5B6E">
            <w:pPr>
              <w:rPr>
                <w:sz w:val="20"/>
              </w:rPr>
            </w:pPr>
            <w:r w:rsidRPr="006C5B6E">
              <w:rPr>
                <w:sz w:val="20"/>
                <w:u w:val="single"/>
              </w:rPr>
              <w:t>Abella, Rothstein and Moldaver JJ.</w:t>
            </w:r>
          </w:p>
          <w:p w:rsidR="006C5B6E" w:rsidRPr="006C5B6E" w:rsidRDefault="006C5B6E" w:rsidP="006C5B6E">
            <w:pPr>
              <w:rPr>
                <w:sz w:val="20"/>
                <w:u w:val="single"/>
              </w:rPr>
            </w:pPr>
          </w:p>
        </w:tc>
      </w:tr>
      <w:tr w:rsidR="006C5B6E" w:rsidRPr="007368AD" w:rsidTr="006C5B6E">
        <w:tc>
          <w:tcPr>
            <w:tcW w:w="9576" w:type="dxa"/>
            <w:gridSpan w:val="2"/>
          </w:tcPr>
          <w:p w:rsidR="006C5B6E" w:rsidRPr="006C5B6E" w:rsidRDefault="006C5B6E" w:rsidP="006C5B6E">
            <w:pPr>
              <w:ind w:firstLine="720"/>
              <w:jc w:val="both"/>
              <w:rPr>
                <w:sz w:val="20"/>
              </w:rPr>
            </w:pPr>
            <w:r w:rsidRPr="006C5B6E">
              <w:rPr>
                <w:sz w:val="20"/>
              </w:rPr>
              <w:t>The motion for an extension of time to serve and file the application for leave to appeal is granted.  The application for leave to appeal from the judgment of the Court of Appeal for Ontario, Number C50934, 2012 ONCA 830, dated November 28, 2012, is dismissed without costs.</w:t>
            </w:r>
          </w:p>
          <w:p w:rsidR="006C5B6E" w:rsidRPr="006C5B6E" w:rsidRDefault="006C5B6E" w:rsidP="006C5B6E">
            <w:pPr>
              <w:jc w:val="both"/>
              <w:rPr>
                <w:sz w:val="20"/>
              </w:rPr>
            </w:pPr>
          </w:p>
          <w:p w:rsidR="006C5B6E" w:rsidRPr="006C5B6E" w:rsidRDefault="006C5B6E" w:rsidP="006C5B6E">
            <w:pPr>
              <w:ind w:firstLine="720"/>
              <w:jc w:val="both"/>
              <w:rPr>
                <w:sz w:val="20"/>
                <w:lang w:val="fr-CA"/>
              </w:rPr>
            </w:pPr>
            <w:r w:rsidRPr="006C5B6E">
              <w:rPr>
                <w:sz w:val="20"/>
                <w:lang w:val="fr-CA"/>
              </w:rPr>
              <w:lastRenderedPageBreak/>
              <w:t>La requête en prorogation du délai de signification et de dépôt de la demande d’autorisation d’appel est accueillie.  La demande d’autorisation d’appel de l’arrêt de la Cour d’appel de l’Ontario, numéro C50934, 2012 ONCA 830, daté du 28 novembre 2012, est rejetée sans dépens.</w:t>
            </w:r>
          </w:p>
        </w:tc>
      </w:tr>
    </w:tbl>
    <w:p w:rsidR="00D70BA0" w:rsidRPr="006C5B6E" w:rsidRDefault="00D70BA0" w:rsidP="00D70BA0">
      <w:pPr>
        <w:rPr>
          <w:sz w:val="20"/>
          <w:szCs w:val="20"/>
          <w:lang w:val="fr-CA"/>
        </w:rPr>
      </w:pPr>
    </w:p>
    <w:p w:rsidR="00D70BA0" w:rsidRPr="001B157C" w:rsidRDefault="00D70BA0" w:rsidP="00D70BA0">
      <w:pPr>
        <w:rPr>
          <w:sz w:val="20"/>
          <w:szCs w:val="20"/>
          <w:u w:val="single"/>
        </w:rPr>
      </w:pPr>
      <w:r w:rsidRPr="001B157C">
        <w:rPr>
          <w:sz w:val="20"/>
          <w:szCs w:val="20"/>
          <w:u w:val="single"/>
        </w:rPr>
        <w:t>CASE SUMMARY</w:t>
      </w:r>
    </w:p>
    <w:p w:rsidR="00D70BA0" w:rsidRDefault="00D70BA0" w:rsidP="00D70BA0">
      <w:pPr>
        <w:rPr>
          <w:sz w:val="20"/>
          <w:szCs w:val="20"/>
        </w:rPr>
      </w:pPr>
    </w:p>
    <w:tbl>
      <w:tblPr>
        <w:tblW w:w="4952" w:type="pct"/>
        <w:tblLayout w:type="fixed"/>
        <w:tblCellMar>
          <w:left w:w="0" w:type="dxa"/>
          <w:bottom w:w="99" w:type="dxa"/>
          <w:right w:w="0" w:type="dxa"/>
        </w:tblCellMar>
        <w:tblLook w:val="04A0" w:firstRow="1" w:lastRow="0" w:firstColumn="1" w:lastColumn="0" w:noHBand="0" w:noVBand="1"/>
      </w:tblPr>
      <w:tblGrid>
        <w:gridCol w:w="4624"/>
        <w:gridCol w:w="463"/>
        <w:gridCol w:w="4440"/>
      </w:tblGrid>
      <w:tr w:rsidR="00D70BA0" w:rsidRPr="009A6646" w:rsidTr="00D34781">
        <w:tc>
          <w:tcPr>
            <w:tcW w:w="5000" w:type="pct"/>
            <w:gridSpan w:val="3"/>
          </w:tcPr>
          <w:p w:rsidR="00D70BA0" w:rsidRPr="009A6646" w:rsidRDefault="00D70BA0" w:rsidP="00D34781">
            <w:pPr>
              <w:jc w:val="both"/>
              <w:rPr>
                <w:rFonts w:eastAsia="Calibri"/>
                <w:sz w:val="20"/>
              </w:rPr>
            </w:pPr>
            <w:r w:rsidRPr="009A6646">
              <w:rPr>
                <w:rFonts w:eastAsia="Calibri"/>
                <w:sz w:val="20"/>
              </w:rPr>
              <w:t xml:space="preserve">Criminal law – Procedural law – Whether standard governing Crown counsel set out in </w:t>
            </w:r>
            <w:r w:rsidRPr="009A6646">
              <w:rPr>
                <w:rFonts w:eastAsia="Calibri"/>
                <w:i/>
                <w:sz w:val="20"/>
              </w:rPr>
              <w:t>R. v. Boucher</w:t>
            </w:r>
            <w:r w:rsidRPr="009A6646">
              <w:rPr>
                <w:rFonts w:eastAsia="Calibri"/>
                <w:sz w:val="20"/>
              </w:rPr>
              <w:t>, [1955] S.C.R. 16, is relaxed for closing addresses – Factors to be considered in determining whether Crown counsel’s closing address rendered trial unfair.</w:t>
            </w:r>
          </w:p>
        </w:tc>
      </w:tr>
      <w:tr w:rsidR="00D70BA0" w:rsidRPr="009A6646" w:rsidTr="00D34781">
        <w:tc>
          <w:tcPr>
            <w:tcW w:w="5000" w:type="pct"/>
            <w:gridSpan w:val="3"/>
          </w:tcPr>
          <w:p w:rsidR="00D70BA0" w:rsidRPr="009A6646" w:rsidRDefault="00D70BA0" w:rsidP="00D34781">
            <w:pPr>
              <w:jc w:val="both"/>
              <w:rPr>
                <w:rFonts w:eastAsia="Calibri"/>
                <w:sz w:val="20"/>
              </w:rPr>
            </w:pPr>
          </w:p>
        </w:tc>
      </w:tr>
      <w:tr w:rsidR="00D70BA0" w:rsidRPr="009A6646" w:rsidTr="00D34781">
        <w:tc>
          <w:tcPr>
            <w:tcW w:w="5000" w:type="pct"/>
            <w:gridSpan w:val="3"/>
          </w:tcPr>
          <w:p w:rsidR="00D70BA0" w:rsidRPr="009A6646" w:rsidRDefault="00D70BA0" w:rsidP="00D34781">
            <w:pPr>
              <w:jc w:val="both"/>
              <w:rPr>
                <w:rFonts w:eastAsia="Calibri"/>
                <w:sz w:val="20"/>
              </w:rPr>
            </w:pPr>
            <w:r w:rsidRPr="009A6646">
              <w:rPr>
                <w:rFonts w:eastAsia="Calibri"/>
                <w:sz w:val="20"/>
              </w:rPr>
              <w:t xml:space="preserve">The applicant was tried before a jury on two counts of murder.  Crown counsel, in his closing address to the jury, made improper comments and observations, in an improper manner.  The trial judge gave supplementary instructions to the jury addressing the Crown’s closing address and clarifying the responsibilities of the jurors.  Defence counsel did not object to Crown counsel’s closing address.  Defence counsel did not raise any objections to the supplemental charge to the jury.  </w:t>
            </w:r>
          </w:p>
          <w:p w:rsidR="00D70BA0" w:rsidRPr="009A6646" w:rsidRDefault="00D70BA0" w:rsidP="00D34781">
            <w:pPr>
              <w:jc w:val="both"/>
              <w:rPr>
                <w:rFonts w:eastAsia="Calibri"/>
                <w:sz w:val="20"/>
              </w:rPr>
            </w:pPr>
          </w:p>
        </w:tc>
      </w:tr>
      <w:tr w:rsidR="00D70BA0" w:rsidRPr="009A6646" w:rsidTr="00D34781">
        <w:tc>
          <w:tcPr>
            <w:tcW w:w="2427" w:type="pct"/>
          </w:tcPr>
          <w:p w:rsidR="00D70BA0" w:rsidRPr="009A6646" w:rsidRDefault="00D70BA0" w:rsidP="00D34781">
            <w:pPr>
              <w:jc w:val="both"/>
              <w:rPr>
                <w:rFonts w:eastAsia="Calibri"/>
                <w:sz w:val="20"/>
              </w:rPr>
            </w:pPr>
            <w:r w:rsidRPr="009A6646">
              <w:rPr>
                <w:rFonts w:eastAsia="Calibri"/>
                <w:sz w:val="20"/>
              </w:rPr>
              <w:t>May 27, 2008</w:t>
            </w:r>
          </w:p>
          <w:p w:rsidR="00D70BA0" w:rsidRPr="009A6646" w:rsidRDefault="00D70BA0" w:rsidP="00D34781">
            <w:pPr>
              <w:jc w:val="both"/>
              <w:rPr>
                <w:rFonts w:eastAsia="Calibri"/>
                <w:sz w:val="20"/>
              </w:rPr>
            </w:pPr>
            <w:r w:rsidRPr="009A6646">
              <w:rPr>
                <w:rFonts w:eastAsia="Calibri"/>
                <w:sz w:val="20"/>
              </w:rPr>
              <w:t xml:space="preserve">Superior Court of Justice </w:t>
            </w:r>
          </w:p>
          <w:p w:rsidR="00D70BA0" w:rsidRDefault="00D70BA0" w:rsidP="00D34781">
            <w:pPr>
              <w:jc w:val="both"/>
              <w:rPr>
                <w:rFonts w:eastAsia="Calibri"/>
                <w:sz w:val="20"/>
              </w:rPr>
            </w:pPr>
            <w:r w:rsidRPr="009A6646">
              <w:rPr>
                <w:rFonts w:eastAsia="Calibri"/>
                <w:sz w:val="20"/>
              </w:rPr>
              <w:t>(Shaughnessy J.)</w:t>
            </w:r>
          </w:p>
          <w:p w:rsidR="008720D6" w:rsidRPr="009A6646" w:rsidRDefault="008720D6" w:rsidP="00D34781">
            <w:pPr>
              <w:jc w:val="both"/>
              <w:rPr>
                <w:rFonts w:eastAsia="Calibri"/>
                <w:sz w:val="20"/>
              </w:rPr>
            </w:pPr>
          </w:p>
        </w:tc>
        <w:tc>
          <w:tcPr>
            <w:tcW w:w="243" w:type="pct"/>
          </w:tcPr>
          <w:p w:rsidR="00D70BA0" w:rsidRPr="009A6646" w:rsidRDefault="00D70BA0" w:rsidP="00D34781">
            <w:pPr>
              <w:jc w:val="both"/>
              <w:rPr>
                <w:rFonts w:eastAsia="Calibri"/>
                <w:sz w:val="20"/>
              </w:rPr>
            </w:pPr>
          </w:p>
        </w:tc>
        <w:tc>
          <w:tcPr>
            <w:tcW w:w="2330" w:type="pct"/>
          </w:tcPr>
          <w:p w:rsidR="00D70BA0" w:rsidRPr="009A6646" w:rsidRDefault="00D70BA0" w:rsidP="00D34781">
            <w:pPr>
              <w:jc w:val="both"/>
              <w:rPr>
                <w:rFonts w:eastAsia="Calibri"/>
                <w:sz w:val="20"/>
              </w:rPr>
            </w:pPr>
            <w:r w:rsidRPr="009A6646">
              <w:rPr>
                <w:rFonts w:eastAsia="Calibri"/>
                <w:sz w:val="20"/>
              </w:rPr>
              <w:t xml:space="preserve">Conviction by jury on one count of first-degree murder and one count of second-degree murder </w:t>
            </w:r>
          </w:p>
          <w:p w:rsidR="00D70BA0" w:rsidRPr="009A6646" w:rsidRDefault="00D70BA0" w:rsidP="00D34781">
            <w:pPr>
              <w:jc w:val="both"/>
              <w:rPr>
                <w:rFonts w:eastAsia="Calibri"/>
                <w:sz w:val="20"/>
              </w:rPr>
            </w:pPr>
          </w:p>
        </w:tc>
      </w:tr>
      <w:tr w:rsidR="00D70BA0" w:rsidRPr="009A6646" w:rsidTr="00D34781">
        <w:tc>
          <w:tcPr>
            <w:tcW w:w="2427" w:type="pct"/>
          </w:tcPr>
          <w:p w:rsidR="00D70BA0" w:rsidRPr="009A6646" w:rsidRDefault="00D70BA0" w:rsidP="00D34781">
            <w:pPr>
              <w:jc w:val="both"/>
              <w:rPr>
                <w:rFonts w:eastAsia="Calibri"/>
                <w:sz w:val="20"/>
              </w:rPr>
            </w:pPr>
            <w:r w:rsidRPr="009A6646">
              <w:rPr>
                <w:rFonts w:eastAsia="Calibri"/>
                <w:sz w:val="20"/>
              </w:rPr>
              <w:t>November 28, 2012</w:t>
            </w:r>
          </w:p>
          <w:p w:rsidR="00D70BA0" w:rsidRPr="009A6646" w:rsidRDefault="00D70BA0" w:rsidP="00D34781">
            <w:pPr>
              <w:jc w:val="both"/>
              <w:rPr>
                <w:rFonts w:eastAsia="Calibri"/>
                <w:sz w:val="20"/>
              </w:rPr>
            </w:pPr>
            <w:r w:rsidRPr="009A6646">
              <w:rPr>
                <w:rFonts w:eastAsia="Calibri"/>
                <w:sz w:val="20"/>
              </w:rPr>
              <w:t>Court of Appeal for Ontario</w:t>
            </w:r>
          </w:p>
          <w:p w:rsidR="00D70BA0" w:rsidRPr="009A6646" w:rsidRDefault="00D70BA0" w:rsidP="00D34781">
            <w:pPr>
              <w:jc w:val="both"/>
              <w:rPr>
                <w:rFonts w:eastAsia="Calibri"/>
                <w:sz w:val="20"/>
              </w:rPr>
            </w:pPr>
            <w:r w:rsidRPr="009A6646">
              <w:rPr>
                <w:rFonts w:eastAsia="Calibri"/>
                <w:sz w:val="20"/>
              </w:rPr>
              <w:t>(MacPherson, Cronk, Blair JJ.A.)</w:t>
            </w:r>
          </w:p>
          <w:p w:rsidR="00D70BA0" w:rsidRPr="009A6646" w:rsidRDefault="00D70BA0" w:rsidP="00D34781">
            <w:pPr>
              <w:jc w:val="both"/>
              <w:rPr>
                <w:rFonts w:eastAsia="Calibri"/>
                <w:sz w:val="20"/>
              </w:rPr>
            </w:pPr>
            <w:r w:rsidRPr="009A6646">
              <w:rPr>
                <w:rFonts w:eastAsia="Calibri"/>
                <w:sz w:val="20"/>
              </w:rPr>
              <w:t xml:space="preserve">C50934; </w:t>
            </w:r>
            <w:hyperlink r:id="rId41" w:history="1">
              <w:r w:rsidRPr="009A6646">
                <w:rPr>
                  <w:rFonts w:eastAsia="Calibri"/>
                  <w:color w:val="0000FF"/>
                  <w:sz w:val="20"/>
                  <w:u w:val="single"/>
                </w:rPr>
                <w:t>2012 ONCA 830</w:t>
              </w:r>
            </w:hyperlink>
          </w:p>
          <w:p w:rsidR="00D70BA0" w:rsidRPr="009A6646" w:rsidRDefault="00D70BA0" w:rsidP="00D34781">
            <w:pPr>
              <w:jc w:val="both"/>
              <w:rPr>
                <w:rFonts w:eastAsia="Calibri"/>
                <w:sz w:val="20"/>
              </w:rPr>
            </w:pPr>
          </w:p>
        </w:tc>
        <w:tc>
          <w:tcPr>
            <w:tcW w:w="243" w:type="pct"/>
          </w:tcPr>
          <w:p w:rsidR="00D70BA0" w:rsidRPr="009A6646" w:rsidRDefault="00D70BA0" w:rsidP="00D34781">
            <w:pPr>
              <w:jc w:val="both"/>
              <w:rPr>
                <w:rFonts w:eastAsia="Calibri"/>
                <w:sz w:val="20"/>
              </w:rPr>
            </w:pPr>
          </w:p>
        </w:tc>
        <w:tc>
          <w:tcPr>
            <w:tcW w:w="2330" w:type="pct"/>
          </w:tcPr>
          <w:p w:rsidR="00D70BA0" w:rsidRPr="009A6646" w:rsidRDefault="00D70BA0" w:rsidP="00D34781">
            <w:pPr>
              <w:jc w:val="both"/>
              <w:rPr>
                <w:rFonts w:eastAsia="Calibri"/>
                <w:sz w:val="20"/>
              </w:rPr>
            </w:pPr>
            <w:r w:rsidRPr="009A6646">
              <w:rPr>
                <w:rFonts w:eastAsia="Calibri"/>
                <w:sz w:val="20"/>
              </w:rPr>
              <w:t>Appeal dismissed</w:t>
            </w:r>
          </w:p>
          <w:p w:rsidR="00D70BA0" w:rsidRPr="009A6646" w:rsidRDefault="00D70BA0" w:rsidP="00D34781">
            <w:pPr>
              <w:jc w:val="both"/>
              <w:rPr>
                <w:rFonts w:eastAsia="Calibri"/>
                <w:sz w:val="20"/>
              </w:rPr>
            </w:pPr>
          </w:p>
        </w:tc>
      </w:tr>
      <w:tr w:rsidR="00D70BA0" w:rsidRPr="009A6646" w:rsidTr="00D34781">
        <w:tc>
          <w:tcPr>
            <w:tcW w:w="2427" w:type="pct"/>
          </w:tcPr>
          <w:p w:rsidR="00D70BA0" w:rsidRPr="009A6646" w:rsidRDefault="00D70BA0" w:rsidP="00D34781">
            <w:pPr>
              <w:jc w:val="both"/>
              <w:rPr>
                <w:rFonts w:eastAsia="Calibri"/>
                <w:sz w:val="20"/>
              </w:rPr>
            </w:pPr>
            <w:r w:rsidRPr="009A6646">
              <w:rPr>
                <w:rFonts w:eastAsia="Calibri"/>
                <w:sz w:val="20"/>
              </w:rPr>
              <w:t>August 23, 2013</w:t>
            </w:r>
          </w:p>
          <w:p w:rsidR="00D70BA0" w:rsidRPr="009A6646" w:rsidRDefault="00D70BA0" w:rsidP="00D34781">
            <w:pPr>
              <w:jc w:val="both"/>
              <w:rPr>
                <w:rFonts w:eastAsia="Calibri"/>
                <w:sz w:val="20"/>
              </w:rPr>
            </w:pPr>
            <w:r w:rsidRPr="009A6646">
              <w:rPr>
                <w:rFonts w:eastAsia="Calibri"/>
                <w:sz w:val="20"/>
              </w:rPr>
              <w:t>Supreme Court of Canada</w:t>
            </w:r>
          </w:p>
        </w:tc>
        <w:tc>
          <w:tcPr>
            <w:tcW w:w="243" w:type="pct"/>
          </w:tcPr>
          <w:p w:rsidR="00D70BA0" w:rsidRPr="009A6646" w:rsidRDefault="00D70BA0" w:rsidP="00D34781">
            <w:pPr>
              <w:jc w:val="both"/>
              <w:rPr>
                <w:rFonts w:eastAsia="Calibri"/>
                <w:sz w:val="20"/>
              </w:rPr>
            </w:pPr>
          </w:p>
        </w:tc>
        <w:tc>
          <w:tcPr>
            <w:tcW w:w="2330" w:type="pct"/>
          </w:tcPr>
          <w:p w:rsidR="00D70BA0" w:rsidRPr="009A6646" w:rsidRDefault="00D70BA0" w:rsidP="00D34781">
            <w:pPr>
              <w:jc w:val="both"/>
              <w:rPr>
                <w:rFonts w:eastAsia="Calibri"/>
                <w:sz w:val="20"/>
              </w:rPr>
            </w:pPr>
            <w:r w:rsidRPr="009A6646">
              <w:rPr>
                <w:rFonts w:eastAsia="Calibri"/>
                <w:sz w:val="20"/>
              </w:rPr>
              <w:t>Motion for extension of time to serve and file application for leave to appeal and Application for leave to appeal filed</w:t>
            </w:r>
          </w:p>
        </w:tc>
      </w:tr>
    </w:tbl>
    <w:p w:rsidR="00D70BA0" w:rsidRDefault="00D70BA0" w:rsidP="00D70BA0">
      <w:pPr>
        <w:rPr>
          <w:sz w:val="20"/>
          <w:szCs w:val="20"/>
        </w:rPr>
      </w:pPr>
    </w:p>
    <w:p w:rsidR="00D70BA0" w:rsidRDefault="007368AD" w:rsidP="00D70BA0">
      <w:pPr>
        <w:rPr>
          <w:sz w:val="20"/>
          <w:szCs w:val="20"/>
        </w:rPr>
      </w:pPr>
      <w:r>
        <w:rPr>
          <w:sz w:val="20"/>
          <w:szCs w:val="20"/>
          <w:lang w:val="fr-CA"/>
        </w:rPr>
        <w:pict>
          <v:rect id="_x0000_i1044" style="width:2in;height:1pt" o:hrpct="0" o:hralign="center" o:hrstd="t" o:hrnoshade="t" o:hr="t" fillcolor="black [3213]" stroked="f"/>
        </w:pict>
      </w:r>
    </w:p>
    <w:p w:rsidR="00D70BA0" w:rsidRDefault="00D70BA0" w:rsidP="00D70BA0">
      <w:pPr>
        <w:rPr>
          <w:sz w:val="20"/>
          <w:szCs w:val="20"/>
        </w:rPr>
      </w:pPr>
    </w:p>
    <w:p w:rsidR="00D70BA0" w:rsidRPr="001B157C" w:rsidRDefault="00D70BA0" w:rsidP="00D70BA0">
      <w:pPr>
        <w:rPr>
          <w:sz w:val="20"/>
          <w:szCs w:val="20"/>
          <w:u w:val="single"/>
          <w:lang w:val="fr-CA"/>
        </w:rPr>
      </w:pPr>
      <w:r w:rsidRPr="001B157C">
        <w:rPr>
          <w:sz w:val="20"/>
          <w:szCs w:val="20"/>
          <w:u w:val="single"/>
          <w:lang w:val="fr-CA"/>
        </w:rPr>
        <w:t>RÉSUMÉ DE L’AFFAIRE</w:t>
      </w:r>
    </w:p>
    <w:p w:rsidR="00D70BA0" w:rsidRDefault="00D70BA0" w:rsidP="00D70BA0">
      <w:pPr>
        <w:rPr>
          <w:sz w:val="20"/>
          <w:szCs w:val="20"/>
        </w:rPr>
      </w:pPr>
    </w:p>
    <w:tbl>
      <w:tblPr>
        <w:tblW w:w="4952" w:type="pct"/>
        <w:tblLayout w:type="fixed"/>
        <w:tblCellMar>
          <w:left w:w="0" w:type="dxa"/>
          <w:bottom w:w="99" w:type="dxa"/>
          <w:right w:w="0" w:type="dxa"/>
        </w:tblCellMar>
        <w:tblLook w:val="04A0" w:firstRow="1" w:lastRow="0" w:firstColumn="1" w:lastColumn="0" w:noHBand="0" w:noVBand="1"/>
      </w:tblPr>
      <w:tblGrid>
        <w:gridCol w:w="4624"/>
        <w:gridCol w:w="463"/>
        <w:gridCol w:w="4440"/>
      </w:tblGrid>
      <w:tr w:rsidR="00D70BA0" w:rsidRPr="007368AD" w:rsidTr="00D34781">
        <w:tc>
          <w:tcPr>
            <w:tcW w:w="5000" w:type="pct"/>
            <w:gridSpan w:val="3"/>
          </w:tcPr>
          <w:p w:rsidR="00D70BA0" w:rsidRPr="009A6646" w:rsidRDefault="00D70BA0" w:rsidP="00D34781">
            <w:pPr>
              <w:jc w:val="both"/>
              <w:rPr>
                <w:rFonts w:eastAsia="Calibri"/>
                <w:sz w:val="20"/>
                <w:lang w:val="fr-CA"/>
              </w:rPr>
            </w:pPr>
            <w:r w:rsidRPr="009A6646">
              <w:rPr>
                <w:rFonts w:eastAsia="Calibri"/>
                <w:sz w:val="20"/>
                <w:lang w:val="fr-CA"/>
              </w:rPr>
              <w:t xml:space="preserve">Droit criminel – Droit procédural – La norme régissant les avocats de la Couronne énoncée dans l'arrêt </w:t>
            </w:r>
            <w:r w:rsidRPr="009A6646">
              <w:rPr>
                <w:rFonts w:eastAsia="Calibri"/>
                <w:i/>
                <w:sz w:val="20"/>
                <w:lang w:val="fr-CA"/>
              </w:rPr>
              <w:t>R. c. Boucher</w:t>
            </w:r>
            <w:r w:rsidRPr="009A6646">
              <w:rPr>
                <w:rFonts w:eastAsia="Calibri"/>
                <w:sz w:val="20"/>
                <w:lang w:val="fr-CA"/>
              </w:rPr>
              <w:t>, [1955] R.C.S. 16, est-elle assouplie pour ce qui est des exposés finals? – Facteurs à considérer lorsqu'il s'agit de déterminer si l’exposé final de l'avocat de la Couronne a eu pour effet de rendre le procès inéquitable?</w:t>
            </w:r>
          </w:p>
        </w:tc>
      </w:tr>
      <w:tr w:rsidR="00D70BA0" w:rsidRPr="007368AD" w:rsidTr="00D34781">
        <w:tc>
          <w:tcPr>
            <w:tcW w:w="5000" w:type="pct"/>
            <w:gridSpan w:val="3"/>
          </w:tcPr>
          <w:p w:rsidR="00D70BA0" w:rsidRPr="009A6646" w:rsidRDefault="00D70BA0" w:rsidP="00D34781">
            <w:pPr>
              <w:jc w:val="both"/>
              <w:rPr>
                <w:rFonts w:eastAsia="Calibri"/>
                <w:sz w:val="20"/>
                <w:lang w:val="fr-CA"/>
              </w:rPr>
            </w:pPr>
          </w:p>
        </w:tc>
      </w:tr>
      <w:tr w:rsidR="00D70BA0" w:rsidRPr="007368AD" w:rsidTr="00D34781">
        <w:tc>
          <w:tcPr>
            <w:tcW w:w="5000" w:type="pct"/>
            <w:gridSpan w:val="3"/>
          </w:tcPr>
          <w:p w:rsidR="00D70BA0" w:rsidRPr="009A6646" w:rsidRDefault="00D70BA0" w:rsidP="00D34781">
            <w:pPr>
              <w:jc w:val="both"/>
              <w:rPr>
                <w:rFonts w:eastAsia="Calibri"/>
                <w:sz w:val="20"/>
                <w:lang w:val="fr-CA"/>
              </w:rPr>
            </w:pPr>
            <w:r w:rsidRPr="009A6646">
              <w:rPr>
                <w:rFonts w:eastAsia="Calibri"/>
                <w:sz w:val="20"/>
                <w:lang w:val="fr-CA"/>
              </w:rPr>
              <w:t xml:space="preserve">Le demandeur subi son procès devant jury relativement à deux chefs de meurtre. Dans son exposé final au jury, l'avocat de la Couronne a fait des commentaires et des observations inappropriés, d'une manière inappropriée. Le juge du procès a donné des directives supplémentaires au jury portant sur l’exposé final du ministère public et clarifiant les responsabilités des jurés.  L'avocat de la défense ne s'est pas opposé à l’exposé final de l'avocat de la Couronne.  L'avocat de la défense n'a pas soulevé d'objection relativement aux directives supplémentaires données au jury.  </w:t>
            </w:r>
          </w:p>
          <w:p w:rsidR="00D70BA0" w:rsidRPr="009A6646" w:rsidRDefault="00D70BA0" w:rsidP="00D34781">
            <w:pPr>
              <w:jc w:val="both"/>
              <w:rPr>
                <w:rFonts w:eastAsia="Calibri"/>
                <w:sz w:val="20"/>
                <w:lang w:val="fr-CA"/>
              </w:rPr>
            </w:pPr>
          </w:p>
        </w:tc>
      </w:tr>
      <w:tr w:rsidR="00D70BA0" w:rsidRPr="007368AD" w:rsidTr="00D34781">
        <w:tc>
          <w:tcPr>
            <w:tcW w:w="2427" w:type="pct"/>
          </w:tcPr>
          <w:p w:rsidR="00D70BA0" w:rsidRPr="009A6646" w:rsidRDefault="00D70BA0" w:rsidP="00D34781">
            <w:pPr>
              <w:jc w:val="both"/>
              <w:rPr>
                <w:rFonts w:eastAsia="Calibri"/>
                <w:sz w:val="20"/>
                <w:lang w:val="fr-CA"/>
              </w:rPr>
            </w:pPr>
            <w:r w:rsidRPr="009A6646">
              <w:rPr>
                <w:rFonts w:eastAsia="Calibri"/>
                <w:sz w:val="20"/>
                <w:lang w:val="fr-CA"/>
              </w:rPr>
              <w:t>27 mai 2008</w:t>
            </w:r>
          </w:p>
          <w:p w:rsidR="00D70BA0" w:rsidRPr="009A6646" w:rsidRDefault="00D70BA0" w:rsidP="00D34781">
            <w:pPr>
              <w:jc w:val="both"/>
              <w:rPr>
                <w:rFonts w:eastAsia="Calibri"/>
                <w:sz w:val="20"/>
                <w:lang w:val="fr-CA"/>
              </w:rPr>
            </w:pPr>
            <w:r w:rsidRPr="009A6646">
              <w:rPr>
                <w:rFonts w:eastAsia="Calibri"/>
                <w:sz w:val="20"/>
                <w:lang w:val="fr-CA"/>
              </w:rPr>
              <w:t>Cour supérieure de justice</w:t>
            </w:r>
          </w:p>
          <w:p w:rsidR="00D70BA0" w:rsidRPr="009A6646" w:rsidRDefault="00D70BA0" w:rsidP="00D34781">
            <w:pPr>
              <w:jc w:val="both"/>
              <w:rPr>
                <w:rFonts w:eastAsia="Calibri"/>
                <w:sz w:val="20"/>
                <w:lang w:val="fr-CA"/>
              </w:rPr>
            </w:pPr>
            <w:r w:rsidRPr="009A6646">
              <w:rPr>
                <w:rFonts w:eastAsia="Calibri"/>
                <w:sz w:val="20"/>
                <w:lang w:val="fr-CA"/>
              </w:rPr>
              <w:lastRenderedPageBreak/>
              <w:t>(Juge Shaughnessy)</w:t>
            </w:r>
          </w:p>
        </w:tc>
        <w:tc>
          <w:tcPr>
            <w:tcW w:w="243" w:type="pct"/>
          </w:tcPr>
          <w:p w:rsidR="00D70BA0" w:rsidRPr="009A6646" w:rsidRDefault="00D70BA0" w:rsidP="00D34781">
            <w:pPr>
              <w:jc w:val="both"/>
              <w:rPr>
                <w:rFonts w:eastAsia="Calibri"/>
                <w:sz w:val="20"/>
                <w:lang w:val="fr-CA"/>
              </w:rPr>
            </w:pPr>
          </w:p>
        </w:tc>
        <w:tc>
          <w:tcPr>
            <w:tcW w:w="2330" w:type="pct"/>
          </w:tcPr>
          <w:p w:rsidR="00D70BA0" w:rsidRPr="009A6646" w:rsidRDefault="00D70BA0" w:rsidP="00D34781">
            <w:pPr>
              <w:jc w:val="both"/>
              <w:rPr>
                <w:rFonts w:eastAsia="Calibri"/>
                <w:sz w:val="20"/>
                <w:lang w:val="fr-CA"/>
              </w:rPr>
            </w:pPr>
            <w:r w:rsidRPr="009A6646">
              <w:rPr>
                <w:rFonts w:eastAsia="Calibri"/>
                <w:sz w:val="20"/>
                <w:lang w:val="fr-CA"/>
              </w:rPr>
              <w:t xml:space="preserve">Déclaration de culpabilité par un jury sous un chef de meurtre au premier degré et un chef de meurtre au </w:t>
            </w:r>
            <w:r w:rsidRPr="009A6646">
              <w:rPr>
                <w:rFonts w:eastAsia="Calibri"/>
                <w:sz w:val="20"/>
                <w:lang w:val="fr-CA"/>
              </w:rPr>
              <w:lastRenderedPageBreak/>
              <w:t xml:space="preserve">deuxième degré </w:t>
            </w:r>
          </w:p>
          <w:p w:rsidR="00D70BA0" w:rsidRPr="009A6646" w:rsidRDefault="00D70BA0" w:rsidP="00D34781">
            <w:pPr>
              <w:jc w:val="both"/>
              <w:rPr>
                <w:rFonts w:eastAsia="Calibri"/>
                <w:sz w:val="20"/>
                <w:lang w:val="fr-CA"/>
              </w:rPr>
            </w:pPr>
          </w:p>
        </w:tc>
      </w:tr>
      <w:tr w:rsidR="00D70BA0" w:rsidRPr="009A6646" w:rsidTr="006C5B6E">
        <w:trPr>
          <w:cantSplit/>
        </w:trPr>
        <w:tc>
          <w:tcPr>
            <w:tcW w:w="2427" w:type="pct"/>
          </w:tcPr>
          <w:p w:rsidR="00D70BA0" w:rsidRPr="009A6646" w:rsidRDefault="00D70BA0" w:rsidP="00D34781">
            <w:pPr>
              <w:jc w:val="both"/>
              <w:rPr>
                <w:rFonts w:eastAsia="Calibri"/>
                <w:sz w:val="20"/>
                <w:lang w:val="fr-CA"/>
              </w:rPr>
            </w:pPr>
            <w:r w:rsidRPr="009A6646">
              <w:rPr>
                <w:rFonts w:eastAsia="Calibri"/>
                <w:sz w:val="20"/>
                <w:lang w:val="fr-CA"/>
              </w:rPr>
              <w:lastRenderedPageBreak/>
              <w:t>28 novembre 2012</w:t>
            </w:r>
          </w:p>
          <w:p w:rsidR="00D70BA0" w:rsidRPr="009A6646" w:rsidRDefault="00D70BA0" w:rsidP="00D34781">
            <w:pPr>
              <w:jc w:val="both"/>
              <w:rPr>
                <w:rFonts w:eastAsia="Calibri"/>
                <w:sz w:val="20"/>
                <w:lang w:val="fr-CA"/>
              </w:rPr>
            </w:pPr>
            <w:r w:rsidRPr="009A6646">
              <w:rPr>
                <w:rFonts w:eastAsia="Calibri"/>
                <w:sz w:val="20"/>
                <w:lang w:val="fr-CA"/>
              </w:rPr>
              <w:t>Cour d'appel de l'Ontario</w:t>
            </w:r>
          </w:p>
          <w:p w:rsidR="00D70BA0" w:rsidRPr="009A6646" w:rsidRDefault="00D70BA0" w:rsidP="00D34781">
            <w:pPr>
              <w:jc w:val="both"/>
              <w:rPr>
                <w:rFonts w:eastAsia="Calibri"/>
                <w:sz w:val="20"/>
                <w:lang w:val="fr-CA"/>
              </w:rPr>
            </w:pPr>
            <w:r w:rsidRPr="009A6646">
              <w:rPr>
                <w:rFonts w:eastAsia="Calibri"/>
                <w:sz w:val="20"/>
                <w:lang w:val="fr-CA"/>
              </w:rPr>
              <w:t>(Juges MacPherson, Cronk et Blair)</w:t>
            </w:r>
          </w:p>
          <w:p w:rsidR="00D70BA0" w:rsidRPr="009A6646" w:rsidRDefault="00D70BA0" w:rsidP="00D34781">
            <w:pPr>
              <w:jc w:val="both"/>
              <w:rPr>
                <w:rFonts w:eastAsia="Calibri"/>
                <w:sz w:val="20"/>
                <w:lang w:val="fr-CA"/>
              </w:rPr>
            </w:pPr>
            <w:r w:rsidRPr="009A6646">
              <w:rPr>
                <w:rFonts w:eastAsia="Calibri"/>
                <w:sz w:val="20"/>
                <w:lang w:val="fr-CA"/>
              </w:rPr>
              <w:t xml:space="preserve">C50934; </w:t>
            </w:r>
            <w:hyperlink r:id="rId42" w:history="1">
              <w:r w:rsidRPr="009A6646">
                <w:rPr>
                  <w:rFonts w:eastAsia="Calibri"/>
                  <w:color w:val="0000FF"/>
                  <w:sz w:val="20"/>
                  <w:u w:val="single"/>
                  <w:lang w:val="fr-CA"/>
                </w:rPr>
                <w:t>2012 ONCA 830</w:t>
              </w:r>
            </w:hyperlink>
          </w:p>
          <w:p w:rsidR="00D70BA0" w:rsidRPr="009A6646" w:rsidRDefault="00D70BA0" w:rsidP="00D34781">
            <w:pPr>
              <w:jc w:val="both"/>
              <w:rPr>
                <w:rFonts w:eastAsia="Calibri"/>
                <w:sz w:val="20"/>
                <w:lang w:val="fr-CA"/>
              </w:rPr>
            </w:pPr>
          </w:p>
        </w:tc>
        <w:tc>
          <w:tcPr>
            <w:tcW w:w="243" w:type="pct"/>
          </w:tcPr>
          <w:p w:rsidR="00D70BA0" w:rsidRPr="009A6646" w:rsidRDefault="00D70BA0" w:rsidP="00D34781">
            <w:pPr>
              <w:jc w:val="both"/>
              <w:rPr>
                <w:rFonts w:eastAsia="Calibri"/>
                <w:sz w:val="20"/>
                <w:lang w:val="fr-CA"/>
              </w:rPr>
            </w:pPr>
          </w:p>
        </w:tc>
        <w:tc>
          <w:tcPr>
            <w:tcW w:w="2330" w:type="pct"/>
          </w:tcPr>
          <w:p w:rsidR="00D70BA0" w:rsidRPr="009A6646" w:rsidRDefault="00D70BA0" w:rsidP="00D34781">
            <w:pPr>
              <w:jc w:val="both"/>
              <w:rPr>
                <w:rFonts w:eastAsia="Calibri"/>
                <w:sz w:val="20"/>
                <w:lang w:val="fr-CA"/>
              </w:rPr>
            </w:pPr>
            <w:r w:rsidRPr="009A6646">
              <w:rPr>
                <w:rFonts w:eastAsia="Calibri"/>
                <w:sz w:val="20"/>
                <w:lang w:val="fr-CA"/>
              </w:rPr>
              <w:t>Appel rejeté</w:t>
            </w:r>
          </w:p>
          <w:p w:rsidR="00D70BA0" w:rsidRPr="009A6646" w:rsidRDefault="00D70BA0" w:rsidP="00D34781">
            <w:pPr>
              <w:jc w:val="both"/>
              <w:rPr>
                <w:rFonts w:eastAsia="Calibri"/>
                <w:sz w:val="20"/>
                <w:lang w:val="fr-CA"/>
              </w:rPr>
            </w:pPr>
          </w:p>
        </w:tc>
      </w:tr>
      <w:tr w:rsidR="00D70BA0" w:rsidRPr="007368AD" w:rsidTr="006C5B6E">
        <w:trPr>
          <w:cantSplit/>
        </w:trPr>
        <w:tc>
          <w:tcPr>
            <w:tcW w:w="2427" w:type="pct"/>
          </w:tcPr>
          <w:p w:rsidR="00D70BA0" w:rsidRPr="009A6646" w:rsidRDefault="00D70BA0" w:rsidP="00D34781">
            <w:pPr>
              <w:jc w:val="both"/>
              <w:rPr>
                <w:rFonts w:eastAsia="Calibri"/>
                <w:sz w:val="20"/>
                <w:lang w:val="fr-CA"/>
              </w:rPr>
            </w:pPr>
            <w:r w:rsidRPr="009A6646">
              <w:rPr>
                <w:rFonts w:eastAsia="Calibri"/>
                <w:sz w:val="20"/>
                <w:lang w:val="fr-CA"/>
              </w:rPr>
              <w:t>23 août 2013</w:t>
            </w:r>
          </w:p>
          <w:p w:rsidR="00D70BA0" w:rsidRPr="009A6646" w:rsidRDefault="00D70BA0" w:rsidP="00D34781">
            <w:pPr>
              <w:jc w:val="both"/>
              <w:rPr>
                <w:rFonts w:eastAsia="Calibri"/>
                <w:sz w:val="20"/>
                <w:lang w:val="fr-CA"/>
              </w:rPr>
            </w:pPr>
            <w:r w:rsidRPr="009A6646">
              <w:rPr>
                <w:rFonts w:eastAsia="Calibri"/>
                <w:sz w:val="20"/>
                <w:lang w:val="fr-CA"/>
              </w:rPr>
              <w:t>Cour suprême du Canada</w:t>
            </w:r>
          </w:p>
        </w:tc>
        <w:tc>
          <w:tcPr>
            <w:tcW w:w="243" w:type="pct"/>
          </w:tcPr>
          <w:p w:rsidR="00D70BA0" w:rsidRPr="009A6646" w:rsidRDefault="00D70BA0" w:rsidP="00D34781">
            <w:pPr>
              <w:jc w:val="both"/>
              <w:rPr>
                <w:rFonts w:eastAsia="Calibri"/>
                <w:sz w:val="20"/>
                <w:lang w:val="fr-CA"/>
              </w:rPr>
            </w:pPr>
          </w:p>
        </w:tc>
        <w:tc>
          <w:tcPr>
            <w:tcW w:w="2330" w:type="pct"/>
          </w:tcPr>
          <w:p w:rsidR="00D70BA0" w:rsidRPr="009A6646" w:rsidRDefault="00D70BA0" w:rsidP="00D34781">
            <w:pPr>
              <w:jc w:val="both"/>
              <w:rPr>
                <w:rFonts w:eastAsia="Calibri"/>
                <w:sz w:val="20"/>
                <w:lang w:val="fr-CA"/>
              </w:rPr>
            </w:pPr>
            <w:r w:rsidRPr="009A6646">
              <w:rPr>
                <w:rFonts w:eastAsia="Calibri"/>
                <w:sz w:val="20"/>
                <w:lang w:val="fr-CA"/>
              </w:rPr>
              <w:t>Requête en prorogation du délai de signification et de dépôt de la demande d'autorisation d'appel et demande d'autorisation d'appel, déposées</w:t>
            </w:r>
          </w:p>
        </w:tc>
      </w:tr>
    </w:tbl>
    <w:p w:rsidR="00D70BA0" w:rsidRPr="00D70BA0" w:rsidRDefault="00D70BA0" w:rsidP="00D70BA0">
      <w:pPr>
        <w:rPr>
          <w:sz w:val="20"/>
          <w:szCs w:val="20"/>
          <w:lang w:val="fr-CA"/>
        </w:rPr>
      </w:pPr>
    </w:p>
    <w:p w:rsidR="00D70BA0" w:rsidRDefault="007368AD" w:rsidP="00D70BA0">
      <w:pPr>
        <w:rPr>
          <w:sz w:val="20"/>
          <w:szCs w:val="20"/>
        </w:rPr>
      </w:pPr>
      <w:r>
        <w:rPr>
          <w:sz w:val="20"/>
          <w:szCs w:val="20"/>
          <w:lang w:val="fr-CA"/>
        </w:rPr>
        <w:pict>
          <v:rect id="_x0000_i1045" style="width:2in;height:1pt" o:hrpct="0" o:hralign="center" o:hrstd="t" o:hrnoshade="t" o:hr="t" fillcolor="black [3213]" stroked="f"/>
        </w:pict>
      </w:r>
    </w:p>
    <w:p w:rsidR="00D70BA0" w:rsidRDefault="00D70BA0" w:rsidP="00D70BA0">
      <w:pPr>
        <w:rPr>
          <w:sz w:val="20"/>
          <w:szCs w:val="20"/>
        </w:rPr>
      </w:pPr>
    </w:p>
    <w:p w:rsidR="008B5DE3" w:rsidRDefault="008B5DE3" w:rsidP="000E2959">
      <w:pPr>
        <w:rPr>
          <w:sz w:val="20"/>
          <w:szCs w:val="20"/>
        </w:rPr>
      </w:pPr>
    </w:p>
    <w:p w:rsidR="008B5DE3" w:rsidRDefault="008B5DE3" w:rsidP="000E2959">
      <w:pPr>
        <w:rPr>
          <w:sz w:val="20"/>
          <w:szCs w:val="20"/>
        </w:rPr>
      </w:pPr>
    </w:p>
    <w:p w:rsidR="008D292F" w:rsidRPr="008B5DE3" w:rsidRDefault="008D292F" w:rsidP="008D292F">
      <w:pPr>
        <w:rPr>
          <w:sz w:val="20"/>
          <w:szCs w:val="20"/>
        </w:rPr>
      </w:pPr>
    </w:p>
    <w:p w:rsidR="00890FEB" w:rsidRPr="008B5DE3" w:rsidRDefault="00890FEB" w:rsidP="008D292F">
      <w:pPr>
        <w:rPr>
          <w:sz w:val="20"/>
          <w:szCs w:val="20"/>
        </w:rPr>
      </w:pPr>
    </w:p>
    <w:p w:rsidR="00890FEB" w:rsidRPr="008B5DE3" w:rsidRDefault="00890FEB" w:rsidP="008D292F">
      <w:pPr>
        <w:rPr>
          <w:b/>
          <w:sz w:val="20"/>
          <w:szCs w:val="20"/>
        </w:rPr>
        <w:sectPr w:rsidR="00890FEB" w:rsidRPr="008B5DE3" w:rsidSect="008D292F">
          <w:headerReference w:type="even" r:id="rId43"/>
          <w:headerReference w:type="default" r:id="rId44"/>
          <w:footerReference w:type="even" r:id="rId45"/>
          <w:footerReference w:type="default" r:id="rId46"/>
          <w:headerReference w:type="first" r:id="rId47"/>
          <w:footerReference w:type="first" r:id="rId48"/>
          <w:pgSz w:w="12240" w:h="15840"/>
          <w:pgMar w:top="720" w:right="965" w:bottom="1080" w:left="1656" w:header="720" w:footer="965" w:gutter="0"/>
          <w:cols w:space="720"/>
          <w:titlePg/>
          <w:docGrid w:linePitch="326"/>
        </w:sectPr>
      </w:pPr>
    </w:p>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30"/>
        <w:gridCol w:w="1170"/>
        <w:gridCol w:w="4080"/>
      </w:tblGrid>
      <w:tr w:rsidR="00890FEB" w:rsidRPr="001D0D5F" w:rsidTr="00BA6468">
        <w:tc>
          <w:tcPr>
            <w:tcW w:w="4230" w:type="dxa"/>
            <w:shd w:val="clear" w:color="auto" w:fill="auto"/>
            <w:tcMar>
              <w:left w:w="0" w:type="dxa"/>
              <w:right w:w="0" w:type="dxa"/>
            </w:tcMar>
          </w:tcPr>
          <w:p w:rsidR="00890FEB" w:rsidRPr="001D0D5F" w:rsidRDefault="00890FEB" w:rsidP="00EB2B90">
            <w:pPr>
              <w:keepNext/>
              <w:keepLines/>
              <w:tabs>
                <w:tab w:val="left" w:pos="-1440"/>
                <w:tab w:val="left" w:pos="-720"/>
              </w:tabs>
              <w:jc w:val="both"/>
              <w:rPr>
                <w:szCs w:val="24"/>
              </w:rPr>
            </w:pPr>
            <w:r w:rsidRPr="001D0D5F">
              <w:rPr>
                <w:b/>
                <w:szCs w:val="24"/>
              </w:rPr>
              <w:lastRenderedPageBreak/>
              <w:t>MOTIONS</w:t>
            </w:r>
          </w:p>
        </w:tc>
        <w:tc>
          <w:tcPr>
            <w:tcW w:w="1170" w:type="dxa"/>
            <w:shd w:val="clear" w:color="auto" w:fill="auto"/>
            <w:tcMar>
              <w:left w:w="0" w:type="dxa"/>
              <w:right w:w="0" w:type="dxa"/>
            </w:tcMar>
          </w:tcPr>
          <w:p w:rsidR="00890FEB" w:rsidRPr="001D0D5F" w:rsidRDefault="00890FEB" w:rsidP="00890FEB">
            <w:pPr>
              <w:keepNext/>
              <w:keepLines/>
              <w:tabs>
                <w:tab w:val="left" w:pos="-1440"/>
                <w:tab w:val="left" w:pos="-720"/>
              </w:tabs>
              <w:jc w:val="center"/>
              <w:rPr>
                <w:szCs w:val="24"/>
              </w:rPr>
            </w:pPr>
          </w:p>
          <w:p w:rsidR="00890FEB" w:rsidRPr="001D0D5F" w:rsidRDefault="00890FEB" w:rsidP="00890FEB">
            <w:pPr>
              <w:keepNext/>
              <w:keepLines/>
              <w:tabs>
                <w:tab w:val="left" w:pos="-1440"/>
                <w:tab w:val="left" w:pos="-720"/>
              </w:tabs>
              <w:jc w:val="center"/>
              <w:rPr>
                <w:szCs w:val="24"/>
              </w:rPr>
            </w:pPr>
          </w:p>
        </w:tc>
        <w:tc>
          <w:tcPr>
            <w:tcW w:w="4080" w:type="dxa"/>
            <w:shd w:val="clear" w:color="auto" w:fill="auto"/>
            <w:tcMar>
              <w:left w:w="0" w:type="dxa"/>
              <w:right w:w="0" w:type="dxa"/>
            </w:tcMar>
          </w:tcPr>
          <w:p w:rsidR="00890FEB" w:rsidRPr="00BA6468" w:rsidRDefault="00890FEB" w:rsidP="00831CA9">
            <w:pPr>
              <w:keepNext/>
              <w:keepLines/>
              <w:tabs>
                <w:tab w:val="left" w:pos="-1440"/>
                <w:tab w:val="left" w:pos="-720"/>
              </w:tabs>
              <w:rPr>
                <w:szCs w:val="24"/>
                <w:lang w:val="fr-CA"/>
              </w:rPr>
            </w:pPr>
            <w:r w:rsidRPr="00BA6468">
              <w:rPr>
                <w:b/>
                <w:szCs w:val="24"/>
                <w:lang w:val="fr-CA"/>
              </w:rPr>
              <w:t>REQUÊTES</w:t>
            </w:r>
          </w:p>
        </w:tc>
      </w:tr>
    </w:tbl>
    <w:p w:rsidR="00890FEB" w:rsidRPr="00C50A5C" w:rsidRDefault="00890FEB" w:rsidP="00890FEB">
      <w:pPr>
        <w:rPr>
          <w:sz w:val="20"/>
          <w:szCs w:val="20"/>
        </w:rPr>
      </w:pPr>
    </w:p>
    <w:p w:rsidR="000E0883" w:rsidRPr="000E0883" w:rsidRDefault="000E0883" w:rsidP="000E0883">
      <w:pPr>
        <w:tabs>
          <w:tab w:val="left" w:pos="-1440"/>
          <w:tab w:val="left" w:pos="-720"/>
        </w:tabs>
        <w:jc w:val="both"/>
        <w:rPr>
          <w:rFonts w:eastAsia="Times New Roman" w:cs="Times New Roman"/>
          <w:sz w:val="20"/>
          <w:szCs w:val="20"/>
          <w:lang w:val="fr-CA" w:eastAsia="en-CA"/>
        </w:rPr>
      </w:pPr>
      <w:r w:rsidRPr="000E0883">
        <w:rPr>
          <w:rFonts w:eastAsia="Times New Roman" w:cs="Times New Roman"/>
          <w:sz w:val="20"/>
          <w:szCs w:val="20"/>
          <w:lang w:val="fr-CA" w:eastAsia="en-CA"/>
        </w:rPr>
        <w:t>25.10.2013</w:t>
      </w:r>
    </w:p>
    <w:p w:rsidR="000E0883" w:rsidRPr="000E0883" w:rsidRDefault="000E0883" w:rsidP="000E0883">
      <w:pPr>
        <w:tabs>
          <w:tab w:val="left" w:pos="-1440"/>
          <w:tab w:val="left" w:pos="-720"/>
        </w:tabs>
        <w:jc w:val="both"/>
        <w:rPr>
          <w:rFonts w:eastAsia="Times New Roman" w:cs="Times New Roman"/>
          <w:sz w:val="20"/>
          <w:szCs w:val="20"/>
          <w:lang w:val="fr-CA" w:eastAsia="en-CA"/>
        </w:rPr>
      </w:pPr>
    </w:p>
    <w:p w:rsidR="000E0883" w:rsidRPr="000E0883" w:rsidRDefault="000E0883" w:rsidP="000E0883">
      <w:pPr>
        <w:tabs>
          <w:tab w:val="left" w:pos="-1440"/>
          <w:tab w:val="left" w:pos="-720"/>
        </w:tabs>
        <w:jc w:val="both"/>
        <w:rPr>
          <w:rFonts w:eastAsia="Times New Roman" w:cs="Times New Roman"/>
          <w:sz w:val="20"/>
          <w:szCs w:val="20"/>
          <w:lang w:val="fr-CA" w:eastAsia="en-CA"/>
        </w:rPr>
      </w:pPr>
      <w:r w:rsidRPr="000E0883">
        <w:rPr>
          <w:rFonts w:eastAsia="Times New Roman" w:cs="Times New Roman"/>
          <w:sz w:val="20"/>
          <w:szCs w:val="20"/>
          <w:lang w:val="fr-CA" w:eastAsia="en-CA"/>
        </w:rPr>
        <w:t>Before / Devant :   LEBEL J. / LE JUGE LEBEL</w:t>
      </w:r>
    </w:p>
    <w:p w:rsidR="000E0883" w:rsidRPr="000E0883" w:rsidRDefault="000E0883" w:rsidP="000E0883">
      <w:pPr>
        <w:tabs>
          <w:tab w:val="left" w:pos="-1440"/>
          <w:tab w:val="left" w:pos="-720"/>
        </w:tabs>
        <w:jc w:val="both"/>
        <w:rPr>
          <w:rFonts w:eastAsia="Times New Roman" w:cs="Times New Roman"/>
          <w:sz w:val="20"/>
          <w:szCs w:val="20"/>
          <w:lang w:val="fr-CA" w:eastAsia="en-CA"/>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2970"/>
        <w:gridCol w:w="1170"/>
        <w:gridCol w:w="4327"/>
      </w:tblGrid>
      <w:tr w:rsidR="000E0883" w:rsidRPr="000E0883" w:rsidTr="00E4451A">
        <w:tc>
          <w:tcPr>
            <w:tcW w:w="4338" w:type="dxa"/>
            <w:gridSpan w:val="2"/>
          </w:tcPr>
          <w:p w:rsidR="000E0883" w:rsidRPr="000E0883" w:rsidRDefault="000E0883" w:rsidP="000E0883">
            <w:pPr>
              <w:rPr>
                <w:b/>
              </w:rPr>
            </w:pPr>
            <w:r w:rsidRPr="000E0883">
              <w:rPr>
                <w:b/>
              </w:rPr>
              <w:t>Motion for leave to intervene</w:t>
            </w:r>
            <w:r w:rsidRPr="000E0883">
              <w:rPr>
                <w:lang w:val="en-US"/>
              </w:rPr>
              <w:t xml:space="preserve"> </w:t>
            </w:r>
            <w:r w:rsidR="00047631" w:rsidRPr="000E0883">
              <w:rPr>
                <w:lang w:val="en-US"/>
              </w:rPr>
              <w:fldChar w:fldCharType="begin"/>
            </w:r>
            <w:r w:rsidRPr="000E0883">
              <w:instrText xml:space="preserve"> SEQ CHAPTER \h \r 1</w:instrText>
            </w:r>
            <w:r w:rsidR="00047631" w:rsidRPr="000E0883">
              <w:rPr>
                <w:lang w:val="en-US"/>
              </w:rPr>
              <w:fldChar w:fldCharType="end"/>
            </w:r>
          </w:p>
        </w:tc>
        <w:tc>
          <w:tcPr>
            <w:tcW w:w="1170" w:type="dxa"/>
          </w:tcPr>
          <w:p w:rsidR="000E0883" w:rsidRPr="000E0883" w:rsidRDefault="000E0883" w:rsidP="000E0883"/>
          <w:p w:rsidR="000E0883" w:rsidRPr="000E0883" w:rsidRDefault="000E0883" w:rsidP="000E0883"/>
        </w:tc>
        <w:tc>
          <w:tcPr>
            <w:tcW w:w="4327" w:type="dxa"/>
          </w:tcPr>
          <w:p w:rsidR="000E0883" w:rsidRPr="000E0883" w:rsidRDefault="000E0883" w:rsidP="000E0883">
            <w:pPr>
              <w:rPr>
                <w:b/>
              </w:rPr>
            </w:pPr>
            <w:r w:rsidRPr="000E0883">
              <w:rPr>
                <w:b/>
                <w:bCs/>
                <w:lang w:val="fr-CA"/>
              </w:rPr>
              <w:t>Requête en autorisation d’intervenir</w:t>
            </w:r>
            <w:r w:rsidRPr="000E0883">
              <w:rPr>
                <w:lang w:val="en-US"/>
              </w:rPr>
              <w:t xml:space="preserve"> </w:t>
            </w:r>
            <w:r w:rsidR="00047631" w:rsidRPr="000E0883">
              <w:rPr>
                <w:lang w:val="en-US"/>
              </w:rPr>
              <w:fldChar w:fldCharType="begin"/>
            </w:r>
            <w:r w:rsidRPr="000E0883">
              <w:instrText xml:space="preserve"> SEQ CHAPTER \h \r 1</w:instrText>
            </w:r>
            <w:r w:rsidR="00047631" w:rsidRPr="000E0883">
              <w:rPr>
                <w:lang w:val="en-US"/>
              </w:rPr>
              <w:fldChar w:fldCharType="end"/>
            </w:r>
          </w:p>
        </w:tc>
      </w:tr>
      <w:tr w:rsidR="000E0883" w:rsidRPr="000E0883" w:rsidTr="00E4451A">
        <w:tc>
          <w:tcPr>
            <w:tcW w:w="1368" w:type="dxa"/>
          </w:tcPr>
          <w:p w:rsidR="000E0883" w:rsidRPr="000E0883" w:rsidRDefault="000E0883" w:rsidP="000E0883">
            <w:r w:rsidRPr="000E0883">
              <w:t>BY / PAR</w:t>
            </w:r>
          </w:p>
        </w:tc>
        <w:tc>
          <w:tcPr>
            <w:tcW w:w="2970" w:type="dxa"/>
          </w:tcPr>
          <w:p w:rsidR="000E0883" w:rsidRPr="000E0883" w:rsidRDefault="000E0883" w:rsidP="000E0883">
            <w:r w:rsidRPr="000E0883">
              <w:rPr>
                <w:lang w:val="en-US"/>
              </w:rPr>
              <w:t>Attorney General of Alberta</w:t>
            </w:r>
          </w:p>
        </w:tc>
        <w:tc>
          <w:tcPr>
            <w:tcW w:w="1170" w:type="dxa"/>
          </w:tcPr>
          <w:p w:rsidR="000E0883" w:rsidRPr="000E0883" w:rsidRDefault="000E0883" w:rsidP="000E0883"/>
        </w:tc>
        <w:tc>
          <w:tcPr>
            <w:tcW w:w="4327" w:type="dxa"/>
          </w:tcPr>
          <w:p w:rsidR="000E0883" w:rsidRPr="000E0883" w:rsidRDefault="000E0883" w:rsidP="000E0883"/>
        </w:tc>
      </w:tr>
      <w:tr w:rsidR="000E0883" w:rsidRPr="000E0883" w:rsidTr="00E4451A">
        <w:tc>
          <w:tcPr>
            <w:tcW w:w="1368" w:type="dxa"/>
          </w:tcPr>
          <w:p w:rsidR="000E0883" w:rsidRPr="000E0883" w:rsidRDefault="000E0883" w:rsidP="000E0883"/>
        </w:tc>
        <w:tc>
          <w:tcPr>
            <w:tcW w:w="2970" w:type="dxa"/>
          </w:tcPr>
          <w:p w:rsidR="000E0883" w:rsidRPr="000E0883" w:rsidRDefault="000E0883" w:rsidP="000E0883">
            <w:pPr>
              <w:rPr>
                <w:lang w:val="en-US"/>
              </w:rPr>
            </w:pPr>
          </w:p>
        </w:tc>
        <w:tc>
          <w:tcPr>
            <w:tcW w:w="1170" w:type="dxa"/>
          </w:tcPr>
          <w:p w:rsidR="000E0883" w:rsidRPr="000E0883" w:rsidRDefault="000E0883" w:rsidP="000E0883"/>
        </w:tc>
        <w:tc>
          <w:tcPr>
            <w:tcW w:w="4327" w:type="dxa"/>
          </w:tcPr>
          <w:p w:rsidR="000E0883" w:rsidRPr="000E0883" w:rsidRDefault="000E0883" w:rsidP="000E0883"/>
        </w:tc>
      </w:tr>
      <w:tr w:rsidR="000E0883" w:rsidRPr="000E0883" w:rsidTr="00E4451A">
        <w:tc>
          <w:tcPr>
            <w:tcW w:w="1368" w:type="dxa"/>
          </w:tcPr>
          <w:p w:rsidR="000E0883" w:rsidRPr="000E0883" w:rsidRDefault="000E0883" w:rsidP="000E0883">
            <w:r w:rsidRPr="000E0883">
              <w:t>IN / DANS :</w:t>
            </w:r>
          </w:p>
        </w:tc>
        <w:tc>
          <w:tcPr>
            <w:tcW w:w="2970" w:type="dxa"/>
          </w:tcPr>
          <w:p w:rsidR="000E0883" w:rsidRPr="000E0883" w:rsidRDefault="000E0883" w:rsidP="000E0883">
            <w:r w:rsidRPr="000E0883">
              <w:t>Mohammad Hassan Mian</w:t>
            </w:r>
          </w:p>
          <w:p w:rsidR="000E0883" w:rsidRPr="000E0883" w:rsidRDefault="000E0883" w:rsidP="000E0883"/>
          <w:p w:rsidR="000E0883" w:rsidRPr="000E0883" w:rsidRDefault="000E0883" w:rsidP="000E0883">
            <w:r w:rsidRPr="000E0883">
              <w:tab/>
              <w:t>v. (35132)</w:t>
            </w:r>
          </w:p>
          <w:p w:rsidR="000E0883" w:rsidRPr="000E0883" w:rsidRDefault="000E0883" w:rsidP="000E0883"/>
          <w:p w:rsidR="000E0883" w:rsidRPr="000E0883" w:rsidRDefault="000E0883" w:rsidP="000E0883">
            <w:r w:rsidRPr="000E0883">
              <w:t>Her Majesty the Queen (Crim.) (Alta.)</w:t>
            </w:r>
          </w:p>
        </w:tc>
        <w:tc>
          <w:tcPr>
            <w:tcW w:w="1170" w:type="dxa"/>
          </w:tcPr>
          <w:p w:rsidR="000E0883" w:rsidRPr="000E0883" w:rsidRDefault="000E0883" w:rsidP="000E0883"/>
        </w:tc>
        <w:tc>
          <w:tcPr>
            <w:tcW w:w="4327" w:type="dxa"/>
          </w:tcPr>
          <w:p w:rsidR="000E0883" w:rsidRPr="000E0883" w:rsidRDefault="000E0883" w:rsidP="000E0883"/>
        </w:tc>
      </w:tr>
    </w:tbl>
    <w:p w:rsidR="000E0883" w:rsidRPr="000E0883" w:rsidRDefault="000E0883" w:rsidP="000E0883">
      <w:pPr>
        <w:tabs>
          <w:tab w:val="left" w:pos="-1440"/>
          <w:tab w:val="left" w:pos="-720"/>
        </w:tabs>
        <w:jc w:val="both"/>
        <w:rPr>
          <w:rFonts w:eastAsia="Times New Roman" w:cs="Times New Roman"/>
          <w:sz w:val="20"/>
          <w:szCs w:val="20"/>
          <w:lang w:eastAsia="en-CA"/>
        </w:rPr>
      </w:pPr>
    </w:p>
    <w:p w:rsidR="000E0883" w:rsidRPr="000E0883" w:rsidRDefault="000E0883" w:rsidP="000E0883">
      <w:pPr>
        <w:tabs>
          <w:tab w:val="left" w:pos="-1440"/>
          <w:tab w:val="left" w:pos="-720"/>
        </w:tabs>
        <w:jc w:val="both"/>
        <w:rPr>
          <w:rFonts w:eastAsia="Times New Roman" w:cs="Times New Roman"/>
          <w:sz w:val="20"/>
          <w:szCs w:val="20"/>
          <w:lang w:eastAsia="en-CA"/>
        </w:rPr>
      </w:pPr>
      <w:r w:rsidRPr="000E0883">
        <w:rPr>
          <w:rFonts w:eastAsia="Times New Roman" w:cs="Times New Roman"/>
          <w:b/>
          <w:sz w:val="20"/>
          <w:szCs w:val="20"/>
          <w:lang w:eastAsia="en-CA"/>
        </w:rPr>
        <w:t>GRANTED / ACCORDÉE</w:t>
      </w:r>
    </w:p>
    <w:p w:rsidR="000E0883" w:rsidRPr="000E0883" w:rsidRDefault="000E0883" w:rsidP="000E0883">
      <w:pPr>
        <w:tabs>
          <w:tab w:val="left" w:pos="-1440"/>
          <w:tab w:val="left" w:pos="-720"/>
        </w:tabs>
        <w:jc w:val="both"/>
        <w:rPr>
          <w:rFonts w:eastAsia="Times New Roman" w:cs="Times New Roman"/>
          <w:sz w:val="20"/>
          <w:szCs w:val="20"/>
          <w:lang w:eastAsia="en-CA"/>
        </w:rPr>
      </w:pPr>
    </w:p>
    <w:p w:rsidR="000E0883" w:rsidRPr="000E0883" w:rsidRDefault="000E0883" w:rsidP="000E0883">
      <w:pPr>
        <w:spacing w:line="233" w:lineRule="auto"/>
        <w:jc w:val="both"/>
        <w:rPr>
          <w:rFonts w:eastAsia="Times New Roman" w:cs="Times New Roman"/>
          <w:sz w:val="20"/>
          <w:szCs w:val="20"/>
          <w:lang w:val="en-US" w:eastAsia="en-CA"/>
        </w:rPr>
      </w:pPr>
      <w:r w:rsidRPr="000E0883">
        <w:rPr>
          <w:rFonts w:eastAsia="Times New Roman" w:cs="Times New Roman"/>
          <w:b/>
          <w:bCs/>
          <w:sz w:val="20"/>
          <w:szCs w:val="20"/>
          <w:lang w:val="en-US" w:eastAsia="en-CA"/>
        </w:rPr>
        <w:t xml:space="preserve">UPON APPLICATION </w:t>
      </w:r>
      <w:r w:rsidRPr="000E0883">
        <w:rPr>
          <w:rFonts w:eastAsia="Times New Roman" w:cs="Times New Roman"/>
          <w:sz w:val="20"/>
          <w:szCs w:val="20"/>
          <w:lang w:val="en-US" w:eastAsia="en-CA"/>
        </w:rPr>
        <w:t xml:space="preserve">by </w:t>
      </w:r>
      <w:r w:rsidRPr="000E0883">
        <w:rPr>
          <w:rFonts w:eastAsia="Times New Roman" w:cs="Times New Roman"/>
          <w:sz w:val="20"/>
          <w:szCs w:val="20"/>
          <w:lang w:eastAsia="en-CA"/>
        </w:rPr>
        <w:t>the</w:t>
      </w:r>
      <w:r w:rsidRPr="000E0883">
        <w:rPr>
          <w:rFonts w:eastAsia="Times New Roman" w:cs="Times New Roman"/>
          <w:sz w:val="20"/>
          <w:szCs w:val="20"/>
          <w:lang w:val="en-US" w:eastAsia="en-CA"/>
        </w:rPr>
        <w:t xml:space="preserve"> Attorney General of Alberta for leave to intervene in the above appeal;</w:t>
      </w:r>
    </w:p>
    <w:p w:rsidR="000E0883" w:rsidRPr="000E0883" w:rsidRDefault="000E0883" w:rsidP="000E0883">
      <w:pPr>
        <w:spacing w:line="233" w:lineRule="auto"/>
        <w:jc w:val="both"/>
        <w:rPr>
          <w:rFonts w:eastAsia="Times New Roman" w:cs="Times New Roman"/>
          <w:sz w:val="20"/>
          <w:szCs w:val="20"/>
          <w:lang w:val="en-US" w:eastAsia="en-CA"/>
        </w:rPr>
      </w:pPr>
    </w:p>
    <w:p w:rsidR="000E0883" w:rsidRPr="000E0883" w:rsidRDefault="000E0883" w:rsidP="000E0883">
      <w:pPr>
        <w:spacing w:line="233" w:lineRule="auto"/>
        <w:jc w:val="both"/>
        <w:rPr>
          <w:rFonts w:eastAsia="Times New Roman" w:cs="Times New Roman"/>
          <w:sz w:val="20"/>
          <w:szCs w:val="20"/>
          <w:lang w:val="en-US" w:eastAsia="en-CA"/>
        </w:rPr>
      </w:pPr>
      <w:r w:rsidRPr="000E0883">
        <w:rPr>
          <w:rFonts w:eastAsia="Times New Roman" w:cs="Times New Roman"/>
          <w:b/>
          <w:bCs/>
          <w:sz w:val="20"/>
          <w:szCs w:val="20"/>
          <w:lang w:val="en-US" w:eastAsia="en-CA"/>
        </w:rPr>
        <w:t>AND THE MATERIAL FILED</w:t>
      </w:r>
      <w:r w:rsidRPr="000E0883">
        <w:rPr>
          <w:rFonts w:eastAsia="Times New Roman" w:cs="Times New Roman"/>
          <w:sz w:val="20"/>
          <w:szCs w:val="20"/>
          <w:lang w:val="en-US" w:eastAsia="en-CA"/>
        </w:rPr>
        <w:t xml:space="preserve"> having been read;</w:t>
      </w:r>
    </w:p>
    <w:p w:rsidR="000E0883" w:rsidRPr="000E0883" w:rsidRDefault="000E0883" w:rsidP="000E0883">
      <w:pPr>
        <w:spacing w:line="233" w:lineRule="auto"/>
        <w:jc w:val="both"/>
        <w:rPr>
          <w:rFonts w:eastAsia="Times New Roman" w:cs="Times New Roman"/>
          <w:sz w:val="20"/>
          <w:szCs w:val="20"/>
          <w:lang w:val="en-US" w:eastAsia="en-CA"/>
        </w:rPr>
      </w:pPr>
    </w:p>
    <w:p w:rsidR="000E0883" w:rsidRPr="000E0883" w:rsidRDefault="000E0883" w:rsidP="000E0883">
      <w:pPr>
        <w:spacing w:line="233" w:lineRule="auto"/>
        <w:jc w:val="both"/>
        <w:rPr>
          <w:rFonts w:eastAsia="Times New Roman" w:cs="Times New Roman"/>
          <w:sz w:val="20"/>
          <w:szCs w:val="20"/>
          <w:lang w:val="en-US" w:eastAsia="en-CA"/>
        </w:rPr>
      </w:pPr>
      <w:r w:rsidRPr="000E0883">
        <w:rPr>
          <w:rFonts w:eastAsia="Times New Roman" w:cs="Times New Roman"/>
          <w:b/>
          <w:bCs/>
          <w:sz w:val="20"/>
          <w:szCs w:val="20"/>
          <w:lang w:val="en-US" w:eastAsia="en-CA"/>
        </w:rPr>
        <w:t>IT IS HEREBY ORDERED THAT:</w:t>
      </w:r>
    </w:p>
    <w:p w:rsidR="000E0883" w:rsidRPr="000E0883" w:rsidRDefault="000E0883" w:rsidP="000E0883">
      <w:pPr>
        <w:spacing w:line="233" w:lineRule="auto"/>
        <w:jc w:val="both"/>
        <w:rPr>
          <w:rFonts w:eastAsia="Times New Roman" w:cs="Times New Roman"/>
          <w:sz w:val="20"/>
          <w:szCs w:val="20"/>
          <w:lang w:val="en-US" w:eastAsia="en-CA"/>
        </w:rPr>
      </w:pPr>
    </w:p>
    <w:p w:rsidR="000E0883" w:rsidRPr="000E0883" w:rsidRDefault="000E0883" w:rsidP="000E0883">
      <w:pPr>
        <w:spacing w:line="233" w:lineRule="auto"/>
        <w:jc w:val="both"/>
        <w:rPr>
          <w:rFonts w:eastAsia="Times New Roman" w:cs="Times New Roman"/>
          <w:sz w:val="20"/>
          <w:szCs w:val="20"/>
          <w:lang w:val="en-US" w:eastAsia="en-CA"/>
        </w:rPr>
      </w:pPr>
      <w:r w:rsidRPr="000E0883">
        <w:rPr>
          <w:rFonts w:eastAsia="Times New Roman" w:cs="Times New Roman"/>
          <w:sz w:val="20"/>
          <w:szCs w:val="20"/>
          <w:lang w:val="en-US" w:eastAsia="en-CA"/>
        </w:rPr>
        <w:t xml:space="preserve">The motion for leave to intervene of </w:t>
      </w:r>
      <w:r w:rsidRPr="000E0883">
        <w:rPr>
          <w:rFonts w:eastAsia="Times New Roman" w:cs="Times New Roman"/>
          <w:sz w:val="20"/>
          <w:szCs w:val="20"/>
          <w:lang w:eastAsia="en-CA"/>
        </w:rPr>
        <w:t xml:space="preserve">the </w:t>
      </w:r>
      <w:r w:rsidRPr="000E0883">
        <w:rPr>
          <w:rFonts w:eastAsia="Times New Roman" w:cs="Times New Roman"/>
          <w:sz w:val="20"/>
          <w:szCs w:val="20"/>
          <w:lang w:val="en-US" w:eastAsia="en-CA"/>
        </w:rPr>
        <w:t xml:space="preserve">Attorney General of Alberta </w:t>
      </w:r>
      <w:r w:rsidRPr="000E0883">
        <w:rPr>
          <w:rFonts w:eastAsia="Times New Roman" w:cs="Times New Roman"/>
          <w:sz w:val="20"/>
          <w:szCs w:val="20"/>
          <w:lang w:eastAsia="en-CA"/>
        </w:rPr>
        <w:t xml:space="preserve">is </w:t>
      </w:r>
      <w:r w:rsidRPr="000E0883">
        <w:rPr>
          <w:rFonts w:eastAsia="Times New Roman" w:cs="Times New Roman"/>
          <w:sz w:val="20"/>
          <w:szCs w:val="20"/>
          <w:lang w:val="en-US" w:eastAsia="en-CA"/>
        </w:rPr>
        <w:t>granted and the said intervener shall be entitled to serve and file a factum not to exceed 10 pages in length on or before December 20, 2013.</w:t>
      </w:r>
    </w:p>
    <w:p w:rsidR="000E0883" w:rsidRPr="000E0883" w:rsidRDefault="000E0883" w:rsidP="000E0883">
      <w:pPr>
        <w:spacing w:line="233" w:lineRule="auto"/>
        <w:jc w:val="both"/>
        <w:rPr>
          <w:rFonts w:eastAsia="Times New Roman" w:cs="Times New Roman"/>
          <w:sz w:val="20"/>
          <w:szCs w:val="20"/>
          <w:lang w:val="en-US" w:eastAsia="en-CA"/>
        </w:rPr>
      </w:pPr>
    </w:p>
    <w:p w:rsidR="000E0883" w:rsidRPr="000E0883" w:rsidRDefault="000E0883" w:rsidP="000E0883">
      <w:pPr>
        <w:spacing w:line="233" w:lineRule="auto"/>
        <w:jc w:val="both"/>
        <w:rPr>
          <w:rFonts w:eastAsia="Times New Roman" w:cs="Times New Roman"/>
          <w:sz w:val="20"/>
          <w:szCs w:val="20"/>
          <w:lang w:val="en-US" w:eastAsia="en-CA"/>
        </w:rPr>
      </w:pPr>
      <w:r w:rsidRPr="000E0883">
        <w:rPr>
          <w:rFonts w:eastAsia="Times New Roman" w:cs="Times New Roman"/>
          <w:sz w:val="20"/>
          <w:szCs w:val="20"/>
          <w:lang w:val="en-US" w:eastAsia="en-CA"/>
        </w:rPr>
        <w:t>The request to present oral argument is deferred to a date following receipt and consideration of the written arguments of the parties and the intervener.</w:t>
      </w:r>
    </w:p>
    <w:p w:rsidR="000E0883" w:rsidRPr="000E0883" w:rsidRDefault="000E0883" w:rsidP="000E0883">
      <w:pPr>
        <w:spacing w:line="233" w:lineRule="auto"/>
        <w:jc w:val="both"/>
        <w:rPr>
          <w:rFonts w:eastAsia="Times New Roman" w:cs="Times New Roman"/>
          <w:sz w:val="20"/>
          <w:szCs w:val="20"/>
          <w:lang w:val="en-US" w:eastAsia="en-CA"/>
        </w:rPr>
      </w:pPr>
    </w:p>
    <w:p w:rsidR="000E0883" w:rsidRPr="000E0883" w:rsidRDefault="000E0883" w:rsidP="000E0883">
      <w:pPr>
        <w:spacing w:line="233" w:lineRule="auto"/>
        <w:jc w:val="both"/>
        <w:rPr>
          <w:rFonts w:eastAsia="Times New Roman" w:cs="Times New Roman"/>
          <w:sz w:val="20"/>
          <w:szCs w:val="20"/>
          <w:lang w:val="en-US" w:eastAsia="en-CA"/>
        </w:rPr>
      </w:pPr>
      <w:r w:rsidRPr="000E0883">
        <w:rPr>
          <w:rFonts w:eastAsia="Times New Roman" w:cs="Times New Roman"/>
          <w:sz w:val="20"/>
          <w:szCs w:val="20"/>
          <w:lang w:val="en-US" w:eastAsia="en-CA"/>
        </w:rPr>
        <w:t>The intervener is not entitled to raise new issues or to adduce further evidence or otherwise to supplement the record of the parties.</w:t>
      </w:r>
    </w:p>
    <w:p w:rsidR="000E0883" w:rsidRPr="000E0883" w:rsidRDefault="000E0883" w:rsidP="000E0883">
      <w:pPr>
        <w:spacing w:line="233" w:lineRule="auto"/>
        <w:jc w:val="both"/>
        <w:rPr>
          <w:rFonts w:eastAsia="Times New Roman" w:cs="Times New Roman"/>
          <w:sz w:val="20"/>
          <w:szCs w:val="20"/>
          <w:lang w:val="en-US" w:eastAsia="en-CA"/>
        </w:rPr>
      </w:pPr>
    </w:p>
    <w:p w:rsidR="000E0883" w:rsidRPr="000E0883" w:rsidRDefault="000E0883" w:rsidP="000E0883">
      <w:pPr>
        <w:spacing w:line="233" w:lineRule="auto"/>
        <w:jc w:val="both"/>
        <w:rPr>
          <w:rFonts w:eastAsia="Times New Roman" w:cs="Times New Roman"/>
          <w:sz w:val="20"/>
          <w:szCs w:val="20"/>
          <w:lang w:val="en-US" w:eastAsia="en-CA"/>
        </w:rPr>
      </w:pPr>
      <w:r w:rsidRPr="000E0883">
        <w:rPr>
          <w:rFonts w:eastAsia="Times New Roman" w:cs="Times New Roman"/>
          <w:sz w:val="20"/>
          <w:szCs w:val="20"/>
          <w:lang w:val="en-US" w:eastAsia="en-CA"/>
        </w:rPr>
        <w:t>Pursuant to Rule 59(1)(</w:t>
      </w:r>
      <w:r w:rsidRPr="000E0883">
        <w:rPr>
          <w:rFonts w:eastAsia="Times New Roman" w:cs="Times New Roman"/>
          <w:i/>
          <w:iCs/>
          <w:sz w:val="20"/>
          <w:szCs w:val="20"/>
          <w:lang w:val="en-US" w:eastAsia="en-CA"/>
        </w:rPr>
        <w:t>a</w:t>
      </w:r>
      <w:r w:rsidRPr="000E0883">
        <w:rPr>
          <w:rFonts w:eastAsia="Times New Roman" w:cs="Times New Roman"/>
          <w:sz w:val="20"/>
          <w:szCs w:val="20"/>
          <w:lang w:val="en-US" w:eastAsia="en-CA"/>
        </w:rPr>
        <w:t xml:space="preserve">) of the </w:t>
      </w:r>
      <w:r w:rsidRPr="000E0883">
        <w:rPr>
          <w:rFonts w:eastAsia="Times New Roman" w:cs="Times New Roman"/>
          <w:i/>
          <w:iCs/>
          <w:sz w:val="20"/>
          <w:szCs w:val="20"/>
          <w:lang w:val="en-US" w:eastAsia="en-CA"/>
        </w:rPr>
        <w:t>Rules of the Supreme Court of Canada</w:t>
      </w:r>
      <w:r w:rsidRPr="000E0883">
        <w:rPr>
          <w:rFonts w:eastAsia="Times New Roman" w:cs="Times New Roman"/>
          <w:sz w:val="20"/>
          <w:szCs w:val="20"/>
          <w:lang w:val="en-US" w:eastAsia="en-CA"/>
        </w:rPr>
        <w:t xml:space="preserve">, the intervener shall pay to the appellant and respondent any additional disbursements occasioned to the appellant and respondent by its intervention. </w:t>
      </w:r>
    </w:p>
    <w:p w:rsidR="000E0883" w:rsidRPr="000E0883" w:rsidRDefault="000E0883" w:rsidP="000E0883">
      <w:pPr>
        <w:spacing w:line="233" w:lineRule="auto"/>
        <w:jc w:val="both"/>
        <w:rPr>
          <w:rFonts w:eastAsia="Times New Roman" w:cs="Times New Roman"/>
          <w:sz w:val="20"/>
          <w:szCs w:val="20"/>
          <w:lang w:val="en-US" w:eastAsia="en-CA"/>
        </w:rPr>
      </w:pPr>
    </w:p>
    <w:p w:rsidR="000E0883" w:rsidRPr="000E0883" w:rsidRDefault="000E0883" w:rsidP="000E0883">
      <w:pPr>
        <w:spacing w:line="233" w:lineRule="auto"/>
        <w:jc w:val="both"/>
        <w:rPr>
          <w:rFonts w:eastAsia="Times New Roman" w:cs="Times New Roman"/>
          <w:sz w:val="20"/>
          <w:szCs w:val="20"/>
          <w:lang w:val="en-US" w:eastAsia="en-CA"/>
        </w:rPr>
      </w:pPr>
    </w:p>
    <w:p w:rsidR="000E0883" w:rsidRPr="000E0883" w:rsidRDefault="000E0883" w:rsidP="000E0883">
      <w:pPr>
        <w:spacing w:line="233" w:lineRule="auto"/>
        <w:jc w:val="both"/>
        <w:rPr>
          <w:rFonts w:eastAsia="Times New Roman" w:cs="Times New Roman"/>
          <w:sz w:val="20"/>
          <w:szCs w:val="20"/>
          <w:lang w:val="en-US" w:eastAsia="en-CA"/>
        </w:rPr>
      </w:pPr>
    </w:p>
    <w:p w:rsidR="000E0883" w:rsidRPr="000E0883" w:rsidRDefault="000E0883" w:rsidP="000E0883">
      <w:pPr>
        <w:spacing w:line="233" w:lineRule="auto"/>
        <w:jc w:val="both"/>
        <w:rPr>
          <w:rFonts w:eastAsia="Times New Roman" w:cs="Times New Roman"/>
          <w:sz w:val="20"/>
          <w:szCs w:val="20"/>
          <w:lang w:val="fr-CA" w:eastAsia="en-CA"/>
        </w:rPr>
      </w:pPr>
      <w:r w:rsidRPr="000E0883">
        <w:rPr>
          <w:rFonts w:eastAsia="Times New Roman" w:cs="Times New Roman"/>
          <w:b/>
          <w:bCs/>
          <w:sz w:val="20"/>
          <w:szCs w:val="20"/>
          <w:lang w:val="fr-CA" w:eastAsia="en-CA"/>
        </w:rPr>
        <w:t xml:space="preserve">À LA SUITE DE LA DEMANDE </w:t>
      </w:r>
      <w:r w:rsidRPr="000E0883">
        <w:rPr>
          <w:rFonts w:eastAsia="Times New Roman" w:cs="Times New Roman"/>
          <w:bCs/>
          <w:sz w:val="20"/>
          <w:szCs w:val="20"/>
          <w:lang w:val="fr-CA" w:eastAsia="en-CA"/>
        </w:rPr>
        <w:t>présentée par le procureur général de l’Alberta en autorisation d’intervenir dans l’appel</w:t>
      </w:r>
      <w:r w:rsidRPr="000E0883">
        <w:rPr>
          <w:rFonts w:eastAsia="Times New Roman" w:cs="Times New Roman"/>
          <w:sz w:val="20"/>
          <w:szCs w:val="20"/>
          <w:lang w:val="fr-CA" w:eastAsia="en-CA"/>
        </w:rPr>
        <w:t>;</w:t>
      </w:r>
    </w:p>
    <w:p w:rsidR="000E0883" w:rsidRPr="000E0883" w:rsidRDefault="000E0883" w:rsidP="000E0883">
      <w:pPr>
        <w:spacing w:line="233" w:lineRule="auto"/>
        <w:jc w:val="both"/>
        <w:rPr>
          <w:rFonts w:eastAsia="Times New Roman" w:cs="Times New Roman"/>
          <w:sz w:val="20"/>
          <w:szCs w:val="20"/>
          <w:lang w:val="fr-CA" w:eastAsia="en-CA"/>
        </w:rPr>
      </w:pPr>
    </w:p>
    <w:p w:rsidR="000E0883" w:rsidRPr="000E0883" w:rsidRDefault="000E0883" w:rsidP="000E0883">
      <w:pPr>
        <w:spacing w:line="233" w:lineRule="auto"/>
        <w:jc w:val="both"/>
        <w:rPr>
          <w:rFonts w:eastAsia="Times New Roman" w:cs="Times New Roman"/>
          <w:sz w:val="20"/>
          <w:szCs w:val="20"/>
          <w:lang w:val="fr-CA" w:eastAsia="en-CA"/>
        </w:rPr>
      </w:pPr>
      <w:r w:rsidRPr="000E0883">
        <w:rPr>
          <w:rFonts w:eastAsia="Times New Roman" w:cs="Times New Roman"/>
          <w:b/>
          <w:bCs/>
          <w:sz w:val="20"/>
          <w:szCs w:val="20"/>
          <w:lang w:val="fr-CA" w:eastAsia="en-CA"/>
        </w:rPr>
        <w:t xml:space="preserve">ET APRÈS EXAMEN </w:t>
      </w:r>
      <w:r w:rsidRPr="000E0883">
        <w:rPr>
          <w:rFonts w:eastAsia="Times New Roman" w:cs="Times New Roman"/>
          <w:sz w:val="20"/>
          <w:szCs w:val="20"/>
          <w:lang w:val="fr-CA" w:eastAsia="en-CA"/>
        </w:rPr>
        <w:t>des documents déposés;</w:t>
      </w:r>
    </w:p>
    <w:p w:rsidR="000E0883" w:rsidRPr="000E0883" w:rsidRDefault="000E0883" w:rsidP="000E0883">
      <w:pPr>
        <w:spacing w:line="233" w:lineRule="auto"/>
        <w:jc w:val="both"/>
        <w:rPr>
          <w:rFonts w:eastAsia="Times New Roman" w:cs="Times New Roman"/>
          <w:sz w:val="20"/>
          <w:szCs w:val="20"/>
          <w:lang w:val="fr-CA" w:eastAsia="en-CA"/>
        </w:rPr>
      </w:pPr>
    </w:p>
    <w:p w:rsidR="000E0883" w:rsidRPr="000E0883" w:rsidRDefault="000E0883" w:rsidP="000E0883">
      <w:pPr>
        <w:spacing w:line="233" w:lineRule="auto"/>
        <w:jc w:val="both"/>
        <w:rPr>
          <w:rFonts w:eastAsia="Times New Roman" w:cs="Times New Roman"/>
          <w:sz w:val="20"/>
          <w:szCs w:val="20"/>
          <w:lang w:val="fr-CA" w:eastAsia="en-CA"/>
        </w:rPr>
      </w:pPr>
      <w:r w:rsidRPr="000E0883">
        <w:rPr>
          <w:rFonts w:eastAsia="Times New Roman" w:cs="Times New Roman"/>
          <w:b/>
          <w:bCs/>
          <w:sz w:val="20"/>
          <w:szCs w:val="20"/>
          <w:lang w:val="fr-CA" w:eastAsia="en-CA"/>
        </w:rPr>
        <w:t>IL EST ORDONNÉ CE QUI SUIT :</w:t>
      </w:r>
    </w:p>
    <w:p w:rsidR="000E0883" w:rsidRPr="000E0883" w:rsidRDefault="000E0883" w:rsidP="000E0883">
      <w:pPr>
        <w:spacing w:line="233" w:lineRule="auto"/>
        <w:jc w:val="both"/>
        <w:rPr>
          <w:rFonts w:eastAsia="Times New Roman" w:cs="Times New Roman"/>
          <w:sz w:val="20"/>
          <w:szCs w:val="20"/>
          <w:lang w:val="fr-CA" w:eastAsia="en-CA"/>
        </w:rPr>
      </w:pPr>
    </w:p>
    <w:p w:rsidR="000E0883" w:rsidRPr="000E0883" w:rsidRDefault="000E0883" w:rsidP="000E0883">
      <w:pPr>
        <w:spacing w:line="233" w:lineRule="auto"/>
        <w:jc w:val="both"/>
        <w:rPr>
          <w:rFonts w:eastAsia="Times New Roman" w:cs="Times New Roman"/>
          <w:sz w:val="20"/>
          <w:szCs w:val="20"/>
          <w:lang w:val="fr-CA" w:eastAsia="en-CA"/>
        </w:rPr>
      </w:pPr>
      <w:r w:rsidRPr="000E0883">
        <w:rPr>
          <w:rFonts w:eastAsia="Times New Roman" w:cs="Times New Roman"/>
          <w:sz w:val="20"/>
          <w:szCs w:val="20"/>
          <w:lang w:val="fr-CA" w:eastAsia="en-CA"/>
        </w:rPr>
        <w:t xml:space="preserve">La requête en autorisation d’intervenir présentée par le procureur général de l’Alberta est accueillie.  L’intervenant pourra signifier et déposer un mémoire d’au plus dix pages au plus tard le 20 décembre 2013.  </w:t>
      </w:r>
    </w:p>
    <w:p w:rsidR="000E0883" w:rsidRPr="000E0883" w:rsidRDefault="000E0883" w:rsidP="000E0883">
      <w:pPr>
        <w:spacing w:line="233" w:lineRule="auto"/>
        <w:jc w:val="both"/>
        <w:rPr>
          <w:rFonts w:eastAsia="Times New Roman" w:cs="Times New Roman"/>
          <w:sz w:val="20"/>
          <w:szCs w:val="20"/>
          <w:lang w:val="fr-CA" w:eastAsia="en-CA"/>
        </w:rPr>
      </w:pPr>
    </w:p>
    <w:p w:rsidR="000E0883" w:rsidRPr="000E0883" w:rsidRDefault="000E0883" w:rsidP="000E0883">
      <w:pPr>
        <w:spacing w:line="233" w:lineRule="auto"/>
        <w:jc w:val="both"/>
        <w:rPr>
          <w:rFonts w:eastAsia="Times New Roman" w:cs="Times New Roman"/>
          <w:sz w:val="20"/>
          <w:szCs w:val="20"/>
          <w:lang w:val="fr-CA" w:eastAsia="en-CA"/>
        </w:rPr>
      </w:pPr>
      <w:r w:rsidRPr="000E0883">
        <w:rPr>
          <w:rFonts w:eastAsia="Times New Roman" w:cs="Times New Roman"/>
          <w:sz w:val="20"/>
          <w:szCs w:val="20"/>
          <w:lang w:val="fr-CA" w:eastAsia="en-CA"/>
        </w:rPr>
        <w:t>La décision sur la demande en vue de présenter une plaidoirie orale sera rendue après réception et examen des arguments écrits des parties et de l’intervenant.</w:t>
      </w:r>
    </w:p>
    <w:p w:rsidR="000E0883" w:rsidRPr="000E0883" w:rsidRDefault="000E0883" w:rsidP="000E0883">
      <w:pPr>
        <w:spacing w:line="233" w:lineRule="auto"/>
        <w:jc w:val="both"/>
        <w:rPr>
          <w:rFonts w:eastAsia="Times New Roman" w:cs="Times New Roman"/>
          <w:sz w:val="20"/>
          <w:szCs w:val="20"/>
          <w:lang w:val="fr-CA" w:eastAsia="en-CA"/>
        </w:rPr>
      </w:pPr>
    </w:p>
    <w:p w:rsidR="000E0883" w:rsidRPr="000E0883" w:rsidRDefault="000E0883" w:rsidP="000E0883">
      <w:pPr>
        <w:spacing w:line="233" w:lineRule="auto"/>
        <w:jc w:val="both"/>
        <w:rPr>
          <w:rFonts w:eastAsia="Times New Roman" w:cs="Times New Roman"/>
          <w:sz w:val="20"/>
          <w:szCs w:val="20"/>
          <w:lang w:val="fr-CA" w:eastAsia="en-CA"/>
        </w:rPr>
      </w:pPr>
      <w:r w:rsidRPr="000E0883">
        <w:rPr>
          <w:rFonts w:eastAsia="Times New Roman" w:cs="Times New Roman"/>
          <w:sz w:val="20"/>
          <w:szCs w:val="20"/>
          <w:lang w:val="fr-CA" w:eastAsia="en-CA"/>
        </w:rPr>
        <w:t>L’intervenant n’a pas le droit de soulever de nouvelles questions, de produire d’autres éléments de preuve ni de compléter de quelque autre façon le dossier des parties.</w:t>
      </w:r>
    </w:p>
    <w:p w:rsidR="000E0883" w:rsidRPr="000E0883" w:rsidRDefault="000E0883" w:rsidP="000E0883">
      <w:pPr>
        <w:spacing w:line="233" w:lineRule="auto"/>
        <w:jc w:val="both"/>
        <w:rPr>
          <w:rFonts w:eastAsia="Times New Roman" w:cs="Times New Roman"/>
          <w:sz w:val="20"/>
          <w:szCs w:val="20"/>
          <w:lang w:val="fr-CA" w:eastAsia="en-CA"/>
        </w:rPr>
      </w:pPr>
    </w:p>
    <w:p w:rsidR="000E0883" w:rsidRDefault="000E0883">
      <w:pPr>
        <w:rPr>
          <w:rFonts w:eastAsia="Times New Roman" w:cs="Times New Roman"/>
          <w:sz w:val="20"/>
          <w:szCs w:val="20"/>
          <w:lang w:val="fr-CA" w:eastAsia="en-CA"/>
        </w:rPr>
      </w:pPr>
      <w:r>
        <w:rPr>
          <w:rFonts w:eastAsia="Times New Roman" w:cs="Times New Roman"/>
          <w:sz w:val="20"/>
          <w:szCs w:val="20"/>
          <w:lang w:val="fr-CA" w:eastAsia="en-CA"/>
        </w:rPr>
        <w:br w:type="page"/>
      </w:r>
    </w:p>
    <w:p w:rsidR="000E0883" w:rsidRPr="000E0883" w:rsidRDefault="000E0883" w:rsidP="000E0883">
      <w:pPr>
        <w:spacing w:line="233" w:lineRule="auto"/>
        <w:jc w:val="both"/>
        <w:rPr>
          <w:rFonts w:eastAsia="Times New Roman" w:cs="Times New Roman"/>
          <w:sz w:val="20"/>
          <w:szCs w:val="20"/>
          <w:lang w:val="fr-CA" w:eastAsia="en-CA"/>
        </w:rPr>
      </w:pPr>
      <w:r w:rsidRPr="000E0883">
        <w:rPr>
          <w:rFonts w:eastAsia="Times New Roman" w:cs="Times New Roman"/>
          <w:sz w:val="20"/>
          <w:szCs w:val="20"/>
          <w:lang w:val="fr-CA" w:eastAsia="en-CA"/>
        </w:rPr>
        <w:lastRenderedPageBreak/>
        <w:t>Conformément à l’alinéa 59(1)</w:t>
      </w:r>
      <w:r w:rsidRPr="000E0883">
        <w:rPr>
          <w:rFonts w:eastAsia="Times New Roman" w:cs="Times New Roman"/>
          <w:i/>
          <w:sz w:val="20"/>
          <w:szCs w:val="20"/>
          <w:lang w:val="fr-CA" w:eastAsia="en-CA"/>
        </w:rPr>
        <w:t>a</w:t>
      </w:r>
      <w:r w:rsidRPr="000E0883">
        <w:rPr>
          <w:rFonts w:eastAsia="Times New Roman" w:cs="Times New Roman"/>
          <w:sz w:val="20"/>
          <w:szCs w:val="20"/>
          <w:lang w:val="fr-CA" w:eastAsia="en-CA"/>
        </w:rPr>
        <w:t xml:space="preserve">) des </w:t>
      </w:r>
      <w:r w:rsidRPr="000E0883">
        <w:rPr>
          <w:rFonts w:eastAsia="Times New Roman" w:cs="Times New Roman"/>
          <w:i/>
          <w:sz w:val="20"/>
          <w:szCs w:val="20"/>
          <w:lang w:val="fr-CA" w:eastAsia="en-CA"/>
        </w:rPr>
        <w:t>Règles de la Cour suprême du Canada</w:t>
      </w:r>
      <w:r w:rsidRPr="000E0883">
        <w:rPr>
          <w:rFonts w:eastAsia="Times New Roman" w:cs="Times New Roman"/>
          <w:sz w:val="20"/>
          <w:szCs w:val="20"/>
          <w:lang w:val="fr-CA" w:eastAsia="en-CA"/>
        </w:rPr>
        <w:t xml:space="preserve">, l’intervenant paiera à l’appelant et à l’intimée tous débours supplémentaires résultant de son intervention. </w:t>
      </w:r>
    </w:p>
    <w:p w:rsidR="000E0883" w:rsidRPr="000E0883" w:rsidRDefault="000E0883" w:rsidP="000E0883">
      <w:pPr>
        <w:spacing w:line="233" w:lineRule="auto"/>
        <w:jc w:val="both"/>
        <w:rPr>
          <w:rFonts w:eastAsia="Times New Roman" w:cs="Times New Roman"/>
          <w:sz w:val="20"/>
          <w:szCs w:val="20"/>
          <w:lang w:val="fr-CA" w:eastAsia="en-CA"/>
        </w:rPr>
      </w:pPr>
    </w:p>
    <w:p w:rsidR="000E0883" w:rsidRPr="000E0883" w:rsidRDefault="007368AD" w:rsidP="000E0883">
      <w:pPr>
        <w:tabs>
          <w:tab w:val="left" w:pos="-1440"/>
          <w:tab w:val="left" w:pos="-720"/>
        </w:tabs>
        <w:jc w:val="both"/>
        <w:rPr>
          <w:rFonts w:eastAsia="Times New Roman" w:cs="Times New Roman"/>
          <w:sz w:val="20"/>
          <w:szCs w:val="20"/>
          <w:lang w:val="fr-CA" w:eastAsia="en-CA"/>
        </w:rPr>
      </w:pPr>
      <w:r>
        <w:rPr>
          <w:rFonts w:eastAsia="Times New Roman" w:cs="Times New Roman"/>
          <w:sz w:val="20"/>
          <w:szCs w:val="20"/>
          <w:lang w:val="fr-CA" w:eastAsia="en-CA"/>
        </w:rPr>
        <w:pict>
          <v:rect id="_x0000_i1048" style="width:2in;height:1pt" o:hrpct="0" o:hralign="center" o:hrstd="t" o:hrnoshade="t" o:hr="t" fillcolor="black [3213]" stroked="f"/>
        </w:pict>
      </w:r>
    </w:p>
    <w:p w:rsidR="000E0883" w:rsidRPr="000E0883" w:rsidRDefault="000E0883" w:rsidP="000E0883">
      <w:pPr>
        <w:tabs>
          <w:tab w:val="left" w:pos="-1440"/>
          <w:tab w:val="left" w:pos="-720"/>
        </w:tabs>
        <w:jc w:val="both"/>
        <w:rPr>
          <w:rFonts w:eastAsia="Times New Roman" w:cs="Times New Roman"/>
          <w:sz w:val="20"/>
          <w:szCs w:val="20"/>
          <w:lang w:val="fr-CA" w:eastAsia="en-CA"/>
        </w:rPr>
      </w:pPr>
    </w:p>
    <w:p w:rsidR="000E0883" w:rsidRPr="000E0883" w:rsidRDefault="000E0883" w:rsidP="000E0883">
      <w:pPr>
        <w:tabs>
          <w:tab w:val="left" w:pos="-1440"/>
          <w:tab w:val="left" w:pos="-720"/>
        </w:tabs>
        <w:jc w:val="both"/>
        <w:rPr>
          <w:rFonts w:eastAsia="Times New Roman" w:cs="Times New Roman"/>
          <w:sz w:val="20"/>
          <w:szCs w:val="20"/>
          <w:lang w:val="fr-CA" w:eastAsia="en-CA"/>
        </w:rPr>
      </w:pPr>
      <w:r w:rsidRPr="000E0883">
        <w:rPr>
          <w:rFonts w:eastAsia="Times New Roman" w:cs="Times New Roman"/>
          <w:sz w:val="20"/>
          <w:szCs w:val="20"/>
          <w:lang w:val="fr-CA" w:eastAsia="en-CA"/>
        </w:rPr>
        <w:t>28.10.2013</w:t>
      </w:r>
    </w:p>
    <w:p w:rsidR="000E0883" w:rsidRPr="000E0883" w:rsidRDefault="000E0883" w:rsidP="000E0883">
      <w:pPr>
        <w:tabs>
          <w:tab w:val="left" w:pos="-1440"/>
          <w:tab w:val="left" w:pos="-720"/>
        </w:tabs>
        <w:jc w:val="both"/>
        <w:rPr>
          <w:rFonts w:eastAsia="Times New Roman" w:cs="Times New Roman"/>
          <w:sz w:val="20"/>
          <w:szCs w:val="20"/>
          <w:lang w:val="fr-CA" w:eastAsia="en-CA"/>
        </w:rPr>
      </w:pPr>
    </w:p>
    <w:p w:rsidR="000E0883" w:rsidRPr="000E0883" w:rsidRDefault="000E0883" w:rsidP="000E0883">
      <w:pPr>
        <w:tabs>
          <w:tab w:val="left" w:pos="-1440"/>
          <w:tab w:val="left" w:pos="-720"/>
        </w:tabs>
        <w:jc w:val="both"/>
        <w:rPr>
          <w:rFonts w:eastAsia="Times New Roman" w:cs="Times New Roman"/>
          <w:sz w:val="20"/>
          <w:szCs w:val="20"/>
          <w:lang w:val="fr-CA" w:eastAsia="en-CA"/>
        </w:rPr>
      </w:pPr>
      <w:r w:rsidRPr="000E0883">
        <w:rPr>
          <w:rFonts w:eastAsia="Times New Roman" w:cs="Times New Roman"/>
          <w:sz w:val="20"/>
          <w:szCs w:val="20"/>
          <w:lang w:val="fr-CA" w:eastAsia="en-CA"/>
        </w:rPr>
        <w:t>Before / Devant :   WAGNER J. / LE JUGE WAGNER</w:t>
      </w:r>
    </w:p>
    <w:p w:rsidR="000E0883" w:rsidRPr="000E0883" w:rsidRDefault="000E0883" w:rsidP="000E0883">
      <w:pPr>
        <w:tabs>
          <w:tab w:val="left" w:pos="-1440"/>
          <w:tab w:val="left" w:pos="-720"/>
        </w:tabs>
        <w:jc w:val="both"/>
        <w:rPr>
          <w:rFonts w:eastAsia="Times New Roman" w:cs="Times New Roman"/>
          <w:sz w:val="20"/>
          <w:szCs w:val="20"/>
          <w:lang w:val="fr-CA" w:eastAsia="en-CA"/>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8"/>
        <w:gridCol w:w="1170"/>
        <w:gridCol w:w="4327"/>
      </w:tblGrid>
      <w:tr w:rsidR="000E0883" w:rsidRPr="007368AD" w:rsidTr="00E4451A">
        <w:tc>
          <w:tcPr>
            <w:tcW w:w="4338" w:type="dxa"/>
          </w:tcPr>
          <w:p w:rsidR="000E0883" w:rsidRPr="000E0883" w:rsidRDefault="00047631" w:rsidP="000E0883">
            <w:pPr>
              <w:tabs>
                <w:tab w:val="left" w:pos="-1440"/>
                <w:tab w:val="left" w:pos="-720"/>
              </w:tabs>
              <w:jc w:val="both"/>
              <w:rPr>
                <w:b/>
              </w:rPr>
            </w:pPr>
            <w:r w:rsidRPr="000E0883">
              <w:rPr>
                <w:szCs w:val="24"/>
                <w:lang w:val="en-US"/>
              </w:rPr>
              <w:fldChar w:fldCharType="begin"/>
            </w:r>
            <w:r w:rsidR="000E0883" w:rsidRPr="000E0883">
              <w:rPr>
                <w:szCs w:val="24"/>
                <w:lang w:val="en-US"/>
              </w:rPr>
              <w:instrText xml:space="preserve"> SEQ CHAPTER \h \r 1</w:instrText>
            </w:r>
            <w:r w:rsidRPr="000E0883">
              <w:rPr>
                <w:szCs w:val="24"/>
                <w:lang w:val="en-US"/>
              </w:rPr>
              <w:fldChar w:fldCharType="end"/>
            </w:r>
            <w:r w:rsidRPr="000E0883">
              <w:rPr>
                <w:szCs w:val="24"/>
                <w:lang w:val="en-US"/>
              </w:rPr>
              <w:fldChar w:fldCharType="begin"/>
            </w:r>
            <w:r w:rsidR="000E0883" w:rsidRPr="000E0883">
              <w:rPr>
                <w:szCs w:val="24"/>
                <w:lang w:val="en-US"/>
              </w:rPr>
              <w:instrText xml:space="preserve"> SEQ CHAPTER \h \r 1</w:instrText>
            </w:r>
            <w:r w:rsidRPr="000E0883">
              <w:rPr>
                <w:szCs w:val="24"/>
                <w:lang w:val="en-US"/>
              </w:rPr>
              <w:fldChar w:fldCharType="end"/>
            </w:r>
            <w:r w:rsidR="000E0883" w:rsidRPr="000E0883">
              <w:rPr>
                <w:b/>
                <w:bCs/>
                <w:lang w:val="en-US"/>
              </w:rPr>
              <w:t>Motion to add or substitute parties</w:t>
            </w:r>
          </w:p>
        </w:tc>
        <w:tc>
          <w:tcPr>
            <w:tcW w:w="1170" w:type="dxa"/>
          </w:tcPr>
          <w:p w:rsidR="000E0883" w:rsidRPr="000E0883" w:rsidRDefault="000E0883" w:rsidP="000E0883">
            <w:pPr>
              <w:tabs>
                <w:tab w:val="left" w:pos="-1440"/>
                <w:tab w:val="left" w:pos="-720"/>
              </w:tabs>
              <w:jc w:val="both"/>
            </w:pPr>
          </w:p>
          <w:p w:rsidR="000E0883" w:rsidRPr="000E0883" w:rsidRDefault="000E0883" w:rsidP="000E0883">
            <w:pPr>
              <w:tabs>
                <w:tab w:val="left" w:pos="-1440"/>
                <w:tab w:val="left" w:pos="-720"/>
              </w:tabs>
              <w:jc w:val="both"/>
            </w:pPr>
          </w:p>
        </w:tc>
        <w:tc>
          <w:tcPr>
            <w:tcW w:w="4327" w:type="dxa"/>
          </w:tcPr>
          <w:p w:rsidR="000E0883" w:rsidRPr="000E0883" w:rsidRDefault="000E0883" w:rsidP="000E0883">
            <w:pPr>
              <w:keepNext/>
              <w:keepLines/>
              <w:rPr>
                <w:lang w:val="fr-CA"/>
              </w:rPr>
            </w:pPr>
            <w:r w:rsidRPr="000E0883">
              <w:rPr>
                <w:b/>
                <w:bCs/>
                <w:lang w:val="fr-CA"/>
              </w:rPr>
              <w:t xml:space="preserve">Requête en ajout ou substitution de parties </w:t>
            </w:r>
            <w:r w:rsidR="00047631" w:rsidRPr="000E0883">
              <w:rPr>
                <w:szCs w:val="24"/>
                <w:lang w:val="en-US"/>
              </w:rPr>
              <w:fldChar w:fldCharType="begin"/>
            </w:r>
            <w:r w:rsidRPr="000E0883">
              <w:rPr>
                <w:szCs w:val="24"/>
                <w:lang w:val="fr-CA"/>
              </w:rPr>
              <w:instrText xml:space="preserve"> SEQ CHAPTER \h \r 1</w:instrText>
            </w:r>
            <w:r w:rsidR="00047631" w:rsidRPr="000E0883">
              <w:rPr>
                <w:szCs w:val="24"/>
                <w:lang w:val="en-US"/>
              </w:rPr>
              <w:fldChar w:fldCharType="end"/>
            </w:r>
          </w:p>
        </w:tc>
      </w:tr>
      <w:tr w:rsidR="000E0883" w:rsidRPr="000E0883" w:rsidTr="00E4451A">
        <w:tc>
          <w:tcPr>
            <w:tcW w:w="4338" w:type="dxa"/>
          </w:tcPr>
          <w:p w:rsidR="000E0883" w:rsidRPr="000E0883" w:rsidRDefault="000E0883" w:rsidP="000E0883">
            <w:pPr>
              <w:tabs>
                <w:tab w:val="left" w:pos="-1440"/>
                <w:tab w:val="left" w:pos="-720"/>
              </w:tabs>
              <w:jc w:val="both"/>
            </w:pPr>
            <w:r w:rsidRPr="000E0883">
              <w:t>Trial Lawyers Association of British Columbia</w:t>
            </w:r>
          </w:p>
          <w:p w:rsidR="000E0883" w:rsidRPr="000E0883" w:rsidRDefault="000E0883" w:rsidP="000E0883">
            <w:pPr>
              <w:tabs>
                <w:tab w:val="left" w:pos="-1440"/>
                <w:tab w:val="left" w:pos="-720"/>
              </w:tabs>
              <w:jc w:val="both"/>
            </w:pPr>
          </w:p>
          <w:p w:rsidR="000E0883" w:rsidRPr="000E0883" w:rsidRDefault="000E0883" w:rsidP="000E0883">
            <w:pPr>
              <w:tabs>
                <w:tab w:val="left" w:pos="-1440"/>
                <w:tab w:val="left" w:pos="-720"/>
              </w:tabs>
              <w:jc w:val="both"/>
            </w:pPr>
            <w:r w:rsidRPr="000E0883">
              <w:tab/>
              <w:t>v. (35315)</w:t>
            </w:r>
          </w:p>
          <w:p w:rsidR="000E0883" w:rsidRPr="000E0883" w:rsidRDefault="000E0883" w:rsidP="000E0883">
            <w:pPr>
              <w:tabs>
                <w:tab w:val="left" w:pos="-1440"/>
                <w:tab w:val="left" w:pos="-720"/>
              </w:tabs>
              <w:jc w:val="both"/>
            </w:pPr>
          </w:p>
          <w:p w:rsidR="000E0883" w:rsidRPr="000E0883" w:rsidRDefault="000E0883" w:rsidP="000E0883">
            <w:pPr>
              <w:tabs>
                <w:tab w:val="left" w:pos="-1440"/>
                <w:tab w:val="left" w:pos="-720"/>
              </w:tabs>
              <w:jc w:val="both"/>
            </w:pPr>
            <w:r w:rsidRPr="000E0883">
              <w:t>Attorney General of British Columbia (B.C.)</w:t>
            </w:r>
          </w:p>
        </w:tc>
        <w:tc>
          <w:tcPr>
            <w:tcW w:w="1170" w:type="dxa"/>
          </w:tcPr>
          <w:p w:rsidR="000E0883" w:rsidRPr="000E0883" w:rsidRDefault="000E0883" w:rsidP="000E0883">
            <w:pPr>
              <w:tabs>
                <w:tab w:val="left" w:pos="-1440"/>
                <w:tab w:val="left" w:pos="-720"/>
              </w:tabs>
              <w:jc w:val="both"/>
            </w:pPr>
          </w:p>
        </w:tc>
        <w:tc>
          <w:tcPr>
            <w:tcW w:w="4327" w:type="dxa"/>
          </w:tcPr>
          <w:p w:rsidR="000E0883" w:rsidRPr="000E0883" w:rsidRDefault="000E0883" w:rsidP="000E0883">
            <w:pPr>
              <w:tabs>
                <w:tab w:val="left" w:pos="-1440"/>
                <w:tab w:val="left" w:pos="-720"/>
              </w:tabs>
              <w:jc w:val="both"/>
            </w:pPr>
          </w:p>
        </w:tc>
      </w:tr>
    </w:tbl>
    <w:p w:rsidR="000E0883" w:rsidRPr="000E0883" w:rsidRDefault="000E0883" w:rsidP="000E0883">
      <w:pPr>
        <w:tabs>
          <w:tab w:val="left" w:pos="-1440"/>
          <w:tab w:val="left" w:pos="-720"/>
        </w:tabs>
        <w:jc w:val="both"/>
        <w:rPr>
          <w:rFonts w:eastAsia="Times New Roman" w:cs="Times New Roman"/>
          <w:sz w:val="20"/>
          <w:szCs w:val="20"/>
          <w:lang w:eastAsia="en-CA"/>
        </w:rPr>
      </w:pPr>
    </w:p>
    <w:p w:rsidR="000E0883" w:rsidRPr="000E0883" w:rsidRDefault="000E0883" w:rsidP="000E0883">
      <w:pPr>
        <w:tabs>
          <w:tab w:val="left" w:pos="-1440"/>
          <w:tab w:val="left" w:pos="-720"/>
        </w:tabs>
        <w:jc w:val="both"/>
        <w:rPr>
          <w:rFonts w:eastAsia="Times New Roman" w:cs="Times New Roman"/>
          <w:b/>
          <w:sz w:val="20"/>
          <w:szCs w:val="20"/>
          <w:lang w:eastAsia="en-CA"/>
        </w:rPr>
      </w:pPr>
      <w:r w:rsidRPr="000E0883">
        <w:rPr>
          <w:rFonts w:eastAsia="Times New Roman" w:cs="Times New Roman"/>
          <w:b/>
          <w:sz w:val="20"/>
          <w:szCs w:val="20"/>
          <w:lang w:eastAsia="en-CA"/>
        </w:rPr>
        <w:t>GRANTED / ACCORDÉE</w:t>
      </w:r>
    </w:p>
    <w:p w:rsidR="000E0883" w:rsidRPr="000E0883" w:rsidRDefault="000E0883" w:rsidP="000E0883">
      <w:pPr>
        <w:tabs>
          <w:tab w:val="left" w:pos="-1440"/>
          <w:tab w:val="left" w:pos="-720"/>
        </w:tabs>
        <w:jc w:val="both"/>
        <w:rPr>
          <w:rFonts w:eastAsia="Times New Roman" w:cs="Times New Roman"/>
          <w:sz w:val="20"/>
          <w:szCs w:val="20"/>
          <w:lang w:eastAsia="en-CA"/>
        </w:rPr>
      </w:pPr>
    </w:p>
    <w:p w:rsidR="000E0883" w:rsidRPr="000E0883" w:rsidRDefault="000E0883" w:rsidP="000E0883">
      <w:pPr>
        <w:spacing w:line="233" w:lineRule="auto"/>
        <w:jc w:val="both"/>
        <w:rPr>
          <w:rFonts w:eastAsia="Times New Roman" w:cs="Times New Roman"/>
          <w:sz w:val="20"/>
          <w:szCs w:val="20"/>
          <w:lang w:eastAsia="en-CA"/>
        </w:rPr>
      </w:pPr>
      <w:r w:rsidRPr="000E0883">
        <w:rPr>
          <w:rFonts w:eastAsia="Times New Roman" w:cs="Times New Roman"/>
          <w:b/>
          <w:bCs/>
          <w:sz w:val="20"/>
          <w:szCs w:val="20"/>
          <w:lang w:val="en-US" w:eastAsia="en-CA"/>
        </w:rPr>
        <w:t xml:space="preserve">UPON APPLICATION </w:t>
      </w:r>
      <w:r w:rsidRPr="000E0883">
        <w:rPr>
          <w:rFonts w:eastAsia="Times New Roman" w:cs="Times New Roman"/>
          <w:sz w:val="20"/>
          <w:szCs w:val="20"/>
          <w:lang w:val="en-US" w:eastAsia="en-CA"/>
        </w:rPr>
        <w:t xml:space="preserve">by </w:t>
      </w:r>
      <w:r w:rsidRPr="000E0883">
        <w:rPr>
          <w:rFonts w:eastAsia="Times New Roman" w:cs="Times New Roman"/>
          <w:sz w:val="20"/>
          <w:szCs w:val="20"/>
          <w:lang w:eastAsia="en-CA"/>
        </w:rPr>
        <w:t xml:space="preserve">the Canadian Bar Association – British Columbia Branch for an order to be added as an Appellant Party to </w:t>
      </w:r>
      <w:r w:rsidRPr="000E0883">
        <w:rPr>
          <w:rFonts w:eastAsia="Times New Roman" w:cs="Times New Roman"/>
          <w:sz w:val="20"/>
          <w:szCs w:val="20"/>
          <w:lang w:val="en-US" w:eastAsia="en-CA"/>
        </w:rPr>
        <w:t>the above appeal;</w:t>
      </w:r>
    </w:p>
    <w:p w:rsidR="000E0883" w:rsidRPr="000E0883" w:rsidRDefault="000E0883" w:rsidP="000E0883">
      <w:pPr>
        <w:spacing w:line="233" w:lineRule="auto"/>
        <w:jc w:val="both"/>
        <w:rPr>
          <w:rFonts w:eastAsia="Times New Roman" w:cs="Times New Roman"/>
          <w:sz w:val="20"/>
          <w:szCs w:val="20"/>
          <w:lang w:eastAsia="en-CA"/>
        </w:rPr>
      </w:pPr>
    </w:p>
    <w:p w:rsidR="000E0883" w:rsidRPr="000E0883" w:rsidRDefault="000E0883" w:rsidP="000E0883">
      <w:pPr>
        <w:spacing w:line="233" w:lineRule="auto"/>
        <w:jc w:val="both"/>
        <w:rPr>
          <w:rFonts w:eastAsia="Times New Roman" w:cs="Times New Roman"/>
          <w:sz w:val="20"/>
          <w:szCs w:val="20"/>
          <w:lang w:val="en-US" w:eastAsia="en-CA"/>
        </w:rPr>
      </w:pPr>
      <w:r w:rsidRPr="000E0883">
        <w:rPr>
          <w:rFonts w:eastAsia="Times New Roman" w:cs="Times New Roman"/>
          <w:b/>
          <w:bCs/>
          <w:sz w:val="20"/>
          <w:szCs w:val="20"/>
          <w:lang w:val="en-US" w:eastAsia="en-CA"/>
        </w:rPr>
        <w:t>AND THE MATERIAL FILED</w:t>
      </w:r>
      <w:r w:rsidRPr="000E0883">
        <w:rPr>
          <w:rFonts w:eastAsia="Times New Roman" w:cs="Times New Roman"/>
          <w:sz w:val="20"/>
          <w:szCs w:val="20"/>
          <w:lang w:val="en-US" w:eastAsia="en-CA"/>
        </w:rPr>
        <w:t xml:space="preserve"> having been read;</w:t>
      </w:r>
    </w:p>
    <w:p w:rsidR="000E0883" w:rsidRPr="000E0883" w:rsidRDefault="000E0883" w:rsidP="000E0883">
      <w:pPr>
        <w:spacing w:line="233" w:lineRule="auto"/>
        <w:jc w:val="both"/>
        <w:rPr>
          <w:rFonts w:eastAsia="Times New Roman" w:cs="Times New Roman"/>
          <w:sz w:val="20"/>
          <w:szCs w:val="20"/>
          <w:lang w:val="en-US" w:eastAsia="en-CA"/>
        </w:rPr>
      </w:pPr>
    </w:p>
    <w:p w:rsidR="000E0883" w:rsidRPr="000E0883" w:rsidRDefault="000E0883" w:rsidP="000E0883">
      <w:pPr>
        <w:spacing w:line="233" w:lineRule="auto"/>
        <w:jc w:val="both"/>
        <w:rPr>
          <w:rFonts w:eastAsia="Times New Roman" w:cs="Times New Roman"/>
          <w:sz w:val="20"/>
          <w:szCs w:val="20"/>
          <w:lang w:val="en-US" w:eastAsia="en-CA"/>
        </w:rPr>
      </w:pPr>
      <w:r w:rsidRPr="000E0883">
        <w:rPr>
          <w:rFonts w:eastAsia="Times New Roman" w:cs="Times New Roman"/>
          <w:b/>
          <w:bCs/>
          <w:sz w:val="20"/>
          <w:szCs w:val="20"/>
          <w:lang w:val="en-US" w:eastAsia="en-CA"/>
        </w:rPr>
        <w:t>IT IS HEREBY ORDERED THAT:</w:t>
      </w:r>
    </w:p>
    <w:p w:rsidR="000E0883" w:rsidRPr="000E0883" w:rsidRDefault="000E0883" w:rsidP="000E0883">
      <w:pPr>
        <w:spacing w:line="233" w:lineRule="auto"/>
        <w:jc w:val="both"/>
        <w:rPr>
          <w:rFonts w:eastAsia="Times New Roman" w:cs="Times New Roman"/>
          <w:sz w:val="20"/>
          <w:szCs w:val="20"/>
          <w:lang w:val="en-US" w:eastAsia="en-CA"/>
        </w:rPr>
      </w:pPr>
    </w:p>
    <w:p w:rsidR="000E0883" w:rsidRPr="000E0883" w:rsidRDefault="000E0883" w:rsidP="000E0883">
      <w:pPr>
        <w:spacing w:line="233" w:lineRule="auto"/>
        <w:jc w:val="both"/>
        <w:rPr>
          <w:rFonts w:eastAsia="Times New Roman" w:cs="Times New Roman"/>
          <w:sz w:val="20"/>
          <w:szCs w:val="20"/>
          <w:lang w:val="fr-CA" w:eastAsia="en-CA"/>
        </w:rPr>
      </w:pPr>
      <w:r w:rsidRPr="000E0883">
        <w:rPr>
          <w:rFonts w:eastAsia="Times New Roman" w:cs="Times New Roman"/>
          <w:sz w:val="20"/>
          <w:szCs w:val="20"/>
          <w:lang w:val="fr-CA" w:eastAsia="en-CA"/>
        </w:rPr>
        <w:t>The motion is granted.</w:t>
      </w:r>
    </w:p>
    <w:p w:rsidR="000E0883" w:rsidRPr="000E0883" w:rsidRDefault="000E0883" w:rsidP="000E0883">
      <w:pPr>
        <w:spacing w:line="233" w:lineRule="auto"/>
        <w:jc w:val="both"/>
        <w:rPr>
          <w:rFonts w:eastAsia="Times New Roman" w:cs="Times New Roman"/>
          <w:sz w:val="20"/>
          <w:szCs w:val="20"/>
          <w:lang w:val="fr-CA" w:eastAsia="en-CA"/>
        </w:rPr>
      </w:pPr>
    </w:p>
    <w:p w:rsidR="000E0883" w:rsidRPr="000E0883" w:rsidRDefault="000E0883" w:rsidP="000E0883">
      <w:pPr>
        <w:spacing w:line="233" w:lineRule="auto"/>
        <w:jc w:val="both"/>
        <w:rPr>
          <w:rFonts w:eastAsia="Times New Roman" w:cs="Times New Roman"/>
          <w:sz w:val="20"/>
          <w:szCs w:val="20"/>
          <w:lang w:val="fr-CA" w:eastAsia="en-CA"/>
        </w:rPr>
      </w:pPr>
    </w:p>
    <w:p w:rsidR="000E0883" w:rsidRPr="000E0883" w:rsidRDefault="000E0883" w:rsidP="000E0883">
      <w:pPr>
        <w:spacing w:line="233" w:lineRule="auto"/>
        <w:jc w:val="both"/>
        <w:rPr>
          <w:rFonts w:eastAsia="Times New Roman" w:cs="Times New Roman"/>
          <w:sz w:val="20"/>
          <w:szCs w:val="20"/>
          <w:lang w:val="fr-CA" w:eastAsia="en-CA"/>
        </w:rPr>
      </w:pPr>
    </w:p>
    <w:p w:rsidR="000E0883" w:rsidRPr="000E0883" w:rsidRDefault="000E0883" w:rsidP="000E0883">
      <w:pPr>
        <w:spacing w:line="233" w:lineRule="auto"/>
        <w:jc w:val="both"/>
        <w:rPr>
          <w:rFonts w:eastAsia="Times New Roman" w:cs="Times New Roman"/>
          <w:sz w:val="20"/>
          <w:szCs w:val="20"/>
          <w:lang w:val="fr-CA" w:eastAsia="en-CA"/>
        </w:rPr>
      </w:pPr>
      <w:r w:rsidRPr="000E0883">
        <w:rPr>
          <w:rFonts w:eastAsia="Times New Roman" w:cs="Times New Roman"/>
          <w:b/>
          <w:bCs/>
          <w:sz w:val="20"/>
          <w:szCs w:val="20"/>
          <w:lang w:val="fr-CA" w:eastAsia="en-CA"/>
        </w:rPr>
        <w:t xml:space="preserve">À LA SUITE DE LA REQUÊTE </w:t>
      </w:r>
      <w:r w:rsidRPr="000E0883">
        <w:rPr>
          <w:rFonts w:eastAsia="Times New Roman" w:cs="Times New Roman"/>
          <w:bCs/>
          <w:sz w:val="20"/>
          <w:szCs w:val="20"/>
          <w:lang w:val="fr-CA" w:eastAsia="en-CA"/>
        </w:rPr>
        <w:t>présentée par l’Association du Barreau canadien – Division de la Colombie-Britannique en vue d’être</w:t>
      </w:r>
      <w:r w:rsidRPr="000E0883">
        <w:rPr>
          <w:rFonts w:eastAsia="Times New Roman" w:cs="Times New Roman"/>
          <w:b/>
          <w:bCs/>
          <w:sz w:val="20"/>
          <w:szCs w:val="20"/>
          <w:lang w:val="fr-CA" w:eastAsia="en-CA"/>
        </w:rPr>
        <w:t xml:space="preserve"> </w:t>
      </w:r>
      <w:r w:rsidRPr="000E0883">
        <w:rPr>
          <w:rFonts w:eastAsia="Times New Roman" w:cs="Times New Roman"/>
          <w:bCs/>
          <w:sz w:val="20"/>
          <w:szCs w:val="20"/>
          <w:lang w:val="fr-CA" w:eastAsia="en-CA"/>
        </w:rPr>
        <w:t>jointe en qualité d’appelante à l’appel;</w:t>
      </w:r>
    </w:p>
    <w:p w:rsidR="000E0883" w:rsidRPr="000E0883" w:rsidRDefault="000E0883" w:rsidP="000E0883">
      <w:pPr>
        <w:spacing w:line="233" w:lineRule="auto"/>
        <w:jc w:val="both"/>
        <w:rPr>
          <w:rFonts w:eastAsia="Times New Roman" w:cs="Times New Roman"/>
          <w:sz w:val="20"/>
          <w:szCs w:val="20"/>
          <w:lang w:val="fr-CA" w:eastAsia="en-CA"/>
        </w:rPr>
      </w:pPr>
    </w:p>
    <w:p w:rsidR="000E0883" w:rsidRPr="000E0883" w:rsidRDefault="000E0883" w:rsidP="000E0883">
      <w:pPr>
        <w:spacing w:line="233" w:lineRule="auto"/>
        <w:jc w:val="both"/>
        <w:rPr>
          <w:rFonts w:eastAsia="Times New Roman" w:cs="Times New Roman"/>
          <w:sz w:val="20"/>
          <w:szCs w:val="20"/>
          <w:lang w:val="fr-CA" w:eastAsia="en-CA"/>
        </w:rPr>
      </w:pPr>
      <w:r w:rsidRPr="000E0883">
        <w:rPr>
          <w:rFonts w:eastAsia="Times New Roman" w:cs="Times New Roman"/>
          <w:b/>
          <w:bCs/>
          <w:sz w:val="20"/>
          <w:szCs w:val="20"/>
          <w:lang w:val="fr-CA" w:eastAsia="en-CA"/>
        </w:rPr>
        <w:t xml:space="preserve">ET APRÈS EXAMEN </w:t>
      </w:r>
      <w:r w:rsidRPr="000E0883">
        <w:rPr>
          <w:rFonts w:eastAsia="Times New Roman" w:cs="Times New Roman"/>
          <w:sz w:val="20"/>
          <w:szCs w:val="20"/>
          <w:lang w:val="fr-CA" w:eastAsia="en-CA"/>
        </w:rPr>
        <w:t>des documents déposés;</w:t>
      </w:r>
    </w:p>
    <w:p w:rsidR="000E0883" w:rsidRPr="000E0883" w:rsidRDefault="000E0883" w:rsidP="000E0883">
      <w:pPr>
        <w:spacing w:line="233" w:lineRule="auto"/>
        <w:jc w:val="both"/>
        <w:rPr>
          <w:rFonts w:eastAsia="Times New Roman" w:cs="Times New Roman"/>
          <w:sz w:val="20"/>
          <w:szCs w:val="20"/>
          <w:lang w:val="fr-CA" w:eastAsia="en-CA"/>
        </w:rPr>
      </w:pPr>
    </w:p>
    <w:p w:rsidR="000E0883" w:rsidRPr="000E0883" w:rsidRDefault="000E0883" w:rsidP="000E0883">
      <w:pPr>
        <w:spacing w:line="233" w:lineRule="auto"/>
        <w:jc w:val="both"/>
        <w:rPr>
          <w:rFonts w:eastAsia="Times New Roman" w:cs="Times New Roman"/>
          <w:sz w:val="20"/>
          <w:szCs w:val="20"/>
          <w:lang w:val="fr-CA" w:eastAsia="en-CA"/>
        </w:rPr>
      </w:pPr>
      <w:r w:rsidRPr="000E0883">
        <w:rPr>
          <w:rFonts w:eastAsia="Times New Roman" w:cs="Times New Roman"/>
          <w:b/>
          <w:bCs/>
          <w:sz w:val="20"/>
          <w:szCs w:val="20"/>
          <w:lang w:val="fr-CA" w:eastAsia="en-CA"/>
        </w:rPr>
        <w:t>IL EST ORDONNÉ CE QUI SUIT :</w:t>
      </w:r>
    </w:p>
    <w:p w:rsidR="000E0883" w:rsidRPr="000E0883" w:rsidRDefault="000E0883" w:rsidP="000E0883">
      <w:pPr>
        <w:spacing w:line="233" w:lineRule="auto"/>
        <w:jc w:val="both"/>
        <w:rPr>
          <w:rFonts w:eastAsia="Times New Roman" w:cs="Times New Roman"/>
          <w:sz w:val="20"/>
          <w:szCs w:val="20"/>
          <w:lang w:val="fr-CA" w:eastAsia="en-CA"/>
        </w:rPr>
      </w:pPr>
    </w:p>
    <w:p w:rsidR="000E0883" w:rsidRPr="000E0883" w:rsidRDefault="000E0883" w:rsidP="000E0883">
      <w:pPr>
        <w:spacing w:line="233" w:lineRule="auto"/>
        <w:jc w:val="both"/>
        <w:rPr>
          <w:rFonts w:eastAsia="Times New Roman" w:cs="Times New Roman"/>
          <w:sz w:val="20"/>
          <w:szCs w:val="20"/>
          <w:lang w:val="fr-CA" w:eastAsia="en-CA"/>
        </w:rPr>
      </w:pPr>
      <w:r w:rsidRPr="000E0883">
        <w:rPr>
          <w:rFonts w:eastAsia="Times New Roman" w:cs="Times New Roman"/>
          <w:sz w:val="20"/>
          <w:szCs w:val="20"/>
          <w:lang w:val="fr-CA" w:eastAsia="en-CA"/>
        </w:rPr>
        <w:t>La requête est accueillie.</w:t>
      </w:r>
    </w:p>
    <w:p w:rsidR="000E0883" w:rsidRPr="000E0883" w:rsidRDefault="000E0883" w:rsidP="000E0883">
      <w:pPr>
        <w:tabs>
          <w:tab w:val="left" w:pos="-1440"/>
          <w:tab w:val="left" w:pos="-720"/>
        </w:tabs>
        <w:jc w:val="both"/>
        <w:rPr>
          <w:rFonts w:eastAsia="Times New Roman" w:cs="Times New Roman"/>
          <w:sz w:val="20"/>
          <w:szCs w:val="20"/>
          <w:lang w:val="fr-CA" w:eastAsia="en-CA"/>
        </w:rPr>
      </w:pPr>
    </w:p>
    <w:p w:rsidR="000E0883" w:rsidRPr="000E0883" w:rsidRDefault="007368AD" w:rsidP="000E0883">
      <w:pPr>
        <w:tabs>
          <w:tab w:val="left" w:pos="-1440"/>
          <w:tab w:val="left" w:pos="-720"/>
        </w:tabs>
        <w:jc w:val="both"/>
        <w:rPr>
          <w:rFonts w:eastAsia="Times New Roman" w:cs="Times New Roman"/>
          <w:sz w:val="20"/>
          <w:szCs w:val="20"/>
          <w:lang w:eastAsia="en-CA"/>
        </w:rPr>
      </w:pPr>
      <w:r>
        <w:rPr>
          <w:rFonts w:eastAsia="Times New Roman" w:cs="Times New Roman"/>
          <w:sz w:val="20"/>
          <w:szCs w:val="20"/>
          <w:lang w:val="fr-CA" w:eastAsia="en-CA"/>
        </w:rPr>
        <w:pict>
          <v:rect id="_x0000_i1049" style="width:2in;height:1pt" o:hrpct="0" o:hralign="center" o:hrstd="t" o:hrnoshade="t" o:hr="t" fillcolor="black [3213]" stroked="f"/>
        </w:pict>
      </w:r>
    </w:p>
    <w:p w:rsidR="000E0883" w:rsidRPr="000E0883" w:rsidRDefault="000E0883" w:rsidP="000E0883">
      <w:pPr>
        <w:tabs>
          <w:tab w:val="left" w:pos="-1440"/>
          <w:tab w:val="left" w:pos="-720"/>
        </w:tabs>
        <w:jc w:val="both"/>
        <w:rPr>
          <w:rFonts w:eastAsia="Times New Roman" w:cs="Times New Roman"/>
          <w:sz w:val="20"/>
          <w:szCs w:val="20"/>
          <w:lang w:eastAsia="en-CA"/>
        </w:rPr>
      </w:pPr>
    </w:p>
    <w:p w:rsidR="000E0883" w:rsidRPr="000E0883" w:rsidRDefault="000E0883" w:rsidP="000E0883">
      <w:pPr>
        <w:tabs>
          <w:tab w:val="left" w:pos="-1440"/>
          <w:tab w:val="left" w:pos="-720"/>
        </w:tabs>
        <w:jc w:val="both"/>
        <w:rPr>
          <w:rFonts w:eastAsia="Times New Roman" w:cs="Times New Roman"/>
          <w:sz w:val="20"/>
          <w:szCs w:val="20"/>
          <w:lang w:val="fr-CA" w:eastAsia="en-CA"/>
        </w:rPr>
      </w:pPr>
      <w:r w:rsidRPr="000E0883">
        <w:rPr>
          <w:rFonts w:eastAsia="Times New Roman" w:cs="Times New Roman"/>
          <w:sz w:val="20"/>
          <w:szCs w:val="20"/>
          <w:lang w:val="fr-CA" w:eastAsia="en-CA"/>
        </w:rPr>
        <w:t>29.10.2013</w:t>
      </w:r>
    </w:p>
    <w:p w:rsidR="000E0883" w:rsidRPr="000E0883" w:rsidRDefault="000E0883" w:rsidP="000E0883">
      <w:pPr>
        <w:tabs>
          <w:tab w:val="left" w:pos="-1440"/>
          <w:tab w:val="left" w:pos="-720"/>
        </w:tabs>
        <w:jc w:val="both"/>
        <w:rPr>
          <w:rFonts w:eastAsia="Times New Roman" w:cs="Times New Roman"/>
          <w:sz w:val="20"/>
          <w:szCs w:val="20"/>
          <w:lang w:val="fr-CA" w:eastAsia="en-CA"/>
        </w:rPr>
      </w:pPr>
    </w:p>
    <w:p w:rsidR="000E0883" w:rsidRPr="000E0883" w:rsidRDefault="000E0883" w:rsidP="000E0883">
      <w:pPr>
        <w:tabs>
          <w:tab w:val="left" w:pos="-1440"/>
          <w:tab w:val="left" w:pos="-720"/>
        </w:tabs>
        <w:jc w:val="both"/>
        <w:rPr>
          <w:rFonts w:eastAsia="Times New Roman" w:cs="Times New Roman"/>
          <w:sz w:val="20"/>
          <w:szCs w:val="20"/>
          <w:lang w:val="fr-CA" w:eastAsia="en-CA"/>
        </w:rPr>
      </w:pPr>
      <w:r w:rsidRPr="000E0883">
        <w:rPr>
          <w:rFonts w:eastAsia="Times New Roman" w:cs="Times New Roman"/>
          <w:sz w:val="20"/>
          <w:szCs w:val="20"/>
          <w:lang w:val="fr-CA" w:eastAsia="en-CA"/>
        </w:rPr>
        <w:t>Before / Devant :   THE CHIEF JUSTICE / LA JUGE EN CHEF</w:t>
      </w:r>
    </w:p>
    <w:p w:rsidR="000E0883" w:rsidRPr="000E0883" w:rsidRDefault="000E0883" w:rsidP="000E0883">
      <w:pPr>
        <w:tabs>
          <w:tab w:val="left" w:pos="-1440"/>
          <w:tab w:val="left" w:pos="-720"/>
        </w:tabs>
        <w:jc w:val="both"/>
        <w:rPr>
          <w:rFonts w:eastAsia="Times New Roman" w:cs="Times New Roman"/>
          <w:sz w:val="20"/>
          <w:szCs w:val="20"/>
          <w:lang w:val="fr-CA" w:eastAsia="en-CA"/>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8"/>
        <w:gridCol w:w="1170"/>
        <w:gridCol w:w="4327"/>
      </w:tblGrid>
      <w:tr w:rsidR="000E0883" w:rsidRPr="007368AD" w:rsidTr="00E4451A">
        <w:tc>
          <w:tcPr>
            <w:tcW w:w="4338" w:type="dxa"/>
          </w:tcPr>
          <w:p w:rsidR="000E0883" w:rsidRPr="000E0883" w:rsidRDefault="000E0883" w:rsidP="000E0883">
            <w:pPr>
              <w:tabs>
                <w:tab w:val="left" w:pos="-1440"/>
                <w:tab w:val="left" w:pos="-720"/>
              </w:tabs>
              <w:jc w:val="both"/>
            </w:pPr>
            <w:r w:rsidRPr="000E0883">
              <w:rPr>
                <w:b/>
                <w:bCs/>
                <w:color w:val="000000"/>
                <w:lang w:val="en-US"/>
              </w:rPr>
              <w:t>Motion for directions</w:t>
            </w:r>
          </w:p>
        </w:tc>
        <w:tc>
          <w:tcPr>
            <w:tcW w:w="1170" w:type="dxa"/>
          </w:tcPr>
          <w:p w:rsidR="000E0883" w:rsidRPr="000E0883" w:rsidRDefault="000E0883" w:rsidP="000E0883">
            <w:pPr>
              <w:tabs>
                <w:tab w:val="left" w:pos="-1440"/>
                <w:tab w:val="left" w:pos="-720"/>
              </w:tabs>
              <w:jc w:val="both"/>
            </w:pPr>
          </w:p>
          <w:p w:rsidR="000E0883" w:rsidRPr="000E0883" w:rsidRDefault="000E0883" w:rsidP="000E0883">
            <w:pPr>
              <w:tabs>
                <w:tab w:val="left" w:pos="-1440"/>
                <w:tab w:val="left" w:pos="-720"/>
              </w:tabs>
              <w:jc w:val="both"/>
            </w:pPr>
          </w:p>
        </w:tc>
        <w:tc>
          <w:tcPr>
            <w:tcW w:w="4327" w:type="dxa"/>
          </w:tcPr>
          <w:p w:rsidR="000E0883" w:rsidRPr="000E0883" w:rsidRDefault="000E0883" w:rsidP="000E0883">
            <w:pPr>
              <w:tabs>
                <w:tab w:val="left" w:pos="-1440"/>
                <w:tab w:val="left" w:pos="-720"/>
              </w:tabs>
              <w:jc w:val="both"/>
              <w:rPr>
                <w:lang w:val="fr-CA"/>
              </w:rPr>
            </w:pPr>
            <w:r w:rsidRPr="000E0883">
              <w:rPr>
                <w:b/>
                <w:bCs/>
                <w:lang w:val="fr-CA"/>
              </w:rPr>
              <w:t>Requête en vue d’obtenir des instructions</w:t>
            </w:r>
          </w:p>
        </w:tc>
      </w:tr>
      <w:tr w:rsidR="000E0883" w:rsidRPr="000E0883" w:rsidTr="00E4451A">
        <w:tc>
          <w:tcPr>
            <w:tcW w:w="4338" w:type="dxa"/>
          </w:tcPr>
          <w:p w:rsidR="000E0883" w:rsidRPr="000E0883" w:rsidRDefault="000E0883" w:rsidP="000E0883">
            <w:pPr>
              <w:widowControl w:val="0"/>
              <w:autoSpaceDE w:val="0"/>
              <w:autoSpaceDN w:val="0"/>
              <w:adjustRightInd w:val="0"/>
              <w:jc w:val="both"/>
              <w:rPr>
                <w:rFonts w:eastAsiaTheme="minorEastAsia"/>
                <w:b/>
                <w:bCs/>
                <w:iCs/>
                <w:lang w:val="en-GB"/>
              </w:rPr>
            </w:pPr>
            <w:r w:rsidRPr="000E0883">
              <w:rPr>
                <w:rFonts w:eastAsiaTheme="minorEastAsia"/>
                <w:b/>
                <w:bCs/>
                <w:iCs/>
                <w:lang w:val="en-GB"/>
              </w:rPr>
              <w:t>IN THE MATTER OF SECTION 53 OF THE SUPREME COURT ACT, R.S.C. 1985, C. S-26; AND IN THE MATTER OF A REFERENCE BY THE GOVERNOR IN COUNCIL CONCERNING SECTIONS 5 AND 6 OF THE SUPREME COURT ACT, R.S.C. 1985, C. S-26, AS SET OUT IN ORDER IN COUNCIL, P.C. 2013-1105, DATED OCTOBER 22, 2013</w:t>
            </w:r>
          </w:p>
          <w:p w:rsidR="000E0883" w:rsidRPr="000E0883" w:rsidRDefault="000E0883" w:rsidP="000E0883">
            <w:pPr>
              <w:widowControl w:val="0"/>
              <w:autoSpaceDE w:val="0"/>
              <w:autoSpaceDN w:val="0"/>
              <w:adjustRightInd w:val="0"/>
              <w:jc w:val="both"/>
              <w:rPr>
                <w:rFonts w:eastAsiaTheme="minorEastAsia"/>
                <w:lang w:val="en-GB"/>
              </w:rPr>
            </w:pPr>
          </w:p>
          <w:p w:rsidR="000E0883" w:rsidRPr="000E0883" w:rsidRDefault="000E0883" w:rsidP="000E0883">
            <w:pPr>
              <w:widowControl w:val="0"/>
              <w:autoSpaceDE w:val="0"/>
              <w:autoSpaceDN w:val="0"/>
              <w:adjustRightInd w:val="0"/>
              <w:jc w:val="both"/>
              <w:rPr>
                <w:rFonts w:eastAsiaTheme="minorEastAsia"/>
                <w:b/>
                <w:lang w:val="fr-CA"/>
              </w:rPr>
            </w:pPr>
            <w:r w:rsidRPr="000E0883">
              <w:rPr>
                <w:rFonts w:eastAsiaTheme="minorEastAsia"/>
                <w:b/>
                <w:lang w:val="fr-CA"/>
              </w:rPr>
              <w:lastRenderedPageBreak/>
              <w:t xml:space="preserve">DANS L'AFFAIRE DE L'ARTICLE 53 DE LA LOI SUR LA COUR SUPRÊME, L.R.C. 1985, CH. S-26; DANS L'AFFAIRE D'UN RENVOI PAR LE GOUVERNEUR EN CONSEIL CONCERNANT LES ARTICLES 5 ET 6 DE LA LOI SUR LA COUR SUPRÊME, L.R.C. 1985, CH. S-26, DANS LE DÉCRET C.P. 2013-1105 EN DATE DU 22 OCTOBRE 2013 </w:t>
            </w:r>
          </w:p>
          <w:p w:rsidR="000E0883" w:rsidRPr="000E0883" w:rsidRDefault="000E0883" w:rsidP="000E0883">
            <w:pPr>
              <w:tabs>
                <w:tab w:val="left" w:pos="-1440"/>
                <w:tab w:val="left" w:pos="-720"/>
              </w:tabs>
              <w:jc w:val="both"/>
              <w:rPr>
                <w:lang w:val="fr-CA"/>
              </w:rPr>
            </w:pPr>
            <w:r w:rsidRPr="000E0883">
              <w:rPr>
                <w:lang w:val="fr-CA"/>
              </w:rPr>
              <w:t>(35586)</w:t>
            </w:r>
          </w:p>
        </w:tc>
        <w:tc>
          <w:tcPr>
            <w:tcW w:w="1170" w:type="dxa"/>
          </w:tcPr>
          <w:p w:rsidR="000E0883" w:rsidRPr="000E0883" w:rsidRDefault="000E0883" w:rsidP="000E0883">
            <w:pPr>
              <w:tabs>
                <w:tab w:val="left" w:pos="-1440"/>
                <w:tab w:val="left" w:pos="-720"/>
              </w:tabs>
              <w:jc w:val="both"/>
              <w:rPr>
                <w:lang w:val="fr-CA"/>
              </w:rPr>
            </w:pPr>
          </w:p>
        </w:tc>
        <w:tc>
          <w:tcPr>
            <w:tcW w:w="4327" w:type="dxa"/>
          </w:tcPr>
          <w:p w:rsidR="000E0883" w:rsidRPr="000E0883" w:rsidRDefault="000E0883" w:rsidP="000E0883">
            <w:pPr>
              <w:tabs>
                <w:tab w:val="left" w:pos="-1440"/>
                <w:tab w:val="left" w:pos="-720"/>
              </w:tabs>
              <w:jc w:val="both"/>
              <w:rPr>
                <w:lang w:val="fr-CA"/>
              </w:rPr>
            </w:pPr>
          </w:p>
        </w:tc>
      </w:tr>
    </w:tbl>
    <w:p w:rsidR="000E0883" w:rsidRPr="000E0883" w:rsidRDefault="000E0883" w:rsidP="000E0883">
      <w:pPr>
        <w:tabs>
          <w:tab w:val="left" w:pos="-1440"/>
          <w:tab w:val="left" w:pos="-720"/>
        </w:tabs>
        <w:jc w:val="both"/>
        <w:rPr>
          <w:rFonts w:eastAsia="Times New Roman" w:cs="Times New Roman"/>
          <w:sz w:val="20"/>
          <w:szCs w:val="20"/>
          <w:lang w:val="fr-CA" w:eastAsia="en-CA"/>
        </w:rPr>
      </w:pPr>
    </w:p>
    <w:p w:rsidR="000E0883" w:rsidRPr="000E0883" w:rsidRDefault="000E0883" w:rsidP="000E0883">
      <w:pPr>
        <w:tabs>
          <w:tab w:val="left" w:pos="-1440"/>
          <w:tab w:val="left" w:pos="-720"/>
        </w:tabs>
        <w:jc w:val="both"/>
        <w:rPr>
          <w:rFonts w:eastAsia="Times New Roman" w:cs="Times New Roman"/>
          <w:sz w:val="20"/>
          <w:szCs w:val="20"/>
          <w:lang w:eastAsia="en-CA"/>
        </w:rPr>
      </w:pPr>
      <w:r w:rsidRPr="000E0883">
        <w:rPr>
          <w:rFonts w:eastAsia="Times New Roman" w:cs="Times New Roman"/>
          <w:b/>
          <w:sz w:val="20"/>
          <w:szCs w:val="20"/>
          <w:lang w:eastAsia="en-CA"/>
        </w:rPr>
        <w:t>GRANTED / ACCORDÉE</w:t>
      </w:r>
    </w:p>
    <w:p w:rsidR="000E0883" w:rsidRPr="000E0883" w:rsidRDefault="000E0883" w:rsidP="000E0883">
      <w:pPr>
        <w:tabs>
          <w:tab w:val="left" w:pos="-1440"/>
          <w:tab w:val="left" w:pos="-720"/>
        </w:tabs>
        <w:jc w:val="both"/>
        <w:rPr>
          <w:rFonts w:eastAsia="Times New Roman" w:cs="Times New Roman"/>
          <w:sz w:val="20"/>
          <w:szCs w:val="20"/>
          <w:lang w:val="fr-CA" w:eastAsia="en-CA"/>
        </w:rPr>
      </w:pPr>
    </w:p>
    <w:p w:rsidR="000E0883" w:rsidRPr="000E0883" w:rsidRDefault="000E0883" w:rsidP="000E0883">
      <w:pPr>
        <w:jc w:val="both"/>
        <w:rPr>
          <w:rFonts w:eastAsia="Times New Roman" w:cs="Times New Roman"/>
          <w:sz w:val="20"/>
          <w:szCs w:val="20"/>
          <w:lang w:eastAsia="en-CA"/>
        </w:rPr>
      </w:pPr>
      <w:r w:rsidRPr="000E0883">
        <w:rPr>
          <w:rFonts w:eastAsia="Times New Roman" w:cs="Times New Roman"/>
          <w:b/>
          <w:bCs/>
          <w:sz w:val="20"/>
          <w:szCs w:val="20"/>
          <w:lang w:eastAsia="en-CA"/>
        </w:rPr>
        <w:t>UPON APPLICATION</w:t>
      </w:r>
      <w:r w:rsidRPr="000E0883">
        <w:rPr>
          <w:rFonts w:eastAsia="Times New Roman" w:cs="Times New Roman"/>
          <w:sz w:val="20"/>
          <w:szCs w:val="20"/>
          <w:lang w:eastAsia="en-CA"/>
        </w:rPr>
        <w:t xml:space="preserve"> by the Attorney General of Canada for (1) an order directing the Registrar to set this case down on the list of cases to be heard by the Court and abridging the time periods provided in the </w:t>
      </w:r>
      <w:r w:rsidRPr="000E0883">
        <w:rPr>
          <w:rFonts w:eastAsia="Times New Roman" w:cs="Times New Roman"/>
          <w:i/>
          <w:sz w:val="20"/>
          <w:szCs w:val="20"/>
          <w:lang w:eastAsia="en-CA"/>
        </w:rPr>
        <w:t>Rules of the Supreme Court of Canada</w:t>
      </w:r>
      <w:r w:rsidRPr="000E0883">
        <w:rPr>
          <w:rFonts w:eastAsia="Times New Roman" w:cs="Times New Roman"/>
          <w:sz w:val="20"/>
          <w:szCs w:val="20"/>
          <w:lang w:eastAsia="en-CA"/>
        </w:rPr>
        <w:t xml:space="preserve"> for the filing of materials in order to ensure the expeditious hearing of this matter; and (2) any further order this Honourable Court may consider appropriate;</w:t>
      </w:r>
    </w:p>
    <w:p w:rsidR="000E0883" w:rsidRPr="000E0883" w:rsidRDefault="000E0883" w:rsidP="000E0883">
      <w:pPr>
        <w:jc w:val="both"/>
        <w:rPr>
          <w:rFonts w:eastAsia="Times New Roman" w:cs="Times New Roman"/>
          <w:sz w:val="20"/>
          <w:szCs w:val="20"/>
          <w:lang w:eastAsia="en-CA"/>
        </w:rPr>
      </w:pPr>
    </w:p>
    <w:p w:rsidR="000E0883" w:rsidRPr="000E0883" w:rsidRDefault="000E0883" w:rsidP="000E0883">
      <w:pPr>
        <w:jc w:val="both"/>
        <w:rPr>
          <w:rFonts w:eastAsia="Times New Roman" w:cs="Times New Roman"/>
          <w:sz w:val="20"/>
          <w:szCs w:val="20"/>
          <w:lang w:eastAsia="en-CA"/>
        </w:rPr>
      </w:pPr>
      <w:r w:rsidRPr="000E0883">
        <w:rPr>
          <w:rFonts w:eastAsia="Times New Roman" w:cs="Times New Roman"/>
          <w:b/>
          <w:bCs/>
          <w:sz w:val="20"/>
          <w:szCs w:val="20"/>
          <w:lang w:eastAsia="en-CA"/>
        </w:rPr>
        <w:t>AND THE MATERIAL FILED</w:t>
      </w:r>
      <w:r w:rsidRPr="000E0883">
        <w:rPr>
          <w:rFonts w:eastAsia="Times New Roman" w:cs="Times New Roman"/>
          <w:sz w:val="20"/>
          <w:szCs w:val="20"/>
          <w:lang w:eastAsia="en-CA"/>
        </w:rPr>
        <w:t xml:space="preserve"> having been read;</w:t>
      </w:r>
    </w:p>
    <w:p w:rsidR="000E0883" w:rsidRPr="000E0883" w:rsidRDefault="000E0883" w:rsidP="000E0883">
      <w:pPr>
        <w:jc w:val="both"/>
        <w:rPr>
          <w:rFonts w:eastAsia="Times New Roman" w:cs="Times New Roman"/>
          <w:sz w:val="20"/>
          <w:szCs w:val="20"/>
          <w:lang w:eastAsia="en-CA"/>
        </w:rPr>
      </w:pPr>
    </w:p>
    <w:p w:rsidR="000E0883" w:rsidRPr="000E0883" w:rsidRDefault="000E0883" w:rsidP="000E0883">
      <w:pPr>
        <w:jc w:val="both"/>
        <w:rPr>
          <w:rFonts w:eastAsia="Times New Roman" w:cs="Times New Roman"/>
          <w:sz w:val="20"/>
          <w:szCs w:val="20"/>
          <w:lang w:eastAsia="en-CA"/>
        </w:rPr>
      </w:pPr>
      <w:r w:rsidRPr="000E0883">
        <w:rPr>
          <w:rFonts w:eastAsia="Times New Roman" w:cs="Times New Roman"/>
          <w:b/>
          <w:bCs/>
          <w:sz w:val="20"/>
          <w:szCs w:val="20"/>
          <w:lang w:eastAsia="en-CA"/>
        </w:rPr>
        <w:t>IT IS HEREBY ORDERED THAT:</w:t>
      </w:r>
    </w:p>
    <w:p w:rsidR="000E0883" w:rsidRPr="000E0883" w:rsidRDefault="000E0883" w:rsidP="000E0883">
      <w:pPr>
        <w:tabs>
          <w:tab w:val="left" w:pos="-1440"/>
          <w:tab w:val="left" w:pos="-720"/>
        </w:tabs>
        <w:jc w:val="both"/>
        <w:rPr>
          <w:rFonts w:eastAsia="Times New Roman" w:cs="Times New Roman"/>
          <w:sz w:val="20"/>
          <w:szCs w:val="20"/>
          <w:lang w:eastAsia="en-CA"/>
        </w:rPr>
      </w:pPr>
    </w:p>
    <w:p w:rsidR="000E0883" w:rsidRPr="000E0883" w:rsidRDefault="000E0883" w:rsidP="000E0883">
      <w:pPr>
        <w:widowControl w:val="0"/>
        <w:numPr>
          <w:ilvl w:val="0"/>
          <w:numId w:val="7"/>
        </w:numPr>
        <w:tabs>
          <w:tab w:val="left" w:pos="-1440"/>
        </w:tabs>
        <w:autoSpaceDE w:val="0"/>
        <w:autoSpaceDN w:val="0"/>
        <w:adjustRightInd w:val="0"/>
        <w:ind w:hanging="720"/>
        <w:jc w:val="both"/>
        <w:outlineLvl w:val="0"/>
        <w:rPr>
          <w:rFonts w:eastAsia="Times New Roman" w:cs="Times New Roman"/>
          <w:sz w:val="20"/>
          <w:szCs w:val="20"/>
          <w:lang w:eastAsia="en-CA"/>
        </w:rPr>
      </w:pPr>
      <w:r w:rsidRPr="000E0883">
        <w:rPr>
          <w:rFonts w:eastAsia="Times New Roman" w:cs="Times New Roman"/>
          <w:sz w:val="20"/>
          <w:szCs w:val="20"/>
          <w:lang w:eastAsia="en-CA"/>
        </w:rPr>
        <w:t>The Registrar is directed to enter this reference on the list of cases to be heard by the Court.</w:t>
      </w:r>
    </w:p>
    <w:p w:rsidR="000E0883" w:rsidRPr="000E0883" w:rsidRDefault="000E0883" w:rsidP="000E0883">
      <w:pPr>
        <w:ind w:left="720" w:hanging="720"/>
        <w:jc w:val="both"/>
        <w:rPr>
          <w:rFonts w:eastAsia="Times New Roman" w:cs="Times New Roman"/>
          <w:sz w:val="20"/>
          <w:szCs w:val="20"/>
          <w:lang w:eastAsia="en-CA"/>
        </w:rPr>
      </w:pPr>
    </w:p>
    <w:p w:rsidR="000E0883" w:rsidRPr="000E0883" w:rsidRDefault="000E0883" w:rsidP="000E0883">
      <w:pPr>
        <w:widowControl w:val="0"/>
        <w:numPr>
          <w:ilvl w:val="0"/>
          <w:numId w:val="7"/>
        </w:numPr>
        <w:tabs>
          <w:tab w:val="left" w:pos="-1440"/>
        </w:tabs>
        <w:autoSpaceDE w:val="0"/>
        <w:autoSpaceDN w:val="0"/>
        <w:adjustRightInd w:val="0"/>
        <w:ind w:hanging="720"/>
        <w:jc w:val="both"/>
        <w:outlineLvl w:val="0"/>
        <w:rPr>
          <w:rFonts w:eastAsia="Times New Roman" w:cs="Times New Roman"/>
          <w:sz w:val="20"/>
          <w:szCs w:val="20"/>
          <w:lang w:eastAsia="en-CA"/>
        </w:rPr>
      </w:pPr>
      <w:r w:rsidRPr="000E0883">
        <w:rPr>
          <w:rFonts w:eastAsia="Times New Roman" w:cs="Times New Roman"/>
          <w:sz w:val="20"/>
          <w:szCs w:val="20"/>
          <w:lang w:eastAsia="en-CA"/>
        </w:rPr>
        <w:t xml:space="preserve">The attorney general of any province and minister of justice of any territory wishing to intervene in this reference under s. 53(5) of the </w:t>
      </w:r>
      <w:r w:rsidRPr="000E0883">
        <w:rPr>
          <w:rFonts w:eastAsia="Times New Roman" w:cs="Times New Roman"/>
          <w:i/>
          <w:iCs/>
          <w:sz w:val="20"/>
          <w:szCs w:val="20"/>
          <w:lang w:eastAsia="en-CA"/>
        </w:rPr>
        <w:t xml:space="preserve">Supreme Court Act </w:t>
      </w:r>
      <w:r w:rsidRPr="000E0883">
        <w:rPr>
          <w:rFonts w:eastAsia="Times New Roman" w:cs="Times New Roman"/>
          <w:sz w:val="20"/>
          <w:szCs w:val="20"/>
          <w:lang w:eastAsia="en-CA"/>
        </w:rPr>
        <w:t>shall serve and file a notice of intervention on or before November 12, 2013.</w:t>
      </w:r>
    </w:p>
    <w:p w:rsidR="000E0883" w:rsidRPr="000E0883" w:rsidRDefault="000E0883" w:rsidP="000E0883">
      <w:pPr>
        <w:ind w:left="720" w:hanging="720"/>
        <w:contextualSpacing/>
        <w:rPr>
          <w:rFonts w:cs="Times New Roman"/>
          <w:sz w:val="20"/>
          <w:szCs w:val="20"/>
        </w:rPr>
      </w:pPr>
    </w:p>
    <w:p w:rsidR="000E0883" w:rsidRPr="000E0883" w:rsidRDefault="000E0883" w:rsidP="000E0883">
      <w:pPr>
        <w:widowControl w:val="0"/>
        <w:numPr>
          <w:ilvl w:val="0"/>
          <w:numId w:val="7"/>
        </w:numPr>
        <w:tabs>
          <w:tab w:val="left" w:pos="-1440"/>
        </w:tabs>
        <w:autoSpaceDE w:val="0"/>
        <w:autoSpaceDN w:val="0"/>
        <w:adjustRightInd w:val="0"/>
        <w:ind w:hanging="720"/>
        <w:jc w:val="both"/>
        <w:outlineLvl w:val="0"/>
        <w:rPr>
          <w:rFonts w:eastAsia="Times New Roman" w:cs="Times New Roman"/>
          <w:sz w:val="20"/>
          <w:szCs w:val="20"/>
          <w:lang w:eastAsia="en-CA"/>
        </w:rPr>
      </w:pPr>
      <w:r w:rsidRPr="000E0883">
        <w:rPr>
          <w:rFonts w:eastAsia="Times New Roman" w:cs="Times New Roman"/>
          <w:sz w:val="20"/>
          <w:szCs w:val="20"/>
          <w:lang w:eastAsia="en-CA"/>
        </w:rPr>
        <w:t xml:space="preserve">Any person wishing to intervene in this reference under Rule 55 of the </w:t>
      </w:r>
      <w:r w:rsidRPr="000E0883">
        <w:rPr>
          <w:rFonts w:eastAsia="Times New Roman" w:cs="Times New Roman"/>
          <w:i/>
          <w:sz w:val="20"/>
          <w:szCs w:val="20"/>
          <w:lang w:eastAsia="en-CA"/>
        </w:rPr>
        <w:t>Rules of the Supreme Court of Canada</w:t>
      </w:r>
      <w:r w:rsidRPr="000E0883">
        <w:rPr>
          <w:rFonts w:eastAsia="Times New Roman" w:cs="Times New Roman"/>
          <w:sz w:val="20"/>
          <w:szCs w:val="20"/>
          <w:lang w:eastAsia="en-CA"/>
        </w:rPr>
        <w:t xml:space="preserve"> shall serve and file a motion for leave to intervene on or before November 19, 2013.</w:t>
      </w:r>
    </w:p>
    <w:p w:rsidR="000E0883" w:rsidRPr="000E0883" w:rsidRDefault="000E0883" w:rsidP="000E0883">
      <w:pPr>
        <w:widowControl w:val="0"/>
        <w:tabs>
          <w:tab w:val="left" w:pos="-1440"/>
        </w:tabs>
        <w:ind w:left="720" w:hanging="720"/>
        <w:jc w:val="both"/>
        <w:rPr>
          <w:rFonts w:eastAsia="Times New Roman" w:cs="Times New Roman"/>
          <w:sz w:val="20"/>
          <w:szCs w:val="20"/>
          <w:lang w:eastAsia="en-CA"/>
        </w:rPr>
      </w:pPr>
    </w:p>
    <w:p w:rsidR="000E0883" w:rsidRPr="000E0883" w:rsidRDefault="000E0883" w:rsidP="000E0883">
      <w:pPr>
        <w:widowControl w:val="0"/>
        <w:numPr>
          <w:ilvl w:val="0"/>
          <w:numId w:val="7"/>
        </w:numPr>
        <w:tabs>
          <w:tab w:val="left" w:pos="-1440"/>
        </w:tabs>
        <w:autoSpaceDE w:val="0"/>
        <w:autoSpaceDN w:val="0"/>
        <w:adjustRightInd w:val="0"/>
        <w:ind w:hanging="720"/>
        <w:jc w:val="both"/>
        <w:outlineLvl w:val="0"/>
        <w:rPr>
          <w:rFonts w:eastAsia="Times New Roman" w:cs="Times New Roman"/>
          <w:sz w:val="20"/>
          <w:szCs w:val="20"/>
          <w:lang w:eastAsia="en-CA"/>
        </w:rPr>
      </w:pPr>
      <w:r w:rsidRPr="000E0883">
        <w:rPr>
          <w:rFonts w:eastAsia="Times New Roman" w:cs="Times New Roman"/>
          <w:sz w:val="20"/>
          <w:szCs w:val="20"/>
          <w:lang w:eastAsia="en-CA"/>
        </w:rPr>
        <w:t xml:space="preserve">The Attorney General of Canada and any attorney general of a province or minister of justice of a territory who has intervened under s. 53(5) of the </w:t>
      </w:r>
      <w:r w:rsidRPr="000E0883">
        <w:rPr>
          <w:rFonts w:eastAsia="Times New Roman" w:cs="Times New Roman"/>
          <w:i/>
          <w:iCs/>
          <w:sz w:val="20"/>
          <w:szCs w:val="20"/>
          <w:lang w:eastAsia="en-CA"/>
        </w:rPr>
        <w:t>Supreme Court Act</w:t>
      </w:r>
      <w:r w:rsidRPr="000E0883">
        <w:rPr>
          <w:rFonts w:eastAsia="Times New Roman" w:cs="Times New Roman"/>
          <w:sz w:val="20"/>
          <w:szCs w:val="20"/>
          <w:lang w:eastAsia="en-CA"/>
        </w:rPr>
        <w:t xml:space="preserve"> shall serve and file their responses, if any, to the motions for leave to intervene on or before November 22, 2013.</w:t>
      </w:r>
    </w:p>
    <w:p w:rsidR="000E0883" w:rsidRPr="000E0883" w:rsidRDefault="000E0883" w:rsidP="000E0883">
      <w:pPr>
        <w:ind w:left="720" w:hanging="720"/>
        <w:jc w:val="both"/>
        <w:rPr>
          <w:rFonts w:eastAsia="Times New Roman" w:cs="Times New Roman"/>
          <w:sz w:val="20"/>
          <w:szCs w:val="20"/>
          <w:lang w:eastAsia="en-CA"/>
        </w:rPr>
      </w:pPr>
    </w:p>
    <w:p w:rsidR="000E0883" w:rsidRPr="000E0883" w:rsidRDefault="000E0883" w:rsidP="000E0883">
      <w:pPr>
        <w:widowControl w:val="0"/>
        <w:numPr>
          <w:ilvl w:val="0"/>
          <w:numId w:val="7"/>
        </w:numPr>
        <w:tabs>
          <w:tab w:val="left" w:pos="-1440"/>
        </w:tabs>
        <w:autoSpaceDE w:val="0"/>
        <w:autoSpaceDN w:val="0"/>
        <w:adjustRightInd w:val="0"/>
        <w:ind w:hanging="720"/>
        <w:jc w:val="both"/>
        <w:outlineLvl w:val="0"/>
        <w:rPr>
          <w:rFonts w:eastAsia="Times New Roman" w:cs="Times New Roman"/>
          <w:sz w:val="20"/>
          <w:szCs w:val="20"/>
          <w:lang w:eastAsia="en-CA"/>
        </w:rPr>
      </w:pPr>
      <w:r w:rsidRPr="000E0883">
        <w:rPr>
          <w:rFonts w:eastAsia="Times New Roman" w:cs="Times New Roman"/>
          <w:sz w:val="20"/>
          <w:szCs w:val="20"/>
          <w:lang w:eastAsia="en-CA"/>
        </w:rPr>
        <w:t>Replies to the responses, if any, to the motions for leave to intervene shall be served and filed on or before November 26, 2013.</w:t>
      </w:r>
    </w:p>
    <w:p w:rsidR="000E0883" w:rsidRPr="000E0883" w:rsidRDefault="000E0883" w:rsidP="000E0883">
      <w:pPr>
        <w:ind w:left="720" w:hanging="720"/>
        <w:contextualSpacing/>
        <w:rPr>
          <w:rFonts w:cs="Times New Roman"/>
          <w:sz w:val="20"/>
          <w:szCs w:val="20"/>
        </w:rPr>
      </w:pPr>
    </w:p>
    <w:p w:rsidR="000E0883" w:rsidRPr="000E0883" w:rsidRDefault="000E0883" w:rsidP="000E0883">
      <w:pPr>
        <w:widowControl w:val="0"/>
        <w:numPr>
          <w:ilvl w:val="0"/>
          <w:numId w:val="7"/>
        </w:numPr>
        <w:tabs>
          <w:tab w:val="left" w:pos="-1440"/>
        </w:tabs>
        <w:autoSpaceDE w:val="0"/>
        <w:autoSpaceDN w:val="0"/>
        <w:adjustRightInd w:val="0"/>
        <w:ind w:hanging="720"/>
        <w:jc w:val="both"/>
        <w:outlineLvl w:val="0"/>
        <w:rPr>
          <w:rFonts w:eastAsia="Times New Roman" w:cs="Times New Roman"/>
          <w:sz w:val="20"/>
          <w:szCs w:val="20"/>
          <w:lang w:eastAsia="en-CA"/>
        </w:rPr>
      </w:pPr>
      <w:r w:rsidRPr="000E0883">
        <w:rPr>
          <w:rFonts w:eastAsia="Times New Roman" w:cs="Times New Roman"/>
          <w:sz w:val="20"/>
          <w:szCs w:val="20"/>
          <w:lang w:eastAsia="en-CA"/>
        </w:rPr>
        <w:t>The record, factum and book of authorities of the Attorney General of Canada shall be served and filed on or before November 26, 2013 and shall not exceed 40 pages unless otherwise ordered.</w:t>
      </w:r>
    </w:p>
    <w:p w:rsidR="000E0883" w:rsidRPr="000E0883" w:rsidRDefault="000E0883" w:rsidP="000E0883">
      <w:pPr>
        <w:ind w:left="720" w:hanging="720"/>
        <w:contextualSpacing/>
        <w:rPr>
          <w:rFonts w:cs="Times New Roman"/>
          <w:sz w:val="20"/>
          <w:szCs w:val="20"/>
        </w:rPr>
      </w:pPr>
    </w:p>
    <w:p w:rsidR="000E0883" w:rsidRPr="000E0883" w:rsidRDefault="000E0883" w:rsidP="000E0883">
      <w:pPr>
        <w:widowControl w:val="0"/>
        <w:numPr>
          <w:ilvl w:val="0"/>
          <w:numId w:val="7"/>
        </w:numPr>
        <w:autoSpaceDE w:val="0"/>
        <w:autoSpaceDN w:val="0"/>
        <w:adjustRightInd w:val="0"/>
        <w:ind w:hanging="720"/>
        <w:contextualSpacing/>
        <w:jc w:val="both"/>
        <w:outlineLvl w:val="0"/>
        <w:rPr>
          <w:rFonts w:eastAsia="Times New Roman" w:cs="Times New Roman"/>
          <w:sz w:val="20"/>
          <w:szCs w:val="20"/>
          <w:lang w:eastAsia="en-CA"/>
        </w:rPr>
      </w:pPr>
      <w:r w:rsidRPr="000E0883">
        <w:rPr>
          <w:rFonts w:eastAsia="Times New Roman" w:cs="Times New Roman"/>
          <w:sz w:val="20"/>
          <w:szCs w:val="20"/>
          <w:lang w:eastAsia="en-CA"/>
        </w:rPr>
        <w:t xml:space="preserve">The records (if any), factums and books of authorities of any attorney general of a province or minister of justice of a territory who has intervened under s. 53(5) of the </w:t>
      </w:r>
      <w:r w:rsidRPr="000E0883">
        <w:rPr>
          <w:rFonts w:eastAsia="Times New Roman" w:cs="Times New Roman"/>
          <w:i/>
          <w:sz w:val="20"/>
          <w:szCs w:val="20"/>
          <w:lang w:eastAsia="en-CA"/>
        </w:rPr>
        <w:t>Supreme Court Act</w:t>
      </w:r>
      <w:r w:rsidRPr="000E0883">
        <w:rPr>
          <w:rFonts w:eastAsia="Times New Roman" w:cs="Times New Roman"/>
          <w:sz w:val="20"/>
          <w:szCs w:val="20"/>
          <w:lang w:eastAsia="en-CA"/>
        </w:rPr>
        <w:t xml:space="preserve"> shall be served and filed on or before January 3, 2014 and shall not exceed 40 pages unless otherwise ordered.  </w:t>
      </w:r>
    </w:p>
    <w:p w:rsidR="000E0883" w:rsidRPr="000E0883" w:rsidRDefault="000E0883" w:rsidP="000E0883">
      <w:pPr>
        <w:ind w:left="720" w:hanging="720"/>
        <w:contextualSpacing/>
        <w:rPr>
          <w:rFonts w:cs="Times New Roman"/>
          <w:sz w:val="20"/>
          <w:szCs w:val="20"/>
        </w:rPr>
      </w:pPr>
    </w:p>
    <w:p w:rsidR="000E0883" w:rsidRPr="000E0883" w:rsidRDefault="000E0883" w:rsidP="000E0883">
      <w:pPr>
        <w:widowControl w:val="0"/>
        <w:numPr>
          <w:ilvl w:val="0"/>
          <w:numId w:val="7"/>
        </w:numPr>
        <w:autoSpaceDE w:val="0"/>
        <w:autoSpaceDN w:val="0"/>
        <w:adjustRightInd w:val="0"/>
        <w:ind w:hanging="720"/>
        <w:contextualSpacing/>
        <w:jc w:val="both"/>
        <w:outlineLvl w:val="0"/>
        <w:rPr>
          <w:rFonts w:eastAsia="Times New Roman" w:cs="Times New Roman"/>
          <w:sz w:val="20"/>
          <w:szCs w:val="20"/>
          <w:lang w:eastAsia="en-CA"/>
        </w:rPr>
      </w:pPr>
      <w:r w:rsidRPr="000E0883">
        <w:rPr>
          <w:rFonts w:eastAsia="Times New Roman" w:cs="Times New Roman"/>
          <w:sz w:val="20"/>
          <w:szCs w:val="20"/>
          <w:lang w:eastAsia="en-CA"/>
        </w:rPr>
        <w:t>The factums and books of authorities of any persons granted leave to intervene in this reference shall be served and filed on or before January 3, 2014.</w:t>
      </w:r>
    </w:p>
    <w:p w:rsidR="000E0883" w:rsidRPr="000E0883" w:rsidRDefault="000E0883" w:rsidP="000E0883">
      <w:pPr>
        <w:ind w:left="720" w:hanging="720"/>
        <w:contextualSpacing/>
        <w:rPr>
          <w:rFonts w:cs="Times New Roman"/>
          <w:sz w:val="20"/>
          <w:szCs w:val="20"/>
        </w:rPr>
      </w:pPr>
    </w:p>
    <w:p w:rsidR="000E0883" w:rsidRPr="000E0883" w:rsidRDefault="000E0883" w:rsidP="000E0883">
      <w:pPr>
        <w:widowControl w:val="0"/>
        <w:numPr>
          <w:ilvl w:val="0"/>
          <w:numId w:val="7"/>
        </w:numPr>
        <w:tabs>
          <w:tab w:val="left" w:pos="-1440"/>
        </w:tabs>
        <w:autoSpaceDE w:val="0"/>
        <w:autoSpaceDN w:val="0"/>
        <w:adjustRightInd w:val="0"/>
        <w:ind w:hanging="720"/>
        <w:jc w:val="both"/>
        <w:outlineLvl w:val="0"/>
        <w:rPr>
          <w:rFonts w:eastAsia="Times New Roman" w:cs="Times New Roman"/>
          <w:sz w:val="20"/>
          <w:szCs w:val="20"/>
          <w:lang w:eastAsia="en-CA"/>
        </w:rPr>
      </w:pPr>
      <w:r w:rsidRPr="000E0883">
        <w:rPr>
          <w:rFonts w:eastAsia="Times New Roman" w:cs="Times New Roman"/>
          <w:sz w:val="20"/>
          <w:szCs w:val="20"/>
          <w:lang w:eastAsia="en-CA"/>
        </w:rPr>
        <w:t>The hearing of the reference is scheduled for January 15, 2014.</w:t>
      </w:r>
    </w:p>
    <w:p w:rsidR="000E0883" w:rsidRPr="000E0883" w:rsidRDefault="000E0883" w:rsidP="000E0883">
      <w:pPr>
        <w:ind w:left="720" w:hanging="720"/>
        <w:contextualSpacing/>
        <w:rPr>
          <w:rFonts w:cs="Times New Roman"/>
          <w:sz w:val="20"/>
          <w:szCs w:val="20"/>
        </w:rPr>
      </w:pPr>
    </w:p>
    <w:p w:rsidR="000E0883" w:rsidRPr="000E0883" w:rsidRDefault="000E0883" w:rsidP="000E0883">
      <w:pPr>
        <w:widowControl w:val="0"/>
        <w:tabs>
          <w:tab w:val="left" w:pos="-1440"/>
        </w:tabs>
        <w:ind w:left="720" w:hanging="720"/>
        <w:jc w:val="both"/>
        <w:rPr>
          <w:rFonts w:eastAsia="Times New Roman" w:cs="Times New Roman"/>
          <w:sz w:val="20"/>
          <w:szCs w:val="20"/>
          <w:lang w:val="en-US" w:eastAsia="en-CA"/>
        </w:rPr>
      </w:pPr>
    </w:p>
    <w:p w:rsidR="000E0883" w:rsidRPr="000E0883" w:rsidRDefault="000E0883" w:rsidP="000E0883">
      <w:pPr>
        <w:widowControl w:val="0"/>
        <w:tabs>
          <w:tab w:val="left" w:pos="-1440"/>
        </w:tabs>
        <w:ind w:left="720" w:hanging="720"/>
        <w:jc w:val="both"/>
        <w:rPr>
          <w:rFonts w:eastAsia="Times New Roman" w:cs="Times New Roman"/>
          <w:sz w:val="20"/>
          <w:szCs w:val="20"/>
          <w:lang w:val="en-US" w:eastAsia="en-CA"/>
        </w:rPr>
      </w:pPr>
    </w:p>
    <w:p w:rsidR="000E0883" w:rsidRPr="000E0883" w:rsidRDefault="000E0883" w:rsidP="000E0883">
      <w:pPr>
        <w:jc w:val="both"/>
        <w:rPr>
          <w:rFonts w:eastAsia="Times New Roman" w:cs="Times New Roman"/>
          <w:sz w:val="20"/>
          <w:szCs w:val="20"/>
          <w:lang w:val="fr-FR" w:eastAsia="en-CA"/>
        </w:rPr>
      </w:pPr>
      <w:r w:rsidRPr="000E0883">
        <w:rPr>
          <w:rFonts w:eastAsia="Times New Roman" w:cs="Times New Roman"/>
          <w:b/>
          <w:bCs/>
          <w:sz w:val="20"/>
          <w:szCs w:val="20"/>
          <w:lang w:val="fr-FR" w:eastAsia="en-CA"/>
        </w:rPr>
        <w:t xml:space="preserve">À LA SUITE DE LA DEMANDE </w:t>
      </w:r>
      <w:r w:rsidRPr="000E0883">
        <w:rPr>
          <w:rFonts w:eastAsia="Times New Roman" w:cs="Times New Roman"/>
          <w:bCs/>
          <w:sz w:val="20"/>
          <w:szCs w:val="20"/>
          <w:lang w:val="fr-FR" w:eastAsia="en-CA"/>
        </w:rPr>
        <w:t xml:space="preserve">présentée par le procureur général du Canada en vue d’obtenir (1) une ordonnance enjoignant au registraire d’inscrire la présente affaire au rôle des causes qui seront entendues par la Cour et écourtant les délais pour le dépôt de documents prévus par les </w:t>
      </w:r>
      <w:r w:rsidRPr="000E0883">
        <w:rPr>
          <w:rFonts w:eastAsia="Times New Roman" w:cs="Times New Roman"/>
          <w:bCs/>
          <w:i/>
          <w:sz w:val="20"/>
          <w:szCs w:val="20"/>
          <w:lang w:val="fr-FR" w:eastAsia="en-CA"/>
        </w:rPr>
        <w:t>Règles de la Cour suprême du Canada</w:t>
      </w:r>
      <w:r w:rsidRPr="000E0883">
        <w:rPr>
          <w:rFonts w:eastAsia="Times New Roman" w:cs="Times New Roman"/>
          <w:bCs/>
          <w:sz w:val="20"/>
          <w:szCs w:val="20"/>
          <w:lang w:val="fr-FR" w:eastAsia="en-CA"/>
        </w:rPr>
        <w:t xml:space="preserve"> de façon à assurer une audition accélérée du dossier; et (2) toute autre ordonnance que la Cour pourra estimer opportune; </w:t>
      </w:r>
    </w:p>
    <w:p w:rsidR="000E0883" w:rsidRPr="000E0883" w:rsidRDefault="000E0883" w:rsidP="000E0883">
      <w:pPr>
        <w:jc w:val="both"/>
        <w:rPr>
          <w:rFonts w:eastAsia="Times New Roman" w:cs="Times New Roman"/>
          <w:b/>
          <w:bCs/>
          <w:sz w:val="20"/>
          <w:szCs w:val="20"/>
          <w:lang w:val="fr-FR" w:eastAsia="en-CA"/>
        </w:rPr>
      </w:pPr>
    </w:p>
    <w:p w:rsidR="000E0883" w:rsidRPr="000E0883" w:rsidRDefault="000E0883" w:rsidP="000E0883">
      <w:pPr>
        <w:jc w:val="both"/>
        <w:rPr>
          <w:rFonts w:eastAsia="Times New Roman" w:cs="Times New Roman"/>
          <w:sz w:val="20"/>
          <w:szCs w:val="20"/>
          <w:lang w:val="fr-FR" w:eastAsia="en-CA"/>
        </w:rPr>
      </w:pPr>
      <w:r w:rsidRPr="000E0883">
        <w:rPr>
          <w:rFonts w:eastAsia="Times New Roman" w:cs="Times New Roman"/>
          <w:b/>
          <w:bCs/>
          <w:sz w:val="20"/>
          <w:szCs w:val="20"/>
          <w:lang w:val="fr-FR" w:eastAsia="en-CA"/>
        </w:rPr>
        <w:t xml:space="preserve">ET APRÈS EXAMEN </w:t>
      </w:r>
      <w:r w:rsidRPr="000E0883">
        <w:rPr>
          <w:rFonts w:eastAsia="Times New Roman" w:cs="Times New Roman"/>
          <w:bCs/>
          <w:sz w:val="20"/>
          <w:szCs w:val="20"/>
          <w:lang w:val="fr-FR" w:eastAsia="en-CA"/>
        </w:rPr>
        <w:t xml:space="preserve">des documents déposés; </w:t>
      </w:r>
    </w:p>
    <w:p w:rsidR="000E0883" w:rsidRPr="000E0883" w:rsidRDefault="000E0883" w:rsidP="000E0883">
      <w:pPr>
        <w:jc w:val="both"/>
        <w:rPr>
          <w:rFonts w:eastAsia="Times New Roman" w:cs="Times New Roman"/>
          <w:b/>
          <w:bCs/>
          <w:sz w:val="20"/>
          <w:szCs w:val="20"/>
          <w:lang w:val="fr-FR" w:eastAsia="en-CA"/>
        </w:rPr>
      </w:pPr>
    </w:p>
    <w:p w:rsidR="000E0883" w:rsidRPr="000E0883" w:rsidRDefault="000E0883" w:rsidP="000E0883">
      <w:pPr>
        <w:jc w:val="both"/>
        <w:rPr>
          <w:rFonts w:eastAsia="Times New Roman" w:cs="Times New Roman"/>
          <w:sz w:val="20"/>
          <w:szCs w:val="20"/>
          <w:lang w:val="fr-FR" w:eastAsia="en-CA"/>
        </w:rPr>
      </w:pPr>
      <w:r w:rsidRPr="000E0883">
        <w:rPr>
          <w:rFonts w:eastAsia="Times New Roman" w:cs="Times New Roman"/>
          <w:b/>
          <w:bCs/>
          <w:sz w:val="20"/>
          <w:szCs w:val="20"/>
          <w:lang w:val="fr-FR" w:eastAsia="en-CA"/>
        </w:rPr>
        <w:t xml:space="preserve">IL EST ORDONNÉ CE QUI SUIT : </w:t>
      </w:r>
    </w:p>
    <w:p w:rsidR="000E0883" w:rsidRPr="000E0883" w:rsidRDefault="000E0883" w:rsidP="000E0883">
      <w:pPr>
        <w:jc w:val="both"/>
        <w:rPr>
          <w:rFonts w:eastAsia="Times New Roman" w:cs="Times New Roman"/>
          <w:sz w:val="20"/>
          <w:szCs w:val="20"/>
          <w:lang w:val="fr-FR" w:eastAsia="en-CA"/>
        </w:rPr>
      </w:pPr>
    </w:p>
    <w:p w:rsidR="000E0883" w:rsidRPr="000E0883" w:rsidRDefault="000E0883" w:rsidP="000E0883">
      <w:pPr>
        <w:widowControl w:val="0"/>
        <w:numPr>
          <w:ilvl w:val="0"/>
          <w:numId w:val="8"/>
        </w:numPr>
        <w:tabs>
          <w:tab w:val="left" w:pos="-1440"/>
        </w:tabs>
        <w:autoSpaceDE w:val="0"/>
        <w:autoSpaceDN w:val="0"/>
        <w:adjustRightInd w:val="0"/>
        <w:ind w:hanging="720"/>
        <w:jc w:val="both"/>
        <w:outlineLvl w:val="0"/>
        <w:rPr>
          <w:rFonts w:eastAsia="Times New Roman" w:cs="Times New Roman"/>
          <w:sz w:val="20"/>
          <w:szCs w:val="20"/>
          <w:lang w:val="fr-FR" w:eastAsia="en-CA"/>
        </w:rPr>
      </w:pPr>
      <w:r w:rsidRPr="000E0883">
        <w:rPr>
          <w:rFonts w:eastAsia="Times New Roman" w:cs="Times New Roman"/>
          <w:sz w:val="20"/>
          <w:szCs w:val="20"/>
          <w:lang w:val="fr-FR" w:eastAsia="en-CA"/>
        </w:rPr>
        <w:t xml:space="preserve">Le registraire inscrira le présent renvoi au rôle </w:t>
      </w:r>
      <w:r w:rsidRPr="000E0883">
        <w:rPr>
          <w:rFonts w:eastAsia="Times New Roman" w:cs="Times New Roman"/>
          <w:bCs/>
          <w:sz w:val="20"/>
          <w:szCs w:val="20"/>
          <w:lang w:val="fr-FR" w:eastAsia="en-CA"/>
        </w:rPr>
        <w:t>des causes qui seront entendues par la Cour</w:t>
      </w:r>
      <w:r w:rsidRPr="000E0883">
        <w:rPr>
          <w:rFonts w:eastAsia="Times New Roman" w:cs="Times New Roman"/>
          <w:sz w:val="20"/>
          <w:szCs w:val="20"/>
          <w:lang w:val="fr-FR" w:eastAsia="en-CA"/>
        </w:rPr>
        <w:t>.</w:t>
      </w:r>
    </w:p>
    <w:p w:rsidR="000E0883" w:rsidRPr="000E0883" w:rsidRDefault="000E0883" w:rsidP="000E0883">
      <w:pPr>
        <w:ind w:left="720" w:hanging="720"/>
        <w:jc w:val="both"/>
        <w:rPr>
          <w:rFonts w:eastAsia="Times New Roman" w:cs="Times New Roman"/>
          <w:sz w:val="20"/>
          <w:szCs w:val="20"/>
          <w:lang w:val="fr-FR" w:eastAsia="en-CA"/>
        </w:rPr>
      </w:pPr>
    </w:p>
    <w:p w:rsidR="000E0883" w:rsidRPr="000E0883" w:rsidRDefault="000E0883" w:rsidP="000E0883">
      <w:pPr>
        <w:widowControl w:val="0"/>
        <w:numPr>
          <w:ilvl w:val="0"/>
          <w:numId w:val="8"/>
        </w:numPr>
        <w:tabs>
          <w:tab w:val="left" w:pos="-1440"/>
        </w:tabs>
        <w:autoSpaceDE w:val="0"/>
        <w:autoSpaceDN w:val="0"/>
        <w:adjustRightInd w:val="0"/>
        <w:ind w:hanging="720"/>
        <w:jc w:val="both"/>
        <w:outlineLvl w:val="0"/>
        <w:rPr>
          <w:rFonts w:eastAsia="Times New Roman" w:cs="Times New Roman"/>
          <w:sz w:val="20"/>
          <w:szCs w:val="20"/>
          <w:lang w:val="fr-FR" w:eastAsia="en-CA"/>
        </w:rPr>
      </w:pPr>
      <w:r w:rsidRPr="000E0883">
        <w:rPr>
          <w:rFonts w:eastAsia="Times New Roman" w:cs="Times New Roman"/>
          <w:sz w:val="20"/>
          <w:szCs w:val="20"/>
          <w:lang w:val="fr-FR" w:eastAsia="en-CA"/>
        </w:rPr>
        <w:t xml:space="preserve">Les procureurs généraux des provinces et ministres de la Justice des territoires qui souhaitent intervenir dans le présent renvoi en application du par. 53(5) de la </w:t>
      </w:r>
      <w:r w:rsidRPr="000E0883">
        <w:rPr>
          <w:rFonts w:eastAsia="Times New Roman" w:cs="Times New Roman"/>
          <w:i/>
          <w:sz w:val="20"/>
          <w:szCs w:val="20"/>
          <w:lang w:val="fr-FR" w:eastAsia="en-CA"/>
        </w:rPr>
        <w:t xml:space="preserve">Loi sur la Cour suprême </w:t>
      </w:r>
      <w:r w:rsidRPr="000E0883">
        <w:rPr>
          <w:rFonts w:eastAsia="Times New Roman" w:cs="Times New Roman"/>
          <w:sz w:val="20"/>
          <w:szCs w:val="20"/>
          <w:lang w:val="fr-FR" w:eastAsia="en-CA"/>
        </w:rPr>
        <w:t xml:space="preserve">signifieront et déposeront leur avis d’intervention au plus tard le 12 novembre 2013. </w:t>
      </w:r>
    </w:p>
    <w:p w:rsidR="000E0883" w:rsidRPr="000E0883" w:rsidRDefault="000E0883" w:rsidP="000E0883">
      <w:pPr>
        <w:widowControl w:val="0"/>
        <w:tabs>
          <w:tab w:val="left" w:pos="-1440"/>
        </w:tabs>
        <w:ind w:left="720" w:hanging="720"/>
        <w:jc w:val="both"/>
        <w:rPr>
          <w:rFonts w:eastAsia="Times New Roman" w:cs="Times New Roman"/>
          <w:sz w:val="20"/>
          <w:szCs w:val="20"/>
          <w:lang w:val="fr-FR" w:eastAsia="en-CA"/>
        </w:rPr>
      </w:pPr>
    </w:p>
    <w:p w:rsidR="000E0883" w:rsidRPr="000E0883" w:rsidRDefault="000E0883" w:rsidP="000E0883">
      <w:pPr>
        <w:widowControl w:val="0"/>
        <w:numPr>
          <w:ilvl w:val="0"/>
          <w:numId w:val="8"/>
        </w:numPr>
        <w:tabs>
          <w:tab w:val="left" w:pos="-1440"/>
        </w:tabs>
        <w:autoSpaceDE w:val="0"/>
        <w:autoSpaceDN w:val="0"/>
        <w:adjustRightInd w:val="0"/>
        <w:ind w:hanging="720"/>
        <w:jc w:val="both"/>
        <w:outlineLvl w:val="0"/>
        <w:rPr>
          <w:rFonts w:eastAsia="Times New Roman" w:cs="Times New Roman"/>
          <w:sz w:val="20"/>
          <w:szCs w:val="20"/>
          <w:lang w:val="fr-FR" w:eastAsia="en-CA"/>
        </w:rPr>
      </w:pPr>
      <w:r w:rsidRPr="000E0883">
        <w:rPr>
          <w:rFonts w:eastAsia="Times New Roman" w:cs="Times New Roman"/>
          <w:sz w:val="20"/>
          <w:szCs w:val="20"/>
          <w:lang w:val="fr-FR" w:eastAsia="en-CA"/>
        </w:rPr>
        <w:t xml:space="preserve">Toute personne qui souhaite intervenir dans le présent renvoi en vertu de la règle 55 des </w:t>
      </w:r>
      <w:r w:rsidRPr="000E0883">
        <w:rPr>
          <w:rFonts w:eastAsia="Times New Roman" w:cs="Times New Roman"/>
          <w:i/>
          <w:sz w:val="20"/>
          <w:szCs w:val="20"/>
          <w:lang w:val="fr-FR" w:eastAsia="en-CA"/>
        </w:rPr>
        <w:t xml:space="preserve">Règles de la Cour suprême du Canada </w:t>
      </w:r>
      <w:r w:rsidRPr="000E0883">
        <w:rPr>
          <w:rFonts w:eastAsia="Times New Roman" w:cs="Times New Roman"/>
          <w:sz w:val="20"/>
          <w:szCs w:val="20"/>
          <w:lang w:val="fr-FR" w:eastAsia="en-CA"/>
        </w:rPr>
        <w:t xml:space="preserve">signifiera et déposera une requête en autorisation d’intervenir au plus tard le 19 novembre 2013. </w:t>
      </w:r>
    </w:p>
    <w:p w:rsidR="000E0883" w:rsidRPr="000E0883" w:rsidRDefault="000E0883" w:rsidP="000E0883">
      <w:pPr>
        <w:tabs>
          <w:tab w:val="left" w:pos="-1440"/>
          <w:tab w:val="left" w:pos="-720"/>
        </w:tabs>
        <w:ind w:left="720" w:hanging="720"/>
        <w:jc w:val="both"/>
        <w:rPr>
          <w:rFonts w:eastAsia="Times New Roman" w:cs="Times New Roman"/>
          <w:sz w:val="20"/>
          <w:szCs w:val="20"/>
          <w:lang w:val="fr-FR" w:eastAsia="en-CA"/>
        </w:rPr>
      </w:pPr>
    </w:p>
    <w:p w:rsidR="000E0883" w:rsidRPr="000E0883" w:rsidRDefault="000E0883" w:rsidP="000E0883">
      <w:pPr>
        <w:widowControl w:val="0"/>
        <w:numPr>
          <w:ilvl w:val="0"/>
          <w:numId w:val="8"/>
        </w:numPr>
        <w:tabs>
          <w:tab w:val="left" w:pos="-1440"/>
        </w:tabs>
        <w:autoSpaceDE w:val="0"/>
        <w:autoSpaceDN w:val="0"/>
        <w:adjustRightInd w:val="0"/>
        <w:ind w:hanging="720"/>
        <w:jc w:val="both"/>
        <w:outlineLvl w:val="0"/>
        <w:rPr>
          <w:rFonts w:eastAsia="Times New Roman" w:cs="Times New Roman"/>
          <w:sz w:val="20"/>
          <w:szCs w:val="20"/>
          <w:lang w:val="fr-FR" w:eastAsia="en-CA"/>
        </w:rPr>
      </w:pPr>
      <w:r w:rsidRPr="000E0883">
        <w:rPr>
          <w:rFonts w:eastAsia="Times New Roman" w:cs="Times New Roman"/>
          <w:sz w:val="20"/>
          <w:szCs w:val="20"/>
          <w:lang w:val="fr-FR" w:eastAsia="en-CA"/>
        </w:rPr>
        <w:t xml:space="preserve">Le procureur général du Canada, ainsi que les procureurs généraux des provinces et ministres de la Justice des territoires intervenant en application du par. 53(5) de la </w:t>
      </w:r>
      <w:r w:rsidRPr="000E0883">
        <w:rPr>
          <w:rFonts w:eastAsia="Times New Roman" w:cs="Times New Roman"/>
          <w:i/>
          <w:sz w:val="20"/>
          <w:szCs w:val="20"/>
          <w:lang w:val="fr-FR" w:eastAsia="en-CA"/>
        </w:rPr>
        <w:t xml:space="preserve">Loi sur la Cour suprême </w:t>
      </w:r>
      <w:r w:rsidRPr="000E0883">
        <w:rPr>
          <w:rFonts w:eastAsia="Times New Roman" w:cs="Times New Roman"/>
          <w:sz w:val="20"/>
          <w:szCs w:val="20"/>
          <w:lang w:val="fr-FR" w:eastAsia="en-CA"/>
        </w:rPr>
        <w:t>signifieront et déposeront leurs réponses aux demandes d’autorisation d’intervenir, le cas échéant, au plus tard le 22 novembre 2013.</w:t>
      </w:r>
    </w:p>
    <w:p w:rsidR="000E0883" w:rsidRPr="000E0883" w:rsidRDefault="000E0883" w:rsidP="000E0883">
      <w:pPr>
        <w:ind w:left="720" w:hanging="720"/>
        <w:jc w:val="both"/>
        <w:rPr>
          <w:rFonts w:eastAsia="Times New Roman" w:cs="Times New Roman"/>
          <w:sz w:val="20"/>
          <w:szCs w:val="20"/>
          <w:lang w:val="fr-FR" w:eastAsia="en-CA"/>
        </w:rPr>
      </w:pPr>
    </w:p>
    <w:p w:rsidR="000E0883" w:rsidRPr="000E0883" w:rsidRDefault="000E0883" w:rsidP="000E0883">
      <w:pPr>
        <w:widowControl w:val="0"/>
        <w:numPr>
          <w:ilvl w:val="0"/>
          <w:numId w:val="8"/>
        </w:numPr>
        <w:tabs>
          <w:tab w:val="left" w:pos="-1440"/>
        </w:tabs>
        <w:autoSpaceDE w:val="0"/>
        <w:autoSpaceDN w:val="0"/>
        <w:adjustRightInd w:val="0"/>
        <w:ind w:hanging="720"/>
        <w:jc w:val="both"/>
        <w:outlineLvl w:val="0"/>
        <w:rPr>
          <w:rFonts w:eastAsia="Times New Roman" w:cs="Times New Roman"/>
          <w:sz w:val="20"/>
          <w:szCs w:val="20"/>
          <w:lang w:val="fr-FR" w:eastAsia="en-CA"/>
        </w:rPr>
      </w:pPr>
      <w:r w:rsidRPr="000E0883">
        <w:rPr>
          <w:rFonts w:eastAsia="Times New Roman" w:cs="Times New Roman"/>
          <w:sz w:val="20"/>
          <w:szCs w:val="20"/>
          <w:lang w:val="fr-FR" w:eastAsia="en-CA"/>
        </w:rPr>
        <w:t xml:space="preserve">Les répliques, le cas échéant, aux réponses aux demandes d’autorisation d’intervenir seront signifiées et déposées au plus tard le 26 novembre 2013. </w:t>
      </w:r>
    </w:p>
    <w:p w:rsidR="000E0883" w:rsidRPr="000E0883" w:rsidRDefault="000E0883" w:rsidP="000E0883">
      <w:pPr>
        <w:ind w:left="720" w:hanging="720"/>
        <w:contextualSpacing/>
        <w:rPr>
          <w:rFonts w:cs="Times New Roman"/>
          <w:sz w:val="20"/>
          <w:szCs w:val="20"/>
          <w:lang w:val="fr-FR"/>
        </w:rPr>
      </w:pPr>
    </w:p>
    <w:p w:rsidR="000E0883" w:rsidRPr="000E0883" w:rsidRDefault="000E0883" w:rsidP="000E0883">
      <w:pPr>
        <w:widowControl w:val="0"/>
        <w:numPr>
          <w:ilvl w:val="0"/>
          <w:numId w:val="8"/>
        </w:numPr>
        <w:tabs>
          <w:tab w:val="left" w:pos="-1440"/>
        </w:tabs>
        <w:autoSpaceDE w:val="0"/>
        <w:autoSpaceDN w:val="0"/>
        <w:adjustRightInd w:val="0"/>
        <w:ind w:hanging="720"/>
        <w:jc w:val="both"/>
        <w:outlineLvl w:val="0"/>
        <w:rPr>
          <w:rFonts w:eastAsia="Times New Roman" w:cs="Times New Roman"/>
          <w:sz w:val="20"/>
          <w:szCs w:val="20"/>
          <w:lang w:val="fr-FR" w:eastAsia="en-CA"/>
        </w:rPr>
      </w:pPr>
      <w:r w:rsidRPr="000E0883">
        <w:rPr>
          <w:rFonts w:eastAsia="Times New Roman" w:cs="Times New Roman"/>
          <w:sz w:val="20"/>
          <w:szCs w:val="20"/>
          <w:lang w:val="fr-FR" w:eastAsia="en-CA"/>
        </w:rPr>
        <w:t>Les dossier, mémoire et recueil de sources du procureur général du Canada seront signifiés et déposés au plus tard le 26 novembre 2013 et n’excéderont pas 40 pages, sauf ordonnance contraire.</w:t>
      </w:r>
    </w:p>
    <w:p w:rsidR="000E0883" w:rsidRPr="000E0883" w:rsidRDefault="000E0883" w:rsidP="000E0883">
      <w:pPr>
        <w:ind w:left="720" w:hanging="720"/>
        <w:contextualSpacing/>
        <w:rPr>
          <w:rFonts w:cs="Times New Roman"/>
          <w:sz w:val="20"/>
          <w:szCs w:val="20"/>
          <w:lang w:val="fr-FR"/>
        </w:rPr>
      </w:pPr>
    </w:p>
    <w:p w:rsidR="000E0883" w:rsidRPr="000E0883" w:rsidRDefault="000E0883" w:rsidP="000E0883">
      <w:pPr>
        <w:widowControl w:val="0"/>
        <w:numPr>
          <w:ilvl w:val="0"/>
          <w:numId w:val="8"/>
        </w:numPr>
        <w:autoSpaceDE w:val="0"/>
        <w:autoSpaceDN w:val="0"/>
        <w:adjustRightInd w:val="0"/>
        <w:ind w:hanging="720"/>
        <w:contextualSpacing/>
        <w:jc w:val="both"/>
        <w:outlineLvl w:val="0"/>
        <w:rPr>
          <w:rFonts w:eastAsia="Times New Roman" w:cs="Times New Roman"/>
          <w:sz w:val="20"/>
          <w:szCs w:val="20"/>
          <w:lang w:val="fr-FR" w:eastAsia="en-CA"/>
        </w:rPr>
      </w:pPr>
      <w:r w:rsidRPr="000E0883">
        <w:rPr>
          <w:rFonts w:eastAsia="Times New Roman" w:cs="Times New Roman"/>
          <w:sz w:val="20"/>
          <w:szCs w:val="20"/>
          <w:lang w:val="fr-FR" w:eastAsia="en-CA"/>
        </w:rPr>
        <w:t xml:space="preserve">Les dossiers (le cas échéant), les mémoires et recueils de sources des procureurs généraux des provinces et ministres de la Justice des territoires intervenant en application du par. 53(5) de la </w:t>
      </w:r>
      <w:r w:rsidRPr="000E0883">
        <w:rPr>
          <w:rFonts w:eastAsia="Times New Roman" w:cs="Times New Roman"/>
          <w:i/>
          <w:sz w:val="20"/>
          <w:szCs w:val="20"/>
          <w:lang w:val="fr-FR" w:eastAsia="en-CA"/>
        </w:rPr>
        <w:t>Loi sur la Cour suprême</w:t>
      </w:r>
      <w:r w:rsidRPr="000E0883">
        <w:rPr>
          <w:rFonts w:eastAsia="Times New Roman" w:cs="Times New Roman"/>
          <w:sz w:val="20"/>
          <w:szCs w:val="20"/>
          <w:lang w:val="fr-FR" w:eastAsia="en-CA"/>
        </w:rPr>
        <w:t xml:space="preserve"> seront signifiés et déposés au plus tard le 3 janvier 2014 et n’excéderont pas 40 pages, sauf ordonnance contraire. </w:t>
      </w:r>
    </w:p>
    <w:p w:rsidR="000E0883" w:rsidRPr="000E0883" w:rsidRDefault="000E0883" w:rsidP="000E0883">
      <w:pPr>
        <w:ind w:left="720" w:hanging="720"/>
        <w:contextualSpacing/>
        <w:rPr>
          <w:rFonts w:cs="Times New Roman"/>
          <w:sz w:val="20"/>
          <w:szCs w:val="20"/>
          <w:lang w:val="fr-FR"/>
        </w:rPr>
      </w:pPr>
    </w:p>
    <w:p w:rsidR="000E0883" w:rsidRPr="000E0883" w:rsidRDefault="000E0883" w:rsidP="000E0883">
      <w:pPr>
        <w:widowControl w:val="0"/>
        <w:numPr>
          <w:ilvl w:val="0"/>
          <w:numId w:val="8"/>
        </w:numPr>
        <w:autoSpaceDE w:val="0"/>
        <w:autoSpaceDN w:val="0"/>
        <w:adjustRightInd w:val="0"/>
        <w:ind w:hanging="720"/>
        <w:contextualSpacing/>
        <w:jc w:val="both"/>
        <w:outlineLvl w:val="0"/>
        <w:rPr>
          <w:rFonts w:eastAsia="Times New Roman" w:cs="Times New Roman"/>
          <w:sz w:val="20"/>
          <w:szCs w:val="20"/>
          <w:lang w:val="fr-FR" w:eastAsia="en-CA"/>
        </w:rPr>
      </w:pPr>
      <w:r w:rsidRPr="000E0883">
        <w:rPr>
          <w:rFonts w:eastAsia="Times New Roman" w:cs="Times New Roman"/>
          <w:sz w:val="20"/>
          <w:szCs w:val="20"/>
          <w:lang w:val="fr-FR" w:eastAsia="en-CA"/>
        </w:rPr>
        <w:t xml:space="preserve">Les mémoires et recueils de sources de toute personne ayant été autorisée à intervenir dans le renvoi seront signifiés et déposés au plus tard le 3 janvier 2014. </w:t>
      </w:r>
    </w:p>
    <w:p w:rsidR="000E0883" w:rsidRPr="000E0883" w:rsidRDefault="000E0883" w:rsidP="000E0883">
      <w:pPr>
        <w:ind w:left="720" w:hanging="720"/>
        <w:contextualSpacing/>
        <w:rPr>
          <w:rFonts w:cs="Times New Roman"/>
          <w:sz w:val="20"/>
          <w:szCs w:val="20"/>
          <w:lang w:val="fr-FR"/>
        </w:rPr>
      </w:pPr>
    </w:p>
    <w:p w:rsidR="000E0883" w:rsidRPr="000E0883" w:rsidRDefault="000E0883" w:rsidP="000E0883">
      <w:pPr>
        <w:widowControl w:val="0"/>
        <w:numPr>
          <w:ilvl w:val="0"/>
          <w:numId w:val="8"/>
        </w:numPr>
        <w:tabs>
          <w:tab w:val="left" w:pos="-1440"/>
        </w:tabs>
        <w:autoSpaceDE w:val="0"/>
        <w:autoSpaceDN w:val="0"/>
        <w:adjustRightInd w:val="0"/>
        <w:ind w:hanging="720"/>
        <w:jc w:val="both"/>
        <w:outlineLvl w:val="0"/>
        <w:rPr>
          <w:rFonts w:eastAsia="Times New Roman" w:cs="Times New Roman"/>
          <w:sz w:val="20"/>
          <w:szCs w:val="20"/>
          <w:lang w:val="fr-FR" w:eastAsia="en-CA"/>
        </w:rPr>
      </w:pPr>
      <w:r w:rsidRPr="000E0883">
        <w:rPr>
          <w:rFonts w:eastAsia="Times New Roman" w:cs="Times New Roman"/>
          <w:sz w:val="20"/>
          <w:szCs w:val="20"/>
          <w:lang w:val="fr-FR" w:eastAsia="en-CA"/>
        </w:rPr>
        <w:t xml:space="preserve">L’audition du renvoi est fixée au 15 janvier 2014. </w:t>
      </w:r>
    </w:p>
    <w:p w:rsidR="000E0883" w:rsidRPr="000E0883" w:rsidRDefault="000E0883" w:rsidP="000E0883">
      <w:pPr>
        <w:tabs>
          <w:tab w:val="left" w:pos="-1440"/>
          <w:tab w:val="left" w:pos="-720"/>
        </w:tabs>
        <w:jc w:val="both"/>
        <w:rPr>
          <w:rFonts w:eastAsia="Times New Roman" w:cs="Times New Roman"/>
          <w:sz w:val="20"/>
          <w:szCs w:val="20"/>
          <w:lang w:val="fr-FR" w:eastAsia="en-CA"/>
        </w:rPr>
      </w:pPr>
    </w:p>
    <w:p w:rsidR="000E0883" w:rsidRPr="000E0883" w:rsidRDefault="007368AD" w:rsidP="000E0883">
      <w:pPr>
        <w:tabs>
          <w:tab w:val="left" w:pos="-1440"/>
          <w:tab w:val="left" w:pos="-720"/>
        </w:tabs>
        <w:jc w:val="both"/>
        <w:rPr>
          <w:rFonts w:eastAsia="Times New Roman" w:cs="Times New Roman"/>
          <w:sz w:val="20"/>
          <w:szCs w:val="20"/>
          <w:lang w:val="fr-CA" w:eastAsia="en-CA"/>
        </w:rPr>
      </w:pPr>
      <w:r>
        <w:rPr>
          <w:rFonts w:eastAsia="Times New Roman" w:cs="Times New Roman"/>
          <w:sz w:val="20"/>
          <w:szCs w:val="20"/>
          <w:lang w:val="fr-CA" w:eastAsia="en-CA"/>
        </w:rPr>
        <w:pict>
          <v:rect id="_x0000_i1050" style="width:2in;height:1pt" o:hrpct="0" o:hralign="center" o:hrstd="t" o:hrnoshade="t" o:hr="t" fillcolor="black [3213]" stroked="f"/>
        </w:pict>
      </w:r>
    </w:p>
    <w:p w:rsidR="000E0883" w:rsidRPr="000E0883" w:rsidRDefault="000E0883" w:rsidP="000E0883">
      <w:pPr>
        <w:tabs>
          <w:tab w:val="left" w:pos="-1440"/>
          <w:tab w:val="left" w:pos="-720"/>
        </w:tabs>
        <w:jc w:val="both"/>
        <w:rPr>
          <w:rFonts w:eastAsia="Times New Roman" w:cs="Times New Roman"/>
          <w:sz w:val="20"/>
          <w:szCs w:val="20"/>
          <w:lang w:val="fr-CA" w:eastAsia="en-CA"/>
        </w:rPr>
      </w:pPr>
    </w:p>
    <w:p w:rsidR="000E0883" w:rsidRPr="000E0883" w:rsidRDefault="000E0883" w:rsidP="000E0883">
      <w:pPr>
        <w:tabs>
          <w:tab w:val="left" w:pos="-1440"/>
          <w:tab w:val="left" w:pos="-720"/>
        </w:tabs>
        <w:jc w:val="both"/>
        <w:rPr>
          <w:rFonts w:eastAsia="Times New Roman" w:cs="Times New Roman"/>
          <w:sz w:val="20"/>
          <w:szCs w:val="20"/>
          <w:lang w:val="fr-CA" w:eastAsia="en-CA"/>
        </w:rPr>
      </w:pPr>
      <w:r w:rsidRPr="000E0883">
        <w:rPr>
          <w:rFonts w:eastAsia="Times New Roman" w:cs="Times New Roman"/>
          <w:sz w:val="20"/>
          <w:szCs w:val="20"/>
          <w:lang w:val="fr-CA" w:eastAsia="en-CA"/>
        </w:rPr>
        <w:t>30.10.2013</w:t>
      </w:r>
    </w:p>
    <w:p w:rsidR="000E0883" w:rsidRPr="000E0883" w:rsidRDefault="000E0883" w:rsidP="000E0883">
      <w:pPr>
        <w:tabs>
          <w:tab w:val="left" w:pos="-1440"/>
          <w:tab w:val="left" w:pos="-720"/>
        </w:tabs>
        <w:jc w:val="both"/>
        <w:rPr>
          <w:rFonts w:eastAsia="Times New Roman" w:cs="Times New Roman"/>
          <w:sz w:val="20"/>
          <w:szCs w:val="20"/>
          <w:lang w:val="fr-CA" w:eastAsia="en-CA"/>
        </w:rPr>
      </w:pPr>
    </w:p>
    <w:p w:rsidR="000E0883" w:rsidRPr="000E0883" w:rsidRDefault="000E0883" w:rsidP="000E0883">
      <w:pPr>
        <w:tabs>
          <w:tab w:val="left" w:pos="-1440"/>
          <w:tab w:val="left" w:pos="-720"/>
        </w:tabs>
        <w:jc w:val="both"/>
        <w:rPr>
          <w:rFonts w:eastAsia="Times New Roman" w:cs="Times New Roman"/>
          <w:sz w:val="20"/>
          <w:szCs w:val="20"/>
          <w:lang w:val="fr-CA" w:eastAsia="en-CA"/>
        </w:rPr>
      </w:pPr>
      <w:r w:rsidRPr="000E0883">
        <w:rPr>
          <w:rFonts w:eastAsia="Times New Roman" w:cs="Times New Roman"/>
          <w:sz w:val="20"/>
          <w:szCs w:val="20"/>
          <w:lang w:val="fr-CA" w:eastAsia="en-CA"/>
        </w:rPr>
        <w:t>Before / Devant :   WAGNER J. / LE JUGE WAGNER</w:t>
      </w:r>
    </w:p>
    <w:p w:rsidR="000E0883" w:rsidRPr="000E0883" w:rsidRDefault="000E0883" w:rsidP="000E0883">
      <w:pPr>
        <w:tabs>
          <w:tab w:val="left" w:pos="-1440"/>
          <w:tab w:val="left" w:pos="-720"/>
        </w:tabs>
        <w:jc w:val="both"/>
        <w:rPr>
          <w:rFonts w:eastAsia="Times New Roman" w:cs="Times New Roman"/>
          <w:sz w:val="20"/>
          <w:szCs w:val="20"/>
          <w:lang w:val="fr-CA" w:eastAsia="en-CA"/>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8"/>
        <w:gridCol w:w="1170"/>
        <w:gridCol w:w="4327"/>
      </w:tblGrid>
      <w:tr w:rsidR="000E0883" w:rsidRPr="007368AD" w:rsidTr="00E4451A">
        <w:tc>
          <w:tcPr>
            <w:tcW w:w="4338" w:type="dxa"/>
          </w:tcPr>
          <w:p w:rsidR="000E0883" w:rsidRPr="000E0883" w:rsidRDefault="00047631" w:rsidP="000E0883">
            <w:pPr>
              <w:tabs>
                <w:tab w:val="left" w:pos="-1440"/>
                <w:tab w:val="left" w:pos="-720"/>
              </w:tabs>
              <w:jc w:val="both"/>
            </w:pPr>
            <w:r w:rsidRPr="000E0883">
              <w:rPr>
                <w:szCs w:val="24"/>
                <w:lang w:val="en-US"/>
              </w:rPr>
              <w:fldChar w:fldCharType="begin"/>
            </w:r>
            <w:r w:rsidR="000E0883" w:rsidRPr="000E0883">
              <w:rPr>
                <w:szCs w:val="24"/>
                <w:lang w:val="en-US"/>
              </w:rPr>
              <w:instrText xml:space="preserve"> SEQ CHAPTER \h \r 1</w:instrText>
            </w:r>
            <w:r w:rsidRPr="000E0883">
              <w:rPr>
                <w:szCs w:val="24"/>
                <w:lang w:val="en-US"/>
              </w:rPr>
              <w:fldChar w:fldCharType="end"/>
            </w:r>
            <w:r w:rsidR="000E0883" w:rsidRPr="000E0883">
              <w:rPr>
                <w:b/>
                <w:bCs/>
                <w:lang w:val="en-US"/>
              </w:rPr>
              <w:t>Motion to extend the time to serve and/or file the application for leave to appeal</w:t>
            </w:r>
          </w:p>
        </w:tc>
        <w:tc>
          <w:tcPr>
            <w:tcW w:w="1170" w:type="dxa"/>
          </w:tcPr>
          <w:p w:rsidR="000E0883" w:rsidRPr="000E0883" w:rsidRDefault="000E0883" w:rsidP="000E0883">
            <w:pPr>
              <w:tabs>
                <w:tab w:val="left" w:pos="-1440"/>
                <w:tab w:val="left" w:pos="-720"/>
              </w:tabs>
              <w:jc w:val="both"/>
            </w:pPr>
          </w:p>
          <w:p w:rsidR="000E0883" w:rsidRPr="000E0883" w:rsidRDefault="000E0883" w:rsidP="000E0883">
            <w:pPr>
              <w:tabs>
                <w:tab w:val="left" w:pos="-1440"/>
                <w:tab w:val="left" w:pos="-720"/>
              </w:tabs>
              <w:jc w:val="both"/>
            </w:pPr>
          </w:p>
          <w:p w:rsidR="000E0883" w:rsidRPr="000E0883" w:rsidRDefault="000E0883" w:rsidP="000E0883">
            <w:pPr>
              <w:tabs>
                <w:tab w:val="left" w:pos="-1440"/>
                <w:tab w:val="left" w:pos="-720"/>
              </w:tabs>
              <w:jc w:val="both"/>
            </w:pPr>
          </w:p>
          <w:p w:rsidR="000E0883" w:rsidRPr="000E0883" w:rsidRDefault="000E0883" w:rsidP="000E0883">
            <w:pPr>
              <w:tabs>
                <w:tab w:val="left" w:pos="-1440"/>
                <w:tab w:val="left" w:pos="-720"/>
              </w:tabs>
              <w:jc w:val="both"/>
            </w:pPr>
          </w:p>
        </w:tc>
        <w:tc>
          <w:tcPr>
            <w:tcW w:w="4327" w:type="dxa"/>
          </w:tcPr>
          <w:p w:rsidR="000E0883" w:rsidRPr="000E0883" w:rsidRDefault="00047631" w:rsidP="000E0883">
            <w:pPr>
              <w:tabs>
                <w:tab w:val="left" w:pos="-1440"/>
                <w:tab w:val="left" w:pos="-720"/>
              </w:tabs>
              <w:jc w:val="both"/>
              <w:rPr>
                <w:lang w:val="fr-CA"/>
              </w:rPr>
            </w:pPr>
            <w:r w:rsidRPr="000E0883">
              <w:rPr>
                <w:szCs w:val="24"/>
                <w:lang w:val="en-US"/>
              </w:rPr>
              <w:fldChar w:fldCharType="begin"/>
            </w:r>
            <w:r w:rsidR="000E0883" w:rsidRPr="000E0883">
              <w:rPr>
                <w:szCs w:val="24"/>
                <w:lang w:val="fr-CA"/>
              </w:rPr>
              <w:instrText xml:space="preserve"> SEQ CHAPTER \h \r 1</w:instrText>
            </w:r>
            <w:r w:rsidRPr="000E0883">
              <w:rPr>
                <w:szCs w:val="24"/>
                <w:lang w:val="en-US"/>
              </w:rPr>
              <w:fldChar w:fldCharType="end"/>
            </w:r>
            <w:r w:rsidR="000E0883" w:rsidRPr="000E0883">
              <w:rPr>
                <w:b/>
                <w:bCs/>
                <w:lang w:val="fr-CA"/>
              </w:rPr>
              <w:t xml:space="preserve">Requête en prorogation du délai de signification et/ou de dépôt de la demande d’autorisation d’appel </w:t>
            </w:r>
          </w:p>
        </w:tc>
      </w:tr>
      <w:tr w:rsidR="000E0883" w:rsidRPr="000E0883" w:rsidTr="00E4451A">
        <w:tc>
          <w:tcPr>
            <w:tcW w:w="4338" w:type="dxa"/>
          </w:tcPr>
          <w:p w:rsidR="000E0883" w:rsidRPr="000E0883" w:rsidRDefault="000E0883" w:rsidP="000E0883">
            <w:pPr>
              <w:tabs>
                <w:tab w:val="left" w:pos="-1440"/>
                <w:tab w:val="left" w:pos="-720"/>
              </w:tabs>
              <w:jc w:val="both"/>
              <w:rPr>
                <w:lang w:val="fr-CA"/>
              </w:rPr>
            </w:pPr>
            <w:r w:rsidRPr="000E0883">
              <w:rPr>
                <w:lang w:val="fr-CA"/>
              </w:rPr>
              <w:t>Thomas E. Bronson et al.</w:t>
            </w:r>
          </w:p>
          <w:p w:rsidR="000E0883" w:rsidRPr="000E0883" w:rsidRDefault="000E0883" w:rsidP="000E0883">
            <w:pPr>
              <w:tabs>
                <w:tab w:val="left" w:pos="-1440"/>
                <w:tab w:val="left" w:pos="-720"/>
              </w:tabs>
              <w:jc w:val="both"/>
              <w:rPr>
                <w:lang w:val="fr-CA"/>
              </w:rPr>
            </w:pPr>
          </w:p>
          <w:p w:rsidR="000E0883" w:rsidRPr="000E0883" w:rsidRDefault="000E0883" w:rsidP="000E0883">
            <w:pPr>
              <w:tabs>
                <w:tab w:val="left" w:pos="-1440"/>
                <w:tab w:val="left" w:pos="-720"/>
              </w:tabs>
              <w:jc w:val="both"/>
            </w:pPr>
            <w:r w:rsidRPr="000E0883">
              <w:rPr>
                <w:lang w:val="fr-CA"/>
              </w:rPr>
              <w:tab/>
            </w:r>
            <w:r w:rsidRPr="000E0883">
              <w:t>v. (35579)</w:t>
            </w:r>
          </w:p>
          <w:p w:rsidR="000E0883" w:rsidRPr="000E0883" w:rsidRDefault="000E0883" w:rsidP="000E0883">
            <w:pPr>
              <w:tabs>
                <w:tab w:val="left" w:pos="-1440"/>
                <w:tab w:val="left" w:pos="-720"/>
              </w:tabs>
              <w:jc w:val="both"/>
            </w:pPr>
          </w:p>
          <w:p w:rsidR="000E0883" w:rsidRPr="000E0883" w:rsidRDefault="000E0883" w:rsidP="000E0883">
            <w:pPr>
              <w:tabs>
                <w:tab w:val="left" w:pos="-1440"/>
                <w:tab w:val="left" w:pos="-720"/>
              </w:tabs>
              <w:jc w:val="both"/>
            </w:pPr>
            <w:r w:rsidRPr="000E0883">
              <w:t>Howard H. Hewitt al. (B.C.)</w:t>
            </w:r>
          </w:p>
        </w:tc>
        <w:tc>
          <w:tcPr>
            <w:tcW w:w="1170" w:type="dxa"/>
          </w:tcPr>
          <w:p w:rsidR="000E0883" w:rsidRPr="000E0883" w:rsidRDefault="000E0883" w:rsidP="000E0883">
            <w:pPr>
              <w:tabs>
                <w:tab w:val="left" w:pos="-1440"/>
                <w:tab w:val="left" w:pos="-720"/>
              </w:tabs>
              <w:jc w:val="both"/>
            </w:pPr>
          </w:p>
        </w:tc>
        <w:tc>
          <w:tcPr>
            <w:tcW w:w="4327" w:type="dxa"/>
          </w:tcPr>
          <w:p w:rsidR="000E0883" w:rsidRPr="000E0883" w:rsidRDefault="000E0883" w:rsidP="000E0883">
            <w:pPr>
              <w:tabs>
                <w:tab w:val="left" w:pos="-1440"/>
                <w:tab w:val="left" w:pos="-720"/>
              </w:tabs>
              <w:jc w:val="both"/>
            </w:pPr>
          </w:p>
        </w:tc>
      </w:tr>
    </w:tbl>
    <w:p w:rsidR="000E0883" w:rsidRPr="000E0883" w:rsidRDefault="000E0883" w:rsidP="000E0883">
      <w:pPr>
        <w:tabs>
          <w:tab w:val="left" w:pos="-1440"/>
          <w:tab w:val="left" w:pos="-720"/>
        </w:tabs>
        <w:jc w:val="both"/>
        <w:rPr>
          <w:rFonts w:eastAsia="Times New Roman" w:cs="Times New Roman"/>
          <w:b/>
          <w:sz w:val="20"/>
          <w:szCs w:val="20"/>
          <w:lang w:eastAsia="en-CA"/>
        </w:rPr>
      </w:pPr>
    </w:p>
    <w:p w:rsidR="000E0883" w:rsidRPr="000E0883" w:rsidRDefault="000E0883" w:rsidP="000E0883">
      <w:pPr>
        <w:tabs>
          <w:tab w:val="left" w:pos="-1440"/>
          <w:tab w:val="left" w:pos="-720"/>
        </w:tabs>
        <w:jc w:val="both"/>
        <w:rPr>
          <w:rFonts w:eastAsia="Times New Roman" w:cs="Times New Roman"/>
          <w:sz w:val="20"/>
          <w:szCs w:val="20"/>
          <w:lang w:eastAsia="en-CA"/>
        </w:rPr>
      </w:pPr>
      <w:r w:rsidRPr="000E0883">
        <w:rPr>
          <w:rFonts w:eastAsia="Times New Roman" w:cs="Times New Roman"/>
          <w:b/>
          <w:sz w:val="20"/>
          <w:szCs w:val="20"/>
          <w:lang w:eastAsia="en-CA"/>
        </w:rPr>
        <w:t>GRANTED / ACCORDÉE</w:t>
      </w:r>
    </w:p>
    <w:p w:rsidR="000E0883" w:rsidRPr="000E0883" w:rsidRDefault="000E0883" w:rsidP="000E0883">
      <w:pPr>
        <w:tabs>
          <w:tab w:val="left" w:pos="-1440"/>
          <w:tab w:val="left" w:pos="-720"/>
        </w:tabs>
        <w:jc w:val="both"/>
        <w:rPr>
          <w:rFonts w:eastAsia="Times New Roman" w:cs="Times New Roman"/>
          <w:sz w:val="20"/>
          <w:szCs w:val="20"/>
          <w:lang w:eastAsia="en-CA"/>
        </w:rPr>
      </w:pPr>
    </w:p>
    <w:p w:rsidR="000E0883" w:rsidRPr="000E0883" w:rsidRDefault="000E0883" w:rsidP="000E0883">
      <w:pPr>
        <w:tabs>
          <w:tab w:val="left" w:pos="-1440"/>
          <w:tab w:val="left" w:pos="-720"/>
        </w:tabs>
        <w:spacing w:line="-19" w:lineRule="auto"/>
        <w:jc w:val="both"/>
        <w:rPr>
          <w:rFonts w:eastAsia="Times New Roman" w:cs="Times New Roman"/>
          <w:sz w:val="20"/>
          <w:szCs w:val="20"/>
          <w:lang w:val="fr-CA" w:eastAsia="en-CA"/>
        </w:rPr>
      </w:pPr>
    </w:p>
    <w:p w:rsidR="000E0883" w:rsidRPr="000E0883" w:rsidRDefault="007368AD" w:rsidP="000E0883">
      <w:pPr>
        <w:tabs>
          <w:tab w:val="left" w:pos="-1440"/>
          <w:tab w:val="left" w:pos="-720"/>
        </w:tabs>
        <w:jc w:val="both"/>
        <w:rPr>
          <w:rFonts w:eastAsia="Times New Roman" w:cs="Times New Roman"/>
          <w:sz w:val="20"/>
          <w:szCs w:val="20"/>
          <w:lang w:eastAsia="en-CA"/>
        </w:rPr>
      </w:pPr>
      <w:r>
        <w:rPr>
          <w:rFonts w:eastAsia="Times New Roman" w:cs="Times New Roman"/>
          <w:sz w:val="20"/>
          <w:szCs w:val="20"/>
          <w:lang w:val="fr-CA" w:eastAsia="en-CA"/>
        </w:rPr>
        <w:pict>
          <v:rect id="_x0000_i1051" style="width:2in;height:1pt" o:hrpct="0" o:hralign="center" o:hrstd="t" o:hrnoshade="t" o:hr="t" fillcolor="black [3213]" stroked="f"/>
        </w:pict>
      </w:r>
    </w:p>
    <w:p w:rsidR="00890FEB" w:rsidRPr="00C50A5C" w:rsidRDefault="00890FEB" w:rsidP="00831CA9">
      <w:pPr>
        <w:jc w:val="both"/>
        <w:rPr>
          <w:sz w:val="20"/>
          <w:szCs w:val="20"/>
          <w:lang w:val="fr-CA"/>
        </w:rPr>
      </w:pPr>
    </w:p>
    <w:p w:rsidR="00831CA9" w:rsidRPr="00C50A5C" w:rsidRDefault="00831CA9" w:rsidP="00831CA9">
      <w:pPr>
        <w:jc w:val="both"/>
        <w:rPr>
          <w:sz w:val="20"/>
          <w:szCs w:val="20"/>
          <w:lang w:val="fr-CA"/>
        </w:rPr>
        <w:sectPr w:rsidR="00831CA9" w:rsidRPr="00C50A5C" w:rsidSect="00831CA9">
          <w:headerReference w:type="even" r:id="rId49"/>
          <w:headerReference w:type="default" r:id="rId50"/>
          <w:footerReference w:type="even" r:id="rId51"/>
          <w:footerReference w:type="default" r:id="rId52"/>
          <w:headerReference w:type="first" r:id="rId53"/>
          <w:footerReference w:type="first" r:id="rId54"/>
          <w:pgSz w:w="12240" w:h="15840"/>
          <w:pgMar w:top="720" w:right="965" w:bottom="1080" w:left="1656" w:header="720" w:footer="965" w:gutter="0"/>
          <w:cols w:space="720"/>
          <w:titlePg/>
          <w:docGrid w:linePitch="326"/>
        </w:sectPr>
      </w:pPr>
    </w:p>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410"/>
        <w:gridCol w:w="720"/>
        <w:gridCol w:w="4350"/>
      </w:tblGrid>
      <w:tr w:rsidR="00732DB7" w:rsidRPr="007368AD" w:rsidTr="0085476B">
        <w:trPr>
          <w:cantSplit/>
        </w:trPr>
        <w:tc>
          <w:tcPr>
            <w:tcW w:w="4410" w:type="dxa"/>
            <w:tcMar>
              <w:left w:w="0" w:type="dxa"/>
              <w:right w:w="0" w:type="dxa"/>
            </w:tcMar>
          </w:tcPr>
          <w:p w:rsidR="00C1697B" w:rsidRDefault="00732DB7" w:rsidP="00697C62">
            <w:pPr>
              <w:keepNext/>
              <w:keepLines/>
              <w:widowControl w:val="0"/>
              <w:jc w:val="both"/>
              <w:rPr>
                <w:b/>
                <w:szCs w:val="24"/>
              </w:rPr>
            </w:pPr>
            <w:r w:rsidRPr="00C1697B">
              <w:rPr>
                <w:b/>
                <w:szCs w:val="24"/>
              </w:rPr>
              <w:lastRenderedPageBreak/>
              <w:t>APPEALS HEARD SINCE LAST ISSUE AND DISPOSITION</w:t>
            </w:r>
          </w:p>
          <w:p w:rsidR="00732DB7" w:rsidRPr="00C1697B" w:rsidRDefault="00732DB7" w:rsidP="00C1697B">
            <w:pPr>
              <w:tabs>
                <w:tab w:val="left" w:pos="1116"/>
              </w:tabs>
              <w:rPr>
                <w:szCs w:val="24"/>
              </w:rPr>
            </w:pPr>
          </w:p>
        </w:tc>
        <w:tc>
          <w:tcPr>
            <w:tcW w:w="720" w:type="dxa"/>
            <w:tcMar>
              <w:left w:w="0" w:type="dxa"/>
              <w:right w:w="0" w:type="dxa"/>
            </w:tcMar>
          </w:tcPr>
          <w:p w:rsidR="00732DB7" w:rsidRPr="00C1697B" w:rsidRDefault="00732DB7" w:rsidP="00732DB7">
            <w:pPr>
              <w:keepNext/>
              <w:keepLines/>
              <w:widowControl w:val="0"/>
              <w:jc w:val="center"/>
              <w:rPr>
                <w:b/>
                <w:szCs w:val="24"/>
              </w:rPr>
            </w:pPr>
          </w:p>
          <w:p w:rsidR="00732DB7" w:rsidRPr="00C1697B" w:rsidRDefault="00732DB7" w:rsidP="00732DB7">
            <w:pPr>
              <w:keepNext/>
              <w:keepLines/>
              <w:widowControl w:val="0"/>
              <w:jc w:val="center"/>
              <w:rPr>
                <w:b/>
                <w:szCs w:val="24"/>
              </w:rPr>
            </w:pPr>
          </w:p>
          <w:p w:rsidR="00732DB7" w:rsidRPr="00C1697B" w:rsidRDefault="00732DB7" w:rsidP="00732DB7">
            <w:pPr>
              <w:keepNext/>
              <w:keepLines/>
              <w:widowControl w:val="0"/>
              <w:jc w:val="center"/>
              <w:rPr>
                <w:b/>
                <w:szCs w:val="24"/>
              </w:rPr>
            </w:pPr>
          </w:p>
        </w:tc>
        <w:tc>
          <w:tcPr>
            <w:tcW w:w="4350" w:type="dxa"/>
            <w:tcMar>
              <w:left w:w="0" w:type="dxa"/>
              <w:right w:w="0" w:type="dxa"/>
            </w:tcMar>
          </w:tcPr>
          <w:p w:rsidR="00732DB7" w:rsidRPr="00C1697B" w:rsidRDefault="00732DB7" w:rsidP="00697C62">
            <w:pPr>
              <w:keepNext/>
              <w:keepLines/>
              <w:widowControl w:val="0"/>
              <w:jc w:val="both"/>
              <w:rPr>
                <w:b/>
                <w:szCs w:val="24"/>
                <w:lang w:val="fr-CA"/>
              </w:rPr>
            </w:pPr>
            <w:r w:rsidRPr="00C1697B">
              <w:rPr>
                <w:b/>
                <w:szCs w:val="24"/>
                <w:lang w:val="fr-CA"/>
              </w:rPr>
              <w:t>APPELS ENTENDUS DEPUIS LA DERNIÈRE PARUTION ET RÉSULTAT</w:t>
            </w:r>
          </w:p>
        </w:tc>
      </w:tr>
    </w:tbl>
    <w:p w:rsidR="00732DB7" w:rsidRPr="00C50A5C" w:rsidRDefault="00732DB7" w:rsidP="00732DB7">
      <w:pPr>
        <w:widowControl w:val="0"/>
        <w:rPr>
          <w:sz w:val="20"/>
          <w:szCs w:val="20"/>
          <w:lang w:val="fr-CA"/>
        </w:rPr>
      </w:pPr>
    </w:p>
    <w:p w:rsidR="00732DB7" w:rsidRPr="00C50A5C" w:rsidRDefault="00DB0773" w:rsidP="00732DB7">
      <w:pPr>
        <w:widowControl w:val="0"/>
        <w:rPr>
          <w:sz w:val="20"/>
          <w:szCs w:val="20"/>
        </w:rPr>
      </w:pPr>
      <w:r>
        <w:rPr>
          <w:sz w:val="20"/>
          <w:szCs w:val="20"/>
        </w:rPr>
        <w:t>0</w:t>
      </w:r>
      <w:r w:rsidR="00732DB7" w:rsidRPr="00C50A5C">
        <w:rPr>
          <w:sz w:val="20"/>
          <w:szCs w:val="20"/>
        </w:rPr>
        <w:t>4.</w:t>
      </w:r>
      <w:r>
        <w:rPr>
          <w:sz w:val="20"/>
          <w:szCs w:val="20"/>
        </w:rPr>
        <w:t>11</w:t>
      </w:r>
      <w:r w:rsidR="00732DB7" w:rsidRPr="00C50A5C">
        <w:rPr>
          <w:sz w:val="20"/>
          <w:szCs w:val="20"/>
        </w:rPr>
        <w:t>.201</w:t>
      </w:r>
      <w:r>
        <w:rPr>
          <w:sz w:val="20"/>
          <w:szCs w:val="20"/>
        </w:rPr>
        <w:t>3</w:t>
      </w:r>
    </w:p>
    <w:p w:rsidR="00732DB7" w:rsidRDefault="00732DB7" w:rsidP="00732DB7">
      <w:pPr>
        <w:widowControl w:val="0"/>
        <w:rPr>
          <w:sz w:val="20"/>
          <w:szCs w:val="20"/>
        </w:rPr>
      </w:pPr>
    </w:p>
    <w:p w:rsidR="00342E1F" w:rsidRPr="00316763" w:rsidRDefault="00342E1F" w:rsidP="00342E1F">
      <w:pPr>
        <w:widowControl w:val="0"/>
        <w:ind w:left="720" w:hanging="720"/>
        <w:rPr>
          <w:sz w:val="20"/>
          <w:szCs w:val="20"/>
          <w:u w:val="single"/>
        </w:rPr>
      </w:pPr>
      <w:r w:rsidRPr="00316763">
        <w:rPr>
          <w:sz w:val="20"/>
          <w:szCs w:val="20"/>
        </w:rPr>
        <w:t xml:space="preserve">Coram: </w:t>
      </w:r>
      <w:r w:rsidRPr="00316763">
        <w:rPr>
          <w:sz w:val="20"/>
          <w:szCs w:val="20"/>
        </w:rPr>
        <w:tab/>
      </w:r>
      <w:r w:rsidRPr="00316763">
        <w:rPr>
          <w:sz w:val="20"/>
          <w:szCs w:val="20"/>
          <w:u w:val="single"/>
        </w:rPr>
        <w:t>LeBel, Abella, Rothstein, Cromwell, Moldaver, Karakatsanis and Wagner JJ.</w:t>
      </w:r>
    </w:p>
    <w:p w:rsidR="00732DB7" w:rsidRPr="00C50A5C" w:rsidRDefault="00732DB7" w:rsidP="00732DB7">
      <w:pPr>
        <w:widowControl w:val="0"/>
        <w:rPr>
          <w:b/>
          <w:sz w:val="20"/>
          <w:szCs w:val="20"/>
        </w:rPr>
      </w:pPr>
    </w:p>
    <w:tbl>
      <w:tblPr>
        <w:tblW w:w="0" w:type="auto"/>
        <w:tblLayout w:type="fixed"/>
        <w:tblCellMar>
          <w:left w:w="0" w:type="dxa"/>
          <w:right w:w="0" w:type="dxa"/>
        </w:tblCellMar>
        <w:tblLook w:val="0000" w:firstRow="0" w:lastRow="0" w:firstColumn="0" w:lastColumn="0" w:noHBand="0" w:noVBand="0"/>
      </w:tblPr>
      <w:tblGrid>
        <w:gridCol w:w="4380"/>
        <w:gridCol w:w="720"/>
        <w:gridCol w:w="4380"/>
      </w:tblGrid>
      <w:tr w:rsidR="00732DB7" w:rsidRPr="00C50A5C" w:rsidTr="00697C62">
        <w:tc>
          <w:tcPr>
            <w:tcW w:w="4380" w:type="dxa"/>
            <w:tcMar>
              <w:left w:w="0" w:type="dxa"/>
              <w:right w:w="0" w:type="dxa"/>
            </w:tcMar>
          </w:tcPr>
          <w:p w:rsidR="00DB0773" w:rsidRDefault="00DB0773" w:rsidP="00C1697B">
            <w:pPr>
              <w:widowControl w:val="0"/>
              <w:jc w:val="both"/>
              <w:rPr>
                <w:b/>
                <w:sz w:val="20"/>
                <w:szCs w:val="20"/>
              </w:rPr>
            </w:pPr>
            <w:r>
              <w:rPr>
                <w:b/>
                <w:sz w:val="20"/>
                <w:szCs w:val="20"/>
              </w:rPr>
              <w:t>Elizabeth Bernard</w:t>
            </w:r>
          </w:p>
          <w:p w:rsidR="00DB0773" w:rsidRDefault="00DB0773" w:rsidP="00C1697B">
            <w:pPr>
              <w:widowControl w:val="0"/>
              <w:jc w:val="both"/>
              <w:rPr>
                <w:b/>
                <w:sz w:val="20"/>
                <w:szCs w:val="20"/>
              </w:rPr>
            </w:pPr>
          </w:p>
          <w:p w:rsidR="00732DB7" w:rsidRPr="00C50A5C" w:rsidRDefault="00732DB7" w:rsidP="00C1697B">
            <w:pPr>
              <w:widowControl w:val="0"/>
              <w:tabs>
                <w:tab w:val="left" w:pos="736"/>
              </w:tabs>
              <w:jc w:val="both"/>
              <w:rPr>
                <w:b/>
                <w:sz w:val="20"/>
                <w:szCs w:val="20"/>
              </w:rPr>
            </w:pPr>
            <w:r w:rsidRPr="00C50A5C">
              <w:rPr>
                <w:b/>
                <w:sz w:val="20"/>
                <w:szCs w:val="20"/>
              </w:rPr>
              <w:tab/>
              <w:t xml:space="preserve">v. </w:t>
            </w:r>
            <w:r w:rsidR="00342E1F" w:rsidRPr="00316763">
              <w:rPr>
                <w:sz w:val="20"/>
                <w:szCs w:val="20"/>
              </w:rPr>
              <w:t>(</w:t>
            </w:r>
            <w:hyperlink r:id="rId55" w:history="1">
              <w:r w:rsidR="00342E1F" w:rsidRPr="00316763">
                <w:rPr>
                  <w:rStyle w:val="Hyperlink"/>
                  <w:sz w:val="20"/>
                  <w:szCs w:val="20"/>
                </w:rPr>
                <w:t>34819</w:t>
              </w:r>
            </w:hyperlink>
            <w:r w:rsidR="00342E1F" w:rsidRPr="00316763">
              <w:rPr>
                <w:sz w:val="20"/>
                <w:szCs w:val="20"/>
              </w:rPr>
              <w:t>)</w:t>
            </w:r>
          </w:p>
          <w:p w:rsidR="00732DB7" w:rsidRPr="00C50A5C" w:rsidRDefault="00732DB7" w:rsidP="00C1697B">
            <w:pPr>
              <w:widowControl w:val="0"/>
              <w:jc w:val="both"/>
              <w:rPr>
                <w:b/>
                <w:sz w:val="20"/>
                <w:szCs w:val="20"/>
              </w:rPr>
            </w:pPr>
          </w:p>
          <w:p w:rsidR="00732DB7" w:rsidRPr="00DB0773" w:rsidRDefault="00DB0773" w:rsidP="00DB0773">
            <w:pPr>
              <w:widowControl w:val="0"/>
              <w:jc w:val="both"/>
              <w:rPr>
                <w:sz w:val="20"/>
                <w:szCs w:val="20"/>
              </w:rPr>
            </w:pPr>
            <w:r>
              <w:rPr>
                <w:b/>
                <w:sz w:val="20"/>
                <w:szCs w:val="20"/>
              </w:rPr>
              <w:t>Attorney Gene</w:t>
            </w:r>
            <w:r w:rsidR="00732DB7" w:rsidRPr="00C50A5C">
              <w:rPr>
                <w:b/>
                <w:sz w:val="20"/>
                <w:szCs w:val="20"/>
              </w:rPr>
              <w:t>r</w:t>
            </w:r>
            <w:r>
              <w:rPr>
                <w:b/>
                <w:sz w:val="20"/>
                <w:szCs w:val="20"/>
              </w:rPr>
              <w:t xml:space="preserve">al of Canada </w:t>
            </w:r>
            <w:r w:rsidR="00732DB7" w:rsidRPr="00C50A5C">
              <w:rPr>
                <w:b/>
                <w:sz w:val="20"/>
                <w:szCs w:val="20"/>
              </w:rPr>
              <w:t>e</w:t>
            </w:r>
            <w:r>
              <w:rPr>
                <w:b/>
                <w:sz w:val="20"/>
                <w:szCs w:val="20"/>
              </w:rPr>
              <w:t xml:space="preserve">t al. </w:t>
            </w:r>
            <w:r w:rsidR="00732DB7" w:rsidRPr="00C50A5C">
              <w:rPr>
                <w:b/>
                <w:sz w:val="20"/>
                <w:szCs w:val="20"/>
              </w:rPr>
              <w:t>(</w:t>
            </w:r>
            <w:r>
              <w:rPr>
                <w:b/>
                <w:sz w:val="20"/>
                <w:szCs w:val="20"/>
              </w:rPr>
              <w:t>F</w:t>
            </w:r>
            <w:r w:rsidR="00732DB7" w:rsidRPr="00C50A5C">
              <w:rPr>
                <w:b/>
                <w:sz w:val="20"/>
                <w:szCs w:val="20"/>
              </w:rPr>
              <w:t>.C.) (Civil) (By Leave)</w:t>
            </w:r>
          </w:p>
        </w:tc>
        <w:tc>
          <w:tcPr>
            <w:tcW w:w="720" w:type="dxa"/>
            <w:tcMar>
              <w:left w:w="0" w:type="dxa"/>
              <w:right w:w="0" w:type="dxa"/>
            </w:tcMar>
          </w:tcPr>
          <w:p w:rsidR="00732DB7" w:rsidRPr="00DB0773" w:rsidRDefault="00732DB7" w:rsidP="00732DB7">
            <w:pPr>
              <w:widowControl w:val="0"/>
              <w:jc w:val="center"/>
              <w:rPr>
                <w:sz w:val="20"/>
                <w:szCs w:val="20"/>
              </w:rPr>
            </w:pPr>
          </w:p>
        </w:tc>
        <w:tc>
          <w:tcPr>
            <w:tcW w:w="4380" w:type="dxa"/>
            <w:tcMar>
              <w:left w:w="0" w:type="dxa"/>
              <w:right w:w="0" w:type="dxa"/>
            </w:tcMar>
          </w:tcPr>
          <w:p w:rsidR="00626D14" w:rsidRPr="00D20CC8" w:rsidRDefault="00626D14" w:rsidP="00626D14">
            <w:pPr>
              <w:jc w:val="both"/>
              <w:rPr>
                <w:sz w:val="20"/>
                <w:szCs w:val="20"/>
              </w:rPr>
            </w:pPr>
            <w:r w:rsidRPr="00D20CC8">
              <w:rPr>
                <w:sz w:val="20"/>
                <w:szCs w:val="20"/>
              </w:rPr>
              <w:t>Elizabeth Bernard</w:t>
            </w:r>
            <w:r>
              <w:rPr>
                <w:sz w:val="20"/>
                <w:szCs w:val="20"/>
              </w:rPr>
              <w:t xml:space="preserve"> f</w:t>
            </w:r>
            <w:r w:rsidRPr="00D20CC8">
              <w:rPr>
                <w:sz w:val="20"/>
                <w:szCs w:val="20"/>
              </w:rPr>
              <w:t xml:space="preserve">or the </w:t>
            </w:r>
            <w:r>
              <w:rPr>
                <w:sz w:val="20"/>
                <w:szCs w:val="20"/>
              </w:rPr>
              <w:t>a</w:t>
            </w:r>
            <w:r w:rsidRPr="00D20CC8">
              <w:rPr>
                <w:sz w:val="20"/>
                <w:szCs w:val="20"/>
              </w:rPr>
              <w:t xml:space="preserve">ppellant. </w:t>
            </w:r>
          </w:p>
          <w:p w:rsidR="00626D14" w:rsidRPr="00D20CC8" w:rsidRDefault="00626D14" w:rsidP="00626D14">
            <w:pPr>
              <w:jc w:val="both"/>
              <w:rPr>
                <w:sz w:val="20"/>
                <w:szCs w:val="20"/>
              </w:rPr>
            </w:pPr>
          </w:p>
          <w:p w:rsidR="00626D14" w:rsidRPr="00D20CC8" w:rsidRDefault="00626D14" w:rsidP="00626D14">
            <w:pPr>
              <w:jc w:val="both"/>
              <w:rPr>
                <w:sz w:val="20"/>
                <w:szCs w:val="20"/>
              </w:rPr>
            </w:pPr>
            <w:r w:rsidRPr="00D20CC8">
              <w:rPr>
                <w:sz w:val="20"/>
                <w:szCs w:val="20"/>
              </w:rPr>
              <w:t>Michael A. Feder</w:t>
            </w:r>
            <w:r>
              <w:rPr>
                <w:sz w:val="20"/>
                <w:szCs w:val="20"/>
              </w:rPr>
              <w:t xml:space="preserve"> and </w:t>
            </w:r>
            <w:r w:rsidRPr="00D20CC8">
              <w:rPr>
                <w:sz w:val="20"/>
                <w:szCs w:val="20"/>
              </w:rPr>
              <w:t>Angela Juba</w:t>
            </w:r>
            <w:r>
              <w:rPr>
                <w:sz w:val="20"/>
                <w:szCs w:val="20"/>
              </w:rPr>
              <w:t xml:space="preserve"> f</w:t>
            </w:r>
            <w:r w:rsidRPr="00D20CC8">
              <w:rPr>
                <w:sz w:val="20"/>
                <w:szCs w:val="20"/>
              </w:rPr>
              <w:t>or the Amicus Curiae.</w:t>
            </w:r>
            <w:r w:rsidRPr="00D20CC8">
              <w:rPr>
                <w:sz w:val="20"/>
                <w:szCs w:val="20"/>
              </w:rPr>
              <w:tab/>
            </w:r>
          </w:p>
          <w:p w:rsidR="00626D14" w:rsidRPr="00D20CC8" w:rsidRDefault="00626D14" w:rsidP="00626D14">
            <w:pPr>
              <w:jc w:val="both"/>
              <w:rPr>
                <w:sz w:val="20"/>
                <w:szCs w:val="20"/>
              </w:rPr>
            </w:pPr>
          </w:p>
          <w:p w:rsidR="00626D14" w:rsidRPr="00D20CC8" w:rsidRDefault="00626D14" w:rsidP="00626D14">
            <w:pPr>
              <w:jc w:val="both"/>
              <w:rPr>
                <w:sz w:val="20"/>
                <w:szCs w:val="20"/>
              </w:rPr>
            </w:pPr>
            <w:r w:rsidRPr="00D20CC8">
              <w:rPr>
                <w:sz w:val="20"/>
                <w:szCs w:val="20"/>
              </w:rPr>
              <w:t>Eugene Meehan, Q.C.</w:t>
            </w:r>
            <w:r>
              <w:rPr>
                <w:sz w:val="20"/>
                <w:szCs w:val="20"/>
              </w:rPr>
              <w:t xml:space="preserve">, </w:t>
            </w:r>
            <w:r w:rsidRPr="00D20CC8">
              <w:rPr>
                <w:sz w:val="20"/>
                <w:szCs w:val="20"/>
              </w:rPr>
              <w:t>Patricia Kosseim</w:t>
            </w:r>
            <w:r>
              <w:rPr>
                <w:sz w:val="20"/>
                <w:szCs w:val="20"/>
              </w:rPr>
              <w:t xml:space="preserve"> and </w:t>
            </w:r>
            <w:r w:rsidRPr="00D20CC8">
              <w:rPr>
                <w:sz w:val="20"/>
                <w:szCs w:val="20"/>
              </w:rPr>
              <w:t>Kate Wilson</w:t>
            </w:r>
            <w:r>
              <w:rPr>
                <w:sz w:val="20"/>
                <w:szCs w:val="20"/>
              </w:rPr>
              <w:t xml:space="preserve"> f</w:t>
            </w:r>
            <w:r w:rsidRPr="00D20CC8">
              <w:rPr>
                <w:sz w:val="20"/>
                <w:szCs w:val="20"/>
              </w:rPr>
              <w:t xml:space="preserve">or the </w:t>
            </w:r>
            <w:r>
              <w:rPr>
                <w:sz w:val="20"/>
                <w:szCs w:val="20"/>
              </w:rPr>
              <w:t>i</w:t>
            </w:r>
            <w:r w:rsidRPr="00D20CC8">
              <w:rPr>
                <w:sz w:val="20"/>
                <w:szCs w:val="20"/>
              </w:rPr>
              <w:t>ntervener</w:t>
            </w:r>
            <w:r>
              <w:rPr>
                <w:sz w:val="20"/>
                <w:szCs w:val="20"/>
              </w:rPr>
              <w:t xml:space="preserve"> </w:t>
            </w:r>
            <w:r w:rsidRPr="00D20CC8">
              <w:rPr>
                <w:sz w:val="20"/>
                <w:szCs w:val="20"/>
              </w:rPr>
              <w:t>Privacy Commissioner of Canada</w:t>
            </w:r>
            <w:r>
              <w:rPr>
                <w:sz w:val="20"/>
                <w:szCs w:val="20"/>
              </w:rPr>
              <w:t>.</w:t>
            </w:r>
          </w:p>
          <w:p w:rsidR="00626D14" w:rsidRPr="00D20CC8" w:rsidRDefault="00626D14" w:rsidP="00626D14">
            <w:pPr>
              <w:jc w:val="both"/>
              <w:rPr>
                <w:sz w:val="20"/>
                <w:szCs w:val="20"/>
              </w:rPr>
            </w:pPr>
          </w:p>
          <w:p w:rsidR="00626D14" w:rsidRPr="00D20CC8" w:rsidRDefault="00626D14" w:rsidP="00626D14">
            <w:pPr>
              <w:jc w:val="both"/>
              <w:rPr>
                <w:sz w:val="20"/>
                <w:szCs w:val="20"/>
              </w:rPr>
            </w:pPr>
            <w:r w:rsidRPr="00D20CC8">
              <w:rPr>
                <w:sz w:val="20"/>
                <w:szCs w:val="20"/>
              </w:rPr>
              <w:t>Mark A. Gelowitz</w:t>
            </w:r>
            <w:r>
              <w:rPr>
                <w:sz w:val="20"/>
                <w:szCs w:val="20"/>
              </w:rPr>
              <w:t xml:space="preserve"> and </w:t>
            </w:r>
            <w:r w:rsidRPr="00D20CC8">
              <w:rPr>
                <w:sz w:val="20"/>
                <w:szCs w:val="20"/>
              </w:rPr>
              <w:t>Gerard Kennedy</w:t>
            </w:r>
            <w:r>
              <w:rPr>
                <w:sz w:val="20"/>
                <w:szCs w:val="20"/>
              </w:rPr>
              <w:t xml:space="preserve"> f</w:t>
            </w:r>
            <w:r w:rsidRPr="00D20CC8">
              <w:rPr>
                <w:sz w:val="20"/>
                <w:szCs w:val="20"/>
              </w:rPr>
              <w:t xml:space="preserve">or the </w:t>
            </w:r>
            <w:r>
              <w:rPr>
                <w:sz w:val="20"/>
                <w:szCs w:val="20"/>
              </w:rPr>
              <w:t>i</w:t>
            </w:r>
            <w:r w:rsidRPr="00D20CC8">
              <w:rPr>
                <w:sz w:val="20"/>
                <w:szCs w:val="20"/>
              </w:rPr>
              <w:t>ntervener</w:t>
            </w:r>
            <w:r>
              <w:rPr>
                <w:sz w:val="20"/>
                <w:szCs w:val="20"/>
              </w:rPr>
              <w:t xml:space="preserve"> </w:t>
            </w:r>
            <w:r w:rsidRPr="00D20CC8">
              <w:rPr>
                <w:sz w:val="20"/>
                <w:szCs w:val="20"/>
              </w:rPr>
              <w:t>Canadian Constitution Foundation</w:t>
            </w:r>
            <w:r>
              <w:rPr>
                <w:sz w:val="20"/>
                <w:szCs w:val="20"/>
              </w:rPr>
              <w:t>.</w:t>
            </w:r>
          </w:p>
          <w:p w:rsidR="00626D14" w:rsidRPr="00D20CC8" w:rsidRDefault="00626D14" w:rsidP="00626D14">
            <w:pPr>
              <w:jc w:val="both"/>
              <w:rPr>
                <w:sz w:val="20"/>
                <w:szCs w:val="20"/>
              </w:rPr>
            </w:pPr>
          </w:p>
          <w:p w:rsidR="00626D14" w:rsidRPr="00D20CC8" w:rsidRDefault="00626D14" w:rsidP="00626D14">
            <w:pPr>
              <w:jc w:val="both"/>
              <w:rPr>
                <w:sz w:val="20"/>
                <w:szCs w:val="20"/>
              </w:rPr>
            </w:pPr>
            <w:r w:rsidRPr="00D20CC8">
              <w:rPr>
                <w:sz w:val="20"/>
                <w:szCs w:val="20"/>
              </w:rPr>
              <w:t>Anne M. Turley</w:t>
            </w:r>
            <w:r>
              <w:rPr>
                <w:sz w:val="20"/>
                <w:szCs w:val="20"/>
              </w:rPr>
              <w:t xml:space="preserve"> f</w:t>
            </w:r>
            <w:r w:rsidRPr="00D20CC8">
              <w:rPr>
                <w:sz w:val="20"/>
                <w:szCs w:val="20"/>
              </w:rPr>
              <w:t xml:space="preserve">or the </w:t>
            </w:r>
            <w:r>
              <w:rPr>
                <w:sz w:val="20"/>
                <w:szCs w:val="20"/>
              </w:rPr>
              <w:t>r</w:t>
            </w:r>
            <w:r w:rsidRPr="00D20CC8">
              <w:rPr>
                <w:sz w:val="20"/>
                <w:szCs w:val="20"/>
              </w:rPr>
              <w:t>espondent</w:t>
            </w:r>
            <w:r>
              <w:rPr>
                <w:sz w:val="20"/>
                <w:szCs w:val="20"/>
              </w:rPr>
              <w:t xml:space="preserve"> </w:t>
            </w:r>
            <w:r w:rsidRPr="00D20CC8">
              <w:rPr>
                <w:sz w:val="20"/>
                <w:szCs w:val="20"/>
              </w:rPr>
              <w:t>Attorney General of Canada</w:t>
            </w:r>
            <w:r>
              <w:rPr>
                <w:sz w:val="20"/>
                <w:szCs w:val="20"/>
              </w:rPr>
              <w:t>.</w:t>
            </w:r>
          </w:p>
          <w:p w:rsidR="00626D14" w:rsidRPr="00D20CC8" w:rsidRDefault="00626D14" w:rsidP="00626D14">
            <w:pPr>
              <w:jc w:val="both"/>
              <w:rPr>
                <w:sz w:val="20"/>
                <w:szCs w:val="20"/>
              </w:rPr>
            </w:pPr>
          </w:p>
          <w:p w:rsidR="00626D14" w:rsidRPr="00D20CC8" w:rsidRDefault="00626D14" w:rsidP="00626D14">
            <w:pPr>
              <w:jc w:val="both"/>
              <w:rPr>
                <w:sz w:val="20"/>
                <w:szCs w:val="20"/>
              </w:rPr>
            </w:pPr>
            <w:r w:rsidRPr="00D20CC8">
              <w:rPr>
                <w:sz w:val="20"/>
                <w:szCs w:val="20"/>
              </w:rPr>
              <w:t>Peter C. Engelmann</w:t>
            </w:r>
            <w:r>
              <w:rPr>
                <w:sz w:val="20"/>
                <w:szCs w:val="20"/>
              </w:rPr>
              <w:t xml:space="preserve">, </w:t>
            </w:r>
            <w:r w:rsidRPr="00D20CC8">
              <w:rPr>
                <w:sz w:val="20"/>
                <w:szCs w:val="20"/>
              </w:rPr>
              <w:t>Colleen Bauman</w:t>
            </w:r>
            <w:r>
              <w:rPr>
                <w:sz w:val="20"/>
                <w:szCs w:val="20"/>
              </w:rPr>
              <w:t xml:space="preserve"> and </w:t>
            </w:r>
            <w:r w:rsidRPr="00D20CC8">
              <w:rPr>
                <w:sz w:val="20"/>
                <w:szCs w:val="20"/>
              </w:rPr>
              <w:t>Isabelle Roy</w:t>
            </w:r>
            <w:r>
              <w:rPr>
                <w:sz w:val="20"/>
                <w:szCs w:val="20"/>
              </w:rPr>
              <w:t xml:space="preserve"> f</w:t>
            </w:r>
            <w:r w:rsidRPr="00D20CC8">
              <w:rPr>
                <w:sz w:val="20"/>
                <w:szCs w:val="20"/>
              </w:rPr>
              <w:t xml:space="preserve">or the </w:t>
            </w:r>
            <w:r>
              <w:rPr>
                <w:sz w:val="20"/>
                <w:szCs w:val="20"/>
              </w:rPr>
              <w:t>r</w:t>
            </w:r>
            <w:r w:rsidRPr="00D20CC8">
              <w:rPr>
                <w:sz w:val="20"/>
                <w:szCs w:val="20"/>
              </w:rPr>
              <w:t>espondent</w:t>
            </w:r>
            <w:r>
              <w:rPr>
                <w:sz w:val="20"/>
                <w:szCs w:val="20"/>
              </w:rPr>
              <w:t xml:space="preserve"> </w:t>
            </w:r>
            <w:r w:rsidRPr="00D20CC8">
              <w:rPr>
                <w:sz w:val="20"/>
                <w:szCs w:val="20"/>
              </w:rPr>
              <w:t>Professional Institute of the Public Service of Canada</w:t>
            </w:r>
            <w:r>
              <w:rPr>
                <w:sz w:val="20"/>
                <w:szCs w:val="20"/>
              </w:rPr>
              <w:t>.</w:t>
            </w:r>
          </w:p>
          <w:p w:rsidR="00626D14" w:rsidRPr="00D20CC8" w:rsidRDefault="00626D14" w:rsidP="00626D14">
            <w:pPr>
              <w:jc w:val="both"/>
              <w:rPr>
                <w:sz w:val="20"/>
                <w:szCs w:val="20"/>
              </w:rPr>
            </w:pPr>
          </w:p>
          <w:p w:rsidR="00626D14" w:rsidRPr="00D20CC8" w:rsidRDefault="00626D14" w:rsidP="00626D14">
            <w:pPr>
              <w:jc w:val="both"/>
              <w:rPr>
                <w:sz w:val="20"/>
                <w:szCs w:val="20"/>
              </w:rPr>
            </w:pPr>
            <w:r w:rsidRPr="00D20CC8">
              <w:rPr>
                <w:sz w:val="20"/>
                <w:szCs w:val="20"/>
              </w:rPr>
              <w:t>S. Zachary Green</w:t>
            </w:r>
            <w:r>
              <w:rPr>
                <w:sz w:val="20"/>
                <w:szCs w:val="20"/>
              </w:rPr>
              <w:t xml:space="preserve"> f</w:t>
            </w:r>
            <w:r w:rsidRPr="00D20CC8">
              <w:rPr>
                <w:sz w:val="20"/>
                <w:szCs w:val="20"/>
              </w:rPr>
              <w:t xml:space="preserve">or the </w:t>
            </w:r>
            <w:r>
              <w:rPr>
                <w:sz w:val="20"/>
                <w:szCs w:val="20"/>
              </w:rPr>
              <w:t>i</w:t>
            </w:r>
            <w:r w:rsidRPr="00D20CC8">
              <w:rPr>
                <w:sz w:val="20"/>
                <w:szCs w:val="20"/>
              </w:rPr>
              <w:t>ntervener</w:t>
            </w:r>
            <w:r>
              <w:rPr>
                <w:sz w:val="20"/>
                <w:szCs w:val="20"/>
              </w:rPr>
              <w:t xml:space="preserve"> </w:t>
            </w:r>
            <w:r w:rsidRPr="00D20CC8">
              <w:rPr>
                <w:sz w:val="20"/>
                <w:szCs w:val="20"/>
              </w:rPr>
              <w:t>Attorney General of Ontario</w:t>
            </w:r>
            <w:r>
              <w:rPr>
                <w:sz w:val="20"/>
                <w:szCs w:val="20"/>
              </w:rPr>
              <w:t>.</w:t>
            </w:r>
          </w:p>
          <w:p w:rsidR="00626D14" w:rsidRPr="00D20CC8" w:rsidRDefault="00626D14" w:rsidP="00626D14">
            <w:pPr>
              <w:jc w:val="both"/>
              <w:rPr>
                <w:sz w:val="20"/>
                <w:szCs w:val="20"/>
              </w:rPr>
            </w:pPr>
          </w:p>
          <w:p w:rsidR="00626D14" w:rsidRPr="00D20CC8" w:rsidRDefault="00626D14" w:rsidP="00626D14">
            <w:pPr>
              <w:jc w:val="both"/>
              <w:rPr>
                <w:sz w:val="20"/>
                <w:szCs w:val="20"/>
              </w:rPr>
            </w:pPr>
            <w:r w:rsidRPr="00D20CC8">
              <w:rPr>
                <w:sz w:val="20"/>
                <w:szCs w:val="20"/>
              </w:rPr>
              <w:t>Keith Evans</w:t>
            </w:r>
            <w:r>
              <w:rPr>
                <w:sz w:val="20"/>
                <w:szCs w:val="20"/>
              </w:rPr>
              <w:t xml:space="preserve"> f</w:t>
            </w:r>
            <w:r w:rsidRPr="00D20CC8">
              <w:rPr>
                <w:sz w:val="20"/>
                <w:szCs w:val="20"/>
              </w:rPr>
              <w:t xml:space="preserve">or the </w:t>
            </w:r>
            <w:r>
              <w:rPr>
                <w:sz w:val="20"/>
                <w:szCs w:val="20"/>
              </w:rPr>
              <w:t>i</w:t>
            </w:r>
            <w:r w:rsidRPr="00D20CC8">
              <w:rPr>
                <w:sz w:val="20"/>
                <w:szCs w:val="20"/>
              </w:rPr>
              <w:t>ntervener</w:t>
            </w:r>
            <w:r>
              <w:rPr>
                <w:sz w:val="20"/>
                <w:szCs w:val="20"/>
              </w:rPr>
              <w:t xml:space="preserve"> </w:t>
            </w:r>
            <w:r w:rsidRPr="00D20CC8">
              <w:rPr>
                <w:sz w:val="20"/>
                <w:szCs w:val="20"/>
              </w:rPr>
              <w:t>Attorney General of British Columbia</w:t>
            </w:r>
            <w:r>
              <w:rPr>
                <w:sz w:val="20"/>
                <w:szCs w:val="20"/>
              </w:rPr>
              <w:t>.</w:t>
            </w:r>
          </w:p>
          <w:p w:rsidR="00626D14" w:rsidRPr="00D20CC8" w:rsidRDefault="00626D14" w:rsidP="00626D14">
            <w:pPr>
              <w:jc w:val="both"/>
              <w:rPr>
                <w:sz w:val="20"/>
                <w:szCs w:val="20"/>
              </w:rPr>
            </w:pPr>
          </w:p>
          <w:p w:rsidR="00626D14" w:rsidRPr="00D20CC8" w:rsidRDefault="00626D14" w:rsidP="00626D14">
            <w:pPr>
              <w:jc w:val="both"/>
              <w:rPr>
                <w:sz w:val="20"/>
                <w:szCs w:val="20"/>
              </w:rPr>
            </w:pPr>
            <w:r w:rsidRPr="00D20CC8">
              <w:rPr>
                <w:sz w:val="20"/>
                <w:szCs w:val="20"/>
              </w:rPr>
              <w:t>Roderick S. Wiltshire</w:t>
            </w:r>
            <w:r>
              <w:rPr>
                <w:sz w:val="20"/>
                <w:szCs w:val="20"/>
              </w:rPr>
              <w:t xml:space="preserve"> f</w:t>
            </w:r>
            <w:r w:rsidRPr="00D20CC8">
              <w:rPr>
                <w:sz w:val="20"/>
                <w:szCs w:val="20"/>
              </w:rPr>
              <w:t xml:space="preserve">or the </w:t>
            </w:r>
            <w:r>
              <w:rPr>
                <w:sz w:val="20"/>
                <w:szCs w:val="20"/>
              </w:rPr>
              <w:t>i</w:t>
            </w:r>
            <w:r w:rsidRPr="00D20CC8">
              <w:rPr>
                <w:sz w:val="20"/>
                <w:szCs w:val="20"/>
              </w:rPr>
              <w:t>ntervener</w:t>
            </w:r>
            <w:r>
              <w:rPr>
                <w:sz w:val="20"/>
                <w:szCs w:val="20"/>
              </w:rPr>
              <w:t xml:space="preserve"> </w:t>
            </w:r>
            <w:r w:rsidRPr="00D20CC8">
              <w:rPr>
                <w:sz w:val="20"/>
                <w:szCs w:val="20"/>
              </w:rPr>
              <w:t>Attorney General of Alberta</w:t>
            </w:r>
            <w:r>
              <w:rPr>
                <w:sz w:val="20"/>
                <w:szCs w:val="20"/>
              </w:rPr>
              <w:t>.</w:t>
            </w:r>
          </w:p>
          <w:p w:rsidR="00626D14" w:rsidRPr="00D20CC8" w:rsidRDefault="00626D14" w:rsidP="00626D14">
            <w:pPr>
              <w:jc w:val="both"/>
              <w:rPr>
                <w:sz w:val="20"/>
                <w:szCs w:val="20"/>
              </w:rPr>
            </w:pPr>
          </w:p>
          <w:p w:rsidR="00626D14" w:rsidRPr="00D20CC8" w:rsidRDefault="00626D14" w:rsidP="00626D14">
            <w:pPr>
              <w:jc w:val="both"/>
              <w:rPr>
                <w:sz w:val="20"/>
                <w:szCs w:val="20"/>
              </w:rPr>
            </w:pPr>
            <w:r w:rsidRPr="00D20CC8">
              <w:rPr>
                <w:sz w:val="20"/>
                <w:szCs w:val="20"/>
              </w:rPr>
              <w:t>Timothy Gleason</w:t>
            </w:r>
            <w:r>
              <w:rPr>
                <w:sz w:val="20"/>
                <w:szCs w:val="20"/>
              </w:rPr>
              <w:t xml:space="preserve"> and </w:t>
            </w:r>
            <w:r w:rsidRPr="00D20CC8">
              <w:rPr>
                <w:sz w:val="20"/>
                <w:szCs w:val="20"/>
              </w:rPr>
              <w:t>Sean Dewart</w:t>
            </w:r>
            <w:r>
              <w:rPr>
                <w:sz w:val="20"/>
                <w:szCs w:val="20"/>
              </w:rPr>
              <w:t xml:space="preserve"> f</w:t>
            </w:r>
            <w:r w:rsidRPr="00D20CC8">
              <w:rPr>
                <w:sz w:val="20"/>
                <w:szCs w:val="20"/>
              </w:rPr>
              <w:t xml:space="preserve">or the </w:t>
            </w:r>
            <w:r>
              <w:rPr>
                <w:sz w:val="20"/>
                <w:szCs w:val="20"/>
              </w:rPr>
              <w:t>i</w:t>
            </w:r>
            <w:r w:rsidRPr="00D20CC8">
              <w:rPr>
                <w:sz w:val="20"/>
                <w:szCs w:val="20"/>
              </w:rPr>
              <w:t>ntervener</w:t>
            </w:r>
            <w:r>
              <w:rPr>
                <w:sz w:val="20"/>
                <w:szCs w:val="20"/>
              </w:rPr>
              <w:t xml:space="preserve"> </w:t>
            </w:r>
            <w:r w:rsidRPr="00D20CC8">
              <w:rPr>
                <w:sz w:val="20"/>
                <w:szCs w:val="20"/>
              </w:rPr>
              <w:t>Canadian Civil Liberties Association</w:t>
            </w:r>
            <w:r>
              <w:rPr>
                <w:sz w:val="20"/>
                <w:szCs w:val="20"/>
              </w:rPr>
              <w:t>.</w:t>
            </w:r>
          </w:p>
          <w:p w:rsidR="00626D14" w:rsidRPr="00D20CC8" w:rsidRDefault="00626D14" w:rsidP="00626D14">
            <w:pPr>
              <w:jc w:val="both"/>
              <w:rPr>
                <w:sz w:val="20"/>
                <w:szCs w:val="20"/>
              </w:rPr>
            </w:pPr>
          </w:p>
          <w:p w:rsidR="00626D14" w:rsidRPr="00D20CC8" w:rsidRDefault="00626D14" w:rsidP="00626D14">
            <w:pPr>
              <w:jc w:val="both"/>
              <w:rPr>
                <w:sz w:val="20"/>
                <w:szCs w:val="20"/>
              </w:rPr>
            </w:pPr>
            <w:r w:rsidRPr="00D20CC8">
              <w:rPr>
                <w:sz w:val="20"/>
                <w:szCs w:val="20"/>
              </w:rPr>
              <w:t>John R. Carpenter</w:t>
            </w:r>
            <w:r>
              <w:rPr>
                <w:sz w:val="20"/>
                <w:szCs w:val="20"/>
              </w:rPr>
              <w:t xml:space="preserve"> and </w:t>
            </w:r>
            <w:r w:rsidRPr="00D20CC8">
              <w:rPr>
                <w:sz w:val="20"/>
                <w:szCs w:val="20"/>
              </w:rPr>
              <w:t>Kara O’Halloran</w:t>
            </w:r>
            <w:r>
              <w:rPr>
                <w:sz w:val="20"/>
                <w:szCs w:val="20"/>
              </w:rPr>
              <w:t xml:space="preserve"> f</w:t>
            </w:r>
            <w:r w:rsidRPr="00D20CC8">
              <w:rPr>
                <w:sz w:val="20"/>
                <w:szCs w:val="20"/>
              </w:rPr>
              <w:t xml:space="preserve">or the </w:t>
            </w:r>
            <w:r>
              <w:rPr>
                <w:sz w:val="20"/>
                <w:szCs w:val="20"/>
              </w:rPr>
              <w:t>i</w:t>
            </w:r>
            <w:r w:rsidRPr="00D20CC8">
              <w:rPr>
                <w:sz w:val="20"/>
                <w:szCs w:val="20"/>
              </w:rPr>
              <w:t>ntervener</w:t>
            </w:r>
            <w:r>
              <w:rPr>
                <w:sz w:val="20"/>
                <w:szCs w:val="20"/>
              </w:rPr>
              <w:t xml:space="preserve"> </w:t>
            </w:r>
            <w:r w:rsidRPr="00D20CC8">
              <w:rPr>
                <w:sz w:val="20"/>
                <w:szCs w:val="20"/>
              </w:rPr>
              <w:t>Alberta Federation of Labour</w:t>
            </w:r>
            <w:r>
              <w:rPr>
                <w:sz w:val="20"/>
                <w:szCs w:val="20"/>
              </w:rPr>
              <w:t>.</w:t>
            </w:r>
          </w:p>
          <w:p w:rsidR="00626D14" w:rsidRPr="00D20CC8" w:rsidRDefault="00626D14" w:rsidP="00626D14">
            <w:pPr>
              <w:jc w:val="both"/>
              <w:rPr>
                <w:sz w:val="20"/>
                <w:szCs w:val="20"/>
              </w:rPr>
            </w:pPr>
          </w:p>
          <w:p w:rsidR="00626D14" w:rsidRPr="00D20CC8" w:rsidRDefault="00626D14" w:rsidP="00626D14">
            <w:pPr>
              <w:jc w:val="both"/>
              <w:rPr>
                <w:sz w:val="20"/>
                <w:szCs w:val="20"/>
              </w:rPr>
            </w:pPr>
            <w:r w:rsidRPr="00D20CC8">
              <w:rPr>
                <w:sz w:val="20"/>
                <w:szCs w:val="20"/>
              </w:rPr>
              <w:t>John B. Laskin</w:t>
            </w:r>
            <w:r>
              <w:rPr>
                <w:sz w:val="20"/>
                <w:szCs w:val="20"/>
              </w:rPr>
              <w:t xml:space="preserve"> f</w:t>
            </w:r>
            <w:r w:rsidRPr="00D20CC8">
              <w:rPr>
                <w:sz w:val="20"/>
                <w:szCs w:val="20"/>
              </w:rPr>
              <w:t xml:space="preserve">or the </w:t>
            </w:r>
            <w:r>
              <w:rPr>
                <w:sz w:val="20"/>
                <w:szCs w:val="20"/>
              </w:rPr>
              <w:t>i</w:t>
            </w:r>
            <w:r w:rsidRPr="00D20CC8">
              <w:rPr>
                <w:sz w:val="20"/>
                <w:szCs w:val="20"/>
              </w:rPr>
              <w:t>ntervener</w:t>
            </w:r>
            <w:r>
              <w:rPr>
                <w:sz w:val="20"/>
                <w:szCs w:val="20"/>
              </w:rPr>
              <w:t xml:space="preserve"> </w:t>
            </w:r>
            <w:r w:rsidRPr="00D20CC8">
              <w:rPr>
                <w:sz w:val="20"/>
                <w:szCs w:val="20"/>
              </w:rPr>
              <w:t>Public Service Labour Relations Board</w:t>
            </w:r>
            <w:r>
              <w:rPr>
                <w:sz w:val="20"/>
                <w:szCs w:val="20"/>
              </w:rPr>
              <w:t>.</w:t>
            </w:r>
          </w:p>
          <w:p w:rsidR="00626D14" w:rsidRPr="00D20CC8" w:rsidRDefault="00626D14" w:rsidP="00626D14">
            <w:pPr>
              <w:jc w:val="both"/>
              <w:rPr>
                <w:sz w:val="20"/>
                <w:szCs w:val="20"/>
              </w:rPr>
            </w:pPr>
          </w:p>
          <w:p w:rsidR="00626D14" w:rsidRPr="00D20CC8" w:rsidRDefault="00626D14" w:rsidP="00626D14">
            <w:pPr>
              <w:jc w:val="both"/>
              <w:rPr>
                <w:sz w:val="20"/>
                <w:szCs w:val="20"/>
              </w:rPr>
            </w:pPr>
            <w:r w:rsidRPr="00D20CC8">
              <w:rPr>
                <w:sz w:val="20"/>
                <w:szCs w:val="20"/>
              </w:rPr>
              <w:t xml:space="preserve">Written </w:t>
            </w:r>
            <w:r>
              <w:rPr>
                <w:sz w:val="20"/>
                <w:szCs w:val="20"/>
              </w:rPr>
              <w:t xml:space="preserve">submission only by </w:t>
            </w:r>
            <w:r w:rsidRPr="00D20CC8">
              <w:rPr>
                <w:sz w:val="20"/>
                <w:szCs w:val="20"/>
              </w:rPr>
              <w:t>Andrew Raven</w:t>
            </w:r>
            <w:r>
              <w:rPr>
                <w:sz w:val="20"/>
                <w:szCs w:val="20"/>
              </w:rPr>
              <w:t xml:space="preserve"> f</w:t>
            </w:r>
            <w:r w:rsidRPr="00D20CC8">
              <w:rPr>
                <w:sz w:val="20"/>
                <w:szCs w:val="20"/>
              </w:rPr>
              <w:t xml:space="preserve">or the </w:t>
            </w:r>
            <w:r>
              <w:rPr>
                <w:sz w:val="20"/>
                <w:szCs w:val="20"/>
              </w:rPr>
              <w:t>i</w:t>
            </w:r>
            <w:r w:rsidRPr="00D20CC8">
              <w:rPr>
                <w:sz w:val="20"/>
                <w:szCs w:val="20"/>
              </w:rPr>
              <w:t>ntervener</w:t>
            </w:r>
            <w:r>
              <w:rPr>
                <w:sz w:val="20"/>
                <w:szCs w:val="20"/>
              </w:rPr>
              <w:t xml:space="preserve"> </w:t>
            </w:r>
            <w:r w:rsidRPr="00D20CC8">
              <w:rPr>
                <w:sz w:val="20"/>
                <w:szCs w:val="20"/>
              </w:rPr>
              <w:t>Public Service Alliance of Canada</w:t>
            </w:r>
            <w:r>
              <w:rPr>
                <w:sz w:val="20"/>
                <w:szCs w:val="20"/>
              </w:rPr>
              <w:t xml:space="preserve">. </w:t>
            </w:r>
          </w:p>
          <w:p w:rsidR="00626D14" w:rsidRPr="00D20CC8" w:rsidRDefault="00626D14" w:rsidP="00626D14">
            <w:pPr>
              <w:jc w:val="both"/>
              <w:rPr>
                <w:sz w:val="20"/>
                <w:szCs w:val="20"/>
              </w:rPr>
            </w:pPr>
          </w:p>
          <w:p w:rsidR="00626D14" w:rsidRPr="00D20CC8" w:rsidRDefault="00626D14" w:rsidP="00626D14">
            <w:pPr>
              <w:jc w:val="both"/>
              <w:rPr>
                <w:sz w:val="20"/>
                <w:szCs w:val="20"/>
              </w:rPr>
            </w:pPr>
            <w:r w:rsidRPr="00D20CC8">
              <w:rPr>
                <w:sz w:val="20"/>
                <w:szCs w:val="20"/>
              </w:rPr>
              <w:t>Written</w:t>
            </w:r>
            <w:r>
              <w:rPr>
                <w:sz w:val="20"/>
                <w:szCs w:val="20"/>
              </w:rPr>
              <w:t xml:space="preserve"> </w:t>
            </w:r>
            <w:r w:rsidRPr="00D20CC8">
              <w:rPr>
                <w:sz w:val="20"/>
                <w:szCs w:val="20"/>
              </w:rPr>
              <w:t>submission only</w:t>
            </w:r>
            <w:r>
              <w:rPr>
                <w:sz w:val="20"/>
                <w:szCs w:val="20"/>
              </w:rPr>
              <w:t xml:space="preserve"> f</w:t>
            </w:r>
            <w:r w:rsidRPr="00D20CC8">
              <w:rPr>
                <w:sz w:val="20"/>
                <w:szCs w:val="20"/>
              </w:rPr>
              <w:t xml:space="preserve">or the </w:t>
            </w:r>
            <w:r>
              <w:rPr>
                <w:sz w:val="20"/>
                <w:szCs w:val="20"/>
              </w:rPr>
              <w:t>i</w:t>
            </w:r>
            <w:r w:rsidRPr="00D20CC8">
              <w:rPr>
                <w:sz w:val="20"/>
                <w:szCs w:val="20"/>
              </w:rPr>
              <w:t>ntervener</w:t>
            </w:r>
            <w:r>
              <w:rPr>
                <w:sz w:val="20"/>
                <w:szCs w:val="20"/>
              </w:rPr>
              <w:t xml:space="preserve"> </w:t>
            </w:r>
            <w:r w:rsidRPr="00D20CC8">
              <w:rPr>
                <w:sz w:val="20"/>
                <w:szCs w:val="20"/>
              </w:rPr>
              <w:t>Canadian Association of Counsel to Employers</w:t>
            </w:r>
            <w:r>
              <w:rPr>
                <w:sz w:val="20"/>
                <w:szCs w:val="20"/>
              </w:rPr>
              <w:t>.</w:t>
            </w:r>
          </w:p>
          <w:p w:rsidR="00626D14" w:rsidRPr="00D20CC8" w:rsidRDefault="00626D14" w:rsidP="00626D14">
            <w:pPr>
              <w:jc w:val="both"/>
              <w:rPr>
                <w:sz w:val="20"/>
                <w:szCs w:val="20"/>
              </w:rPr>
            </w:pPr>
          </w:p>
          <w:p w:rsidR="00732DB7" w:rsidRPr="00C50A5C" w:rsidRDefault="00626D14" w:rsidP="00626D14">
            <w:pPr>
              <w:jc w:val="both"/>
              <w:rPr>
                <w:sz w:val="20"/>
                <w:szCs w:val="20"/>
              </w:rPr>
            </w:pPr>
            <w:r w:rsidRPr="00D20CC8">
              <w:rPr>
                <w:sz w:val="20"/>
                <w:szCs w:val="20"/>
              </w:rPr>
              <w:t>Written</w:t>
            </w:r>
            <w:r>
              <w:rPr>
                <w:sz w:val="20"/>
                <w:szCs w:val="20"/>
              </w:rPr>
              <w:t xml:space="preserve"> </w:t>
            </w:r>
            <w:r w:rsidRPr="00D20CC8">
              <w:rPr>
                <w:sz w:val="20"/>
                <w:szCs w:val="20"/>
              </w:rPr>
              <w:t>submission only</w:t>
            </w:r>
            <w:r>
              <w:rPr>
                <w:sz w:val="20"/>
                <w:szCs w:val="20"/>
              </w:rPr>
              <w:t xml:space="preserve"> f</w:t>
            </w:r>
            <w:r w:rsidRPr="00D20CC8">
              <w:rPr>
                <w:sz w:val="20"/>
                <w:szCs w:val="20"/>
              </w:rPr>
              <w:t xml:space="preserve">or the </w:t>
            </w:r>
            <w:r>
              <w:rPr>
                <w:sz w:val="20"/>
                <w:szCs w:val="20"/>
              </w:rPr>
              <w:t>i</w:t>
            </w:r>
            <w:r w:rsidRPr="00D20CC8">
              <w:rPr>
                <w:sz w:val="20"/>
                <w:szCs w:val="20"/>
              </w:rPr>
              <w:t>ntervener</w:t>
            </w:r>
            <w:r>
              <w:rPr>
                <w:sz w:val="20"/>
                <w:szCs w:val="20"/>
              </w:rPr>
              <w:t xml:space="preserve"> </w:t>
            </w:r>
            <w:r w:rsidRPr="00D20CC8">
              <w:rPr>
                <w:sz w:val="20"/>
                <w:szCs w:val="20"/>
              </w:rPr>
              <w:t>Coalition of British Columbia</w:t>
            </w:r>
            <w:r>
              <w:rPr>
                <w:sz w:val="20"/>
                <w:szCs w:val="20"/>
              </w:rPr>
              <w:t xml:space="preserve"> </w:t>
            </w:r>
            <w:r w:rsidRPr="00D20CC8">
              <w:rPr>
                <w:sz w:val="20"/>
                <w:szCs w:val="20"/>
              </w:rPr>
              <w:t>Businesses and Merit Canada</w:t>
            </w:r>
            <w:r>
              <w:rPr>
                <w:sz w:val="20"/>
                <w:szCs w:val="20"/>
              </w:rPr>
              <w:t>.</w:t>
            </w:r>
          </w:p>
        </w:tc>
      </w:tr>
    </w:tbl>
    <w:p w:rsidR="00C1697B" w:rsidRDefault="00C1697B" w:rsidP="00C1697B">
      <w:pPr>
        <w:widowControl w:val="0"/>
      </w:pPr>
    </w:p>
    <w:p w:rsidR="00C1697B" w:rsidRPr="0085476B" w:rsidRDefault="00C1697B" w:rsidP="00C1697B">
      <w:pPr>
        <w:widowControl w:val="0"/>
        <w:rPr>
          <w:sz w:val="20"/>
          <w:szCs w:val="20"/>
        </w:rPr>
      </w:pPr>
      <w:r w:rsidRPr="0085476B">
        <w:rPr>
          <w:b/>
          <w:sz w:val="20"/>
          <w:szCs w:val="20"/>
        </w:rPr>
        <w:t xml:space="preserve">RESERVED / </w:t>
      </w:r>
      <w:r w:rsidRPr="0085476B">
        <w:rPr>
          <w:b/>
          <w:sz w:val="20"/>
          <w:szCs w:val="20"/>
          <w:lang w:val="fr-CA"/>
        </w:rPr>
        <w:t>EN DÉLIBÉRÉ</w:t>
      </w:r>
    </w:p>
    <w:p w:rsidR="00C1697B" w:rsidRDefault="00C1697B"/>
    <w:tbl>
      <w:tblPr>
        <w:tblW w:w="0" w:type="auto"/>
        <w:tblLayout w:type="fixed"/>
        <w:tblCellMar>
          <w:left w:w="0" w:type="dxa"/>
          <w:right w:w="0" w:type="dxa"/>
        </w:tblCellMar>
        <w:tblLook w:val="0000" w:firstRow="0" w:lastRow="0" w:firstColumn="0" w:lastColumn="0" w:noHBand="0" w:noVBand="0"/>
      </w:tblPr>
      <w:tblGrid>
        <w:gridCol w:w="4380"/>
        <w:gridCol w:w="720"/>
        <w:gridCol w:w="4380"/>
      </w:tblGrid>
      <w:tr w:rsidR="00C1697B" w:rsidRPr="007368AD" w:rsidTr="00C1697B">
        <w:tc>
          <w:tcPr>
            <w:tcW w:w="4380" w:type="dxa"/>
            <w:tcMar>
              <w:left w:w="0" w:type="dxa"/>
              <w:right w:w="0" w:type="dxa"/>
            </w:tcMar>
          </w:tcPr>
          <w:p w:rsidR="00C1697B" w:rsidRPr="00CC4D84" w:rsidRDefault="00C1697B" w:rsidP="00C1697B">
            <w:pPr>
              <w:widowControl w:val="0"/>
              <w:jc w:val="both"/>
              <w:rPr>
                <w:b/>
                <w:sz w:val="20"/>
                <w:szCs w:val="20"/>
                <w:u w:val="single"/>
              </w:rPr>
            </w:pPr>
            <w:r w:rsidRPr="00CC4D84">
              <w:rPr>
                <w:b/>
                <w:sz w:val="20"/>
                <w:szCs w:val="20"/>
                <w:u w:val="single"/>
              </w:rPr>
              <w:lastRenderedPageBreak/>
              <w:t>Nature of the case:</w:t>
            </w:r>
          </w:p>
          <w:p w:rsidR="00C1697B" w:rsidRPr="00C1697B" w:rsidRDefault="00C1697B" w:rsidP="00C1697B">
            <w:pPr>
              <w:widowControl w:val="0"/>
              <w:jc w:val="both"/>
              <w:rPr>
                <w:b/>
                <w:sz w:val="20"/>
                <w:szCs w:val="20"/>
              </w:rPr>
            </w:pPr>
          </w:p>
          <w:p w:rsidR="00C1697B" w:rsidRPr="00C1697B" w:rsidRDefault="00C4491A" w:rsidP="00C1697B">
            <w:pPr>
              <w:widowControl w:val="0"/>
              <w:jc w:val="both"/>
              <w:rPr>
                <w:b/>
                <w:sz w:val="20"/>
                <w:szCs w:val="20"/>
              </w:rPr>
            </w:pPr>
            <w:r w:rsidRPr="005E4271">
              <w:rPr>
                <w:i/>
                <w:sz w:val="20"/>
                <w:szCs w:val="20"/>
              </w:rPr>
              <w:t>Charter</w:t>
            </w:r>
            <w:r w:rsidRPr="005E4271">
              <w:rPr>
                <w:sz w:val="20"/>
                <w:szCs w:val="20"/>
              </w:rPr>
              <w:t xml:space="preserve"> </w:t>
            </w:r>
            <w:r w:rsidRPr="005E4271">
              <w:rPr>
                <w:sz w:val="20"/>
                <w:szCs w:val="20"/>
              </w:rPr>
              <w:noBreakHyphen/>
              <w:t xml:space="preserve"> Freedom of association </w:t>
            </w:r>
            <w:r w:rsidRPr="005E4271">
              <w:rPr>
                <w:sz w:val="20"/>
                <w:szCs w:val="20"/>
              </w:rPr>
              <w:noBreakHyphen/>
              <w:t xml:space="preserve"> Privacy law </w:t>
            </w:r>
            <w:r w:rsidRPr="005E4271">
              <w:rPr>
                <w:sz w:val="20"/>
                <w:szCs w:val="20"/>
              </w:rPr>
              <w:noBreakHyphen/>
              <w:t xml:space="preserve"> Labour relations </w:t>
            </w:r>
            <w:r w:rsidRPr="005E4271">
              <w:rPr>
                <w:sz w:val="20"/>
                <w:szCs w:val="20"/>
              </w:rPr>
              <w:noBreakHyphen/>
              <w:t xml:space="preserve"> Administrative law </w:t>
            </w:r>
            <w:r w:rsidRPr="005E4271">
              <w:rPr>
                <w:sz w:val="20"/>
                <w:szCs w:val="20"/>
              </w:rPr>
              <w:noBreakHyphen/>
              <w:t xml:space="preserve"> Judicial review </w:t>
            </w:r>
            <w:r w:rsidRPr="005E4271">
              <w:rPr>
                <w:sz w:val="20"/>
                <w:szCs w:val="20"/>
              </w:rPr>
              <w:noBreakHyphen/>
              <w:t xml:space="preserve"> Standard of review </w:t>
            </w:r>
            <w:r w:rsidRPr="005E4271">
              <w:rPr>
                <w:sz w:val="20"/>
                <w:szCs w:val="20"/>
              </w:rPr>
              <w:noBreakHyphen/>
              <w:t xml:space="preserve"> What is the appropriate standard of review? </w:t>
            </w:r>
            <w:r w:rsidRPr="005E4271">
              <w:rPr>
                <w:sz w:val="20"/>
                <w:szCs w:val="20"/>
              </w:rPr>
              <w:noBreakHyphen/>
              <w:t xml:space="preserve"> Whether the provision of home contact information to the unions is a consistent use under para. 8(2)(a) of the </w:t>
            </w:r>
            <w:r w:rsidRPr="005E4271">
              <w:rPr>
                <w:i/>
                <w:sz w:val="20"/>
                <w:szCs w:val="20"/>
              </w:rPr>
              <w:t>Privacy Act</w:t>
            </w:r>
            <w:r w:rsidRPr="005E4271">
              <w:rPr>
                <w:sz w:val="20"/>
                <w:szCs w:val="20"/>
              </w:rPr>
              <w:t>, R.S.C. 1985, c. P</w:t>
            </w:r>
            <w:r w:rsidRPr="005E4271">
              <w:rPr>
                <w:sz w:val="20"/>
                <w:szCs w:val="20"/>
              </w:rPr>
              <w:noBreakHyphen/>
              <w:t xml:space="preserve">21 </w:t>
            </w:r>
            <w:r w:rsidRPr="005E4271">
              <w:rPr>
                <w:sz w:val="20"/>
                <w:szCs w:val="20"/>
              </w:rPr>
              <w:noBreakHyphen/>
            </w:r>
            <w:r w:rsidRPr="005E4271">
              <w:rPr>
                <w:b/>
                <w:sz w:val="20"/>
                <w:szCs w:val="20"/>
              </w:rPr>
              <w:t xml:space="preserve"> </w:t>
            </w:r>
            <w:r w:rsidRPr="005E4271">
              <w:rPr>
                <w:sz w:val="20"/>
                <w:szCs w:val="20"/>
              </w:rPr>
              <w:t xml:space="preserve">Do sections 185 and 186(1)(a) of the </w:t>
            </w:r>
            <w:r w:rsidRPr="005E4271">
              <w:rPr>
                <w:i/>
                <w:sz w:val="20"/>
                <w:szCs w:val="20"/>
              </w:rPr>
              <w:t>Public Service Labour Relations Act</w:t>
            </w:r>
            <w:r w:rsidRPr="005E4271">
              <w:rPr>
                <w:sz w:val="20"/>
                <w:szCs w:val="20"/>
              </w:rPr>
              <w:t xml:space="preserve">, S.C. 2003, c. 22, violate s. 2(d) of the </w:t>
            </w:r>
            <w:r w:rsidRPr="005E4271">
              <w:rPr>
                <w:i/>
                <w:sz w:val="20"/>
                <w:szCs w:val="20"/>
              </w:rPr>
              <w:t>Canadian Charter of Rights and Freedoms</w:t>
            </w:r>
            <w:r w:rsidRPr="005E4271">
              <w:rPr>
                <w:sz w:val="20"/>
                <w:szCs w:val="20"/>
              </w:rPr>
              <w:t xml:space="preserve"> insofar as they have the effect of requiring an employer to provide a bargaining agent with the home address and home phone number of its employees? </w:t>
            </w:r>
            <w:r w:rsidRPr="005E4271">
              <w:rPr>
                <w:sz w:val="20"/>
                <w:szCs w:val="20"/>
              </w:rPr>
              <w:noBreakHyphen/>
              <w:t xml:space="preserve"> If so, is the infringement a reasonable limit prescribed by law, which can be demonstrably justified in a free and democratic society under s. 1 of the </w:t>
            </w:r>
            <w:r w:rsidRPr="005E4271">
              <w:rPr>
                <w:i/>
                <w:sz w:val="20"/>
                <w:szCs w:val="20"/>
              </w:rPr>
              <w:t>Canadian Charter of Rights and Freedoms</w:t>
            </w:r>
            <w:r w:rsidRPr="005E4271">
              <w:rPr>
                <w:sz w:val="20"/>
                <w:szCs w:val="20"/>
              </w:rPr>
              <w:t>?</w:t>
            </w:r>
          </w:p>
        </w:tc>
        <w:tc>
          <w:tcPr>
            <w:tcW w:w="720" w:type="dxa"/>
            <w:tcMar>
              <w:left w:w="0" w:type="dxa"/>
              <w:right w:w="0" w:type="dxa"/>
            </w:tcMar>
          </w:tcPr>
          <w:p w:rsidR="00C1697B" w:rsidRPr="00C1697B" w:rsidRDefault="00C1697B" w:rsidP="00C1697B">
            <w:pPr>
              <w:widowControl w:val="0"/>
              <w:jc w:val="center"/>
              <w:rPr>
                <w:sz w:val="20"/>
                <w:szCs w:val="20"/>
              </w:rPr>
            </w:pPr>
          </w:p>
        </w:tc>
        <w:tc>
          <w:tcPr>
            <w:tcW w:w="4380" w:type="dxa"/>
            <w:tcMar>
              <w:left w:w="0" w:type="dxa"/>
              <w:right w:w="0" w:type="dxa"/>
            </w:tcMar>
          </w:tcPr>
          <w:p w:rsidR="00C1697B" w:rsidRPr="00CC4D84" w:rsidRDefault="00C1697B" w:rsidP="00C1697B">
            <w:pPr>
              <w:widowControl w:val="0"/>
              <w:jc w:val="both"/>
              <w:rPr>
                <w:b/>
                <w:sz w:val="20"/>
                <w:szCs w:val="20"/>
                <w:u w:val="single"/>
                <w:lang w:val="fr-CA"/>
              </w:rPr>
            </w:pPr>
            <w:r w:rsidRPr="00CC4D84">
              <w:rPr>
                <w:b/>
                <w:sz w:val="20"/>
                <w:szCs w:val="20"/>
                <w:u w:val="single"/>
                <w:lang w:val="fr-CA"/>
              </w:rPr>
              <w:t>Nature de la cause :</w:t>
            </w:r>
          </w:p>
          <w:p w:rsidR="00C1697B" w:rsidRPr="00C1697B" w:rsidRDefault="00C1697B" w:rsidP="00C1697B">
            <w:pPr>
              <w:widowControl w:val="0"/>
              <w:jc w:val="both"/>
              <w:rPr>
                <w:sz w:val="20"/>
                <w:szCs w:val="20"/>
                <w:lang w:val="fr-CA"/>
              </w:rPr>
            </w:pPr>
          </w:p>
          <w:p w:rsidR="00C1697B" w:rsidRPr="00C1697B" w:rsidRDefault="00C4491A" w:rsidP="00C1697B">
            <w:pPr>
              <w:widowControl w:val="0"/>
              <w:jc w:val="both"/>
              <w:rPr>
                <w:sz w:val="20"/>
                <w:szCs w:val="20"/>
                <w:lang w:val="fr-CA"/>
              </w:rPr>
            </w:pPr>
            <w:r w:rsidRPr="00E02A09">
              <w:rPr>
                <w:i/>
                <w:sz w:val="20"/>
                <w:szCs w:val="20"/>
                <w:lang w:val="fr-CA"/>
              </w:rPr>
              <w:t>Charte</w:t>
            </w:r>
            <w:r w:rsidRPr="00E02A09">
              <w:rPr>
                <w:sz w:val="20"/>
                <w:szCs w:val="20"/>
                <w:lang w:val="fr-CA"/>
              </w:rPr>
              <w:t xml:space="preserve"> </w:t>
            </w:r>
            <w:r w:rsidRPr="00E02A09">
              <w:rPr>
                <w:sz w:val="20"/>
                <w:szCs w:val="20"/>
                <w:lang w:val="fr-CA"/>
              </w:rPr>
              <w:noBreakHyphen/>
              <w:t xml:space="preserve"> Liberté d’association </w:t>
            </w:r>
            <w:r w:rsidRPr="00E02A09">
              <w:rPr>
                <w:sz w:val="20"/>
                <w:szCs w:val="20"/>
                <w:lang w:val="fr-CA"/>
              </w:rPr>
              <w:noBreakHyphen/>
              <w:t xml:space="preserve"> Droit relatif au respect de la vie privée </w:t>
            </w:r>
            <w:r w:rsidRPr="00E02A09">
              <w:rPr>
                <w:sz w:val="20"/>
                <w:szCs w:val="20"/>
                <w:lang w:val="fr-CA"/>
              </w:rPr>
              <w:noBreakHyphen/>
              <w:t xml:space="preserve"> Relations du travail </w:t>
            </w:r>
            <w:r w:rsidRPr="00E02A09">
              <w:rPr>
                <w:sz w:val="20"/>
                <w:szCs w:val="20"/>
                <w:lang w:val="fr-CA"/>
              </w:rPr>
              <w:noBreakHyphen/>
              <w:t xml:space="preserve"> Droit administratif </w:t>
            </w:r>
            <w:r w:rsidRPr="00E02A09">
              <w:rPr>
                <w:sz w:val="20"/>
                <w:szCs w:val="20"/>
                <w:lang w:val="fr-CA"/>
              </w:rPr>
              <w:noBreakHyphen/>
              <w:t xml:space="preserve"> Contrôle judiciaire </w:t>
            </w:r>
            <w:r w:rsidRPr="00E02A09">
              <w:rPr>
                <w:sz w:val="20"/>
                <w:szCs w:val="20"/>
                <w:lang w:val="fr-CA"/>
              </w:rPr>
              <w:noBreakHyphen/>
              <w:t xml:space="preserve"> Norme de contrôle </w:t>
            </w:r>
            <w:r w:rsidRPr="00E02A09">
              <w:rPr>
                <w:sz w:val="20"/>
                <w:szCs w:val="20"/>
                <w:lang w:val="fr-CA"/>
              </w:rPr>
              <w:noBreakHyphen/>
              <w:t xml:space="preserve"> Quelle est la norme de contrôle appropriée? </w:t>
            </w:r>
            <w:r w:rsidRPr="00E02A09">
              <w:rPr>
                <w:sz w:val="20"/>
                <w:szCs w:val="20"/>
                <w:lang w:val="fr-CA"/>
              </w:rPr>
              <w:noBreakHyphen/>
              <w:t xml:space="preserve"> La communication de coordonnées personnelles aux syndicats est</w:t>
            </w:r>
            <w:r w:rsidRPr="00E02A09">
              <w:rPr>
                <w:sz w:val="20"/>
                <w:szCs w:val="20"/>
                <w:lang w:val="fr-CA"/>
              </w:rPr>
              <w:noBreakHyphen/>
              <w:t>elle un usage compatible au sens de l’al. 8(2)</w:t>
            </w:r>
            <w:r w:rsidRPr="00E02A09">
              <w:rPr>
                <w:i/>
                <w:sz w:val="20"/>
                <w:szCs w:val="20"/>
                <w:lang w:val="fr-CA"/>
              </w:rPr>
              <w:t>a)</w:t>
            </w:r>
            <w:r w:rsidRPr="00E02A09">
              <w:rPr>
                <w:sz w:val="20"/>
                <w:szCs w:val="20"/>
                <w:lang w:val="fr-CA"/>
              </w:rPr>
              <w:t xml:space="preserve"> de la </w:t>
            </w:r>
            <w:r w:rsidRPr="00E02A09">
              <w:rPr>
                <w:i/>
                <w:sz w:val="20"/>
                <w:szCs w:val="20"/>
                <w:lang w:val="fr-CA"/>
              </w:rPr>
              <w:t>Loi sur la protection des renseignements personnels</w:t>
            </w:r>
            <w:r w:rsidRPr="00E02A09">
              <w:rPr>
                <w:sz w:val="20"/>
                <w:szCs w:val="20"/>
                <w:lang w:val="fr-CA"/>
              </w:rPr>
              <w:t>, L.R.C. 1985, ch. P</w:t>
            </w:r>
            <w:r w:rsidRPr="00E02A09">
              <w:rPr>
                <w:sz w:val="20"/>
                <w:szCs w:val="20"/>
                <w:lang w:val="fr-CA"/>
              </w:rPr>
              <w:noBreakHyphen/>
              <w:t xml:space="preserve">21? </w:t>
            </w:r>
            <w:r w:rsidRPr="00E02A09">
              <w:rPr>
                <w:sz w:val="20"/>
                <w:szCs w:val="20"/>
                <w:lang w:val="fr-CA"/>
              </w:rPr>
              <w:noBreakHyphen/>
              <w:t xml:space="preserve"> L’article 185 et l’alinéa 186(1)a) de la </w:t>
            </w:r>
            <w:r w:rsidRPr="00E02A09">
              <w:rPr>
                <w:i/>
                <w:sz w:val="20"/>
                <w:szCs w:val="20"/>
                <w:lang w:val="fr-CA"/>
              </w:rPr>
              <w:t>Loi sur les relations de travail dans la fonction publique</w:t>
            </w:r>
            <w:r w:rsidRPr="00E02A09">
              <w:rPr>
                <w:sz w:val="20"/>
                <w:szCs w:val="20"/>
                <w:lang w:val="fr-CA"/>
              </w:rPr>
              <w:t>, L.C. 2003, ch. 22 violent</w:t>
            </w:r>
            <w:r w:rsidRPr="00E02A09">
              <w:rPr>
                <w:sz w:val="20"/>
                <w:szCs w:val="20"/>
                <w:lang w:val="fr-CA"/>
              </w:rPr>
              <w:noBreakHyphen/>
              <w:t>ils l’al. 2</w:t>
            </w:r>
            <w:r w:rsidRPr="00E02A09">
              <w:rPr>
                <w:i/>
                <w:sz w:val="20"/>
                <w:szCs w:val="20"/>
                <w:lang w:val="fr-CA"/>
              </w:rPr>
              <w:t>d)</w:t>
            </w:r>
            <w:r w:rsidRPr="00E02A09">
              <w:rPr>
                <w:sz w:val="20"/>
                <w:szCs w:val="20"/>
                <w:lang w:val="fr-CA"/>
              </w:rPr>
              <w:t xml:space="preserve"> de la </w:t>
            </w:r>
            <w:r w:rsidRPr="00E02A09">
              <w:rPr>
                <w:i/>
                <w:sz w:val="20"/>
                <w:szCs w:val="20"/>
                <w:lang w:val="fr-CA"/>
              </w:rPr>
              <w:t>Charte canadienne des droits et libertés</w:t>
            </w:r>
            <w:r w:rsidRPr="00E02A09">
              <w:rPr>
                <w:sz w:val="20"/>
                <w:szCs w:val="20"/>
                <w:lang w:val="fr-CA"/>
              </w:rPr>
              <w:t xml:space="preserve"> dans la mesure où ils ont pour effet d’obliger l’employeur à fournir à un agent négociateur l’adresse domiciliaire et le numéro de téléphone résidentiel de ses employés? </w:t>
            </w:r>
            <w:r w:rsidRPr="00E02A09">
              <w:rPr>
                <w:sz w:val="20"/>
                <w:szCs w:val="20"/>
                <w:lang w:val="fr-CA"/>
              </w:rPr>
              <w:noBreakHyphen/>
              <w:t xml:space="preserve"> Dans l’affirmative, cette violation constitue</w:t>
            </w:r>
            <w:r w:rsidRPr="00E02A09">
              <w:rPr>
                <w:sz w:val="20"/>
                <w:szCs w:val="20"/>
                <w:lang w:val="fr-CA"/>
              </w:rPr>
              <w:noBreakHyphen/>
              <w:t>t</w:t>
            </w:r>
            <w:r w:rsidRPr="00E02A09">
              <w:rPr>
                <w:sz w:val="20"/>
                <w:szCs w:val="20"/>
                <w:lang w:val="fr-CA"/>
              </w:rPr>
              <w:noBreakHyphen/>
              <w:t>elle une limite raisonnable prescrite par une règle de droit et dont la justification peut se démontrer dans le cadre d’une société libre et démocratique, au sens de l’article premier de la </w:t>
            </w:r>
            <w:r w:rsidRPr="00E02A09">
              <w:rPr>
                <w:i/>
                <w:iCs/>
                <w:sz w:val="20"/>
                <w:szCs w:val="20"/>
                <w:lang w:val="fr-CA"/>
              </w:rPr>
              <w:t>Charte canadienne des droits et libertés</w:t>
            </w:r>
            <w:r w:rsidRPr="00E02A09">
              <w:rPr>
                <w:sz w:val="20"/>
                <w:szCs w:val="20"/>
                <w:lang w:val="fr-CA"/>
              </w:rPr>
              <w:t>?</w:t>
            </w:r>
          </w:p>
        </w:tc>
      </w:tr>
    </w:tbl>
    <w:p w:rsidR="00732DB7" w:rsidRDefault="00732DB7" w:rsidP="00732DB7">
      <w:pPr>
        <w:widowControl w:val="0"/>
        <w:rPr>
          <w:sz w:val="20"/>
          <w:szCs w:val="20"/>
          <w:lang w:val="fr-CA"/>
        </w:rPr>
      </w:pPr>
    </w:p>
    <w:p w:rsidR="002A27D1" w:rsidRDefault="007368AD" w:rsidP="002A27D1">
      <w:pPr>
        <w:widowControl w:val="0"/>
        <w:rPr>
          <w:sz w:val="20"/>
          <w:szCs w:val="20"/>
        </w:rPr>
      </w:pPr>
      <w:r>
        <w:rPr>
          <w:sz w:val="20"/>
          <w:szCs w:val="20"/>
          <w:lang w:val="fr-CA"/>
        </w:rPr>
        <w:pict>
          <v:rect id="_x0000_i1054" style="width:2in;height:1pt" o:hrpct="0" o:hralign="center" o:hrstd="t" o:hrnoshade="t" o:hr="t" fillcolor="black [3213]" stroked="f"/>
        </w:pict>
      </w:r>
    </w:p>
    <w:p w:rsidR="002A27D1" w:rsidRDefault="002A27D1" w:rsidP="002A27D1">
      <w:pPr>
        <w:widowControl w:val="0"/>
        <w:rPr>
          <w:sz w:val="20"/>
          <w:szCs w:val="20"/>
        </w:rPr>
      </w:pPr>
    </w:p>
    <w:p w:rsidR="00DB0773" w:rsidRPr="00C50A5C" w:rsidRDefault="00DB0773" w:rsidP="00DB0773">
      <w:pPr>
        <w:widowControl w:val="0"/>
        <w:rPr>
          <w:sz w:val="20"/>
          <w:szCs w:val="20"/>
        </w:rPr>
      </w:pPr>
      <w:r>
        <w:rPr>
          <w:sz w:val="20"/>
          <w:szCs w:val="20"/>
        </w:rPr>
        <w:t>06</w:t>
      </w:r>
      <w:r w:rsidRPr="00C50A5C">
        <w:rPr>
          <w:sz w:val="20"/>
          <w:szCs w:val="20"/>
        </w:rPr>
        <w:t>.</w:t>
      </w:r>
      <w:r>
        <w:rPr>
          <w:sz w:val="20"/>
          <w:szCs w:val="20"/>
        </w:rPr>
        <w:t>11</w:t>
      </w:r>
      <w:r w:rsidRPr="00C50A5C">
        <w:rPr>
          <w:sz w:val="20"/>
          <w:szCs w:val="20"/>
        </w:rPr>
        <w:t>.201</w:t>
      </w:r>
      <w:r>
        <w:rPr>
          <w:sz w:val="20"/>
          <w:szCs w:val="20"/>
        </w:rPr>
        <w:t>3</w:t>
      </w:r>
    </w:p>
    <w:p w:rsidR="00DB0773" w:rsidRDefault="00DB0773" w:rsidP="00DB0773">
      <w:pPr>
        <w:widowControl w:val="0"/>
        <w:rPr>
          <w:sz w:val="20"/>
          <w:szCs w:val="20"/>
        </w:rPr>
      </w:pPr>
    </w:p>
    <w:p w:rsidR="008C335B" w:rsidRPr="00D873F7" w:rsidRDefault="008C335B" w:rsidP="008C335B">
      <w:pPr>
        <w:widowControl w:val="0"/>
        <w:ind w:left="720" w:hanging="720"/>
        <w:rPr>
          <w:sz w:val="20"/>
          <w:szCs w:val="20"/>
          <w:u w:val="single"/>
        </w:rPr>
      </w:pPr>
      <w:r w:rsidRPr="00D873F7">
        <w:rPr>
          <w:sz w:val="20"/>
          <w:szCs w:val="20"/>
        </w:rPr>
        <w:t xml:space="preserve">Coram: </w:t>
      </w:r>
      <w:r w:rsidRPr="00D873F7">
        <w:rPr>
          <w:sz w:val="20"/>
          <w:szCs w:val="20"/>
        </w:rPr>
        <w:tab/>
      </w:r>
      <w:r w:rsidRPr="00D873F7">
        <w:rPr>
          <w:sz w:val="20"/>
          <w:szCs w:val="20"/>
          <w:u w:val="single"/>
        </w:rPr>
        <w:t>McLachlin C.J. and LeBel, Abella, Rothstein, Cromwell, Karakatsanis and Wagner JJ.</w:t>
      </w:r>
    </w:p>
    <w:p w:rsidR="00DB0773" w:rsidRPr="00C50A5C" w:rsidRDefault="00DB0773" w:rsidP="00DB0773">
      <w:pPr>
        <w:widowControl w:val="0"/>
        <w:rPr>
          <w:b/>
          <w:sz w:val="20"/>
          <w:szCs w:val="20"/>
        </w:rPr>
      </w:pPr>
    </w:p>
    <w:tbl>
      <w:tblPr>
        <w:tblW w:w="0" w:type="auto"/>
        <w:tblLayout w:type="fixed"/>
        <w:tblCellMar>
          <w:left w:w="0" w:type="dxa"/>
          <w:right w:w="0" w:type="dxa"/>
        </w:tblCellMar>
        <w:tblLook w:val="0000" w:firstRow="0" w:lastRow="0" w:firstColumn="0" w:lastColumn="0" w:noHBand="0" w:noVBand="0"/>
      </w:tblPr>
      <w:tblGrid>
        <w:gridCol w:w="4380"/>
        <w:gridCol w:w="720"/>
        <w:gridCol w:w="4380"/>
      </w:tblGrid>
      <w:tr w:rsidR="00DB0773" w:rsidRPr="00C50A5C" w:rsidTr="00DB0773">
        <w:tc>
          <w:tcPr>
            <w:tcW w:w="4380" w:type="dxa"/>
            <w:tcMar>
              <w:left w:w="0" w:type="dxa"/>
              <w:right w:w="0" w:type="dxa"/>
            </w:tcMar>
          </w:tcPr>
          <w:p w:rsidR="008C335B" w:rsidRDefault="008C335B" w:rsidP="008C335B">
            <w:pPr>
              <w:widowControl w:val="0"/>
              <w:tabs>
                <w:tab w:val="left" w:pos="720"/>
                <w:tab w:val="left" w:pos="1440"/>
                <w:tab w:val="left" w:pos="2851"/>
                <w:tab w:val="left" w:pos="4320"/>
                <w:tab w:val="left" w:pos="10224"/>
                <w:tab w:val="left" w:pos="11376"/>
              </w:tabs>
              <w:jc w:val="both"/>
              <w:rPr>
                <w:b/>
                <w:sz w:val="20"/>
                <w:szCs w:val="20"/>
              </w:rPr>
            </w:pPr>
            <w:r w:rsidRPr="00D873F7">
              <w:rPr>
                <w:b/>
                <w:sz w:val="20"/>
                <w:szCs w:val="20"/>
              </w:rPr>
              <w:t xml:space="preserve">John Doe, Requester et al. </w:t>
            </w:r>
          </w:p>
          <w:p w:rsidR="008C335B" w:rsidRDefault="008C335B" w:rsidP="008C335B">
            <w:pPr>
              <w:widowControl w:val="0"/>
              <w:tabs>
                <w:tab w:val="left" w:pos="720"/>
                <w:tab w:val="left" w:pos="1440"/>
                <w:tab w:val="left" w:pos="2851"/>
                <w:tab w:val="left" w:pos="4320"/>
                <w:tab w:val="left" w:pos="10224"/>
                <w:tab w:val="left" w:pos="11376"/>
              </w:tabs>
              <w:jc w:val="both"/>
              <w:rPr>
                <w:b/>
                <w:sz w:val="20"/>
                <w:szCs w:val="20"/>
              </w:rPr>
            </w:pPr>
          </w:p>
          <w:p w:rsidR="008C335B" w:rsidRDefault="008C335B" w:rsidP="008C335B">
            <w:pPr>
              <w:widowControl w:val="0"/>
              <w:tabs>
                <w:tab w:val="left" w:pos="720"/>
                <w:tab w:val="left" w:pos="1440"/>
                <w:tab w:val="left" w:pos="2851"/>
                <w:tab w:val="left" w:pos="4320"/>
                <w:tab w:val="left" w:pos="10224"/>
                <w:tab w:val="left" w:pos="11376"/>
              </w:tabs>
              <w:jc w:val="both"/>
              <w:rPr>
                <w:b/>
                <w:sz w:val="20"/>
                <w:szCs w:val="20"/>
              </w:rPr>
            </w:pPr>
            <w:r>
              <w:rPr>
                <w:b/>
                <w:sz w:val="20"/>
                <w:szCs w:val="20"/>
              </w:rPr>
              <w:tab/>
            </w:r>
            <w:r w:rsidRPr="00D873F7">
              <w:rPr>
                <w:b/>
                <w:sz w:val="20"/>
                <w:szCs w:val="20"/>
              </w:rPr>
              <w:t xml:space="preserve">v. </w:t>
            </w:r>
            <w:r w:rsidRPr="008C335B">
              <w:rPr>
                <w:sz w:val="20"/>
                <w:szCs w:val="20"/>
              </w:rPr>
              <w:t>(</w:t>
            </w:r>
            <w:hyperlink r:id="rId56" w:history="1">
              <w:r w:rsidRPr="008C335B">
                <w:rPr>
                  <w:rStyle w:val="Hyperlink"/>
                  <w:sz w:val="20"/>
                  <w:szCs w:val="20"/>
                </w:rPr>
                <w:t>34828</w:t>
              </w:r>
            </w:hyperlink>
            <w:r w:rsidRPr="008C335B">
              <w:rPr>
                <w:sz w:val="20"/>
                <w:szCs w:val="20"/>
              </w:rPr>
              <w:t>)</w:t>
            </w:r>
          </w:p>
          <w:p w:rsidR="008C335B" w:rsidRDefault="008C335B" w:rsidP="008C335B">
            <w:pPr>
              <w:widowControl w:val="0"/>
              <w:tabs>
                <w:tab w:val="left" w:pos="720"/>
                <w:tab w:val="left" w:pos="1440"/>
                <w:tab w:val="left" w:pos="2851"/>
                <w:tab w:val="left" w:pos="4320"/>
                <w:tab w:val="left" w:pos="10224"/>
                <w:tab w:val="left" w:pos="11376"/>
              </w:tabs>
              <w:jc w:val="both"/>
              <w:rPr>
                <w:b/>
                <w:sz w:val="20"/>
                <w:szCs w:val="20"/>
              </w:rPr>
            </w:pPr>
          </w:p>
          <w:p w:rsidR="00DB0773" w:rsidRPr="00DB0773" w:rsidRDefault="008C335B" w:rsidP="008C335B">
            <w:pPr>
              <w:widowControl w:val="0"/>
              <w:jc w:val="both"/>
              <w:rPr>
                <w:sz w:val="20"/>
                <w:szCs w:val="20"/>
              </w:rPr>
            </w:pPr>
            <w:r w:rsidRPr="00D873F7">
              <w:rPr>
                <w:b/>
                <w:sz w:val="20"/>
                <w:szCs w:val="20"/>
              </w:rPr>
              <w:t xml:space="preserve">Minister of Finance for the Province of Ontario (Ont.) </w:t>
            </w:r>
            <w:r w:rsidRPr="008C335B">
              <w:rPr>
                <w:b/>
                <w:sz w:val="20"/>
                <w:szCs w:val="20"/>
              </w:rPr>
              <w:t>(Civil) (By Leave)</w:t>
            </w:r>
          </w:p>
        </w:tc>
        <w:tc>
          <w:tcPr>
            <w:tcW w:w="720" w:type="dxa"/>
            <w:tcMar>
              <w:left w:w="0" w:type="dxa"/>
              <w:right w:w="0" w:type="dxa"/>
            </w:tcMar>
          </w:tcPr>
          <w:p w:rsidR="00DB0773" w:rsidRPr="00DB0773" w:rsidRDefault="00DB0773" w:rsidP="00DB0773">
            <w:pPr>
              <w:widowControl w:val="0"/>
              <w:jc w:val="center"/>
              <w:rPr>
                <w:sz w:val="20"/>
                <w:szCs w:val="20"/>
              </w:rPr>
            </w:pPr>
          </w:p>
        </w:tc>
        <w:tc>
          <w:tcPr>
            <w:tcW w:w="4380" w:type="dxa"/>
            <w:tcMar>
              <w:left w:w="0" w:type="dxa"/>
              <w:right w:w="0" w:type="dxa"/>
            </w:tcMar>
          </w:tcPr>
          <w:p w:rsidR="00267AB0" w:rsidRPr="00452796" w:rsidRDefault="00267AB0" w:rsidP="00267AB0">
            <w:pPr>
              <w:pStyle w:val="SCCLsocParty"/>
              <w:jc w:val="both"/>
              <w:rPr>
                <w:b w:val="0"/>
                <w:sz w:val="20"/>
                <w:szCs w:val="20"/>
              </w:rPr>
            </w:pPr>
            <w:r w:rsidRPr="00452796">
              <w:rPr>
                <w:b w:val="0"/>
                <w:sz w:val="20"/>
                <w:szCs w:val="20"/>
              </w:rPr>
              <w:t>Alex D. Cameron</w:t>
            </w:r>
            <w:r>
              <w:rPr>
                <w:b w:val="0"/>
                <w:sz w:val="20"/>
                <w:szCs w:val="20"/>
              </w:rPr>
              <w:t xml:space="preserve">, </w:t>
            </w:r>
            <w:r w:rsidRPr="00452796">
              <w:rPr>
                <w:b w:val="0"/>
                <w:sz w:val="20"/>
                <w:szCs w:val="20"/>
              </w:rPr>
              <w:t>Alan M. Schwartz, Q.C.</w:t>
            </w:r>
            <w:r>
              <w:rPr>
                <w:b w:val="0"/>
                <w:sz w:val="20"/>
                <w:szCs w:val="20"/>
              </w:rPr>
              <w:t xml:space="preserve"> and </w:t>
            </w:r>
            <w:r w:rsidRPr="00452796">
              <w:rPr>
                <w:b w:val="0"/>
                <w:sz w:val="20"/>
                <w:szCs w:val="20"/>
              </w:rPr>
              <w:t>Kevin H. Yip</w:t>
            </w:r>
            <w:r>
              <w:rPr>
                <w:b w:val="0"/>
                <w:sz w:val="20"/>
                <w:szCs w:val="20"/>
              </w:rPr>
              <w:t xml:space="preserve"> f</w:t>
            </w:r>
            <w:r w:rsidRPr="00452796">
              <w:rPr>
                <w:b w:val="0"/>
                <w:sz w:val="20"/>
                <w:szCs w:val="20"/>
              </w:rPr>
              <w:t xml:space="preserve">or the </w:t>
            </w:r>
            <w:r>
              <w:rPr>
                <w:b w:val="0"/>
                <w:sz w:val="20"/>
                <w:szCs w:val="20"/>
              </w:rPr>
              <w:t>a</w:t>
            </w:r>
            <w:r w:rsidRPr="00452796">
              <w:rPr>
                <w:b w:val="0"/>
                <w:sz w:val="20"/>
                <w:szCs w:val="20"/>
              </w:rPr>
              <w:t>ppellant</w:t>
            </w:r>
            <w:r>
              <w:rPr>
                <w:b w:val="0"/>
                <w:sz w:val="20"/>
                <w:szCs w:val="20"/>
              </w:rPr>
              <w:t xml:space="preserve"> </w:t>
            </w:r>
            <w:r w:rsidRPr="00452796">
              <w:rPr>
                <w:b w:val="0"/>
                <w:sz w:val="20"/>
                <w:szCs w:val="20"/>
              </w:rPr>
              <w:t>John Doe, Requester</w:t>
            </w:r>
            <w:r>
              <w:rPr>
                <w:b w:val="0"/>
                <w:sz w:val="20"/>
                <w:szCs w:val="20"/>
              </w:rPr>
              <w:t>.</w:t>
            </w:r>
          </w:p>
          <w:p w:rsidR="00267AB0" w:rsidRPr="00452796" w:rsidRDefault="00267AB0" w:rsidP="00267AB0">
            <w:pPr>
              <w:jc w:val="both"/>
              <w:rPr>
                <w:sz w:val="20"/>
                <w:szCs w:val="20"/>
              </w:rPr>
            </w:pPr>
          </w:p>
          <w:p w:rsidR="00267AB0" w:rsidRPr="00452796" w:rsidRDefault="00267AB0" w:rsidP="00267AB0">
            <w:pPr>
              <w:jc w:val="both"/>
              <w:rPr>
                <w:sz w:val="20"/>
                <w:szCs w:val="20"/>
              </w:rPr>
            </w:pPr>
            <w:r w:rsidRPr="00452796">
              <w:rPr>
                <w:sz w:val="20"/>
                <w:szCs w:val="20"/>
              </w:rPr>
              <w:t>William S. Challis</w:t>
            </w:r>
            <w:r>
              <w:rPr>
                <w:sz w:val="20"/>
                <w:szCs w:val="20"/>
              </w:rPr>
              <w:t xml:space="preserve"> f</w:t>
            </w:r>
            <w:r w:rsidRPr="00452796">
              <w:rPr>
                <w:sz w:val="20"/>
                <w:szCs w:val="20"/>
              </w:rPr>
              <w:t xml:space="preserve">or the </w:t>
            </w:r>
            <w:r>
              <w:rPr>
                <w:sz w:val="20"/>
                <w:szCs w:val="20"/>
              </w:rPr>
              <w:t>a</w:t>
            </w:r>
            <w:r w:rsidRPr="00452796">
              <w:rPr>
                <w:sz w:val="20"/>
                <w:szCs w:val="20"/>
              </w:rPr>
              <w:t>ppellant</w:t>
            </w:r>
            <w:r>
              <w:rPr>
                <w:sz w:val="20"/>
                <w:szCs w:val="20"/>
              </w:rPr>
              <w:t xml:space="preserve"> </w:t>
            </w:r>
            <w:r w:rsidRPr="00452796">
              <w:rPr>
                <w:sz w:val="20"/>
                <w:szCs w:val="20"/>
              </w:rPr>
              <w:t>Information and Privacy Commissioner</w:t>
            </w:r>
            <w:r>
              <w:rPr>
                <w:sz w:val="20"/>
                <w:szCs w:val="20"/>
              </w:rPr>
              <w:t xml:space="preserve"> </w:t>
            </w:r>
            <w:r w:rsidRPr="00452796">
              <w:rPr>
                <w:sz w:val="20"/>
                <w:szCs w:val="20"/>
              </w:rPr>
              <w:t>of Ontario (Diane Smith, Adjudicator)</w:t>
            </w:r>
            <w:r>
              <w:rPr>
                <w:sz w:val="20"/>
                <w:szCs w:val="20"/>
              </w:rPr>
              <w:t>.</w:t>
            </w:r>
          </w:p>
          <w:p w:rsidR="00267AB0" w:rsidRPr="00452796" w:rsidRDefault="00267AB0" w:rsidP="00267AB0">
            <w:pPr>
              <w:jc w:val="both"/>
              <w:rPr>
                <w:sz w:val="20"/>
                <w:szCs w:val="20"/>
              </w:rPr>
            </w:pPr>
          </w:p>
          <w:p w:rsidR="00267AB0" w:rsidRPr="00452796" w:rsidRDefault="00267AB0" w:rsidP="00267AB0">
            <w:pPr>
              <w:jc w:val="both"/>
              <w:rPr>
                <w:sz w:val="20"/>
                <w:szCs w:val="20"/>
              </w:rPr>
            </w:pPr>
            <w:r w:rsidRPr="00452796">
              <w:rPr>
                <w:sz w:val="20"/>
                <w:szCs w:val="20"/>
              </w:rPr>
              <w:t>Jillian Harker</w:t>
            </w:r>
            <w:r>
              <w:rPr>
                <w:sz w:val="20"/>
                <w:szCs w:val="20"/>
              </w:rPr>
              <w:t xml:space="preserve"> f</w:t>
            </w:r>
            <w:r w:rsidRPr="00452796">
              <w:rPr>
                <w:sz w:val="20"/>
                <w:szCs w:val="20"/>
              </w:rPr>
              <w:t xml:space="preserve">or the </w:t>
            </w:r>
            <w:r>
              <w:rPr>
                <w:sz w:val="20"/>
                <w:szCs w:val="20"/>
              </w:rPr>
              <w:t>i</w:t>
            </w:r>
            <w:r w:rsidRPr="00452796">
              <w:rPr>
                <w:sz w:val="20"/>
                <w:szCs w:val="20"/>
              </w:rPr>
              <w:t>nterveners</w:t>
            </w:r>
            <w:r>
              <w:rPr>
                <w:sz w:val="20"/>
                <w:szCs w:val="20"/>
              </w:rPr>
              <w:t xml:space="preserve"> </w:t>
            </w:r>
            <w:r w:rsidRPr="00452796">
              <w:rPr>
                <w:sz w:val="20"/>
                <w:szCs w:val="20"/>
              </w:rPr>
              <w:t xml:space="preserve">Information and Privacy Commissioner </w:t>
            </w:r>
            <w:r>
              <w:rPr>
                <w:sz w:val="20"/>
                <w:szCs w:val="20"/>
              </w:rPr>
              <w:t>o</w:t>
            </w:r>
            <w:r w:rsidRPr="00452796">
              <w:rPr>
                <w:sz w:val="20"/>
                <w:szCs w:val="20"/>
              </w:rPr>
              <w:t>f Alberta et al.</w:t>
            </w:r>
          </w:p>
          <w:p w:rsidR="00267AB0" w:rsidRPr="00452796" w:rsidRDefault="00267AB0" w:rsidP="00267AB0">
            <w:pPr>
              <w:jc w:val="both"/>
              <w:rPr>
                <w:sz w:val="20"/>
                <w:szCs w:val="20"/>
              </w:rPr>
            </w:pPr>
          </w:p>
          <w:p w:rsidR="00267AB0" w:rsidRPr="00452796" w:rsidRDefault="00267AB0" w:rsidP="00267AB0">
            <w:pPr>
              <w:jc w:val="both"/>
              <w:rPr>
                <w:sz w:val="20"/>
                <w:szCs w:val="20"/>
              </w:rPr>
            </w:pPr>
            <w:r w:rsidRPr="00452796">
              <w:rPr>
                <w:sz w:val="20"/>
                <w:szCs w:val="20"/>
              </w:rPr>
              <w:t>Nitya Iyer</w:t>
            </w:r>
            <w:r>
              <w:rPr>
                <w:sz w:val="20"/>
                <w:szCs w:val="20"/>
              </w:rPr>
              <w:t xml:space="preserve"> f</w:t>
            </w:r>
            <w:r w:rsidRPr="00452796">
              <w:rPr>
                <w:sz w:val="20"/>
                <w:szCs w:val="20"/>
              </w:rPr>
              <w:t xml:space="preserve">or the </w:t>
            </w:r>
            <w:r>
              <w:rPr>
                <w:sz w:val="20"/>
                <w:szCs w:val="20"/>
              </w:rPr>
              <w:t>i</w:t>
            </w:r>
            <w:r w:rsidRPr="00452796">
              <w:rPr>
                <w:sz w:val="20"/>
                <w:szCs w:val="20"/>
              </w:rPr>
              <w:t>ntervener</w:t>
            </w:r>
            <w:r>
              <w:rPr>
                <w:sz w:val="20"/>
                <w:szCs w:val="20"/>
              </w:rPr>
              <w:t xml:space="preserve"> </w:t>
            </w:r>
            <w:r w:rsidRPr="00452796">
              <w:rPr>
                <w:sz w:val="20"/>
                <w:szCs w:val="20"/>
              </w:rPr>
              <w:t>Information and Privacy Commissioner of</w:t>
            </w:r>
            <w:r>
              <w:rPr>
                <w:sz w:val="20"/>
                <w:szCs w:val="20"/>
              </w:rPr>
              <w:t xml:space="preserve"> </w:t>
            </w:r>
            <w:r w:rsidRPr="00452796">
              <w:rPr>
                <w:sz w:val="20"/>
                <w:szCs w:val="20"/>
              </w:rPr>
              <w:t>British Columbia</w:t>
            </w:r>
            <w:r>
              <w:rPr>
                <w:sz w:val="20"/>
                <w:szCs w:val="20"/>
              </w:rPr>
              <w:t>.</w:t>
            </w:r>
          </w:p>
          <w:p w:rsidR="00267AB0" w:rsidRPr="00452796" w:rsidRDefault="00267AB0" w:rsidP="00267AB0">
            <w:pPr>
              <w:jc w:val="both"/>
              <w:rPr>
                <w:sz w:val="20"/>
                <w:szCs w:val="20"/>
              </w:rPr>
            </w:pPr>
          </w:p>
          <w:p w:rsidR="00267AB0" w:rsidRPr="00452796" w:rsidRDefault="00267AB0" w:rsidP="00267AB0">
            <w:pPr>
              <w:jc w:val="both"/>
              <w:rPr>
                <w:sz w:val="20"/>
                <w:szCs w:val="20"/>
              </w:rPr>
            </w:pPr>
            <w:r w:rsidRPr="00452796">
              <w:rPr>
                <w:sz w:val="20"/>
                <w:szCs w:val="20"/>
              </w:rPr>
              <w:t>Ryder Gilliland</w:t>
            </w:r>
            <w:r>
              <w:rPr>
                <w:sz w:val="20"/>
                <w:szCs w:val="20"/>
              </w:rPr>
              <w:t xml:space="preserve"> and </w:t>
            </w:r>
            <w:r w:rsidRPr="00452796">
              <w:rPr>
                <w:sz w:val="20"/>
                <w:szCs w:val="20"/>
              </w:rPr>
              <w:t>Nickolas Tzoulas</w:t>
            </w:r>
            <w:r>
              <w:rPr>
                <w:sz w:val="20"/>
                <w:szCs w:val="20"/>
              </w:rPr>
              <w:t xml:space="preserve"> f</w:t>
            </w:r>
            <w:r w:rsidRPr="00452796">
              <w:rPr>
                <w:sz w:val="20"/>
                <w:szCs w:val="20"/>
              </w:rPr>
              <w:t xml:space="preserve">or the </w:t>
            </w:r>
            <w:r>
              <w:rPr>
                <w:sz w:val="20"/>
                <w:szCs w:val="20"/>
              </w:rPr>
              <w:t>i</w:t>
            </w:r>
            <w:r w:rsidRPr="00452796">
              <w:rPr>
                <w:sz w:val="20"/>
                <w:szCs w:val="20"/>
              </w:rPr>
              <w:t>ntervener</w:t>
            </w:r>
            <w:r>
              <w:rPr>
                <w:sz w:val="20"/>
                <w:szCs w:val="20"/>
              </w:rPr>
              <w:t xml:space="preserve"> </w:t>
            </w:r>
            <w:r w:rsidRPr="00452796">
              <w:rPr>
                <w:sz w:val="20"/>
                <w:szCs w:val="20"/>
              </w:rPr>
              <w:t>Canadian Civil Liberties Association</w:t>
            </w:r>
            <w:r>
              <w:rPr>
                <w:sz w:val="20"/>
                <w:szCs w:val="20"/>
              </w:rPr>
              <w:t>.</w:t>
            </w:r>
          </w:p>
          <w:p w:rsidR="00267AB0" w:rsidRPr="00452796" w:rsidRDefault="00267AB0" w:rsidP="00267AB0">
            <w:pPr>
              <w:jc w:val="both"/>
              <w:rPr>
                <w:sz w:val="20"/>
                <w:szCs w:val="20"/>
              </w:rPr>
            </w:pPr>
          </w:p>
          <w:p w:rsidR="00267AB0" w:rsidRPr="00452796" w:rsidRDefault="00267AB0" w:rsidP="00267AB0">
            <w:pPr>
              <w:jc w:val="both"/>
              <w:rPr>
                <w:sz w:val="20"/>
                <w:szCs w:val="20"/>
              </w:rPr>
            </w:pPr>
            <w:r w:rsidRPr="00452796">
              <w:rPr>
                <w:sz w:val="20"/>
                <w:szCs w:val="20"/>
              </w:rPr>
              <w:t>Brent B. Olthuis</w:t>
            </w:r>
            <w:r>
              <w:rPr>
                <w:sz w:val="20"/>
                <w:szCs w:val="20"/>
              </w:rPr>
              <w:t xml:space="preserve"> and </w:t>
            </w:r>
            <w:r w:rsidRPr="00452796">
              <w:rPr>
                <w:sz w:val="20"/>
                <w:szCs w:val="20"/>
              </w:rPr>
              <w:t>Andrea A. Glen</w:t>
            </w:r>
            <w:r>
              <w:rPr>
                <w:sz w:val="20"/>
                <w:szCs w:val="20"/>
              </w:rPr>
              <w:t xml:space="preserve"> f</w:t>
            </w:r>
            <w:r w:rsidRPr="00452796">
              <w:rPr>
                <w:sz w:val="20"/>
                <w:szCs w:val="20"/>
              </w:rPr>
              <w:t xml:space="preserve">or the </w:t>
            </w:r>
            <w:r>
              <w:rPr>
                <w:sz w:val="20"/>
                <w:szCs w:val="20"/>
              </w:rPr>
              <w:t>i</w:t>
            </w:r>
            <w:r w:rsidRPr="00452796">
              <w:rPr>
                <w:sz w:val="20"/>
                <w:szCs w:val="20"/>
              </w:rPr>
              <w:t>ntervener</w:t>
            </w:r>
            <w:r>
              <w:rPr>
                <w:sz w:val="20"/>
                <w:szCs w:val="20"/>
              </w:rPr>
              <w:t xml:space="preserve"> </w:t>
            </w:r>
            <w:r w:rsidRPr="00452796">
              <w:rPr>
                <w:sz w:val="20"/>
                <w:szCs w:val="20"/>
              </w:rPr>
              <w:t>British Columbia Freedom of Information</w:t>
            </w:r>
            <w:r>
              <w:rPr>
                <w:sz w:val="20"/>
                <w:szCs w:val="20"/>
              </w:rPr>
              <w:t xml:space="preserve"> a</w:t>
            </w:r>
            <w:r w:rsidRPr="00452796">
              <w:rPr>
                <w:sz w:val="20"/>
                <w:szCs w:val="20"/>
              </w:rPr>
              <w:t>nd Privacy Association</w:t>
            </w:r>
            <w:r>
              <w:rPr>
                <w:sz w:val="20"/>
                <w:szCs w:val="20"/>
              </w:rPr>
              <w:t>.</w:t>
            </w:r>
          </w:p>
          <w:p w:rsidR="00267AB0" w:rsidRPr="00452796" w:rsidRDefault="00267AB0" w:rsidP="00267AB0">
            <w:pPr>
              <w:jc w:val="both"/>
              <w:rPr>
                <w:sz w:val="20"/>
                <w:szCs w:val="20"/>
              </w:rPr>
            </w:pPr>
          </w:p>
          <w:p w:rsidR="00267AB0" w:rsidRPr="00452796" w:rsidRDefault="00267AB0" w:rsidP="00267AB0">
            <w:pPr>
              <w:jc w:val="both"/>
              <w:rPr>
                <w:sz w:val="20"/>
                <w:szCs w:val="20"/>
              </w:rPr>
            </w:pPr>
            <w:r w:rsidRPr="00452796">
              <w:rPr>
                <w:sz w:val="20"/>
                <w:szCs w:val="20"/>
              </w:rPr>
              <w:t>Sara Blake</w:t>
            </w:r>
            <w:r>
              <w:rPr>
                <w:sz w:val="20"/>
                <w:szCs w:val="20"/>
              </w:rPr>
              <w:t xml:space="preserve">, </w:t>
            </w:r>
            <w:r w:rsidRPr="00452796">
              <w:rPr>
                <w:sz w:val="20"/>
                <w:szCs w:val="20"/>
              </w:rPr>
              <w:t>Malliha Wilson</w:t>
            </w:r>
            <w:r>
              <w:rPr>
                <w:sz w:val="20"/>
                <w:szCs w:val="20"/>
              </w:rPr>
              <w:t xml:space="preserve"> and </w:t>
            </w:r>
            <w:r w:rsidRPr="00452796">
              <w:rPr>
                <w:sz w:val="20"/>
                <w:szCs w:val="20"/>
              </w:rPr>
              <w:t>Kisha Chatterjee</w:t>
            </w:r>
            <w:r>
              <w:rPr>
                <w:sz w:val="20"/>
                <w:szCs w:val="20"/>
              </w:rPr>
              <w:t xml:space="preserve"> f</w:t>
            </w:r>
            <w:r w:rsidRPr="00452796">
              <w:rPr>
                <w:sz w:val="20"/>
                <w:szCs w:val="20"/>
              </w:rPr>
              <w:t xml:space="preserve">or the </w:t>
            </w:r>
            <w:r>
              <w:rPr>
                <w:sz w:val="20"/>
                <w:szCs w:val="20"/>
              </w:rPr>
              <w:t>r</w:t>
            </w:r>
            <w:r w:rsidRPr="00452796">
              <w:rPr>
                <w:sz w:val="20"/>
                <w:szCs w:val="20"/>
              </w:rPr>
              <w:t>espondent</w:t>
            </w:r>
            <w:r>
              <w:rPr>
                <w:sz w:val="20"/>
                <w:szCs w:val="20"/>
              </w:rPr>
              <w:t>.</w:t>
            </w:r>
          </w:p>
          <w:p w:rsidR="00267AB0" w:rsidRPr="00452796" w:rsidRDefault="00267AB0" w:rsidP="00267AB0">
            <w:pPr>
              <w:jc w:val="both"/>
              <w:rPr>
                <w:sz w:val="20"/>
                <w:szCs w:val="20"/>
              </w:rPr>
            </w:pPr>
          </w:p>
          <w:p w:rsidR="00267AB0" w:rsidRPr="00452796" w:rsidRDefault="00267AB0" w:rsidP="00267AB0">
            <w:pPr>
              <w:jc w:val="both"/>
              <w:rPr>
                <w:sz w:val="20"/>
                <w:szCs w:val="20"/>
              </w:rPr>
            </w:pPr>
            <w:r w:rsidRPr="00452796">
              <w:rPr>
                <w:sz w:val="20"/>
                <w:szCs w:val="20"/>
              </w:rPr>
              <w:t>Sharlene M. Telles-Langdon</w:t>
            </w:r>
            <w:r>
              <w:rPr>
                <w:sz w:val="20"/>
                <w:szCs w:val="20"/>
              </w:rPr>
              <w:t xml:space="preserve"> f</w:t>
            </w:r>
            <w:r w:rsidRPr="00452796">
              <w:rPr>
                <w:sz w:val="20"/>
                <w:szCs w:val="20"/>
              </w:rPr>
              <w:t xml:space="preserve">or the </w:t>
            </w:r>
            <w:r>
              <w:rPr>
                <w:sz w:val="20"/>
                <w:szCs w:val="20"/>
              </w:rPr>
              <w:t>i</w:t>
            </w:r>
            <w:r w:rsidRPr="00452796">
              <w:rPr>
                <w:sz w:val="20"/>
                <w:szCs w:val="20"/>
              </w:rPr>
              <w:t>ntervener</w:t>
            </w:r>
            <w:r>
              <w:rPr>
                <w:sz w:val="20"/>
                <w:szCs w:val="20"/>
              </w:rPr>
              <w:t xml:space="preserve"> </w:t>
            </w:r>
            <w:r w:rsidRPr="00452796">
              <w:rPr>
                <w:sz w:val="20"/>
                <w:szCs w:val="20"/>
              </w:rPr>
              <w:lastRenderedPageBreak/>
              <w:t>Attorney General of Canada</w:t>
            </w:r>
            <w:r>
              <w:rPr>
                <w:sz w:val="20"/>
                <w:szCs w:val="20"/>
              </w:rPr>
              <w:t>.</w:t>
            </w:r>
          </w:p>
          <w:p w:rsidR="00267AB0" w:rsidRPr="00452796" w:rsidRDefault="00267AB0" w:rsidP="00267AB0">
            <w:pPr>
              <w:jc w:val="both"/>
              <w:rPr>
                <w:sz w:val="20"/>
                <w:szCs w:val="20"/>
              </w:rPr>
            </w:pPr>
          </w:p>
          <w:p w:rsidR="00DB0773" w:rsidRPr="00C50A5C" w:rsidRDefault="00267AB0" w:rsidP="00267AB0">
            <w:pPr>
              <w:jc w:val="both"/>
              <w:rPr>
                <w:sz w:val="20"/>
                <w:szCs w:val="20"/>
              </w:rPr>
            </w:pPr>
            <w:r w:rsidRPr="00452796">
              <w:rPr>
                <w:sz w:val="20"/>
                <w:szCs w:val="20"/>
              </w:rPr>
              <w:t>Richard M. Butler</w:t>
            </w:r>
            <w:r>
              <w:rPr>
                <w:sz w:val="20"/>
                <w:szCs w:val="20"/>
              </w:rPr>
              <w:t xml:space="preserve"> and </w:t>
            </w:r>
            <w:r w:rsidRPr="00452796">
              <w:rPr>
                <w:sz w:val="20"/>
                <w:szCs w:val="20"/>
              </w:rPr>
              <w:t>John Tuck</w:t>
            </w:r>
            <w:r>
              <w:rPr>
                <w:sz w:val="20"/>
                <w:szCs w:val="20"/>
              </w:rPr>
              <w:t xml:space="preserve"> f</w:t>
            </w:r>
            <w:r w:rsidRPr="00452796">
              <w:rPr>
                <w:sz w:val="20"/>
                <w:szCs w:val="20"/>
              </w:rPr>
              <w:t xml:space="preserve">or the </w:t>
            </w:r>
            <w:r>
              <w:rPr>
                <w:sz w:val="20"/>
                <w:szCs w:val="20"/>
              </w:rPr>
              <w:t>i</w:t>
            </w:r>
            <w:r w:rsidRPr="00452796">
              <w:rPr>
                <w:sz w:val="20"/>
                <w:szCs w:val="20"/>
              </w:rPr>
              <w:t>ntervener</w:t>
            </w:r>
            <w:r>
              <w:rPr>
                <w:sz w:val="20"/>
                <w:szCs w:val="20"/>
              </w:rPr>
              <w:t xml:space="preserve"> </w:t>
            </w:r>
            <w:r w:rsidRPr="00452796">
              <w:rPr>
                <w:sz w:val="20"/>
                <w:szCs w:val="20"/>
              </w:rPr>
              <w:t>Attorney General of British Columbia</w:t>
            </w:r>
            <w:r>
              <w:rPr>
                <w:sz w:val="20"/>
                <w:szCs w:val="20"/>
              </w:rPr>
              <w:t>.</w:t>
            </w:r>
          </w:p>
        </w:tc>
      </w:tr>
    </w:tbl>
    <w:p w:rsidR="00DB0773" w:rsidRDefault="00DB0773" w:rsidP="00DB0773">
      <w:pPr>
        <w:widowControl w:val="0"/>
      </w:pPr>
    </w:p>
    <w:p w:rsidR="00DB0773" w:rsidRPr="0085476B" w:rsidRDefault="00DB0773" w:rsidP="00DB0773">
      <w:pPr>
        <w:widowControl w:val="0"/>
        <w:rPr>
          <w:sz w:val="20"/>
          <w:szCs w:val="20"/>
        </w:rPr>
      </w:pPr>
      <w:r w:rsidRPr="0085476B">
        <w:rPr>
          <w:b/>
          <w:sz w:val="20"/>
          <w:szCs w:val="20"/>
        </w:rPr>
        <w:t xml:space="preserve">RESERVED / </w:t>
      </w:r>
      <w:r w:rsidRPr="00DB0773">
        <w:rPr>
          <w:b/>
          <w:sz w:val="20"/>
          <w:szCs w:val="20"/>
        </w:rPr>
        <w:t>EN DÉLIBÉRÉ</w:t>
      </w:r>
    </w:p>
    <w:p w:rsidR="00DB0773" w:rsidRDefault="00DB0773" w:rsidP="00DB0773"/>
    <w:tbl>
      <w:tblPr>
        <w:tblW w:w="0" w:type="auto"/>
        <w:tblLayout w:type="fixed"/>
        <w:tblCellMar>
          <w:left w:w="0" w:type="dxa"/>
          <w:right w:w="0" w:type="dxa"/>
        </w:tblCellMar>
        <w:tblLook w:val="0000" w:firstRow="0" w:lastRow="0" w:firstColumn="0" w:lastColumn="0" w:noHBand="0" w:noVBand="0"/>
      </w:tblPr>
      <w:tblGrid>
        <w:gridCol w:w="4380"/>
        <w:gridCol w:w="720"/>
        <w:gridCol w:w="4380"/>
      </w:tblGrid>
      <w:tr w:rsidR="00DB0773" w:rsidRPr="00DB0773" w:rsidTr="00DB0773">
        <w:tc>
          <w:tcPr>
            <w:tcW w:w="4380" w:type="dxa"/>
            <w:tcMar>
              <w:left w:w="0" w:type="dxa"/>
              <w:right w:w="0" w:type="dxa"/>
            </w:tcMar>
          </w:tcPr>
          <w:p w:rsidR="00DB0773" w:rsidRPr="00CC4D84" w:rsidRDefault="00DB0773" w:rsidP="00DB0773">
            <w:pPr>
              <w:widowControl w:val="0"/>
              <w:jc w:val="both"/>
              <w:rPr>
                <w:b/>
                <w:sz w:val="20"/>
                <w:szCs w:val="20"/>
                <w:u w:val="single"/>
              </w:rPr>
            </w:pPr>
            <w:r w:rsidRPr="00CC4D84">
              <w:rPr>
                <w:b/>
                <w:sz w:val="20"/>
                <w:szCs w:val="20"/>
                <w:u w:val="single"/>
              </w:rPr>
              <w:t>Nature of the case:</w:t>
            </w:r>
          </w:p>
          <w:p w:rsidR="00DB0773" w:rsidRPr="00C1697B" w:rsidRDefault="00DB0773" w:rsidP="00DB0773">
            <w:pPr>
              <w:widowControl w:val="0"/>
              <w:jc w:val="both"/>
              <w:rPr>
                <w:b/>
                <w:sz w:val="20"/>
                <w:szCs w:val="20"/>
              </w:rPr>
            </w:pPr>
          </w:p>
          <w:p w:rsidR="00D34781" w:rsidRPr="004379B6" w:rsidRDefault="00D34781" w:rsidP="00D34781">
            <w:pPr>
              <w:widowControl w:val="0"/>
              <w:jc w:val="both"/>
              <w:rPr>
                <w:smallCaps/>
                <w:sz w:val="20"/>
                <w:szCs w:val="20"/>
              </w:rPr>
            </w:pPr>
            <w:r w:rsidRPr="004379B6">
              <w:rPr>
                <w:smallCaps/>
                <w:sz w:val="20"/>
                <w:szCs w:val="20"/>
              </w:rPr>
              <w:t>(Sealing Order)</w:t>
            </w:r>
          </w:p>
          <w:p w:rsidR="00D34781" w:rsidRPr="004379B6" w:rsidRDefault="00D34781" w:rsidP="00D34781">
            <w:pPr>
              <w:widowControl w:val="0"/>
              <w:jc w:val="both"/>
              <w:rPr>
                <w:sz w:val="20"/>
                <w:szCs w:val="20"/>
              </w:rPr>
            </w:pPr>
          </w:p>
          <w:p w:rsidR="00DB0773" w:rsidRPr="00C1697B" w:rsidRDefault="00D34781" w:rsidP="00D34781">
            <w:pPr>
              <w:widowControl w:val="0"/>
              <w:jc w:val="both"/>
              <w:rPr>
                <w:b/>
                <w:sz w:val="20"/>
                <w:szCs w:val="20"/>
              </w:rPr>
            </w:pPr>
            <w:r w:rsidRPr="004379B6">
              <w:rPr>
                <w:sz w:val="20"/>
                <w:szCs w:val="20"/>
              </w:rPr>
              <w:t xml:space="preserve">Access to information </w:t>
            </w:r>
            <w:r w:rsidRPr="004379B6">
              <w:rPr>
                <w:sz w:val="20"/>
                <w:szCs w:val="20"/>
              </w:rPr>
              <w:noBreakHyphen/>
              <w:t xml:space="preserve"> Exemptions </w:t>
            </w:r>
            <w:r w:rsidRPr="004379B6">
              <w:rPr>
                <w:sz w:val="20"/>
                <w:szCs w:val="20"/>
              </w:rPr>
              <w:noBreakHyphen/>
              <w:t xml:space="preserve"> Advice or recommendations to Minister </w:t>
            </w:r>
            <w:r w:rsidRPr="004379B6">
              <w:rPr>
                <w:sz w:val="20"/>
                <w:szCs w:val="20"/>
              </w:rPr>
              <w:noBreakHyphen/>
              <w:t xml:space="preserve"> Whether the exemption for “advice and recommendations” at s. 13(1) of the </w:t>
            </w:r>
            <w:r w:rsidRPr="004379B6">
              <w:rPr>
                <w:i/>
                <w:sz w:val="20"/>
                <w:szCs w:val="20"/>
              </w:rPr>
              <w:t>Freedom of Information and Protection of Privacy Act</w:t>
            </w:r>
            <w:r w:rsidRPr="004379B6">
              <w:rPr>
                <w:sz w:val="20"/>
                <w:szCs w:val="20"/>
              </w:rPr>
              <w:t xml:space="preserve">, R.S.O. 1990 c. F.31, encompasses the presentation of a range of policy options and evaluative or analytical commentary that does not reveal a suggested course of action or a preferred option </w:t>
            </w:r>
            <w:r w:rsidRPr="004379B6">
              <w:rPr>
                <w:sz w:val="20"/>
                <w:szCs w:val="20"/>
              </w:rPr>
              <w:noBreakHyphen/>
              <w:t xml:space="preserve"> Whether the exemption for “advice and recommendations” at s. 13(1) of the </w:t>
            </w:r>
            <w:r w:rsidRPr="004379B6">
              <w:rPr>
                <w:i/>
                <w:sz w:val="20"/>
                <w:szCs w:val="20"/>
              </w:rPr>
              <w:t>Freedom of Information and Protection of Privacy Act</w:t>
            </w:r>
            <w:r w:rsidRPr="004379B6">
              <w:rPr>
                <w:sz w:val="20"/>
                <w:szCs w:val="20"/>
              </w:rPr>
              <w:t>, R.S.O. 1990 c. F.31, encompasses information which is not communication to a decision</w:t>
            </w:r>
            <w:r w:rsidRPr="004379B6">
              <w:rPr>
                <w:sz w:val="20"/>
                <w:szCs w:val="20"/>
              </w:rPr>
              <w:noBreakHyphen/>
              <w:t>maker, and does not reveal advice or recommendations communicated to a decision</w:t>
            </w:r>
            <w:r w:rsidRPr="004379B6">
              <w:rPr>
                <w:sz w:val="20"/>
                <w:szCs w:val="20"/>
              </w:rPr>
              <w:noBreakHyphen/>
              <w:t xml:space="preserve">maker </w:t>
            </w:r>
            <w:r w:rsidRPr="004379B6">
              <w:rPr>
                <w:sz w:val="20"/>
                <w:szCs w:val="20"/>
              </w:rPr>
              <w:noBreakHyphen/>
              <w:t xml:space="preserve"> Whether the Court of Appeal erred in concluding that the Information and Privacy Commissioner was unreasonable in answering each of the above questions in the negative in this case </w:t>
            </w:r>
            <w:r w:rsidRPr="004379B6">
              <w:rPr>
                <w:sz w:val="20"/>
                <w:szCs w:val="20"/>
              </w:rPr>
              <w:noBreakHyphen/>
              <w:t xml:space="preserve"> </w:t>
            </w:r>
            <w:r w:rsidRPr="004379B6">
              <w:rPr>
                <w:i/>
                <w:sz w:val="20"/>
                <w:szCs w:val="20"/>
              </w:rPr>
              <w:t>Freedom of Information and Protection of Privacy Act</w:t>
            </w:r>
            <w:r w:rsidRPr="004379B6">
              <w:rPr>
                <w:sz w:val="20"/>
                <w:szCs w:val="20"/>
              </w:rPr>
              <w:t>, R.S.O. 1990, c. F.31, s. 13(1).</w:t>
            </w:r>
          </w:p>
        </w:tc>
        <w:tc>
          <w:tcPr>
            <w:tcW w:w="720" w:type="dxa"/>
            <w:tcMar>
              <w:left w:w="0" w:type="dxa"/>
              <w:right w:w="0" w:type="dxa"/>
            </w:tcMar>
          </w:tcPr>
          <w:p w:rsidR="00DB0773" w:rsidRPr="00C1697B" w:rsidRDefault="00DB0773" w:rsidP="00DB0773">
            <w:pPr>
              <w:widowControl w:val="0"/>
              <w:jc w:val="center"/>
              <w:rPr>
                <w:sz w:val="20"/>
                <w:szCs w:val="20"/>
              </w:rPr>
            </w:pPr>
          </w:p>
        </w:tc>
        <w:tc>
          <w:tcPr>
            <w:tcW w:w="4380" w:type="dxa"/>
            <w:tcMar>
              <w:left w:w="0" w:type="dxa"/>
              <w:right w:w="0" w:type="dxa"/>
            </w:tcMar>
          </w:tcPr>
          <w:p w:rsidR="00DB0773" w:rsidRPr="00D34781" w:rsidRDefault="00DB0773" w:rsidP="00DB0773">
            <w:pPr>
              <w:widowControl w:val="0"/>
              <w:jc w:val="both"/>
              <w:rPr>
                <w:b/>
                <w:sz w:val="20"/>
                <w:szCs w:val="20"/>
                <w:u w:val="single"/>
                <w:lang w:val="fr-CA"/>
              </w:rPr>
            </w:pPr>
            <w:r w:rsidRPr="00D34781">
              <w:rPr>
                <w:b/>
                <w:sz w:val="20"/>
                <w:szCs w:val="20"/>
                <w:u w:val="single"/>
                <w:lang w:val="fr-CA"/>
              </w:rPr>
              <w:t>Nature de la cause :</w:t>
            </w:r>
          </w:p>
          <w:p w:rsidR="00DB0773" w:rsidRPr="00D34781" w:rsidRDefault="00DB0773" w:rsidP="00DB0773">
            <w:pPr>
              <w:widowControl w:val="0"/>
              <w:jc w:val="both"/>
              <w:rPr>
                <w:sz w:val="20"/>
                <w:szCs w:val="20"/>
                <w:lang w:val="fr-CA"/>
              </w:rPr>
            </w:pPr>
          </w:p>
          <w:p w:rsidR="00D34781" w:rsidRPr="00B61595" w:rsidRDefault="00D34781" w:rsidP="00D34781">
            <w:pPr>
              <w:widowControl w:val="0"/>
              <w:jc w:val="both"/>
              <w:rPr>
                <w:smallCaps/>
                <w:sz w:val="20"/>
                <w:szCs w:val="20"/>
                <w:lang w:val="fr-CA"/>
              </w:rPr>
            </w:pPr>
            <w:r w:rsidRPr="00B61595">
              <w:rPr>
                <w:smallCaps/>
                <w:sz w:val="20"/>
                <w:szCs w:val="20"/>
                <w:lang w:val="fr-CA"/>
              </w:rPr>
              <w:t>(Ordonnance de mise sous scellés)</w:t>
            </w:r>
          </w:p>
          <w:p w:rsidR="00D34781" w:rsidRPr="00B61595" w:rsidRDefault="00D34781" w:rsidP="00D34781">
            <w:pPr>
              <w:widowControl w:val="0"/>
              <w:jc w:val="both"/>
              <w:rPr>
                <w:sz w:val="20"/>
                <w:szCs w:val="20"/>
                <w:lang w:val="fr-CA"/>
              </w:rPr>
            </w:pPr>
          </w:p>
          <w:p w:rsidR="00DB0773" w:rsidRPr="00DB0773" w:rsidRDefault="00D34781" w:rsidP="00D34781">
            <w:pPr>
              <w:widowControl w:val="0"/>
              <w:jc w:val="both"/>
              <w:rPr>
                <w:sz w:val="20"/>
                <w:szCs w:val="20"/>
              </w:rPr>
            </w:pPr>
            <w:r w:rsidRPr="00B61595">
              <w:rPr>
                <w:sz w:val="20"/>
                <w:szCs w:val="20"/>
                <w:lang w:val="fr-CA"/>
              </w:rPr>
              <w:t xml:space="preserve">Accès à l’information </w:t>
            </w:r>
            <w:r w:rsidRPr="00B61595">
              <w:rPr>
                <w:sz w:val="20"/>
                <w:szCs w:val="20"/>
                <w:lang w:val="fr-CA"/>
              </w:rPr>
              <w:noBreakHyphen/>
              <w:t xml:space="preserve"> Exceptions </w:t>
            </w:r>
            <w:r w:rsidRPr="00B61595">
              <w:rPr>
                <w:sz w:val="20"/>
                <w:szCs w:val="20"/>
                <w:lang w:val="fr-CA"/>
              </w:rPr>
              <w:noBreakHyphen/>
              <w:t xml:space="preserve"> Avis ou recommandations au ministre </w:t>
            </w:r>
            <w:r w:rsidRPr="00B61595">
              <w:rPr>
                <w:sz w:val="20"/>
                <w:szCs w:val="20"/>
                <w:lang w:val="fr-CA"/>
              </w:rPr>
              <w:noBreakHyphen/>
              <w:t xml:space="preserve"> L’exception relative aux « avis et recommandations » au par. 13(1) de la </w:t>
            </w:r>
            <w:r w:rsidRPr="00B61595">
              <w:rPr>
                <w:i/>
                <w:sz w:val="20"/>
                <w:szCs w:val="20"/>
                <w:lang w:val="fr-CA"/>
              </w:rPr>
              <w:t>Loi sur l’accès à l’information et la protection de la vie privée</w:t>
            </w:r>
            <w:r w:rsidRPr="00B61595">
              <w:rPr>
                <w:sz w:val="20"/>
                <w:szCs w:val="20"/>
                <w:lang w:val="fr-CA"/>
              </w:rPr>
              <w:t>, L.R.O. 1990, ch. F.31 englobe</w:t>
            </w:r>
            <w:r w:rsidRPr="00B61595">
              <w:rPr>
                <w:sz w:val="20"/>
                <w:szCs w:val="20"/>
                <w:lang w:val="fr-CA"/>
              </w:rPr>
              <w:noBreakHyphen/>
              <w:t>t</w:t>
            </w:r>
            <w:r w:rsidRPr="00B61595">
              <w:rPr>
                <w:sz w:val="20"/>
                <w:szCs w:val="20"/>
                <w:lang w:val="fr-CA"/>
              </w:rPr>
              <w:noBreakHyphen/>
              <w:t xml:space="preserve">elle la présentation d’un éventail d’options stratégiques et de commentaires d’appréciation ou analytiques qui ne révèlent aucune orientation ou option à privilégier?  </w:t>
            </w:r>
            <w:r w:rsidRPr="00B61595">
              <w:rPr>
                <w:sz w:val="20"/>
                <w:szCs w:val="20"/>
                <w:lang w:val="fr-CA"/>
              </w:rPr>
              <w:noBreakHyphen/>
              <w:t xml:space="preserve"> L’exception relative aux « avis et recommandations » au par. 13(1) de la </w:t>
            </w:r>
            <w:r w:rsidRPr="00B61595">
              <w:rPr>
                <w:i/>
                <w:sz w:val="20"/>
                <w:szCs w:val="20"/>
                <w:lang w:val="fr-CA"/>
              </w:rPr>
              <w:t>Loi sur l’accès à l’information et la protection de la vie privée</w:t>
            </w:r>
            <w:r w:rsidRPr="00B61595">
              <w:rPr>
                <w:sz w:val="20"/>
                <w:szCs w:val="20"/>
                <w:lang w:val="fr-CA"/>
              </w:rPr>
              <w:t>, L.R.O. 1990, ch. F.31 englobe</w:t>
            </w:r>
            <w:r w:rsidRPr="00B61595">
              <w:rPr>
                <w:sz w:val="20"/>
                <w:szCs w:val="20"/>
                <w:lang w:val="fr-CA"/>
              </w:rPr>
              <w:noBreakHyphen/>
              <w:t>t</w:t>
            </w:r>
            <w:r w:rsidRPr="00B61595">
              <w:rPr>
                <w:sz w:val="20"/>
                <w:szCs w:val="20"/>
                <w:lang w:val="fr-CA"/>
              </w:rPr>
              <w:noBreakHyphen/>
              <w:t xml:space="preserve">elle les renseignements qui ne sont pas un communication à un décideur et ne révèlent aucun avis ou recommandation communiqué à un décideur? </w:t>
            </w:r>
            <w:r w:rsidRPr="00B61595">
              <w:rPr>
                <w:sz w:val="20"/>
                <w:szCs w:val="20"/>
                <w:lang w:val="fr-CA"/>
              </w:rPr>
              <w:noBreakHyphen/>
              <w:t xml:space="preserve"> La Cour d’appel a</w:t>
            </w:r>
            <w:r w:rsidRPr="00B61595">
              <w:rPr>
                <w:sz w:val="20"/>
                <w:szCs w:val="20"/>
                <w:lang w:val="fr-CA"/>
              </w:rPr>
              <w:noBreakHyphen/>
              <w:t>t</w:t>
            </w:r>
            <w:r w:rsidRPr="00B61595">
              <w:rPr>
                <w:sz w:val="20"/>
                <w:szCs w:val="20"/>
                <w:lang w:val="fr-CA"/>
              </w:rPr>
              <w:noBreakHyphen/>
              <w:t>elle commis une erreur en concluant que le commissaire à l’information et à la protection de la vie privée a agi de façon déraisonnable en répondant à chacune des questions ci</w:t>
            </w:r>
            <w:r w:rsidRPr="00B61595">
              <w:rPr>
                <w:sz w:val="20"/>
                <w:szCs w:val="20"/>
                <w:lang w:val="fr-CA"/>
              </w:rPr>
              <w:noBreakHyphen/>
              <w:t xml:space="preserve">dessus par la négative dans la présente affaire? </w:t>
            </w:r>
            <w:r w:rsidRPr="00B61595">
              <w:rPr>
                <w:sz w:val="20"/>
                <w:szCs w:val="20"/>
                <w:lang w:val="fr-CA"/>
              </w:rPr>
              <w:noBreakHyphen/>
              <w:t xml:space="preserve"> </w:t>
            </w:r>
            <w:r w:rsidRPr="00B61595">
              <w:rPr>
                <w:i/>
                <w:sz w:val="20"/>
                <w:szCs w:val="20"/>
                <w:lang w:val="fr-CA"/>
              </w:rPr>
              <w:t>Loi sur l’accès à l’information et la protection de la vie privée</w:t>
            </w:r>
            <w:r w:rsidRPr="00B61595">
              <w:rPr>
                <w:sz w:val="20"/>
                <w:szCs w:val="20"/>
                <w:lang w:val="fr-CA"/>
              </w:rPr>
              <w:t>, L.R.O. 1990, ch. F.31, par. 13(1).</w:t>
            </w:r>
          </w:p>
        </w:tc>
      </w:tr>
    </w:tbl>
    <w:p w:rsidR="00DB0773" w:rsidRPr="00DB0773" w:rsidRDefault="00DB0773" w:rsidP="00DB0773">
      <w:pPr>
        <w:widowControl w:val="0"/>
        <w:rPr>
          <w:sz w:val="20"/>
          <w:szCs w:val="20"/>
        </w:rPr>
      </w:pPr>
    </w:p>
    <w:p w:rsidR="00DB0773" w:rsidRDefault="007368AD" w:rsidP="00DB0773">
      <w:pPr>
        <w:widowControl w:val="0"/>
        <w:rPr>
          <w:sz w:val="20"/>
          <w:szCs w:val="20"/>
        </w:rPr>
      </w:pPr>
      <w:r>
        <w:rPr>
          <w:sz w:val="20"/>
          <w:szCs w:val="20"/>
          <w:lang w:val="fr-CA"/>
        </w:rPr>
        <w:pict>
          <v:rect id="_x0000_i1055" style="width:2in;height:1pt" o:hrpct="0" o:hralign="center" o:hrstd="t" o:hrnoshade="t" o:hr="t" fillcolor="black [3213]" stroked="f"/>
        </w:pict>
      </w:r>
    </w:p>
    <w:p w:rsidR="00DB0773" w:rsidRDefault="00DB0773" w:rsidP="00DB0773">
      <w:pPr>
        <w:widowControl w:val="0"/>
        <w:rPr>
          <w:sz w:val="20"/>
          <w:szCs w:val="20"/>
        </w:rPr>
      </w:pPr>
    </w:p>
    <w:p w:rsidR="00DB0773" w:rsidRPr="00C50A5C" w:rsidRDefault="00DB0773" w:rsidP="00DB0773">
      <w:pPr>
        <w:widowControl w:val="0"/>
        <w:rPr>
          <w:sz w:val="20"/>
          <w:szCs w:val="20"/>
        </w:rPr>
      </w:pPr>
      <w:r>
        <w:rPr>
          <w:sz w:val="20"/>
          <w:szCs w:val="20"/>
        </w:rPr>
        <w:t>07</w:t>
      </w:r>
      <w:r w:rsidRPr="00C50A5C">
        <w:rPr>
          <w:sz w:val="20"/>
          <w:szCs w:val="20"/>
        </w:rPr>
        <w:t>.</w:t>
      </w:r>
      <w:r>
        <w:rPr>
          <w:sz w:val="20"/>
          <w:szCs w:val="20"/>
        </w:rPr>
        <w:t>11</w:t>
      </w:r>
      <w:r w:rsidRPr="00C50A5C">
        <w:rPr>
          <w:sz w:val="20"/>
          <w:szCs w:val="20"/>
        </w:rPr>
        <w:t>.201</w:t>
      </w:r>
      <w:r>
        <w:rPr>
          <w:sz w:val="20"/>
          <w:szCs w:val="20"/>
        </w:rPr>
        <w:t>3</w:t>
      </w:r>
    </w:p>
    <w:p w:rsidR="00DB0773" w:rsidRDefault="00DB0773" w:rsidP="00DB0773">
      <w:pPr>
        <w:widowControl w:val="0"/>
        <w:rPr>
          <w:sz w:val="20"/>
          <w:szCs w:val="20"/>
        </w:rPr>
      </w:pPr>
    </w:p>
    <w:p w:rsidR="009755CA" w:rsidRPr="007204A8" w:rsidRDefault="009755CA" w:rsidP="009755CA">
      <w:pPr>
        <w:widowControl w:val="0"/>
        <w:ind w:left="720" w:hanging="720"/>
        <w:rPr>
          <w:sz w:val="20"/>
          <w:szCs w:val="20"/>
          <w:u w:val="single"/>
        </w:rPr>
      </w:pPr>
      <w:r w:rsidRPr="007204A8">
        <w:rPr>
          <w:sz w:val="20"/>
          <w:szCs w:val="20"/>
        </w:rPr>
        <w:t xml:space="preserve">Coram: </w:t>
      </w:r>
      <w:r w:rsidRPr="007204A8">
        <w:rPr>
          <w:sz w:val="20"/>
          <w:szCs w:val="20"/>
        </w:rPr>
        <w:tab/>
      </w:r>
      <w:r w:rsidRPr="007204A8">
        <w:rPr>
          <w:sz w:val="20"/>
          <w:szCs w:val="20"/>
          <w:u w:val="single"/>
        </w:rPr>
        <w:t>McLachlin C.J. and LeBel, Abella, Rothstein, Cromwell, Moldaver, Karakatsanis and Wagner JJ.</w:t>
      </w:r>
    </w:p>
    <w:p w:rsidR="00DB0773" w:rsidRDefault="00DB0773" w:rsidP="00DB0773">
      <w:pPr>
        <w:widowControl w:val="0"/>
        <w:rPr>
          <w:sz w:val="20"/>
          <w:szCs w:val="20"/>
        </w:rPr>
      </w:pPr>
    </w:p>
    <w:tbl>
      <w:tblPr>
        <w:tblW w:w="0" w:type="auto"/>
        <w:tblLayout w:type="fixed"/>
        <w:tblCellMar>
          <w:left w:w="0" w:type="dxa"/>
          <w:right w:w="0" w:type="dxa"/>
        </w:tblCellMar>
        <w:tblLook w:val="0000" w:firstRow="0" w:lastRow="0" w:firstColumn="0" w:lastColumn="0" w:noHBand="0" w:noVBand="0"/>
      </w:tblPr>
      <w:tblGrid>
        <w:gridCol w:w="4380"/>
        <w:gridCol w:w="720"/>
        <w:gridCol w:w="4380"/>
      </w:tblGrid>
      <w:tr w:rsidR="00DB0773" w:rsidRPr="00C50A5C" w:rsidTr="00DB0773">
        <w:tc>
          <w:tcPr>
            <w:tcW w:w="4380" w:type="dxa"/>
            <w:tcMar>
              <w:left w:w="0" w:type="dxa"/>
              <w:right w:w="0" w:type="dxa"/>
            </w:tcMar>
          </w:tcPr>
          <w:p w:rsidR="00DB0773" w:rsidRDefault="00DB0773" w:rsidP="00DB0773">
            <w:pPr>
              <w:widowControl w:val="0"/>
              <w:jc w:val="both"/>
              <w:rPr>
                <w:b/>
                <w:sz w:val="20"/>
                <w:szCs w:val="20"/>
              </w:rPr>
            </w:pPr>
            <w:r>
              <w:rPr>
                <w:b/>
                <w:sz w:val="20"/>
                <w:szCs w:val="20"/>
              </w:rPr>
              <w:t xml:space="preserve">Roger William, on his own behalf and on behalf of all other members of the Xeni Gwet’in </w:t>
            </w:r>
            <w:r w:rsidR="001628CE">
              <w:rPr>
                <w:b/>
                <w:sz w:val="20"/>
                <w:szCs w:val="20"/>
              </w:rPr>
              <w:t>F</w:t>
            </w:r>
            <w:r>
              <w:rPr>
                <w:b/>
                <w:sz w:val="20"/>
                <w:szCs w:val="20"/>
              </w:rPr>
              <w:t xml:space="preserve">irst Nations Government and on behalf of all other members of the Tsilhqot’in Nation </w:t>
            </w:r>
          </w:p>
          <w:p w:rsidR="001628CE" w:rsidRDefault="001628CE" w:rsidP="00DB0773">
            <w:pPr>
              <w:widowControl w:val="0"/>
              <w:jc w:val="both"/>
              <w:rPr>
                <w:b/>
                <w:sz w:val="20"/>
                <w:szCs w:val="20"/>
              </w:rPr>
            </w:pPr>
          </w:p>
          <w:p w:rsidR="00DB0773" w:rsidRPr="00C50A5C" w:rsidRDefault="00DB0773" w:rsidP="00DB0773">
            <w:pPr>
              <w:widowControl w:val="0"/>
              <w:tabs>
                <w:tab w:val="left" w:pos="736"/>
              </w:tabs>
              <w:jc w:val="both"/>
              <w:rPr>
                <w:b/>
                <w:sz w:val="20"/>
                <w:szCs w:val="20"/>
              </w:rPr>
            </w:pPr>
            <w:r w:rsidRPr="00C50A5C">
              <w:rPr>
                <w:b/>
                <w:sz w:val="20"/>
                <w:szCs w:val="20"/>
              </w:rPr>
              <w:tab/>
              <w:t xml:space="preserve">v. </w:t>
            </w:r>
            <w:r w:rsidR="009755CA" w:rsidRPr="007204A8">
              <w:rPr>
                <w:sz w:val="20"/>
                <w:szCs w:val="20"/>
              </w:rPr>
              <w:t>(</w:t>
            </w:r>
            <w:hyperlink r:id="rId57" w:history="1">
              <w:r w:rsidR="009755CA" w:rsidRPr="007204A8">
                <w:rPr>
                  <w:rStyle w:val="Hyperlink"/>
                  <w:sz w:val="20"/>
                  <w:szCs w:val="20"/>
                </w:rPr>
                <w:t>34986</w:t>
              </w:r>
            </w:hyperlink>
            <w:r w:rsidR="009755CA" w:rsidRPr="007204A8">
              <w:rPr>
                <w:sz w:val="20"/>
                <w:szCs w:val="20"/>
              </w:rPr>
              <w:t>)</w:t>
            </w:r>
          </w:p>
          <w:p w:rsidR="00DB0773" w:rsidRPr="00C50A5C" w:rsidRDefault="00DB0773" w:rsidP="00DB0773">
            <w:pPr>
              <w:widowControl w:val="0"/>
              <w:jc w:val="both"/>
              <w:rPr>
                <w:b/>
                <w:sz w:val="20"/>
                <w:szCs w:val="20"/>
              </w:rPr>
            </w:pPr>
          </w:p>
          <w:p w:rsidR="009755CA" w:rsidRPr="009755CA" w:rsidRDefault="001628CE" w:rsidP="009755CA">
            <w:pPr>
              <w:widowControl w:val="0"/>
              <w:jc w:val="both"/>
              <w:rPr>
                <w:sz w:val="20"/>
                <w:szCs w:val="20"/>
              </w:rPr>
            </w:pPr>
            <w:r>
              <w:rPr>
                <w:b/>
                <w:sz w:val="20"/>
                <w:szCs w:val="20"/>
              </w:rPr>
              <w:t>H</w:t>
            </w:r>
            <w:r w:rsidR="00DB0773">
              <w:rPr>
                <w:b/>
                <w:sz w:val="20"/>
                <w:szCs w:val="20"/>
              </w:rPr>
              <w:t>e</w:t>
            </w:r>
            <w:r>
              <w:rPr>
                <w:b/>
                <w:sz w:val="20"/>
                <w:szCs w:val="20"/>
              </w:rPr>
              <w:t>r Majest</w:t>
            </w:r>
            <w:r w:rsidR="00DB0773">
              <w:rPr>
                <w:b/>
                <w:sz w:val="20"/>
                <w:szCs w:val="20"/>
              </w:rPr>
              <w:t xml:space="preserve">y </w:t>
            </w:r>
            <w:r>
              <w:rPr>
                <w:b/>
                <w:sz w:val="20"/>
                <w:szCs w:val="20"/>
              </w:rPr>
              <w:t>th</w:t>
            </w:r>
            <w:r w:rsidR="00DB0773">
              <w:rPr>
                <w:b/>
                <w:sz w:val="20"/>
                <w:szCs w:val="20"/>
              </w:rPr>
              <w:t>e</w:t>
            </w:r>
            <w:r>
              <w:rPr>
                <w:b/>
                <w:sz w:val="20"/>
                <w:szCs w:val="20"/>
              </w:rPr>
              <w:t xml:space="preserve"> Qu</w:t>
            </w:r>
            <w:r w:rsidR="00DB0773">
              <w:rPr>
                <w:b/>
                <w:sz w:val="20"/>
                <w:szCs w:val="20"/>
              </w:rPr>
              <w:t>e</w:t>
            </w:r>
            <w:r>
              <w:rPr>
                <w:b/>
                <w:sz w:val="20"/>
                <w:szCs w:val="20"/>
              </w:rPr>
              <w:t xml:space="preserve">en in Right </w:t>
            </w:r>
            <w:r w:rsidR="00DB0773">
              <w:rPr>
                <w:b/>
                <w:sz w:val="20"/>
                <w:szCs w:val="20"/>
              </w:rPr>
              <w:t xml:space="preserve">of </w:t>
            </w:r>
            <w:r>
              <w:rPr>
                <w:b/>
                <w:sz w:val="20"/>
                <w:szCs w:val="20"/>
              </w:rPr>
              <w:t>the Provi</w:t>
            </w:r>
            <w:r w:rsidR="00DB0773">
              <w:rPr>
                <w:b/>
                <w:sz w:val="20"/>
                <w:szCs w:val="20"/>
              </w:rPr>
              <w:t>n</w:t>
            </w:r>
            <w:r>
              <w:rPr>
                <w:b/>
                <w:sz w:val="20"/>
                <w:szCs w:val="20"/>
              </w:rPr>
              <w:t>ce of B</w:t>
            </w:r>
            <w:r w:rsidR="00DB0773" w:rsidRPr="00C50A5C">
              <w:rPr>
                <w:b/>
                <w:sz w:val="20"/>
                <w:szCs w:val="20"/>
              </w:rPr>
              <w:t>ri</w:t>
            </w:r>
            <w:r w:rsidR="00DB0773">
              <w:rPr>
                <w:b/>
                <w:sz w:val="20"/>
                <w:szCs w:val="20"/>
              </w:rPr>
              <w:t>t</w:t>
            </w:r>
            <w:r>
              <w:rPr>
                <w:b/>
                <w:sz w:val="20"/>
                <w:szCs w:val="20"/>
              </w:rPr>
              <w:t>ish Columbia and</w:t>
            </w:r>
            <w:r w:rsidR="00DB0773">
              <w:rPr>
                <w:b/>
                <w:sz w:val="20"/>
                <w:szCs w:val="20"/>
              </w:rPr>
              <w:t xml:space="preserve"> the </w:t>
            </w:r>
            <w:r>
              <w:rPr>
                <w:b/>
                <w:sz w:val="20"/>
                <w:szCs w:val="20"/>
              </w:rPr>
              <w:t>Reg</w:t>
            </w:r>
            <w:r w:rsidR="00DB0773">
              <w:rPr>
                <w:b/>
                <w:sz w:val="20"/>
                <w:szCs w:val="20"/>
              </w:rPr>
              <w:t>i</w:t>
            </w:r>
            <w:r>
              <w:rPr>
                <w:b/>
                <w:sz w:val="20"/>
                <w:szCs w:val="20"/>
              </w:rPr>
              <w:t>o</w:t>
            </w:r>
            <w:r w:rsidR="00DB0773">
              <w:rPr>
                <w:b/>
                <w:sz w:val="20"/>
                <w:szCs w:val="20"/>
              </w:rPr>
              <w:t>na</w:t>
            </w:r>
            <w:r>
              <w:rPr>
                <w:b/>
                <w:sz w:val="20"/>
                <w:szCs w:val="20"/>
              </w:rPr>
              <w:t>l M</w:t>
            </w:r>
            <w:r w:rsidR="00DB0773">
              <w:rPr>
                <w:b/>
                <w:sz w:val="20"/>
                <w:szCs w:val="20"/>
              </w:rPr>
              <w:t>a</w:t>
            </w:r>
            <w:r>
              <w:rPr>
                <w:b/>
                <w:sz w:val="20"/>
                <w:szCs w:val="20"/>
              </w:rPr>
              <w:t>nager of the Cariboo Forest Region et al.</w:t>
            </w:r>
            <w:r w:rsidR="00DB0773" w:rsidRPr="00C50A5C">
              <w:rPr>
                <w:b/>
                <w:sz w:val="20"/>
                <w:szCs w:val="20"/>
              </w:rPr>
              <w:t xml:space="preserve"> (</w:t>
            </w:r>
            <w:r>
              <w:rPr>
                <w:b/>
                <w:sz w:val="20"/>
                <w:szCs w:val="20"/>
              </w:rPr>
              <w:t>B</w:t>
            </w:r>
            <w:r w:rsidR="00DB0773" w:rsidRPr="00C50A5C">
              <w:rPr>
                <w:b/>
                <w:sz w:val="20"/>
                <w:szCs w:val="20"/>
              </w:rPr>
              <w:t>.C.) (Civil) (By Leave)</w:t>
            </w:r>
          </w:p>
        </w:tc>
        <w:tc>
          <w:tcPr>
            <w:tcW w:w="720" w:type="dxa"/>
            <w:tcMar>
              <w:left w:w="0" w:type="dxa"/>
              <w:right w:w="0" w:type="dxa"/>
            </w:tcMar>
          </w:tcPr>
          <w:p w:rsidR="00DB0773" w:rsidRPr="009755CA" w:rsidRDefault="00DB0773" w:rsidP="00DB0773">
            <w:pPr>
              <w:widowControl w:val="0"/>
              <w:jc w:val="center"/>
              <w:rPr>
                <w:sz w:val="20"/>
                <w:szCs w:val="20"/>
              </w:rPr>
            </w:pPr>
          </w:p>
        </w:tc>
        <w:tc>
          <w:tcPr>
            <w:tcW w:w="4380" w:type="dxa"/>
            <w:tcMar>
              <w:left w:w="0" w:type="dxa"/>
              <w:right w:w="0" w:type="dxa"/>
            </w:tcMar>
          </w:tcPr>
          <w:p w:rsidR="008C7270" w:rsidRPr="008B5DC9" w:rsidRDefault="008C7270" w:rsidP="008C7270">
            <w:pPr>
              <w:jc w:val="both"/>
              <w:rPr>
                <w:sz w:val="20"/>
                <w:szCs w:val="20"/>
                <w:lang w:val="en-US"/>
              </w:rPr>
            </w:pPr>
            <w:r w:rsidRPr="008B5DC9">
              <w:rPr>
                <w:sz w:val="20"/>
                <w:szCs w:val="20"/>
                <w:lang w:val="en-US"/>
              </w:rPr>
              <w:t>David M. Rosenberg, Q.C.</w:t>
            </w:r>
            <w:r w:rsidRPr="008B5DC9">
              <w:rPr>
                <w:sz w:val="20"/>
                <w:szCs w:val="20"/>
                <w:lang w:val="en-US"/>
              </w:rPr>
              <w:tab/>
            </w:r>
            <w:r>
              <w:rPr>
                <w:sz w:val="20"/>
                <w:szCs w:val="20"/>
                <w:lang w:val="en-US"/>
              </w:rPr>
              <w:t xml:space="preserve">, </w:t>
            </w:r>
            <w:r w:rsidRPr="008B5DC9">
              <w:rPr>
                <w:sz w:val="20"/>
                <w:szCs w:val="20"/>
                <w:lang w:val="en-US"/>
              </w:rPr>
              <w:t>Jay Nelson</w:t>
            </w:r>
            <w:r>
              <w:rPr>
                <w:sz w:val="20"/>
                <w:szCs w:val="20"/>
                <w:lang w:val="en-US"/>
              </w:rPr>
              <w:t xml:space="preserve">, </w:t>
            </w:r>
            <w:r w:rsidRPr="008B5DC9">
              <w:rPr>
                <w:sz w:val="20"/>
                <w:szCs w:val="20"/>
              </w:rPr>
              <w:t>David M. Robbins</w:t>
            </w:r>
            <w:r>
              <w:rPr>
                <w:sz w:val="20"/>
                <w:szCs w:val="20"/>
              </w:rPr>
              <w:t xml:space="preserve"> and </w:t>
            </w:r>
            <w:r w:rsidRPr="008B5DC9">
              <w:rPr>
                <w:sz w:val="20"/>
                <w:szCs w:val="20"/>
              </w:rPr>
              <w:t>Dominique Nouvet</w:t>
            </w:r>
            <w:r>
              <w:rPr>
                <w:sz w:val="20"/>
                <w:szCs w:val="20"/>
              </w:rPr>
              <w:t xml:space="preserve"> f</w:t>
            </w:r>
            <w:r w:rsidRPr="008B5DC9">
              <w:rPr>
                <w:sz w:val="20"/>
                <w:szCs w:val="20"/>
                <w:lang w:val="en-US"/>
              </w:rPr>
              <w:t xml:space="preserve">or the </w:t>
            </w:r>
            <w:r>
              <w:rPr>
                <w:sz w:val="20"/>
                <w:szCs w:val="20"/>
                <w:lang w:val="en-US"/>
              </w:rPr>
              <w:t>a</w:t>
            </w:r>
            <w:r w:rsidRPr="008B5DC9">
              <w:rPr>
                <w:sz w:val="20"/>
                <w:szCs w:val="20"/>
                <w:lang w:val="en-US"/>
              </w:rPr>
              <w:t>ppellant.</w:t>
            </w:r>
          </w:p>
          <w:p w:rsidR="008C7270" w:rsidRPr="008B5DC9" w:rsidRDefault="008C7270" w:rsidP="008C7270">
            <w:pPr>
              <w:jc w:val="both"/>
              <w:rPr>
                <w:sz w:val="20"/>
                <w:szCs w:val="20"/>
              </w:rPr>
            </w:pPr>
          </w:p>
          <w:p w:rsidR="008C7270" w:rsidRPr="008B5DC9" w:rsidRDefault="008C7270" w:rsidP="008C7270">
            <w:pPr>
              <w:jc w:val="both"/>
              <w:rPr>
                <w:sz w:val="20"/>
                <w:szCs w:val="20"/>
                <w:lang w:val="en-US"/>
              </w:rPr>
            </w:pPr>
            <w:r w:rsidRPr="008B5DC9">
              <w:rPr>
                <w:sz w:val="20"/>
                <w:szCs w:val="20"/>
              </w:rPr>
              <w:t xml:space="preserve">Joseph J. Arvay, Q.C., </w:t>
            </w:r>
            <w:r w:rsidRPr="008B5DC9">
              <w:rPr>
                <w:sz w:val="20"/>
                <w:szCs w:val="20"/>
                <w:lang w:val="en-US"/>
              </w:rPr>
              <w:t>Catherine J. Boies Parker</w:t>
            </w:r>
            <w:r>
              <w:rPr>
                <w:sz w:val="20"/>
                <w:szCs w:val="20"/>
                <w:lang w:val="en-US"/>
              </w:rPr>
              <w:t xml:space="preserve"> and </w:t>
            </w:r>
            <w:r w:rsidRPr="008B5DC9">
              <w:rPr>
                <w:sz w:val="20"/>
                <w:szCs w:val="20"/>
                <w:lang w:val="en-US"/>
              </w:rPr>
              <w:t xml:space="preserve">Patrick Macklem </w:t>
            </w:r>
            <w:r>
              <w:rPr>
                <w:sz w:val="20"/>
                <w:szCs w:val="20"/>
                <w:lang w:val="en-US"/>
              </w:rPr>
              <w:t>f</w:t>
            </w:r>
            <w:r w:rsidRPr="008B5DC9">
              <w:rPr>
                <w:sz w:val="20"/>
                <w:szCs w:val="20"/>
                <w:lang w:val="en-US"/>
              </w:rPr>
              <w:t xml:space="preserve">or the </w:t>
            </w:r>
            <w:r>
              <w:rPr>
                <w:sz w:val="20"/>
                <w:szCs w:val="20"/>
                <w:lang w:val="en-US"/>
              </w:rPr>
              <w:t>i</w:t>
            </w:r>
            <w:r w:rsidRPr="008B5DC9">
              <w:rPr>
                <w:sz w:val="20"/>
                <w:szCs w:val="20"/>
                <w:lang w:val="en-US"/>
              </w:rPr>
              <w:t>ntervener</w:t>
            </w:r>
            <w:r>
              <w:rPr>
                <w:sz w:val="20"/>
                <w:szCs w:val="20"/>
                <w:lang w:val="en-US"/>
              </w:rPr>
              <w:t xml:space="preserve"> </w:t>
            </w:r>
            <w:r w:rsidRPr="008B5DC9">
              <w:rPr>
                <w:sz w:val="20"/>
                <w:szCs w:val="20"/>
                <w:lang w:val="en-US"/>
              </w:rPr>
              <w:t>Assembly of First Nations</w:t>
            </w:r>
            <w:r>
              <w:rPr>
                <w:sz w:val="20"/>
                <w:szCs w:val="20"/>
                <w:lang w:val="en-US"/>
              </w:rPr>
              <w:t>.</w:t>
            </w:r>
          </w:p>
          <w:p w:rsidR="008C7270" w:rsidRPr="008B5DC9" w:rsidRDefault="008C7270" w:rsidP="008C7270">
            <w:pPr>
              <w:jc w:val="both"/>
              <w:rPr>
                <w:sz w:val="20"/>
                <w:szCs w:val="20"/>
                <w:lang w:val="en-US"/>
              </w:rPr>
            </w:pPr>
          </w:p>
          <w:p w:rsidR="008C7270" w:rsidRPr="008B5DC9" w:rsidRDefault="008C7270" w:rsidP="008C7270">
            <w:pPr>
              <w:jc w:val="both"/>
              <w:rPr>
                <w:sz w:val="20"/>
                <w:szCs w:val="20"/>
                <w:lang w:val="en-US"/>
              </w:rPr>
            </w:pPr>
            <w:r w:rsidRPr="008B5DC9">
              <w:rPr>
                <w:sz w:val="20"/>
                <w:szCs w:val="20"/>
                <w:lang w:val="en-US"/>
              </w:rPr>
              <w:t>David C. Nahwegahbow</w:t>
            </w:r>
            <w:r>
              <w:rPr>
                <w:sz w:val="20"/>
                <w:szCs w:val="20"/>
                <w:lang w:val="en-US"/>
              </w:rPr>
              <w:t xml:space="preserve"> and </w:t>
            </w:r>
            <w:r w:rsidRPr="008B5DC9">
              <w:rPr>
                <w:sz w:val="20"/>
                <w:szCs w:val="20"/>
                <w:lang w:val="en-US"/>
              </w:rPr>
              <w:t>Guy Régimbald</w:t>
            </w:r>
            <w:r>
              <w:rPr>
                <w:sz w:val="20"/>
                <w:szCs w:val="20"/>
                <w:lang w:val="en-US"/>
              </w:rPr>
              <w:t xml:space="preserve"> f</w:t>
            </w:r>
            <w:r w:rsidRPr="008B5DC9">
              <w:rPr>
                <w:sz w:val="20"/>
                <w:szCs w:val="20"/>
                <w:lang w:val="en-US"/>
              </w:rPr>
              <w:t xml:space="preserve">or the </w:t>
            </w:r>
            <w:r>
              <w:rPr>
                <w:sz w:val="20"/>
                <w:szCs w:val="20"/>
                <w:lang w:val="en-US"/>
              </w:rPr>
              <w:t>in</w:t>
            </w:r>
            <w:r w:rsidRPr="008B5DC9">
              <w:rPr>
                <w:sz w:val="20"/>
                <w:szCs w:val="20"/>
                <w:lang w:val="en-US"/>
              </w:rPr>
              <w:t>tervener</w:t>
            </w:r>
            <w:r>
              <w:rPr>
                <w:sz w:val="20"/>
                <w:szCs w:val="20"/>
                <w:lang w:val="en-US"/>
              </w:rPr>
              <w:t xml:space="preserve"> </w:t>
            </w:r>
            <w:r w:rsidRPr="008B5DC9">
              <w:rPr>
                <w:sz w:val="20"/>
                <w:szCs w:val="20"/>
                <w:lang w:val="en-US"/>
              </w:rPr>
              <w:t>Indigenous Bar Association in Canada</w:t>
            </w:r>
            <w:r>
              <w:rPr>
                <w:sz w:val="20"/>
                <w:szCs w:val="20"/>
                <w:lang w:val="en-US"/>
              </w:rPr>
              <w:t>.</w:t>
            </w:r>
          </w:p>
          <w:p w:rsidR="008C7270" w:rsidRPr="008B5DC9" w:rsidRDefault="008C7270" w:rsidP="008C7270">
            <w:pPr>
              <w:jc w:val="both"/>
              <w:rPr>
                <w:sz w:val="20"/>
                <w:szCs w:val="20"/>
                <w:lang w:val="en-US"/>
              </w:rPr>
            </w:pPr>
          </w:p>
          <w:p w:rsidR="008C7270" w:rsidRPr="008B5DC9" w:rsidRDefault="008C7270" w:rsidP="008C7270">
            <w:pPr>
              <w:jc w:val="both"/>
              <w:rPr>
                <w:sz w:val="20"/>
                <w:szCs w:val="20"/>
                <w:lang w:val="en-US"/>
              </w:rPr>
            </w:pPr>
            <w:r w:rsidRPr="008B5DC9">
              <w:rPr>
                <w:sz w:val="20"/>
                <w:szCs w:val="20"/>
                <w:lang w:val="en-US"/>
              </w:rPr>
              <w:t>Maria Morellato Q.C.</w:t>
            </w:r>
            <w:r>
              <w:rPr>
                <w:sz w:val="20"/>
                <w:szCs w:val="20"/>
                <w:lang w:val="en-US"/>
              </w:rPr>
              <w:t xml:space="preserve">, </w:t>
            </w:r>
            <w:r w:rsidRPr="008B5DC9">
              <w:rPr>
                <w:sz w:val="20"/>
                <w:szCs w:val="20"/>
                <w:lang w:val="en-US"/>
              </w:rPr>
              <w:t>Cheryl Sharvit</w:t>
            </w:r>
            <w:r>
              <w:rPr>
                <w:sz w:val="20"/>
                <w:szCs w:val="20"/>
                <w:lang w:val="en-US"/>
              </w:rPr>
              <w:t xml:space="preserve"> and </w:t>
            </w:r>
            <w:r w:rsidRPr="008B5DC9">
              <w:rPr>
                <w:sz w:val="20"/>
                <w:szCs w:val="20"/>
                <w:lang w:val="en-US"/>
              </w:rPr>
              <w:t>Stacey Edzerza-Fox</w:t>
            </w:r>
            <w:r>
              <w:rPr>
                <w:sz w:val="20"/>
                <w:szCs w:val="20"/>
                <w:lang w:val="en-US"/>
              </w:rPr>
              <w:t xml:space="preserve"> f</w:t>
            </w:r>
            <w:r w:rsidRPr="008B5DC9">
              <w:rPr>
                <w:sz w:val="20"/>
                <w:szCs w:val="20"/>
                <w:lang w:val="en-US"/>
              </w:rPr>
              <w:t xml:space="preserve">or the </w:t>
            </w:r>
            <w:r>
              <w:rPr>
                <w:sz w:val="20"/>
                <w:szCs w:val="20"/>
                <w:lang w:val="en-US"/>
              </w:rPr>
              <w:t>i</w:t>
            </w:r>
            <w:r w:rsidRPr="008B5DC9">
              <w:rPr>
                <w:sz w:val="20"/>
                <w:szCs w:val="20"/>
                <w:lang w:val="en-US"/>
              </w:rPr>
              <w:t>ntervener</w:t>
            </w:r>
            <w:r>
              <w:rPr>
                <w:sz w:val="20"/>
                <w:szCs w:val="20"/>
                <w:lang w:val="en-US"/>
              </w:rPr>
              <w:t xml:space="preserve"> </w:t>
            </w:r>
            <w:r w:rsidRPr="008B5DC9">
              <w:rPr>
                <w:sz w:val="20"/>
                <w:szCs w:val="20"/>
                <w:lang w:val="en-US"/>
              </w:rPr>
              <w:t>First Nations Summit</w:t>
            </w:r>
            <w:r>
              <w:rPr>
                <w:sz w:val="20"/>
                <w:szCs w:val="20"/>
                <w:lang w:val="en-US"/>
              </w:rPr>
              <w:t>.</w:t>
            </w:r>
          </w:p>
          <w:p w:rsidR="008C7270" w:rsidRPr="008B5DC9" w:rsidRDefault="008C7270" w:rsidP="008C7270">
            <w:pPr>
              <w:jc w:val="both"/>
              <w:rPr>
                <w:sz w:val="20"/>
                <w:szCs w:val="20"/>
                <w:lang w:val="en-US"/>
              </w:rPr>
            </w:pPr>
          </w:p>
          <w:p w:rsidR="008C7270" w:rsidRPr="008B5DC9" w:rsidRDefault="008C7270" w:rsidP="008C7270">
            <w:pPr>
              <w:jc w:val="both"/>
              <w:rPr>
                <w:sz w:val="20"/>
                <w:szCs w:val="20"/>
                <w:lang w:val="en-US"/>
              </w:rPr>
            </w:pPr>
            <w:r w:rsidRPr="008B5DC9">
              <w:rPr>
                <w:sz w:val="20"/>
                <w:szCs w:val="20"/>
                <w:lang w:val="en-US"/>
              </w:rPr>
              <w:t>Robert J.M. Janes</w:t>
            </w:r>
            <w:r w:rsidRPr="008B5DC9">
              <w:rPr>
                <w:sz w:val="20"/>
                <w:szCs w:val="20"/>
                <w:lang w:val="en-US"/>
              </w:rPr>
              <w:tab/>
            </w:r>
            <w:r>
              <w:rPr>
                <w:sz w:val="20"/>
                <w:szCs w:val="20"/>
                <w:lang w:val="en-US"/>
              </w:rPr>
              <w:t xml:space="preserve"> and </w:t>
            </w:r>
            <w:r w:rsidRPr="008B5DC9">
              <w:rPr>
                <w:sz w:val="20"/>
                <w:szCs w:val="20"/>
                <w:lang w:val="en-US"/>
              </w:rPr>
              <w:t>Karey Brooks</w:t>
            </w:r>
            <w:r>
              <w:rPr>
                <w:sz w:val="20"/>
                <w:szCs w:val="20"/>
                <w:lang w:val="en-US"/>
              </w:rPr>
              <w:t xml:space="preserve"> f</w:t>
            </w:r>
            <w:r w:rsidRPr="008B5DC9">
              <w:rPr>
                <w:sz w:val="20"/>
                <w:szCs w:val="20"/>
                <w:lang w:val="en-US"/>
              </w:rPr>
              <w:t xml:space="preserve">or the </w:t>
            </w:r>
            <w:r>
              <w:rPr>
                <w:sz w:val="20"/>
                <w:szCs w:val="20"/>
                <w:lang w:val="en-US"/>
              </w:rPr>
              <w:t>i</w:t>
            </w:r>
            <w:r w:rsidRPr="008B5DC9">
              <w:rPr>
                <w:sz w:val="20"/>
                <w:szCs w:val="20"/>
                <w:lang w:val="en-US"/>
              </w:rPr>
              <w:t>ntervener</w:t>
            </w:r>
            <w:r>
              <w:rPr>
                <w:sz w:val="20"/>
                <w:szCs w:val="20"/>
                <w:lang w:val="en-US"/>
              </w:rPr>
              <w:t xml:space="preserve"> </w:t>
            </w:r>
            <w:r w:rsidRPr="008B5DC9">
              <w:rPr>
                <w:sz w:val="20"/>
                <w:szCs w:val="20"/>
                <w:lang w:val="en-US"/>
              </w:rPr>
              <w:t>Te’mexw Treaty Association</w:t>
            </w:r>
            <w:r>
              <w:rPr>
                <w:sz w:val="20"/>
                <w:szCs w:val="20"/>
                <w:lang w:val="en-US"/>
              </w:rPr>
              <w:t>.</w:t>
            </w:r>
          </w:p>
          <w:p w:rsidR="008C7270" w:rsidRPr="008B5DC9" w:rsidRDefault="008C7270" w:rsidP="008C7270">
            <w:pPr>
              <w:jc w:val="both"/>
              <w:rPr>
                <w:sz w:val="20"/>
                <w:szCs w:val="20"/>
                <w:lang w:val="en-US"/>
              </w:rPr>
            </w:pPr>
          </w:p>
          <w:p w:rsidR="008C7270" w:rsidRPr="008B5DC9" w:rsidRDefault="008C7270" w:rsidP="008C7270">
            <w:pPr>
              <w:jc w:val="both"/>
              <w:rPr>
                <w:sz w:val="20"/>
                <w:szCs w:val="20"/>
                <w:lang w:val="en-US"/>
              </w:rPr>
            </w:pPr>
            <w:r w:rsidRPr="008B5DC9">
              <w:rPr>
                <w:sz w:val="20"/>
                <w:szCs w:val="20"/>
                <w:lang w:val="en-US"/>
              </w:rPr>
              <w:t>Tim A. Dickson</w:t>
            </w:r>
            <w:r>
              <w:rPr>
                <w:sz w:val="20"/>
                <w:szCs w:val="20"/>
                <w:lang w:val="en-US"/>
              </w:rPr>
              <w:t xml:space="preserve"> f</w:t>
            </w:r>
            <w:r w:rsidRPr="008B5DC9">
              <w:rPr>
                <w:sz w:val="20"/>
                <w:szCs w:val="20"/>
                <w:lang w:val="en-US"/>
              </w:rPr>
              <w:t xml:space="preserve">or the </w:t>
            </w:r>
            <w:r>
              <w:rPr>
                <w:sz w:val="20"/>
                <w:szCs w:val="20"/>
                <w:lang w:val="en-US"/>
              </w:rPr>
              <w:t>i</w:t>
            </w:r>
            <w:r w:rsidRPr="008B5DC9">
              <w:rPr>
                <w:sz w:val="20"/>
                <w:szCs w:val="20"/>
                <w:lang w:val="en-US"/>
              </w:rPr>
              <w:t>nterveners</w:t>
            </w:r>
            <w:r>
              <w:rPr>
                <w:sz w:val="20"/>
                <w:szCs w:val="20"/>
                <w:lang w:val="en-US"/>
              </w:rPr>
              <w:t xml:space="preserve"> </w:t>
            </w:r>
            <w:r w:rsidRPr="008B5DC9">
              <w:rPr>
                <w:sz w:val="20"/>
                <w:szCs w:val="20"/>
                <w:lang w:val="en-US"/>
              </w:rPr>
              <w:t>Gitxaala Nation</w:t>
            </w:r>
            <w:r>
              <w:rPr>
                <w:sz w:val="20"/>
                <w:szCs w:val="20"/>
                <w:lang w:val="en-US"/>
              </w:rPr>
              <w:t>.</w:t>
            </w:r>
          </w:p>
          <w:p w:rsidR="008C7270" w:rsidRPr="008B5DC9" w:rsidRDefault="008C7270" w:rsidP="008C7270">
            <w:pPr>
              <w:ind w:left="2880" w:firstLine="720"/>
              <w:jc w:val="both"/>
              <w:rPr>
                <w:sz w:val="20"/>
                <w:szCs w:val="20"/>
                <w:lang w:val="en-US"/>
              </w:rPr>
            </w:pPr>
          </w:p>
          <w:p w:rsidR="008C7270" w:rsidRPr="008B5DC9" w:rsidRDefault="008C7270" w:rsidP="008C7270">
            <w:pPr>
              <w:jc w:val="both"/>
              <w:rPr>
                <w:sz w:val="20"/>
                <w:szCs w:val="20"/>
                <w:lang w:val="en-US"/>
              </w:rPr>
            </w:pPr>
            <w:r w:rsidRPr="008B5DC9">
              <w:rPr>
                <w:sz w:val="20"/>
                <w:szCs w:val="20"/>
                <w:lang w:val="en-US"/>
              </w:rPr>
              <w:t>Gregory J. McDade, Q.C.</w:t>
            </w:r>
            <w:r>
              <w:rPr>
                <w:sz w:val="20"/>
                <w:szCs w:val="20"/>
                <w:lang w:val="en-US"/>
              </w:rPr>
              <w:t xml:space="preserve"> and </w:t>
            </w:r>
            <w:r w:rsidRPr="008B5DC9">
              <w:rPr>
                <w:sz w:val="20"/>
                <w:szCs w:val="20"/>
                <w:lang w:val="en-US"/>
              </w:rPr>
              <w:t>F. Matthew Kirchner</w:t>
            </w:r>
            <w:r>
              <w:rPr>
                <w:sz w:val="20"/>
                <w:szCs w:val="20"/>
                <w:lang w:val="en-US"/>
              </w:rPr>
              <w:t xml:space="preserve"> f</w:t>
            </w:r>
            <w:r w:rsidRPr="008B5DC9">
              <w:rPr>
                <w:sz w:val="20"/>
                <w:szCs w:val="20"/>
                <w:lang w:val="en-US"/>
              </w:rPr>
              <w:t xml:space="preserve">or the </w:t>
            </w:r>
            <w:r>
              <w:rPr>
                <w:sz w:val="20"/>
                <w:szCs w:val="20"/>
                <w:lang w:val="en-US"/>
              </w:rPr>
              <w:t>i</w:t>
            </w:r>
            <w:r w:rsidRPr="008B5DC9">
              <w:rPr>
                <w:sz w:val="20"/>
                <w:szCs w:val="20"/>
                <w:lang w:val="en-US"/>
              </w:rPr>
              <w:t>ntervener</w:t>
            </w:r>
            <w:r>
              <w:rPr>
                <w:sz w:val="20"/>
                <w:szCs w:val="20"/>
                <w:lang w:val="en-US"/>
              </w:rPr>
              <w:t xml:space="preserve"> </w:t>
            </w:r>
            <w:r w:rsidRPr="008B5DC9">
              <w:rPr>
                <w:sz w:val="20"/>
                <w:szCs w:val="20"/>
                <w:lang w:val="en-US"/>
              </w:rPr>
              <w:t>Chilko Resorts and Community</w:t>
            </w:r>
            <w:r>
              <w:rPr>
                <w:sz w:val="20"/>
                <w:szCs w:val="20"/>
                <w:lang w:val="en-US"/>
              </w:rPr>
              <w:t xml:space="preserve"> </w:t>
            </w:r>
            <w:r w:rsidRPr="008B5DC9">
              <w:rPr>
                <w:sz w:val="20"/>
                <w:szCs w:val="20"/>
                <w:lang w:val="en-US"/>
              </w:rPr>
              <w:t>Association and Council of Canadian</w:t>
            </w:r>
            <w:r>
              <w:rPr>
                <w:sz w:val="20"/>
                <w:szCs w:val="20"/>
                <w:lang w:val="en-US"/>
              </w:rPr>
              <w:t>.</w:t>
            </w:r>
          </w:p>
          <w:p w:rsidR="008C7270" w:rsidRPr="008B5DC9" w:rsidRDefault="008C7270" w:rsidP="008C7270">
            <w:pPr>
              <w:jc w:val="both"/>
              <w:rPr>
                <w:sz w:val="20"/>
                <w:szCs w:val="20"/>
                <w:lang w:val="en-US"/>
              </w:rPr>
            </w:pPr>
          </w:p>
          <w:p w:rsidR="008C7270" w:rsidRPr="008B5DC9" w:rsidRDefault="008C7270" w:rsidP="008C7270">
            <w:pPr>
              <w:jc w:val="both"/>
              <w:rPr>
                <w:sz w:val="20"/>
                <w:szCs w:val="20"/>
                <w:lang w:val="en-US"/>
              </w:rPr>
            </w:pPr>
            <w:r w:rsidRPr="008B5DC9">
              <w:rPr>
                <w:sz w:val="20"/>
                <w:szCs w:val="20"/>
                <w:lang w:val="en-US"/>
              </w:rPr>
              <w:t>Louise Mandell, Q.C.</w:t>
            </w:r>
            <w:r>
              <w:rPr>
                <w:sz w:val="20"/>
                <w:szCs w:val="20"/>
                <w:lang w:val="en-US"/>
              </w:rPr>
              <w:t xml:space="preserve">, </w:t>
            </w:r>
            <w:r w:rsidRPr="008B5DC9">
              <w:rPr>
                <w:sz w:val="20"/>
                <w:szCs w:val="20"/>
                <w:lang w:val="en-US"/>
              </w:rPr>
              <w:t>Ardith Walkem</w:t>
            </w:r>
            <w:r>
              <w:rPr>
                <w:sz w:val="20"/>
                <w:szCs w:val="20"/>
                <w:lang w:val="en-US"/>
              </w:rPr>
              <w:t xml:space="preserve">, </w:t>
            </w:r>
            <w:r w:rsidRPr="008B5DC9">
              <w:rPr>
                <w:sz w:val="20"/>
                <w:szCs w:val="20"/>
                <w:lang w:val="en-US"/>
              </w:rPr>
              <w:t>Nicole Schabus</w:t>
            </w:r>
            <w:r>
              <w:rPr>
                <w:sz w:val="20"/>
                <w:szCs w:val="20"/>
                <w:lang w:val="en-US"/>
              </w:rPr>
              <w:t xml:space="preserve"> and </w:t>
            </w:r>
            <w:r w:rsidRPr="008B5DC9">
              <w:rPr>
                <w:sz w:val="20"/>
                <w:szCs w:val="20"/>
                <w:lang w:val="en-US"/>
              </w:rPr>
              <w:t>Michael Jackson, Q.C.</w:t>
            </w:r>
            <w:r>
              <w:rPr>
                <w:sz w:val="20"/>
                <w:szCs w:val="20"/>
                <w:lang w:val="en-US"/>
              </w:rPr>
              <w:t xml:space="preserve"> f</w:t>
            </w:r>
            <w:r w:rsidRPr="008B5DC9">
              <w:rPr>
                <w:sz w:val="20"/>
                <w:szCs w:val="20"/>
                <w:lang w:val="en-US"/>
              </w:rPr>
              <w:t xml:space="preserve">or the </w:t>
            </w:r>
            <w:r>
              <w:rPr>
                <w:sz w:val="20"/>
                <w:szCs w:val="20"/>
                <w:lang w:val="en-US"/>
              </w:rPr>
              <w:t>i</w:t>
            </w:r>
            <w:r w:rsidRPr="008B5DC9">
              <w:rPr>
                <w:sz w:val="20"/>
                <w:szCs w:val="20"/>
                <w:lang w:val="en-US"/>
              </w:rPr>
              <w:t>nterveners</w:t>
            </w:r>
            <w:r>
              <w:rPr>
                <w:sz w:val="20"/>
                <w:szCs w:val="20"/>
                <w:lang w:val="en-US"/>
              </w:rPr>
              <w:t xml:space="preserve"> </w:t>
            </w:r>
            <w:r w:rsidRPr="008B5DC9">
              <w:rPr>
                <w:sz w:val="20"/>
                <w:szCs w:val="20"/>
                <w:lang w:val="en-US"/>
              </w:rPr>
              <w:t>Coalition of the Union of B.C. Indian Chiefs and Okanagan Nation Alliance et al.</w:t>
            </w:r>
          </w:p>
          <w:p w:rsidR="008C7270" w:rsidRPr="008B5DC9" w:rsidRDefault="008C7270" w:rsidP="008C7270">
            <w:pPr>
              <w:jc w:val="both"/>
              <w:rPr>
                <w:sz w:val="20"/>
                <w:szCs w:val="20"/>
                <w:lang w:val="en-US"/>
              </w:rPr>
            </w:pPr>
          </w:p>
          <w:p w:rsidR="008C7270" w:rsidRPr="008B5DC9" w:rsidRDefault="008C7270" w:rsidP="008C7270">
            <w:pPr>
              <w:jc w:val="both"/>
              <w:rPr>
                <w:sz w:val="20"/>
                <w:szCs w:val="20"/>
                <w:lang w:val="en-US"/>
              </w:rPr>
            </w:pPr>
            <w:r w:rsidRPr="008B5DC9">
              <w:rPr>
                <w:sz w:val="20"/>
                <w:szCs w:val="20"/>
                <w:lang w:val="en-US"/>
              </w:rPr>
              <w:t>Justin Safayeni</w:t>
            </w:r>
            <w:r>
              <w:rPr>
                <w:sz w:val="20"/>
                <w:szCs w:val="20"/>
                <w:lang w:val="en-US"/>
              </w:rPr>
              <w:t xml:space="preserve"> and </w:t>
            </w:r>
            <w:r w:rsidRPr="008B5DC9">
              <w:rPr>
                <w:sz w:val="20"/>
                <w:szCs w:val="20"/>
                <w:lang w:val="en-US"/>
              </w:rPr>
              <w:t>Paul Joffe</w:t>
            </w:r>
            <w:r>
              <w:rPr>
                <w:sz w:val="20"/>
                <w:szCs w:val="20"/>
                <w:lang w:val="en-US"/>
              </w:rPr>
              <w:t xml:space="preserve"> f</w:t>
            </w:r>
            <w:r w:rsidRPr="008B5DC9">
              <w:rPr>
                <w:sz w:val="20"/>
                <w:szCs w:val="20"/>
                <w:lang w:val="en-US"/>
              </w:rPr>
              <w:t xml:space="preserve">or the </w:t>
            </w:r>
            <w:r>
              <w:rPr>
                <w:sz w:val="20"/>
                <w:szCs w:val="20"/>
                <w:lang w:val="en-US"/>
              </w:rPr>
              <w:t>i</w:t>
            </w:r>
            <w:r w:rsidRPr="008B5DC9">
              <w:rPr>
                <w:sz w:val="20"/>
                <w:szCs w:val="20"/>
                <w:lang w:val="en-US"/>
              </w:rPr>
              <w:t>ntervener</w:t>
            </w:r>
            <w:r>
              <w:rPr>
                <w:sz w:val="20"/>
                <w:szCs w:val="20"/>
                <w:lang w:val="en-US"/>
              </w:rPr>
              <w:t xml:space="preserve"> </w:t>
            </w:r>
            <w:r w:rsidRPr="008B5DC9">
              <w:rPr>
                <w:sz w:val="20"/>
                <w:szCs w:val="20"/>
                <w:lang w:val="en-US"/>
              </w:rPr>
              <w:t>Amnesty International and Canadian Friends Service Committee</w:t>
            </w:r>
            <w:r>
              <w:rPr>
                <w:sz w:val="20"/>
                <w:szCs w:val="20"/>
                <w:lang w:val="en-US"/>
              </w:rPr>
              <w:t>.</w:t>
            </w:r>
          </w:p>
          <w:p w:rsidR="008C7270" w:rsidRPr="008B5DC9" w:rsidRDefault="008C7270" w:rsidP="008C7270">
            <w:pPr>
              <w:jc w:val="both"/>
              <w:rPr>
                <w:sz w:val="20"/>
                <w:szCs w:val="20"/>
                <w:lang w:val="en-US"/>
              </w:rPr>
            </w:pPr>
          </w:p>
          <w:p w:rsidR="008C7270" w:rsidRPr="008B5DC9" w:rsidRDefault="008C7270" w:rsidP="008C7270">
            <w:pPr>
              <w:jc w:val="both"/>
              <w:rPr>
                <w:sz w:val="20"/>
                <w:szCs w:val="20"/>
                <w:lang w:val="en-US"/>
              </w:rPr>
            </w:pPr>
            <w:r w:rsidRPr="008B5DC9">
              <w:rPr>
                <w:sz w:val="20"/>
                <w:szCs w:val="20"/>
                <w:lang w:val="en-US"/>
              </w:rPr>
              <w:t>Robert Morales</w:t>
            </w:r>
            <w:r>
              <w:rPr>
                <w:sz w:val="20"/>
                <w:szCs w:val="20"/>
                <w:lang w:val="en-US"/>
              </w:rPr>
              <w:t xml:space="preserve"> and </w:t>
            </w:r>
            <w:r w:rsidRPr="008B5DC9">
              <w:rPr>
                <w:sz w:val="20"/>
                <w:szCs w:val="20"/>
                <w:lang w:val="en-US"/>
              </w:rPr>
              <w:t>Renée Racette</w:t>
            </w:r>
            <w:r>
              <w:rPr>
                <w:sz w:val="20"/>
                <w:szCs w:val="20"/>
                <w:lang w:val="en-US"/>
              </w:rPr>
              <w:t xml:space="preserve"> f</w:t>
            </w:r>
            <w:r w:rsidRPr="008B5DC9">
              <w:rPr>
                <w:sz w:val="20"/>
                <w:szCs w:val="20"/>
                <w:lang w:val="en-US"/>
              </w:rPr>
              <w:t xml:space="preserve">or the </w:t>
            </w:r>
            <w:r>
              <w:rPr>
                <w:sz w:val="20"/>
                <w:szCs w:val="20"/>
                <w:lang w:val="en-US"/>
              </w:rPr>
              <w:t>i</w:t>
            </w:r>
            <w:r w:rsidRPr="008B5DC9">
              <w:rPr>
                <w:sz w:val="20"/>
                <w:szCs w:val="20"/>
                <w:lang w:val="en-US"/>
              </w:rPr>
              <w:t>ntervener</w:t>
            </w:r>
            <w:r>
              <w:rPr>
                <w:sz w:val="20"/>
                <w:szCs w:val="20"/>
                <w:lang w:val="en-US"/>
              </w:rPr>
              <w:t xml:space="preserve"> </w:t>
            </w:r>
            <w:r w:rsidRPr="008B5DC9">
              <w:rPr>
                <w:sz w:val="20"/>
                <w:szCs w:val="20"/>
                <w:lang w:val="en-US"/>
              </w:rPr>
              <w:t>Hul’qumi’num Treaty Group</w:t>
            </w:r>
            <w:r>
              <w:rPr>
                <w:sz w:val="20"/>
                <w:szCs w:val="20"/>
                <w:lang w:val="en-US"/>
              </w:rPr>
              <w:t>.</w:t>
            </w:r>
          </w:p>
          <w:p w:rsidR="008C7270" w:rsidRPr="008B5DC9" w:rsidRDefault="008C7270" w:rsidP="008C7270">
            <w:pPr>
              <w:jc w:val="both"/>
              <w:rPr>
                <w:sz w:val="20"/>
                <w:szCs w:val="20"/>
                <w:lang w:val="en-US"/>
              </w:rPr>
            </w:pPr>
          </w:p>
          <w:p w:rsidR="008C7270" w:rsidRPr="008B5DC9" w:rsidRDefault="008C7270" w:rsidP="008C7270">
            <w:pPr>
              <w:jc w:val="both"/>
              <w:rPr>
                <w:sz w:val="20"/>
                <w:szCs w:val="20"/>
                <w:lang w:val="en-US"/>
              </w:rPr>
            </w:pPr>
            <w:r w:rsidRPr="008B5DC9">
              <w:rPr>
                <w:sz w:val="20"/>
                <w:szCs w:val="20"/>
                <w:lang w:val="en-US"/>
              </w:rPr>
              <w:t>Written submission only</w:t>
            </w:r>
            <w:r>
              <w:rPr>
                <w:sz w:val="20"/>
                <w:szCs w:val="20"/>
                <w:lang w:val="en-US"/>
              </w:rPr>
              <w:t xml:space="preserve"> by </w:t>
            </w:r>
            <w:r w:rsidRPr="008B5DC9">
              <w:rPr>
                <w:sz w:val="20"/>
                <w:szCs w:val="20"/>
                <w:lang w:val="en-US"/>
              </w:rPr>
              <w:t>Diane Soroka</w:t>
            </w:r>
            <w:r>
              <w:rPr>
                <w:sz w:val="20"/>
                <w:szCs w:val="20"/>
                <w:lang w:val="en-US"/>
              </w:rPr>
              <w:t xml:space="preserve"> f</w:t>
            </w:r>
            <w:r w:rsidRPr="008B5DC9">
              <w:rPr>
                <w:sz w:val="20"/>
                <w:szCs w:val="20"/>
                <w:lang w:val="en-US"/>
              </w:rPr>
              <w:t xml:space="preserve">or the </w:t>
            </w:r>
            <w:r>
              <w:rPr>
                <w:sz w:val="20"/>
                <w:szCs w:val="20"/>
                <w:lang w:val="en-US"/>
              </w:rPr>
              <w:t>i</w:t>
            </w:r>
            <w:r w:rsidRPr="008B5DC9">
              <w:rPr>
                <w:sz w:val="20"/>
                <w:szCs w:val="20"/>
                <w:lang w:val="en-US"/>
              </w:rPr>
              <w:t>nterveners</w:t>
            </w:r>
            <w:r>
              <w:rPr>
                <w:sz w:val="20"/>
                <w:szCs w:val="20"/>
                <w:lang w:val="en-US"/>
              </w:rPr>
              <w:t xml:space="preserve"> </w:t>
            </w:r>
            <w:r w:rsidRPr="008B5DC9">
              <w:rPr>
                <w:sz w:val="20"/>
                <w:szCs w:val="20"/>
                <w:lang w:val="en-US"/>
              </w:rPr>
              <w:t>Gitanyow Hereditary Chiefs of</w:t>
            </w:r>
            <w:r>
              <w:rPr>
                <w:sz w:val="20"/>
                <w:szCs w:val="20"/>
                <w:lang w:val="en-US"/>
              </w:rPr>
              <w:t xml:space="preserve"> </w:t>
            </w:r>
            <w:r w:rsidRPr="008B5DC9">
              <w:rPr>
                <w:sz w:val="20"/>
                <w:szCs w:val="20"/>
                <w:lang w:val="en-US"/>
              </w:rPr>
              <w:t>Gwass Hlaam, et al.</w:t>
            </w:r>
          </w:p>
          <w:p w:rsidR="008C7270" w:rsidRPr="008B5DC9" w:rsidRDefault="008C7270" w:rsidP="008C7270">
            <w:pPr>
              <w:jc w:val="both"/>
              <w:rPr>
                <w:sz w:val="20"/>
                <w:szCs w:val="20"/>
                <w:lang w:val="en-US"/>
              </w:rPr>
            </w:pPr>
          </w:p>
          <w:p w:rsidR="008C7270" w:rsidRPr="008B5DC9" w:rsidRDefault="008C7270" w:rsidP="008C7270">
            <w:pPr>
              <w:jc w:val="both"/>
              <w:rPr>
                <w:sz w:val="20"/>
                <w:szCs w:val="20"/>
                <w:lang w:val="en-US"/>
              </w:rPr>
            </w:pPr>
            <w:r w:rsidRPr="008B5DC9">
              <w:rPr>
                <w:sz w:val="20"/>
                <w:szCs w:val="20"/>
                <w:lang w:val="en-US"/>
              </w:rPr>
              <w:t>Written submission only</w:t>
            </w:r>
            <w:r>
              <w:rPr>
                <w:sz w:val="20"/>
                <w:szCs w:val="20"/>
                <w:lang w:val="en-US"/>
              </w:rPr>
              <w:t xml:space="preserve"> by </w:t>
            </w:r>
            <w:r w:rsidRPr="008B5DC9">
              <w:rPr>
                <w:sz w:val="20"/>
                <w:szCs w:val="20"/>
                <w:lang w:val="en-US"/>
              </w:rPr>
              <w:t>Diane Soroka</w:t>
            </w:r>
            <w:r>
              <w:rPr>
                <w:sz w:val="20"/>
                <w:szCs w:val="20"/>
                <w:lang w:val="en-US"/>
              </w:rPr>
              <w:t xml:space="preserve"> f</w:t>
            </w:r>
            <w:r w:rsidRPr="008B5DC9">
              <w:rPr>
                <w:sz w:val="20"/>
                <w:szCs w:val="20"/>
                <w:lang w:val="en-US"/>
              </w:rPr>
              <w:t xml:space="preserve">or the </w:t>
            </w:r>
            <w:r>
              <w:rPr>
                <w:sz w:val="20"/>
                <w:szCs w:val="20"/>
                <w:lang w:val="en-US"/>
              </w:rPr>
              <w:t>i</w:t>
            </w:r>
            <w:r w:rsidRPr="008B5DC9">
              <w:rPr>
                <w:sz w:val="20"/>
                <w:szCs w:val="20"/>
                <w:lang w:val="en-US"/>
              </w:rPr>
              <w:t>ntervener</w:t>
            </w:r>
            <w:r>
              <w:rPr>
                <w:sz w:val="20"/>
                <w:szCs w:val="20"/>
                <w:lang w:val="en-US"/>
              </w:rPr>
              <w:t xml:space="preserve"> </w:t>
            </w:r>
            <w:r w:rsidRPr="008B5DC9">
              <w:rPr>
                <w:sz w:val="20"/>
                <w:szCs w:val="20"/>
                <w:lang w:val="en-US"/>
              </w:rPr>
              <w:t>Office of the Wet’suwet’en Chiefs</w:t>
            </w:r>
            <w:r>
              <w:rPr>
                <w:sz w:val="20"/>
                <w:szCs w:val="20"/>
                <w:lang w:val="en-US"/>
              </w:rPr>
              <w:t>.</w:t>
            </w:r>
          </w:p>
          <w:p w:rsidR="008C7270" w:rsidRPr="008B5DC9" w:rsidRDefault="008C7270" w:rsidP="008C7270">
            <w:pPr>
              <w:jc w:val="both"/>
              <w:rPr>
                <w:sz w:val="20"/>
                <w:szCs w:val="20"/>
                <w:lang w:val="en-US"/>
              </w:rPr>
            </w:pPr>
          </w:p>
          <w:p w:rsidR="008C7270" w:rsidRPr="008B5DC9" w:rsidRDefault="008C7270" w:rsidP="008C7270">
            <w:pPr>
              <w:jc w:val="both"/>
              <w:rPr>
                <w:sz w:val="20"/>
                <w:szCs w:val="20"/>
                <w:lang w:val="en-US"/>
              </w:rPr>
            </w:pPr>
            <w:r w:rsidRPr="008B5DC9">
              <w:rPr>
                <w:sz w:val="20"/>
                <w:szCs w:val="20"/>
                <w:lang w:val="en-US"/>
              </w:rPr>
              <w:t>Written submission only</w:t>
            </w:r>
            <w:r>
              <w:rPr>
                <w:sz w:val="20"/>
                <w:szCs w:val="20"/>
                <w:lang w:val="en-US"/>
              </w:rPr>
              <w:t xml:space="preserve"> f</w:t>
            </w:r>
            <w:r w:rsidRPr="008B5DC9">
              <w:rPr>
                <w:sz w:val="20"/>
                <w:szCs w:val="20"/>
                <w:lang w:val="en-US"/>
              </w:rPr>
              <w:t xml:space="preserve">or the </w:t>
            </w:r>
            <w:r>
              <w:rPr>
                <w:sz w:val="20"/>
                <w:szCs w:val="20"/>
                <w:lang w:val="en-US"/>
              </w:rPr>
              <w:t>i</w:t>
            </w:r>
            <w:r w:rsidRPr="008B5DC9">
              <w:rPr>
                <w:sz w:val="20"/>
                <w:szCs w:val="20"/>
                <w:lang w:val="en-US"/>
              </w:rPr>
              <w:t>ntervenerCouncil of the Haida Nation</w:t>
            </w:r>
            <w:r>
              <w:rPr>
                <w:sz w:val="20"/>
                <w:szCs w:val="20"/>
                <w:lang w:val="en-US"/>
              </w:rPr>
              <w:t>.</w:t>
            </w:r>
          </w:p>
          <w:p w:rsidR="008C7270" w:rsidRPr="008B5DC9" w:rsidRDefault="008C7270" w:rsidP="008C7270">
            <w:pPr>
              <w:jc w:val="both"/>
              <w:rPr>
                <w:sz w:val="20"/>
                <w:szCs w:val="20"/>
                <w:lang w:val="en-US"/>
              </w:rPr>
            </w:pPr>
          </w:p>
          <w:p w:rsidR="008C7270" w:rsidRPr="008B5DC9" w:rsidRDefault="008C7270" w:rsidP="008C7270">
            <w:pPr>
              <w:jc w:val="both"/>
              <w:rPr>
                <w:sz w:val="20"/>
                <w:szCs w:val="20"/>
                <w:lang w:val="en-US"/>
              </w:rPr>
            </w:pPr>
            <w:r w:rsidRPr="008B5DC9">
              <w:rPr>
                <w:sz w:val="20"/>
                <w:szCs w:val="20"/>
                <w:lang w:val="en-US"/>
              </w:rPr>
              <w:t>Written submission only</w:t>
            </w:r>
            <w:r>
              <w:rPr>
                <w:sz w:val="20"/>
                <w:szCs w:val="20"/>
                <w:lang w:val="en-US"/>
              </w:rPr>
              <w:t xml:space="preserve"> f</w:t>
            </w:r>
            <w:r w:rsidRPr="008B5DC9">
              <w:rPr>
                <w:sz w:val="20"/>
                <w:szCs w:val="20"/>
                <w:lang w:val="en-US"/>
              </w:rPr>
              <w:t xml:space="preserve">or the </w:t>
            </w:r>
            <w:r>
              <w:rPr>
                <w:sz w:val="20"/>
                <w:szCs w:val="20"/>
                <w:lang w:val="en-US"/>
              </w:rPr>
              <w:t>i</w:t>
            </w:r>
            <w:r w:rsidRPr="008B5DC9">
              <w:rPr>
                <w:sz w:val="20"/>
                <w:szCs w:val="20"/>
                <w:lang w:val="en-US"/>
              </w:rPr>
              <w:t>nterveners</w:t>
            </w:r>
            <w:r>
              <w:rPr>
                <w:sz w:val="20"/>
                <w:szCs w:val="20"/>
                <w:lang w:val="en-US"/>
              </w:rPr>
              <w:t xml:space="preserve"> </w:t>
            </w:r>
            <w:r w:rsidRPr="008B5DC9">
              <w:rPr>
                <w:sz w:val="20"/>
                <w:szCs w:val="20"/>
                <w:lang w:val="en-US"/>
              </w:rPr>
              <w:t>Tsawout First Nation, et al.</w:t>
            </w:r>
          </w:p>
          <w:p w:rsidR="008C7270" w:rsidRPr="008B5DC9" w:rsidRDefault="008C7270" w:rsidP="008C7270">
            <w:pPr>
              <w:jc w:val="both"/>
              <w:rPr>
                <w:sz w:val="20"/>
                <w:szCs w:val="20"/>
                <w:lang w:val="en-US"/>
              </w:rPr>
            </w:pPr>
          </w:p>
          <w:p w:rsidR="008C7270" w:rsidRPr="008B5DC9" w:rsidRDefault="008C7270" w:rsidP="008C7270">
            <w:pPr>
              <w:jc w:val="both"/>
              <w:rPr>
                <w:sz w:val="20"/>
                <w:szCs w:val="20"/>
                <w:lang w:val="en-US"/>
              </w:rPr>
            </w:pPr>
            <w:r w:rsidRPr="008B5DC9">
              <w:rPr>
                <w:sz w:val="20"/>
                <w:szCs w:val="20"/>
                <w:lang w:val="en-US"/>
              </w:rPr>
              <w:t>Patrick G. Foy Q.C.</w:t>
            </w:r>
            <w:r>
              <w:rPr>
                <w:sz w:val="20"/>
                <w:szCs w:val="20"/>
                <w:lang w:val="en-US"/>
              </w:rPr>
              <w:t xml:space="preserve"> and </w:t>
            </w:r>
            <w:r w:rsidRPr="008B5DC9">
              <w:rPr>
                <w:sz w:val="20"/>
                <w:szCs w:val="20"/>
                <w:lang w:val="en-US"/>
              </w:rPr>
              <w:t>Kenneth J. Tyler</w:t>
            </w:r>
            <w:r>
              <w:rPr>
                <w:sz w:val="20"/>
                <w:szCs w:val="20"/>
                <w:lang w:val="en-US"/>
              </w:rPr>
              <w:t xml:space="preserve"> f</w:t>
            </w:r>
            <w:r w:rsidRPr="008B5DC9">
              <w:rPr>
                <w:sz w:val="20"/>
                <w:szCs w:val="20"/>
                <w:lang w:val="en-US"/>
              </w:rPr>
              <w:t xml:space="preserve">or the </w:t>
            </w:r>
            <w:r>
              <w:rPr>
                <w:sz w:val="20"/>
                <w:szCs w:val="20"/>
                <w:lang w:val="en-US"/>
              </w:rPr>
              <w:t>r</w:t>
            </w:r>
            <w:r w:rsidRPr="008B5DC9">
              <w:rPr>
                <w:sz w:val="20"/>
                <w:szCs w:val="20"/>
                <w:lang w:val="en-US"/>
              </w:rPr>
              <w:t>espondent</w:t>
            </w:r>
            <w:r>
              <w:rPr>
                <w:sz w:val="20"/>
                <w:szCs w:val="20"/>
                <w:lang w:val="en-US"/>
              </w:rPr>
              <w:t xml:space="preserve"> </w:t>
            </w:r>
            <w:r w:rsidRPr="008B5DC9">
              <w:rPr>
                <w:sz w:val="20"/>
                <w:szCs w:val="20"/>
                <w:lang w:val="en-US"/>
              </w:rPr>
              <w:t>Her Majesty the Queen</w:t>
            </w:r>
            <w:r>
              <w:rPr>
                <w:sz w:val="20"/>
                <w:szCs w:val="20"/>
                <w:lang w:val="en-US"/>
              </w:rPr>
              <w:t>.</w:t>
            </w:r>
          </w:p>
          <w:p w:rsidR="008C7270" w:rsidRPr="008B5DC9" w:rsidRDefault="008C7270" w:rsidP="008C7270">
            <w:pPr>
              <w:jc w:val="both"/>
              <w:rPr>
                <w:sz w:val="20"/>
                <w:szCs w:val="20"/>
                <w:lang w:val="en-US"/>
              </w:rPr>
            </w:pPr>
          </w:p>
          <w:p w:rsidR="008C7270" w:rsidRPr="008B5DC9" w:rsidRDefault="008C7270" w:rsidP="008C7270">
            <w:pPr>
              <w:jc w:val="both"/>
              <w:rPr>
                <w:sz w:val="20"/>
                <w:szCs w:val="20"/>
                <w:lang w:val="en-US"/>
              </w:rPr>
            </w:pPr>
            <w:r w:rsidRPr="008B5DC9">
              <w:rPr>
                <w:sz w:val="20"/>
                <w:szCs w:val="20"/>
                <w:lang w:val="en-US"/>
              </w:rPr>
              <w:t>Mark R. Kindrachuk, Q.C.</w:t>
            </w:r>
            <w:r w:rsidRPr="008B5DC9">
              <w:rPr>
                <w:sz w:val="20"/>
                <w:szCs w:val="20"/>
                <w:lang w:val="en-US"/>
              </w:rPr>
              <w:tab/>
            </w:r>
            <w:r>
              <w:rPr>
                <w:sz w:val="20"/>
                <w:szCs w:val="20"/>
                <w:lang w:val="en-US"/>
              </w:rPr>
              <w:t xml:space="preserve">, </w:t>
            </w:r>
            <w:r w:rsidRPr="008B5DC9">
              <w:rPr>
                <w:sz w:val="20"/>
                <w:szCs w:val="20"/>
                <w:lang w:val="en-US"/>
              </w:rPr>
              <w:t>Brian McLaughlin</w:t>
            </w:r>
            <w:r>
              <w:rPr>
                <w:sz w:val="20"/>
                <w:szCs w:val="20"/>
                <w:lang w:val="en-US"/>
              </w:rPr>
              <w:t xml:space="preserve"> and </w:t>
            </w:r>
            <w:r w:rsidRPr="008B5DC9">
              <w:rPr>
                <w:sz w:val="20"/>
                <w:szCs w:val="20"/>
              </w:rPr>
              <w:t>Jan Brongers f</w:t>
            </w:r>
            <w:r w:rsidRPr="008B5DC9">
              <w:rPr>
                <w:sz w:val="20"/>
                <w:szCs w:val="20"/>
                <w:lang w:val="en-US"/>
              </w:rPr>
              <w:t xml:space="preserve">or the </w:t>
            </w:r>
            <w:r>
              <w:rPr>
                <w:sz w:val="20"/>
                <w:szCs w:val="20"/>
                <w:lang w:val="en-US"/>
              </w:rPr>
              <w:t>r</w:t>
            </w:r>
            <w:r w:rsidRPr="008B5DC9">
              <w:rPr>
                <w:sz w:val="20"/>
                <w:szCs w:val="20"/>
                <w:lang w:val="en-US"/>
              </w:rPr>
              <w:t>espondent</w:t>
            </w:r>
            <w:r>
              <w:rPr>
                <w:sz w:val="20"/>
                <w:szCs w:val="20"/>
                <w:lang w:val="en-US"/>
              </w:rPr>
              <w:t xml:space="preserve"> </w:t>
            </w:r>
            <w:r w:rsidRPr="008B5DC9">
              <w:rPr>
                <w:sz w:val="20"/>
                <w:szCs w:val="20"/>
                <w:lang w:val="en-US"/>
              </w:rPr>
              <w:t>Attorney General of Canada</w:t>
            </w:r>
            <w:r>
              <w:rPr>
                <w:sz w:val="20"/>
                <w:szCs w:val="20"/>
                <w:lang w:val="en-US"/>
              </w:rPr>
              <w:t>.</w:t>
            </w:r>
          </w:p>
          <w:p w:rsidR="008C7270" w:rsidRPr="008B5DC9" w:rsidRDefault="008C7270" w:rsidP="008C7270">
            <w:pPr>
              <w:jc w:val="both"/>
              <w:rPr>
                <w:sz w:val="20"/>
                <w:szCs w:val="20"/>
              </w:rPr>
            </w:pPr>
          </w:p>
          <w:p w:rsidR="008C7270" w:rsidRPr="008B5DC9" w:rsidRDefault="008C7270" w:rsidP="008C7270">
            <w:pPr>
              <w:jc w:val="both"/>
              <w:rPr>
                <w:sz w:val="20"/>
                <w:szCs w:val="20"/>
                <w:lang w:val="fr-CA"/>
              </w:rPr>
            </w:pPr>
            <w:r w:rsidRPr="008B5DC9">
              <w:rPr>
                <w:sz w:val="20"/>
                <w:szCs w:val="20"/>
                <w:lang w:val="fr-CA"/>
              </w:rPr>
              <w:t>Alain Gingras</w:t>
            </w:r>
            <w:r>
              <w:rPr>
                <w:sz w:val="20"/>
                <w:szCs w:val="20"/>
                <w:lang w:val="fr-CA"/>
              </w:rPr>
              <w:t xml:space="preserve"> et </w:t>
            </w:r>
            <w:r w:rsidRPr="008B5DC9">
              <w:rPr>
                <w:sz w:val="20"/>
                <w:szCs w:val="20"/>
                <w:lang w:val="fr-CA"/>
              </w:rPr>
              <w:t>Hubert Noreau-Simpson</w:t>
            </w:r>
            <w:r>
              <w:rPr>
                <w:sz w:val="20"/>
                <w:szCs w:val="20"/>
                <w:lang w:val="fr-CA"/>
              </w:rPr>
              <w:t xml:space="preserve"> p</w:t>
            </w:r>
            <w:r w:rsidRPr="008B5DC9">
              <w:rPr>
                <w:sz w:val="20"/>
                <w:szCs w:val="20"/>
                <w:lang w:val="fr-CA"/>
              </w:rPr>
              <w:t>our l’intervenantProcureur général du Québec</w:t>
            </w:r>
            <w:r>
              <w:rPr>
                <w:sz w:val="20"/>
                <w:szCs w:val="20"/>
                <w:lang w:val="fr-CA"/>
              </w:rPr>
              <w:t>.</w:t>
            </w:r>
          </w:p>
          <w:p w:rsidR="008C7270" w:rsidRPr="008B5DC9" w:rsidRDefault="008C7270" w:rsidP="008C7270">
            <w:pPr>
              <w:jc w:val="both"/>
              <w:rPr>
                <w:sz w:val="20"/>
                <w:szCs w:val="20"/>
                <w:lang w:val="fr-CA"/>
              </w:rPr>
            </w:pPr>
          </w:p>
          <w:p w:rsidR="008C7270" w:rsidRPr="008B5DC9" w:rsidRDefault="008C7270" w:rsidP="008C7270">
            <w:pPr>
              <w:jc w:val="both"/>
              <w:rPr>
                <w:sz w:val="20"/>
                <w:szCs w:val="20"/>
                <w:lang w:val="en-US"/>
              </w:rPr>
            </w:pPr>
            <w:r w:rsidRPr="008B5DC9">
              <w:rPr>
                <w:sz w:val="20"/>
                <w:szCs w:val="20"/>
                <w:lang w:val="en-US"/>
              </w:rPr>
              <w:t>Heather Leonoff, Q.C.</w:t>
            </w:r>
            <w:r>
              <w:rPr>
                <w:sz w:val="20"/>
                <w:szCs w:val="20"/>
                <w:lang w:val="en-US"/>
              </w:rPr>
              <w:t xml:space="preserve"> f</w:t>
            </w:r>
            <w:r w:rsidRPr="008B5DC9">
              <w:rPr>
                <w:sz w:val="20"/>
                <w:szCs w:val="20"/>
                <w:lang w:val="en-US"/>
              </w:rPr>
              <w:t xml:space="preserve">or the </w:t>
            </w:r>
            <w:r>
              <w:rPr>
                <w:sz w:val="20"/>
                <w:szCs w:val="20"/>
                <w:lang w:val="en-US"/>
              </w:rPr>
              <w:t>i</w:t>
            </w:r>
            <w:r w:rsidRPr="008B5DC9">
              <w:rPr>
                <w:sz w:val="20"/>
                <w:szCs w:val="20"/>
                <w:lang w:val="en-US"/>
              </w:rPr>
              <w:t>ntervener</w:t>
            </w:r>
            <w:r>
              <w:rPr>
                <w:sz w:val="20"/>
                <w:szCs w:val="20"/>
                <w:lang w:val="en-US"/>
              </w:rPr>
              <w:t xml:space="preserve"> </w:t>
            </w:r>
            <w:r w:rsidRPr="008B5DC9">
              <w:rPr>
                <w:sz w:val="20"/>
                <w:szCs w:val="20"/>
                <w:lang w:val="en-US"/>
              </w:rPr>
              <w:t>Attorney General of Manitoba</w:t>
            </w:r>
            <w:r>
              <w:rPr>
                <w:sz w:val="20"/>
                <w:szCs w:val="20"/>
                <w:lang w:val="en-US"/>
              </w:rPr>
              <w:t>.</w:t>
            </w:r>
          </w:p>
          <w:p w:rsidR="008C7270" w:rsidRPr="008B5DC9" w:rsidRDefault="008C7270" w:rsidP="008C7270">
            <w:pPr>
              <w:jc w:val="both"/>
              <w:rPr>
                <w:sz w:val="20"/>
                <w:szCs w:val="20"/>
                <w:lang w:val="en-US"/>
              </w:rPr>
            </w:pPr>
          </w:p>
          <w:p w:rsidR="008C7270" w:rsidRPr="008B5DC9" w:rsidRDefault="008C7270" w:rsidP="008C7270">
            <w:pPr>
              <w:jc w:val="both"/>
              <w:rPr>
                <w:sz w:val="20"/>
                <w:szCs w:val="20"/>
                <w:lang w:val="en-US"/>
              </w:rPr>
            </w:pPr>
            <w:r w:rsidRPr="008B5DC9">
              <w:rPr>
                <w:sz w:val="20"/>
                <w:szCs w:val="20"/>
                <w:lang w:val="en-US"/>
              </w:rPr>
              <w:t>Sandra Folkins</w:t>
            </w:r>
            <w:r>
              <w:rPr>
                <w:sz w:val="20"/>
                <w:szCs w:val="20"/>
                <w:lang w:val="en-US"/>
              </w:rPr>
              <w:t xml:space="preserve"> f</w:t>
            </w:r>
            <w:r w:rsidRPr="008B5DC9">
              <w:rPr>
                <w:sz w:val="20"/>
                <w:szCs w:val="20"/>
                <w:lang w:val="en-US"/>
              </w:rPr>
              <w:t xml:space="preserve">or the </w:t>
            </w:r>
            <w:r>
              <w:rPr>
                <w:sz w:val="20"/>
                <w:szCs w:val="20"/>
                <w:lang w:val="en-US"/>
              </w:rPr>
              <w:t>i</w:t>
            </w:r>
            <w:r w:rsidRPr="008B5DC9">
              <w:rPr>
                <w:sz w:val="20"/>
                <w:szCs w:val="20"/>
                <w:lang w:val="en-US"/>
              </w:rPr>
              <w:t>ntervener</w:t>
            </w:r>
            <w:r>
              <w:rPr>
                <w:sz w:val="20"/>
                <w:szCs w:val="20"/>
                <w:lang w:val="en-US"/>
              </w:rPr>
              <w:t xml:space="preserve"> </w:t>
            </w:r>
            <w:r w:rsidRPr="008B5DC9">
              <w:rPr>
                <w:sz w:val="20"/>
                <w:szCs w:val="20"/>
                <w:lang w:val="en-US"/>
              </w:rPr>
              <w:t>Attorney General of Alberta</w:t>
            </w:r>
            <w:r>
              <w:rPr>
                <w:sz w:val="20"/>
                <w:szCs w:val="20"/>
                <w:lang w:val="en-US"/>
              </w:rPr>
              <w:t>.</w:t>
            </w:r>
          </w:p>
          <w:p w:rsidR="008C7270" w:rsidRPr="008B5DC9" w:rsidRDefault="008C7270" w:rsidP="008C7270">
            <w:pPr>
              <w:jc w:val="both"/>
              <w:rPr>
                <w:sz w:val="20"/>
                <w:szCs w:val="20"/>
                <w:lang w:val="en-US"/>
              </w:rPr>
            </w:pPr>
          </w:p>
          <w:p w:rsidR="008C7270" w:rsidRPr="008B5DC9" w:rsidRDefault="008C7270" w:rsidP="008C7270">
            <w:pPr>
              <w:jc w:val="both"/>
              <w:rPr>
                <w:sz w:val="20"/>
                <w:szCs w:val="20"/>
                <w:lang w:val="en-US"/>
              </w:rPr>
            </w:pPr>
            <w:r w:rsidRPr="008B5DC9">
              <w:rPr>
                <w:sz w:val="20"/>
                <w:szCs w:val="20"/>
                <w:lang w:val="en-US"/>
              </w:rPr>
              <w:t>P. Mitch McAdam, Q.C</w:t>
            </w:r>
            <w:r>
              <w:rPr>
                <w:sz w:val="20"/>
                <w:szCs w:val="20"/>
                <w:lang w:val="en-US"/>
              </w:rPr>
              <w:t xml:space="preserve"> and </w:t>
            </w:r>
            <w:r w:rsidRPr="008B5DC9">
              <w:rPr>
                <w:sz w:val="20"/>
                <w:szCs w:val="20"/>
                <w:lang w:val="en-US"/>
              </w:rPr>
              <w:t>Sonia Eggerman</w:t>
            </w:r>
            <w:r>
              <w:rPr>
                <w:sz w:val="20"/>
                <w:szCs w:val="20"/>
                <w:lang w:val="en-US"/>
              </w:rPr>
              <w:t xml:space="preserve"> f</w:t>
            </w:r>
            <w:r w:rsidRPr="008B5DC9">
              <w:rPr>
                <w:sz w:val="20"/>
                <w:szCs w:val="20"/>
                <w:lang w:val="en-US"/>
              </w:rPr>
              <w:t>or the Intervener</w:t>
            </w:r>
            <w:r>
              <w:rPr>
                <w:sz w:val="20"/>
                <w:szCs w:val="20"/>
                <w:lang w:val="en-US"/>
              </w:rPr>
              <w:t xml:space="preserve"> </w:t>
            </w:r>
            <w:r w:rsidRPr="008B5DC9">
              <w:rPr>
                <w:sz w:val="20"/>
                <w:szCs w:val="20"/>
                <w:lang w:val="en-US"/>
              </w:rPr>
              <w:t>Attorney General of Saskatchewan</w:t>
            </w:r>
            <w:r>
              <w:rPr>
                <w:sz w:val="20"/>
                <w:szCs w:val="20"/>
                <w:lang w:val="en-US"/>
              </w:rPr>
              <w:t>.</w:t>
            </w:r>
          </w:p>
          <w:p w:rsidR="008C7270" w:rsidRPr="008B5DC9" w:rsidRDefault="008C7270" w:rsidP="008C7270">
            <w:pPr>
              <w:jc w:val="both"/>
              <w:rPr>
                <w:sz w:val="20"/>
                <w:szCs w:val="20"/>
                <w:lang w:val="en-US"/>
              </w:rPr>
            </w:pPr>
          </w:p>
          <w:p w:rsidR="00DB0773" w:rsidRPr="008C7270" w:rsidRDefault="008C7270" w:rsidP="008C7270">
            <w:pPr>
              <w:jc w:val="both"/>
              <w:rPr>
                <w:sz w:val="20"/>
                <w:szCs w:val="20"/>
                <w:lang w:val="en-US"/>
              </w:rPr>
            </w:pPr>
            <w:r w:rsidRPr="008B5DC9">
              <w:rPr>
                <w:sz w:val="20"/>
                <w:szCs w:val="20"/>
                <w:lang w:val="en-US"/>
              </w:rPr>
              <w:t>Charles F. Willms</w:t>
            </w:r>
            <w:r>
              <w:rPr>
                <w:sz w:val="20"/>
                <w:szCs w:val="20"/>
                <w:lang w:val="en-US"/>
              </w:rPr>
              <w:t xml:space="preserve"> and </w:t>
            </w:r>
            <w:r w:rsidRPr="008B5DC9">
              <w:rPr>
                <w:sz w:val="20"/>
                <w:szCs w:val="20"/>
                <w:lang w:val="en-US"/>
              </w:rPr>
              <w:t>Kevin O’Callaghan</w:t>
            </w:r>
            <w:r>
              <w:rPr>
                <w:sz w:val="20"/>
                <w:szCs w:val="20"/>
                <w:lang w:val="en-US"/>
              </w:rPr>
              <w:t xml:space="preserve"> f</w:t>
            </w:r>
            <w:r w:rsidRPr="008B5DC9">
              <w:rPr>
                <w:sz w:val="20"/>
                <w:szCs w:val="20"/>
                <w:lang w:val="en-US"/>
              </w:rPr>
              <w:t xml:space="preserve">or the </w:t>
            </w:r>
            <w:r>
              <w:rPr>
                <w:sz w:val="20"/>
                <w:szCs w:val="20"/>
                <w:lang w:val="en-US"/>
              </w:rPr>
              <w:t>i</w:t>
            </w:r>
            <w:r w:rsidRPr="008B5DC9">
              <w:rPr>
                <w:sz w:val="20"/>
                <w:szCs w:val="20"/>
                <w:lang w:val="en-US"/>
              </w:rPr>
              <w:t>nterveners</w:t>
            </w:r>
            <w:r>
              <w:rPr>
                <w:sz w:val="20"/>
                <w:szCs w:val="20"/>
                <w:lang w:val="en-US"/>
              </w:rPr>
              <w:t xml:space="preserve"> </w:t>
            </w:r>
            <w:r w:rsidRPr="008B5DC9">
              <w:rPr>
                <w:sz w:val="20"/>
                <w:szCs w:val="20"/>
                <w:lang w:val="en-US"/>
              </w:rPr>
              <w:t>Business Council of British Columbia, et al.</w:t>
            </w:r>
          </w:p>
        </w:tc>
      </w:tr>
    </w:tbl>
    <w:p w:rsidR="00DB0773" w:rsidRDefault="00DB0773" w:rsidP="00DB0773">
      <w:pPr>
        <w:widowControl w:val="0"/>
      </w:pPr>
    </w:p>
    <w:p w:rsidR="00DB0773" w:rsidRPr="0085476B" w:rsidRDefault="00DB0773" w:rsidP="00DB0773">
      <w:pPr>
        <w:widowControl w:val="0"/>
        <w:rPr>
          <w:sz w:val="20"/>
          <w:szCs w:val="20"/>
        </w:rPr>
      </w:pPr>
      <w:r w:rsidRPr="0085476B">
        <w:rPr>
          <w:b/>
          <w:sz w:val="20"/>
          <w:szCs w:val="20"/>
        </w:rPr>
        <w:t xml:space="preserve">RESERVED / </w:t>
      </w:r>
      <w:r w:rsidRPr="0085476B">
        <w:rPr>
          <w:b/>
          <w:sz w:val="20"/>
          <w:szCs w:val="20"/>
          <w:lang w:val="fr-CA"/>
        </w:rPr>
        <w:t>EN DÉLIBÉRÉ</w:t>
      </w:r>
    </w:p>
    <w:p w:rsidR="00DB0773" w:rsidRDefault="00DB0773" w:rsidP="00DB0773"/>
    <w:tbl>
      <w:tblPr>
        <w:tblW w:w="0" w:type="auto"/>
        <w:tblLayout w:type="fixed"/>
        <w:tblCellMar>
          <w:left w:w="0" w:type="dxa"/>
          <w:right w:w="0" w:type="dxa"/>
        </w:tblCellMar>
        <w:tblLook w:val="0000" w:firstRow="0" w:lastRow="0" w:firstColumn="0" w:lastColumn="0" w:noHBand="0" w:noVBand="0"/>
      </w:tblPr>
      <w:tblGrid>
        <w:gridCol w:w="4380"/>
        <w:gridCol w:w="720"/>
        <w:gridCol w:w="4380"/>
      </w:tblGrid>
      <w:tr w:rsidR="00DB0773" w:rsidRPr="007368AD" w:rsidTr="00DB0773">
        <w:tc>
          <w:tcPr>
            <w:tcW w:w="4380" w:type="dxa"/>
            <w:tcMar>
              <w:left w:w="0" w:type="dxa"/>
              <w:right w:w="0" w:type="dxa"/>
            </w:tcMar>
          </w:tcPr>
          <w:p w:rsidR="00DB0773" w:rsidRPr="00CC4D84" w:rsidRDefault="00DB0773" w:rsidP="00DB0773">
            <w:pPr>
              <w:widowControl w:val="0"/>
              <w:jc w:val="both"/>
              <w:rPr>
                <w:b/>
                <w:sz w:val="20"/>
                <w:szCs w:val="20"/>
                <w:u w:val="single"/>
              </w:rPr>
            </w:pPr>
            <w:r w:rsidRPr="00CC4D84">
              <w:rPr>
                <w:b/>
                <w:sz w:val="20"/>
                <w:szCs w:val="20"/>
                <w:u w:val="single"/>
              </w:rPr>
              <w:t>Nature of the case:</w:t>
            </w:r>
          </w:p>
          <w:p w:rsidR="00DB0773" w:rsidRPr="00C1697B" w:rsidRDefault="00DB0773" w:rsidP="00DB0773">
            <w:pPr>
              <w:widowControl w:val="0"/>
              <w:jc w:val="both"/>
              <w:rPr>
                <w:b/>
                <w:sz w:val="20"/>
                <w:szCs w:val="20"/>
              </w:rPr>
            </w:pPr>
          </w:p>
          <w:p w:rsidR="00DB0773" w:rsidRPr="00C1697B" w:rsidRDefault="00F9029B" w:rsidP="00F9029B">
            <w:pPr>
              <w:widowControl w:val="0"/>
              <w:jc w:val="both"/>
              <w:rPr>
                <w:b/>
                <w:sz w:val="20"/>
                <w:szCs w:val="20"/>
              </w:rPr>
            </w:pPr>
            <w:r w:rsidRPr="00181444">
              <w:rPr>
                <w:sz w:val="20"/>
                <w:szCs w:val="20"/>
              </w:rPr>
              <w:t xml:space="preserve">Aboriginal law </w:t>
            </w:r>
            <w:r w:rsidRPr="00181444">
              <w:rPr>
                <w:sz w:val="20"/>
                <w:szCs w:val="20"/>
              </w:rPr>
              <w:noBreakHyphen/>
              <w:t xml:space="preserve"> Aboriginal title </w:t>
            </w:r>
            <w:r w:rsidRPr="00181444">
              <w:rPr>
                <w:sz w:val="20"/>
                <w:szCs w:val="20"/>
              </w:rPr>
              <w:noBreakHyphen/>
              <w:t xml:space="preserve"> Manner in which courts must proceed to identify “definite tracts of land” to which Aboriginal title applies </w:t>
            </w:r>
            <w:r w:rsidRPr="00181444">
              <w:rPr>
                <w:sz w:val="20"/>
                <w:szCs w:val="20"/>
              </w:rPr>
              <w:noBreakHyphen/>
              <w:t xml:space="preserve"> Whether the Court of Appeal erred by creating a new test that restricts all Aboriginal title claims to particular sites </w:t>
            </w:r>
            <w:r w:rsidRPr="00181444">
              <w:rPr>
                <w:sz w:val="20"/>
                <w:szCs w:val="20"/>
              </w:rPr>
              <w:noBreakHyphen/>
              <w:t xml:space="preserve"> Whether the </w:t>
            </w:r>
            <w:r w:rsidRPr="00181444">
              <w:rPr>
                <w:i/>
                <w:sz w:val="20"/>
                <w:szCs w:val="20"/>
              </w:rPr>
              <w:t>Forest Act</w:t>
            </w:r>
            <w:r w:rsidRPr="00181444">
              <w:rPr>
                <w:sz w:val="20"/>
                <w:szCs w:val="20"/>
              </w:rPr>
              <w:t xml:space="preserve">, R.S.B.C. 1996, c. 157, provides statutory authority to manage and dispose of timber assets on Aboriginal title lands </w:t>
            </w:r>
            <w:r w:rsidRPr="00181444">
              <w:rPr>
                <w:sz w:val="20"/>
                <w:szCs w:val="20"/>
              </w:rPr>
              <w:noBreakHyphen/>
              <w:t xml:space="preserve"> Whether the </w:t>
            </w:r>
            <w:r w:rsidRPr="00181444">
              <w:rPr>
                <w:i/>
                <w:sz w:val="20"/>
                <w:szCs w:val="20"/>
              </w:rPr>
              <w:t>Forest Act</w:t>
            </w:r>
            <w:r w:rsidRPr="00181444">
              <w:rPr>
                <w:sz w:val="20"/>
                <w:szCs w:val="20"/>
              </w:rPr>
              <w:t xml:space="preserve">, R.S.B.C. 1996, c. 157, or the </w:t>
            </w:r>
            <w:r w:rsidRPr="00181444">
              <w:rPr>
                <w:i/>
                <w:sz w:val="20"/>
                <w:szCs w:val="20"/>
              </w:rPr>
              <w:t>Forest Practices Code of British Columbia Act</w:t>
            </w:r>
            <w:r w:rsidRPr="00181444">
              <w:rPr>
                <w:sz w:val="20"/>
                <w:szCs w:val="20"/>
              </w:rPr>
              <w:t xml:space="preserve">, R.S.B.C. 1996, c. 159, or their predecessor legislation, are constitutionally inapplicable in whole or in part to Tsilhqot’in Aboriginal title lands, in view of Parliament’s exclusive legislative authority set out in s. 91(24) of the </w:t>
            </w:r>
            <w:r w:rsidRPr="00181444">
              <w:rPr>
                <w:i/>
                <w:sz w:val="20"/>
                <w:szCs w:val="20"/>
              </w:rPr>
              <w:t>Constitution Act, 1867</w:t>
            </w:r>
            <w:r w:rsidRPr="00181444">
              <w:rPr>
                <w:sz w:val="20"/>
                <w:szCs w:val="20"/>
              </w:rPr>
              <w:t xml:space="preserve"> </w:t>
            </w:r>
            <w:r w:rsidRPr="00181444">
              <w:rPr>
                <w:sz w:val="20"/>
                <w:szCs w:val="20"/>
              </w:rPr>
              <w:noBreakHyphen/>
              <w:t xml:space="preserve"> Whether the </w:t>
            </w:r>
            <w:r w:rsidRPr="00181444">
              <w:rPr>
                <w:i/>
                <w:sz w:val="20"/>
                <w:szCs w:val="20"/>
              </w:rPr>
              <w:t>Forest Act</w:t>
            </w:r>
            <w:r w:rsidRPr="00181444">
              <w:rPr>
                <w:sz w:val="20"/>
                <w:szCs w:val="20"/>
              </w:rPr>
              <w:t xml:space="preserve">, R.S.B.C. 1996, c. 157, or the </w:t>
            </w:r>
            <w:r w:rsidRPr="00181444">
              <w:rPr>
                <w:i/>
                <w:sz w:val="20"/>
                <w:szCs w:val="20"/>
              </w:rPr>
              <w:t>Forest Practices Code of British Columbia Act</w:t>
            </w:r>
            <w:r w:rsidRPr="00181444">
              <w:rPr>
                <w:sz w:val="20"/>
                <w:szCs w:val="20"/>
              </w:rPr>
              <w:t xml:space="preserve">, R.S.B.C. 1996, c. 159, or their predecessor legislation, are constitutionally inapplicable in whole or in part to Tsilhqot’in Aboriginal title lands to the extent that they authorize unjustified infringements of Tsilhqot’in Aboriginal title, by virtue of ss. 35(1) and 52 of the </w:t>
            </w:r>
            <w:r w:rsidRPr="00181444">
              <w:rPr>
                <w:i/>
                <w:sz w:val="20"/>
                <w:szCs w:val="20"/>
              </w:rPr>
              <w:t>Constitution Act, 1982</w:t>
            </w:r>
            <w:r w:rsidRPr="00181444">
              <w:rPr>
                <w:sz w:val="20"/>
                <w:szCs w:val="20"/>
              </w:rPr>
              <w:t>.</w:t>
            </w:r>
          </w:p>
        </w:tc>
        <w:tc>
          <w:tcPr>
            <w:tcW w:w="720" w:type="dxa"/>
            <w:tcMar>
              <w:left w:w="0" w:type="dxa"/>
              <w:right w:w="0" w:type="dxa"/>
            </w:tcMar>
          </w:tcPr>
          <w:p w:rsidR="00DB0773" w:rsidRPr="00C1697B" w:rsidRDefault="00DB0773" w:rsidP="00DB0773">
            <w:pPr>
              <w:widowControl w:val="0"/>
              <w:jc w:val="center"/>
              <w:rPr>
                <w:sz w:val="20"/>
                <w:szCs w:val="20"/>
              </w:rPr>
            </w:pPr>
          </w:p>
        </w:tc>
        <w:tc>
          <w:tcPr>
            <w:tcW w:w="4380" w:type="dxa"/>
            <w:tcMar>
              <w:left w:w="0" w:type="dxa"/>
              <w:right w:w="0" w:type="dxa"/>
            </w:tcMar>
          </w:tcPr>
          <w:p w:rsidR="00DB0773" w:rsidRPr="00CC4D84" w:rsidRDefault="00DB0773" w:rsidP="00DB0773">
            <w:pPr>
              <w:widowControl w:val="0"/>
              <w:jc w:val="both"/>
              <w:rPr>
                <w:b/>
                <w:sz w:val="20"/>
                <w:szCs w:val="20"/>
                <w:u w:val="single"/>
                <w:lang w:val="fr-CA"/>
              </w:rPr>
            </w:pPr>
            <w:r w:rsidRPr="00CC4D84">
              <w:rPr>
                <w:b/>
                <w:sz w:val="20"/>
                <w:szCs w:val="20"/>
                <w:u w:val="single"/>
                <w:lang w:val="fr-CA"/>
              </w:rPr>
              <w:t>Nature de la cause :</w:t>
            </w:r>
          </w:p>
          <w:p w:rsidR="00DB0773" w:rsidRPr="00C1697B" w:rsidRDefault="00DB0773" w:rsidP="00DB0773">
            <w:pPr>
              <w:widowControl w:val="0"/>
              <w:jc w:val="both"/>
              <w:rPr>
                <w:sz w:val="20"/>
                <w:szCs w:val="20"/>
                <w:lang w:val="fr-CA"/>
              </w:rPr>
            </w:pPr>
          </w:p>
          <w:p w:rsidR="00DB0773" w:rsidRPr="00C1697B" w:rsidRDefault="00F9029B" w:rsidP="00DB0773">
            <w:pPr>
              <w:widowControl w:val="0"/>
              <w:jc w:val="both"/>
              <w:rPr>
                <w:sz w:val="20"/>
                <w:szCs w:val="20"/>
                <w:lang w:val="fr-CA"/>
              </w:rPr>
            </w:pPr>
            <w:r w:rsidRPr="00272AF0">
              <w:rPr>
                <w:sz w:val="20"/>
                <w:szCs w:val="20"/>
                <w:lang w:val="fr-CA"/>
              </w:rPr>
              <w:t xml:space="preserve">Droits des Autochtones </w:t>
            </w:r>
            <w:r w:rsidRPr="00272AF0">
              <w:rPr>
                <w:sz w:val="20"/>
                <w:szCs w:val="20"/>
                <w:lang w:val="fr-CA"/>
              </w:rPr>
              <w:noBreakHyphen/>
              <w:t xml:space="preserve"> Titre aborigène </w:t>
            </w:r>
            <w:r w:rsidRPr="00272AF0">
              <w:rPr>
                <w:sz w:val="20"/>
                <w:szCs w:val="20"/>
                <w:lang w:val="fr-CA"/>
              </w:rPr>
              <w:noBreakHyphen/>
              <w:t xml:space="preserve"> Manière dont les tribunaux doivent procéder pour identifier les « secteurs biens définis du territoire » auxquels le titre aborigène s’applique </w:t>
            </w:r>
            <w:r w:rsidRPr="00272AF0">
              <w:rPr>
                <w:sz w:val="20"/>
                <w:szCs w:val="20"/>
                <w:lang w:val="fr-CA"/>
              </w:rPr>
              <w:noBreakHyphen/>
              <w:t xml:space="preserve"> La Cour d’appel a</w:t>
            </w:r>
            <w:r w:rsidRPr="00272AF0">
              <w:rPr>
                <w:sz w:val="20"/>
                <w:szCs w:val="20"/>
                <w:lang w:val="fr-CA"/>
              </w:rPr>
              <w:noBreakHyphen/>
              <w:t>t</w:t>
            </w:r>
            <w:r w:rsidRPr="00272AF0">
              <w:rPr>
                <w:sz w:val="20"/>
                <w:szCs w:val="20"/>
                <w:lang w:val="fr-CA"/>
              </w:rPr>
              <w:noBreakHyphen/>
              <w:t xml:space="preserve">elle eu tort de créer un nouveau critère qui limite toutes les revendications fondées sur le titre aborigène à des emplacements particuliers? </w:t>
            </w:r>
            <w:r w:rsidRPr="00272AF0">
              <w:rPr>
                <w:sz w:val="20"/>
                <w:szCs w:val="20"/>
                <w:lang w:val="fr-CA"/>
              </w:rPr>
              <w:noBreakHyphen/>
              <w:t xml:space="preserve"> La </w:t>
            </w:r>
            <w:r w:rsidRPr="00272AF0">
              <w:rPr>
                <w:i/>
                <w:sz w:val="20"/>
                <w:szCs w:val="20"/>
                <w:lang w:val="fr-CA"/>
              </w:rPr>
              <w:t>Forest Act</w:t>
            </w:r>
            <w:r w:rsidRPr="00272AF0">
              <w:rPr>
                <w:sz w:val="20"/>
                <w:szCs w:val="20"/>
                <w:lang w:val="fr-CA"/>
              </w:rPr>
              <w:t>, R.S.B.C. 1996, ch. 157 confère</w:t>
            </w:r>
            <w:r w:rsidRPr="00272AF0">
              <w:rPr>
                <w:sz w:val="20"/>
                <w:szCs w:val="20"/>
                <w:lang w:val="fr-CA"/>
              </w:rPr>
              <w:noBreakHyphen/>
              <w:t>t</w:t>
            </w:r>
            <w:r w:rsidRPr="00272AF0">
              <w:rPr>
                <w:sz w:val="20"/>
                <w:szCs w:val="20"/>
                <w:lang w:val="fr-CA"/>
              </w:rPr>
              <w:noBreakHyphen/>
              <w:t xml:space="preserve">elle le pouvoir légal de gérer et d’aliéner des avoir forestiers sur des terres visées par un titre aborigène? </w:t>
            </w:r>
            <w:r w:rsidRPr="00272AF0">
              <w:rPr>
                <w:sz w:val="20"/>
                <w:szCs w:val="20"/>
                <w:lang w:val="fr-CA"/>
              </w:rPr>
              <w:noBreakHyphen/>
              <w:t xml:space="preserve"> La </w:t>
            </w:r>
            <w:r w:rsidRPr="00272AF0">
              <w:rPr>
                <w:i/>
                <w:sz w:val="20"/>
                <w:szCs w:val="20"/>
                <w:lang w:val="fr-CA"/>
              </w:rPr>
              <w:t>Forest Act</w:t>
            </w:r>
            <w:r w:rsidRPr="00272AF0">
              <w:rPr>
                <w:sz w:val="20"/>
                <w:szCs w:val="20"/>
                <w:lang w:val="fr-CA"/>
              </w:rPr>
              <w:t xml:space="preserve">, R.S.B.C. 1996, ch. 157 ou la </w:t>
            </w:r>
            <w:r w:rsidRPr="00272AF0">
              <w:rPr>
                <w:i/>
                <w:sz w:val="20"/>
                <w:szCs w:val="20"/>
                <w:lang w:val="fr-CA"/>
              </w:rPr>
              <w:t>Forest Practices Code of British Columbia Act</w:t>
            </w:r>
            <w:r w:rsidRPr="00272AF0">
              <w:rPr>
                <w:sz w:val="20"/>
                <w:szCs w:val="20"/>
                <w:lang w:val="fr-CA"/>
              </w:rPr>
              <w:t>, R.S.B.C. 1996, ch. 159, ou les lois qu’elles ont remplacées, sont</w:t>
            </w:r>
            <w:r w:rsidRPr="00272AF0">
              <w:rPr>
                <w:sz w:val="20"/>
                <w:szCs w:val="20"/>
                <w:lang w:val="fr-CA"/>
              </w:rPr>
              <w:noBreakHyphen/>
              <w:t xml:space="preserve">elles constitutionnellement inapplicables en tout ou en partie aux terres des Tsilhqot’in visées par un titre aborigène, vu l’autorité législative exclusive du Parlement prévue au par. 91(24) de la </w:t>
            </w:r>
            <w:r w:rsidRPr="00272AF0">
              <w:rPr>
                <w:i/>
                <w:sz w:val="20"/>
                <w:szCs w:val="20"/>
                <w:lang w:val="fr-CA"/>
              </w:rPr>
              <w:t>Loi constitutionnelle de 1867</w:t>
            </w:r>
            <w:r w:rsidRPr="00272AF0">
              <w:rPr>
                <w:sz w:val="20"/>
                <w:szCs w:val="20"/>
                <w:lang w:val="fr-CA"/>
              </w:rPr>
              <w:t xml:space="preserve">? </w:t>
            </w:r>
            <w:r w:rsidRPr="00272AF0">
              <w:rPr>
                <w:sz w:val="20"/>
                <w:szCs w:val="20"/>
                <w:lang w:val="fr-CA"/>
              </w:rPr>
              <w:noBreakHyphen/>
              <w:t xml:space="preserve"> La </w:t>
            </w:r>
            <w:r w:rsidRPr="00272AF0">
              <w:rPr>
                <w:i/>
                <w:sz w:val="20"/>
                <w:szCs w:val="20"/>
                <w:lang w:val="fr-CA"/>
              </w:rPr>
              <w:t>Forest Act</w:t>
            </w:r>
            <w:r w:rsidRPr="00272AF0">
              <w:rPr>
                <w:sz w:val="20"/>
                <w:szCs w:val="20"/>
                <w:lang w:val="fr-CA"/>
              </w:rPr>
              <w:t xml:space="preserve">, R.S.B.C. 1996, ch. 157 ou la </w:t>
            </w:r>
            <w:r w:rsidRPr="00272AF0">
              <w:rPr>
                <w:i/>
                <w:sz w:val="20"/>
                <w:szCs w:val="20"/>
                <w:lang w:val="fr-CA"/>
              </w:rPr>
              <w:t>Forest Practices Code of British Columbia Act</w:t>
            </w:r>
            <w:r w:rsidRPr="00272AF0">
              <w:rPr>
                <w:sz w:val="20"/>
                <w:szCs w:val="20"/>
                <w:lang w:val="fr-CA"/>
              </w:rPr>
              <w:t>, R.S.B.C. 1996, ch. 159, ou les lois qu’elles ont remplacées, sont</w:t>
            </w:r>
            <w:r w:rsidRPr="00272AF0">
              <w:rPr>
                <w:sz w:val="20"/>
                <w:szCs w:val="20"/>
                <w:lang w:val="fr-CA"/>
              </w:rPr>
              <w:noBreakHyphen/>
              <w:t xml:space="preserve">elles constitutionnellement inapplicables en tout ou en partie aux terres des Tsilhqot’in visées par un titre aborigène dans la mesure où elles autorisent des atteintes injustifiées au titre aborigène des Tsilhqot’in, en vertu des art. 35(1) et 52 de la </w:t>
            </w:r>
            <w:r w:rsidRPr="00272AF0">
              <w:rPr>
                <w:i/>
                <w:sz w:val="20"/>
                <w:szCs w:val="20"/>
                <w:lang w:val="fr-CA"/>
              </w:rPr>
              <w:t>Loi constitutionnelle de 1982</w:t>
            </w:r>
            <w:r w:rsidRPr="00272AF0">
              <w:rPr>
                <w:sz w:val="20"/>
                <w:szCs w:val="20"/>
                <w:lang w:val="fr-CA"/>
              </w:rPr>
              <w:t>?</w:t>
            </w:r>
          </w:p>
        </w:tc>
      </w:tr>
    </w:tbl>
    <w:p w:rsidR="00DB0773" w:rsidRDefault="00DB0773" w:rsidP="00DB0773">
      <w:pPr>
        <w:widowControl w:val="0"/>
        <w:rPr>
          <w:sz w:val="20"/>
          <w:szCs w:val="20"/>
          <w:lang w:val="fr-CA"/>
        </w:rPr>
      </w:pPr>
    </w:p>
    <w:p w:rsidR="00DB0773" w:rsidRDefault="007368AD" w:rsidP="00DB0773">
      <w:pPr>
        <w:widowControl w:val="0"/>
        <w:rPr>
          <w:sz w:val="20"/>
          <w:szCs w:val="20"/>
        </w:rPr>
      </w:pPr>
      <w:r>
        <w:rPr>
          <w:sz w:val="20"/>
          <w:szCs w:val="20"/>
          <w:lang w:val="fr-CA"/>
        </w:rPr>
        <w:pict>
          <v:rect id="_x0000_i1056" style="width:2in;height:1pt" o:hrpct="0" o:hralign="center" o:hrstd="t" o:hrnoshade="t" o:hr="t" fillcolor="black [3213]" stroked="f"/>
        </w:pict>
      </w:r>
    </w:p>
    <w:p w:rsidR="00DB0773" w:rsidRDefault="00DB0773" w:rsidP="00DB0773">
      <w:pPr>
        <w:widowControl w:val="0"/>
        <w:rPr>
          <w:sz w:val="20"/>
          <w:szCs w:val="20"/>
        </w:rPr>
      </w:pPr>
    </w:p>
    <w:p w:rsidR="00732DB7" w:rsidRPr="00C1697B" w:rsidRDefault="00732DB7" w:rsidP="00732DB7">
      <w:pPr>
        <w:widowControl w:val="0"/>
        <w:rPr>
          <w:sz w:val="20"/>
          <w:szCs w:val="20"/>
          <w:lang w:val="fr-CA"/>
        </w:rPr>
      </w:pPr>
    </w:p>
    <w:p w:rsidR="00732DB7" w:rsidRPr="00C1697B" w:rsidRDefault="00732DB7" w:rsidP="00732DB7">
      <w:pPr>
        <w:widowControl w:val="0"/>
        <w:rPr>
          <w:sz w:val="20"/>
          <w:szCs w:val="20"/>
          <w:lang w:val="fr-CA"/>
        </w:rPr>
        <w:sectPr w:rsidR="00732DB7" w:rsidRPr="00C1697B" w:rsidSect="00732DB7">
          <w:headerReference w:type="even" r:id="rId58"/>
          <w:headerReference w:type="default" r:id="rId59"/>
          <w:footerReference w:type="even" r:id="rId60"/>
          <w:footerReference w:type="default" r:id="rId61"/>
          <w:headerReference w:type="first" r:id="rId62"/>
          <w:footerReference w:type="first" r:id="rId63"/>
          <w:pgSz w:w="12240" w:h="15840"/>
          <w:pgMar w:top="720" w:right="965" w:bottom="1080" w:left="1656" w:header="720" w:footer="960" w:gutter="0"/>
          <w:cols w:space="720"/>
          <w:titlePg/>
          <w:docGrid w:linePitch="326"/>
        </w:sectPr>
      </w:pPr>
    </w:p>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080"/>
      </w:tblGrid>
      <w:tr w:rsidR="00FF6EEC" w:rsidRPr="007368AD" w:rsidTr="0085476B">
        <w:tc>
          <w:tcPr>
            <w:tcW w:w="4200" w:type="dxa"/>
            <w:tcMar>
              <w:left w:w="0" w:type="dxa"/>
              <w:right w:w="0" w:type="dxa"/>
            </w:tcMar>
          </w:tcPr>
          <w:p w:rsidR="00FF6EEC" w:rsidRPr="00C1697B" w:rsidRDefault="00FF6EEC" w:rsidP="0085476B">
            <w:pPr>
              <w:keepNext/>
              <w:keepLines/>
              <w:tabs>
                <w:tab w:val="left" w:pos="-1440"/>
                <w:tab w:val="left" w:pos="-720"/>
              </w:tabs>
              <w:rPr>
                <w:b/>
                <w:szCs w:val="24"/>
              </w:rPr>
            </w:pPr>
            <w:r w:rsidRPr="00C1697B">
              <w:rPr>
                <w:b/>
                <w:szCs w:val="24"/>
              </w:rPr>
              <w:lastRenderedPageBreak/>
              <w:t>PRONOUNCEMENTS OF APPEALS</w:t>
            </w:r>
            <w:r w:rsidR="0085476B">
              <w:rPr>
                <w:b/>
                <w:szCs w:val="24"/>
              </w:rPr>
              <w:t xml:space="preserve"> </w:t>
            </w:r>
            <w:r w:rsidRPr="00C1697B">
              <w:rPr>
                <w:b/>
                <w:szCs w:val="24"/>
              </w:rPr>
              <w:t>RESERVED</w:t>
            </w:r>
          </w:p>
          <w:p w:rsidR="00FF6EEC" w:rsidRPr="00C1697B" w:rsidRDefault="00FF6EEC" w:rsidP="00697C62">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Cs w:val="24"/>
              </w:rPr>
            </w:pPr>
          </w:p>
          <w:p w:rsidR="00FF6EEC" w:rsidRPr="00C1697B" w:rsidRDefault="00FF6EEC" w:rsidP="00697C62">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Cs w:val="24"/>
              </w:rPr>
            </w:pPr>
            <w:r w:rsidRPr="00C1697B">
              <w:rPr>
                <w:b/>
                <w:szCs w:val="24"/>
              </w:rPr>
              <w:t>Reasons for judgment are available</w:t>
            </w:r>
          </w:p>
        </w:tc>
        <w:tc>
          <w:tcPr>
            <w:tcW w:w="1200" w:type="dxa"/>
            <w:tcMar>
              <w:left w:w="0" w:type="dxa"/>
              <w:right w:w="0" w:type="dxa"/>
            </w:tcMar>
          </w:tcPr>
          <w:p w:rsidR="00FF6EEC" w:rsidRPr="00C1697B" w:rsidRDefault="00FF6EEC" w:rsidP="00FF6EEC">
            <w:pPr>
              <w:keepNext/>
              <w:keepLines/>
              <w:tabs>
                <w:tab w:val="left" w:pos="-1440"/>
                <w:tab w:val="left" w:pos="-720"/>
              </w:tabs>
              <w:jc w:val="center"/>
              <w:rPr>
                <w:b/>
                <w:szCs w:val="24"/>
              </w:rPr>
            </w:pPr>
          </w:p>
          <w:p w:rsidR="00FF6EEC" w:rsidRPr="00C1697B" w:rsidRDefault="00FF6EEC" w:rsidP="00FF6EEC">
            <w:pPr>
              <w:keepNext/>
              <w:keepLines/>
              <w:tabs>
                <w:tab w:val="left" w:pos="-1440"/>
                <w:tab w:val="left" w:pos="-720"/>
              </w:tabs>
              <w:jc w:val="center"/>
              <w:rPr>
                <w:b/>
                <w:szCs w:val="24"/>
              </w:rPr>
            </w:pPr>
          </w:p>
          <w:p w:rsidR="00FF6EEC" w:rsidRPr="00C1697B" w:rsidRDefault="00FF6EEC" w:rsidP="00FF6EEC">
            <w:pPr>
              <w:keepNext/>
              <w:keepLines/>
              <w:tabs>
                <w:tab w:val="left" w:pos="-1440"/>
                <w:tab w:val="left" w:pos="-720"/>
              </w:tabs>
              <w:jc w:val="center"/>
              <w:rPr>
                <w:b/>
                <w:szCs w:val="24"/>
              </w:rPr>
            </w:pPr>
          </w:p>
          <w:p w:rsidR="00FF6EEC" w:rsidRPr="00C1697B" w:rsidRDefault="00FF6EEC" w:rsidP="00FF6EEC">
            <w:pPr>
              <w:keepNext/>
              <w:keepLines/>
              <w:tabs>
                <w:tab w:val="left" w:pos="-1440"/>
                <w:tab w:val="left" w:pos="-720"/>
              </w:tabs>
              <w:jc w:val="center"/>
              <w:rPr>
                <w:b/>
                <w:szCs w:val="24"/>
              </w:rPr>
            </w:pPr>
          </w:p>
          <w:p w:rsidR="00FF6EEC" w:rsidRPr="00C1697B" w:rsidRDefault="00FF6EEC" w:rsidP="00FF6EEC">
            <w:pPr>
              <w:keepNext/>
              <w:keepLines/>
              <w:tabs>
                <w:tab w:val="left" w:pos="-1440"/>
                <w:tab w:val="left" w:pos="-720"/>
              </w:tabs>
              <w:jc w:val="center"/>
              <w:rPr>
                <w:b/>
                <w:szCs w:val="24"/>
              </w:rPr>
            </w:pPr>
          </w:p>
        </w:tc>
        <w:tc>
          <w:tcPr>
            <w:tcW w:w="4080" w:type="dxa"/>
            <w:tcMar>
              <w:left w:w="0" w:type="dxa"/>
              <w:right w:w="0" w:type="dxa"/>
            </w:tcMar>
          </w:tcPr>
          <w:p w:rsidR="00FF6EEC" w:rsidRPr="00C1697B" w:rsidRDefault="00FF6EEC" w:rsidP="00FF6EEC">
            <w:pPr>
              <w:keepNext/>
              <w:keepLines/>
              <w:tabs>
                <w:tab w:val="left" w:pos="-1440"/>
                <w:tab w:val="left" w:pos="-720"/>
              </w:tabs>
              <w:rPr>
                <w:b/>
                <w:szCs w:val="24"/>
                <w:lang w:val="fr-CA"/>
              </w:rPr>
            </w:pPr>
            <w:r w:rsidRPr="00C1697B">
              <w:rPr>
                <w:b/>
                <w:szCs w:val="24"/>
                <w:lang w:val="fr-CA"/>
              </w:rPr>
              <w:t>JUGEMENTS RENDUS SUR LES APPELS EN DÉLIBÉRÉ</w:t>
            </w:r>
          </w:p>
          <w:p w:rsidR="00FF6EEC" w:rsidRPr="00C1697B" w:rsidRDefault="00FF6EEC" w:rsidP="00697C62">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lang w:val="fr-CA"/>
              </w:rPr>
            </w:pPr>
          </w:p>
          <w:p w:rsidR="00FF6EEC" w:rsidRPr="00C1697B" w:rsidRDefault="00FF6EEC" w:rsidP="00697C62">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lang w:val="fr-CA"/>
              </w:rPr>
            </w:pPr>
            <w:r w:rsidRPr="00C1697B">
              <w:rPr>
                <w:b/>
                <w:szCs w:val="24"/>
                <w:lang w:val="fr-CA"/>
              </w:rPr>
              <w:t>Les motifs de jugement sont disponibles</w:t>
            </w:r>
          </w:p>
        </w:tc>
      </w:tr>
    </w:tbl>
    <w:p w:rsidR="00FF6EEC" w:rsidRPr="003B3977" w:rsidRDefault="00FF6EEC" w:rsidP="00FF6EEC">
      <w:pPr>
        <w:rPr>
          <w:b/>
          <w:sz w:val="20"/>
          <w:szCs w:val="20"/>
          <w:lang w:val="fr-CA"/>
        </w:rPr>
      </w:pPr>
    </w:p>
    <w:p w:rsidR="00AF1715" w:rsidRPr="003B3977" w:rsidRDefault="00E4451A" w:rsidP="00AF1715">
      <w:pPr>
        <w:rPr>
          <w:b/>
          <w:sz w:val="20"/>
          <w:szCs w:val="20"/>
        </w:rPr>
      </w:pPr>
      <w:r>
        <w:rPr>
          <w:b/>
          <w:sz w:val="20"/>
          <w:szCs w:val="20"/>
        </w:rPr>
        <w:t>N</w:t>
      </w:r>
      <w:r w:rsidR="00AF1715" w:rsidRPr="003B3977">
        <w:rPr>
          <w:b/>
          <w:sz w:val="20"/>
          <w:szCs w:val="20"/>
        </w:rPr>
        <w:t>O</w:t>
      </w:r>
      <w:r>
        <w:rPr>
          <w:b/>
          <w:sz w:val="20"/>
          <w:szCs w:val="20"/>
        </w:rPr>
        <w:t>VEM</w:t>
      </w:r>
      <w:r w:rsidR="00AF1715" w:rsidRPr="003B3977">
        <w:rPr>
          <w:b/>
          <w:sz w:val="20"/>
          <w:szCs w:val="20"/>
        </w:rPr>
        <w:t xml:space="preserve">BER </w:t>
      </w:r>
      <w:r>
        <w:rPr>
          <w:b/>
          <w:sz w:val="20"/>
          <w:szCs w:val="20"/>
        </w:rPr>
        <w:t>7</w:t>
      </w:r>
      <w:r w:rsidR="00AF1715" w:rsidRPr="003B3977">
        <w:rPr>
          <w:b/>
          <w:sz w:val="20"/>
          <w:szCs w:val="20"/>
        </w:rPr>
        <w:t>, 201</w:t>
      </w:r>
      <w:r>
        <w:rPr>
          <w:b/>
          <w:sz w:val="20"/>
          <w:szCs w:val="20"/>
        </w:rPr>
        <w:t>3</w:t>
      </w:r>
      <w:r w:rsidR="00AF1715" w:rsidRPr="003B3977">
        <w:rPr>
          <w:b/>
          <w:sz w:val="20"/>
          <w:szCs w:val="20"/>
        </w:rPr>
        <w:t xml:space="preserve"> / LE </w:t>
      </w:r>
      <w:r>
        <w:rPr>
          <w:b/>
          <w:sz w:val="20"/>
          <w:szCs w:val="20"/>
        </w:rPr>
        <w:t>7</w:t>
      </w:r>
      <w:r w:rsidR="00AF1715" w:rsidRPr="003B3977">
        <w:rPr>
          <w:b/>
          <w:sz w:val="20"/>
          <w:szCs w:val="20"/>
        </w:rPr>
        <w:t xml:space="preserve"> </w:t>
      </w:r>
      <w:r>
        <w:rPr>
          <w:b/>
          <w:sz w:val="20"/>
          <w:szCs w:val="20"/>
        </w:rPr>
        <w:t>NOVEM</w:t>
      </w:r>
      <w:r w:rsidR="00AF1715" w:rsidRPr="003B3977">
        <w:rPr>
          <w:b/>
          <w:sz w:val="20"/>
          <w:szCs w:val="20"/>
        </w:rPr>
        <w:t>BRE 201</w:t>
      </w:r>
      <w:r>
        <w:rPr>
          <w:b/>
          <w:sz w:val="20"/>
          <w:szCs w:val="20"/>
        </w:rPr>
        <w:t>3</w:t>
      </w:r>
    </w:p>
    <w:p w:rsidR="00AF1715" w:rsidRPr="003B3977" w:rsidRDefault="00AF1715" w:rsidP="00AF1715">
      <w:pPr>
        <w:rPr>
          <w:sz w:val="20"/>
          <w:szCs w:val="20"/>
        </w:rPr>
      </w:pPr>
    </w:p>
    <w:p w:rsidR="00E4451A" w:rsidRPr="00707D85" w:rsidRDefault="00047631" w:rsidP="00E4451A">
      <w:pPr>
        <w:ind w:left="1440" w:hanging="1440"/>
        <w:jc w:val="both"/>
        <w:rPr>
          <w:sz w:val="20"/>
          <w:szCs w:val="20"/>
        </w:rPr>
      </w:pPr>
      <w:r w:rsidRPr="00707D85">
        <w:rPr>
          <w:b/>
          <w:sz w:val="20"/>
          <w:szCs w:val="20"/>
        </w:rPr>
        <w:fldChar w:fldCharType="begin"/>
      </w:r>
      <w:r w:rsidR="00E4451A" w:rsidRPr="00707D85">
        <w:rPr>
          <w:b/>
          <w:sz w:val="20"/>
          <w:szCs w:val="20"/>
        </w:rPr>
        <w:instrText xml:space="preserve"> SEQ CHAPTER \h \r 1</w:instrText>
      </w:r>
      <w:r w:rsidRPr="00707D85">
        <w:rPr>
          <w:b/>
          <w:sz w:val="20"/>
          <w:szCs w:val="20"/>
        </w:rPr>
        <w:fldChar w:fldCharType="end"/>
      </w:r>
      <w:r w:rsidR="00E4451A" w:rsidRPr="00707D85">
        <w:rPr>
          <w:b/>
          <w:sz w:val="20"/>
          <w:szCs w:val="20"/>
        </w:rPr>
        <w:t>34687</w:t>
      </w:r>
      <w:r w:rsidR="00E4451A" w:rsidRPr="00707D85">
        <w:rPr>
          <w:sz w:val="20"/>
          <w:szCs w:val="20"/>
        </w:rPr>
        <w:tab/>
      </w:r>
      <w:r w:rsidR="00E4451A" w:rsidRPr="00707D85">
        <w:rPr>
          <w:b/>
          <w:sz w:val="20"/>
          <w:szCs w:val="20"/>
          <w:u w:val="single"/>
        </w:rPr>
        <w:t>Thanh Long Vu v. Her Majesty the Queen – and – Attorney General of Ontario, Attorney General of Alberta, British Columbia Civil Liberties Association, Canadian Civil Liberties Association and Criminal Lawyers’ Association (Ontario)</w:t>
      </w:r>
      <w:r w:rsidR="00E4451A" w:rsidRPr="00707D85">
        <w:rPr>
          <w:b/>
          <w:sz w:val="20"/>
          <w:szCs w:val="20"/>
        </w:rPr>
        <w:t xml:space="preserve"> </w:t>
      </w:r>
      <w:r w:rsidR="00E4451A" w:rsidRPr="00707D85">
        <w:rPr>
          <w:iCs/>
          <w:sz w:val="20"/>
          <w:szCs w:val="20"/>
        </w:rPr>
        <w:t>(B.C.)</w:t>
      </w:r>
    </w:p>
    <w:p w:rsidR="00E4451A" w:rsidRPr="00707D85" w:rsidRDefault="00E4451A" w:rsidP="00E4451A">
      <w:pPr>
        <w:tabs>
          <w:tab w:val="left" w:pos="1440"/>
          <w:tab w:val="left" w:pos="2160"/>
          <w:tab w:val="left" w:pos="2880"/>
          <w:tab w:val="left" w:pos="3600"/>
          <w:tab w:val="left" w:pos="4320"/>
          <w:tab w:val="left" w:pos="5040"/>
          <w:tab w:val="left" w:pos="5760"/>
          <w:tab w:val="left" w:pos="6480"/>
          <w:tab w:val="left" w:pos="7200"/>
        </w:tabs>
        <w:ind w:left="1440"/>
        <w:jc w:val="both"/>
        <w:rPr>
          <w:sz w:val="20"/>
          <w:szCs w:val="20"/>
        </w:rPr>
      </w:pPr>
      <w:r w:rsidRPr="00707D85">
        <w:rPr>
          <w:b/>
          <w:sz w:val="20"/>
          <w:szCs w:val="20"/>
        </w:rPr>
        <w:t>2013 SCC 60 / 2013 CSC 60</w:t>
      </w:r>
    </w:p>
    <w:p w:rsidR="00E4451A" w:rsidRPr="00707D85" w:rsidRDefault="00E4451A" w:rsidP="00E4451A">
      <w:p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sz w:val="20"/>
          <w:szCs w:val="20"/>
        </w:rPr>
      </w:pPr>
    </w:p>
    <w:p w:rsidR="00E4451A" w:rsidRPr="00707D85" w:rsidRDefault="00E4451A" w:rsidP="00E4451A">
      <w:pPr>
        <w:ind w:left="1440" w:hanging="1440"/>
        <w:rPr>
          <w:sz w:val="20"/>
          <w:szCs w:val="20"/>
          <w:u w:val="single"/>
        </w:rPr>
      </w:pPr>
      <w:r w:rsidRPr="00707D85">
        <w:rPr>
          <w:sz w:val="20"/>
          <w:szCs w:val="20"/>
        </w:rPr>
        <w:t>Coram:</w:t>
      </w:r>
      <w:r w:rsidRPr="00707D85">
        <w:rPr>
          <w:sz w:val="20"/>
          <w:szCs w:val="20"/>
        </w:rPr>
        <w:tab/>
      </w:r>
      <w:r w:rsidRPr="00707D85">
        <w:rPr>
          <w:sz w:val="20"/>
          <w:szCs w:val="20"/>
          <w:u w:val="single"/>
        </w:rPr>
        <w:t xml:space="preserve">McLachlin C.J. and LeBel, Fish, Abella, Rothstein, Cromwell, Moldaver, Karakatsanis and Wagner JJ. </w:t>
      </w:r>
    </w:p>
    <w:p w:rsidR="00E4451A" w:rsidRPr="00707D85" w:rsidRDefault="00E4451A" w:rsidP="00E4451A">
      <w:pPr>
        <w:tabs>
          <w:tab w:val="left" w:pos="0"/>
          <w:tab w:val="left" w:pos="720"/>
          <w:tab w:val="left" w:pos="2160"/>
          <w:tab w:val="left" w:pos="2880"/>
          <w:tab w:val="left" w:pos="3600"/>
          <w:tab w:val="left" w:pos="4320"/>
          <w:tab w:val="left" w:pos="5040"/>
          <w:tab w:val="left" w:pos="5760"/>
          <w:tab w:val="left" w:pos="6480"/>
          <w:tab w:val="left" w:pos="7200"/>
        </w:tabs>
        <w:ind w:left="1440" w:hanging="1440"/>
        <w:jc w:val="both"/>
        <w:rPr>
          <w:sz w:val="20"/>
          <w:szCs w:val="20"/>
          <w:u w:val="single"/>
        </w:rPr>
      </w:pPr>
    </w:p>
    <w:p w:rsidR="00E4451A" w:rsidRPr="00707D85" w:rsidRDefault="00E4451A" w:rsidP="00E4451A">
      <w:pPr>
        <w:jc w:val="both"/>
        <w:rPr>
          <w:rFonts w:eastAsia="Calibri"/>
          <w:sz w:val="20"/>
          <w:szCs w:val="20"/>
        </w:rPr>
      </w:pPr>
      <w:r w:rsidRPr="00707D85">
        <w:rPr>
          <w:rFonts w:eastAsia="Calibri"/>
          <w:sz w:val="20"/>
          <w:szCs w:val="20"/>
        </w:rPr>
        <w:t xml:space="preserve">The appeal from the judgment of the Court of Appeal for British Columbia (Vancouver), Number CA038644, 2011 BCCA 536, dated December 28, 2011, heard on March 27, 2013, is dismissed. The order of the Court of Appeal setting aside the acquittals entered after trial and directing a new trial is upheld. </w:t>
      </w:r>
    </w:p>
    <w:p w:rsidR="00E4451A" w:rsidRPr="00707D85" w:rsidRDefault="00E4451A" w:rsidP="00E4451A">
      <w:pPr>
        <w:jc w:val="both"/>
        <w:rPr>
          <w:rFonts w:eastAsia="Calibri"/>
          <w:sz w:val="20"/>
          <w:szCs w:val="20"/>
        </w:rPr>
      </w:pPr>
    </w:p>
    <w:p w:rsidR="00E4451A" w:rsidRPr="00707D85" w:rsidRDefault="00E4451A" w:rsidP="00E4451A">
      <w:pPr>
        <w:jc w:val="both"/>
        <w:rPr>
          <w:rFonts w:eastAsia="Calibri"/>
          <w:sz w:val="20"/>
          <w:szCs w:val="20"/>
          <w:lang w:val="fr-CA"/>
        </w:rPr>
      </w:pPr>
      <w:r w:rsidRPr="00707D85">
        <w:rPr>
          <w:rFonts w:eastAsia="Calibri"/>
          <w:sz w:val="20"/>
          <w:szCs w:val="20"/>
          <w:lang w:val="fr-CA"/>
        </w:rPr>
        <w:t>L’appel interjeté contre l’arrêt de la Cour d’appel de la Colombie-Britannique (Vancouver), numéro CA038644, 2011 BCCA 536, en date du 28 décembre 2011, entendu le 27 mars 2013, est rejeté. L’ordonnance de la Cour d’appel annulant les acquittements inscrits à l’issue du procès et ordonnant la tenue d’un nouveau procès est confirmée.</w:t>
      </w:r>
    </w:p>
    <w:p w:rsidR="00E4451A" w:rsidRPr="00E4451A" w:rsidRDefault="00E4451A" w:rsidP="00AF1715">
      <w:pPr>
        <w:ind w:left="1440" w:hanging="1440"/>
        <w:jc w:val="both"/>
        <w:rPr>
          <w:sz w:val="20"/>
          <w:szCs w:val="20"/>
          <w:lang w:val="fr-CA"/>
        </w:rPr>
      </w:pPr>
    </w:p>
    <w:p w:rsidR="00AF1715" w:rsidRPr="003B3977" w:rsidRDefault="007368AD" w:rsidP="00AF1715">
      <w:pPr>
        <w:spacing w:line="0" w:lineRule="atLeast"/>
        <w:rPr>
          <w:sz w:val="20"/>
          <w:szCs w:val="20"/>
        </w:rPr>
      </w:pPr>
      <w:r>
        <w:rPr>
          <w:b/>
          <w:sz w:val="20"/>
          <w:szCs w:val="20"/>
        </w:rPr>
        <w:pict>
          <v:rect id="_x0000_i1059" style="width:144.3pt;height:1pt" o:hrpct="300" o:hralign="center" o:hrstd="t" o:hrnoshade="t" o:hr="t" fillcolor="black [3213]" stroked="f"/>
        </w:pict>
      </w:r>
    </w:p>
    <w:p w:rsidR="00AF1715" w:rsidRPr="003B3977" w:rsidRDefault="00AF1715" w:rsidP="00AF1715">
      <w:pPr>
        <w:spacing w:line="0" w:lineRule="atLeast"/>
        <w:rPr>
          <w:sz w:val="20"/>
          <w:szCs w:val="20"/>
        </w:rPr>
      </w:pPr>
    </w:p>
    <w:p w:rsidR="00E4451A" w:rsidRPr="007368AD" w:rsidRDefault="00E4451A" w:rsidP="00E4451A">
      <w:pPr>
        <w:rPr>
          <w:b/>
          <w:sz w:val="20"/>
          <w:szCs w:val="20"/>
          <w:lang w:val="en-US"/>
        </w:rPr>
      </w:pPr>
      <w:r w:rsidRPr="007368AD">
        <w:rPr>
          <w:b/>
          <w:sz w:val="20"/>
          <w:szCs w:val="20"/>
          <w:lang w:val="en-US"/>
        </w:rPr>
        <w:t>NOVEMBER 8, 2013 / LE 8 NOVEMBRE 2013</w:t>
      </w:r>
    </w:p>
    <w:p w:rsidR="00D004FC" w:rsidRPr="007368AD" w:rsidRDefault="00D004FC" w:rsidP="00D004FC">
      <w:pPr>
        <w:spacing w:line="0" w:lineRule="atLeast"/>
        <w:rPr>
          <w:rFonts w:cs="Times New Roman"/>
          <w:sz w:val="20"/>
          <w:szCs w:val="20"/>
          <w:lang w:val="en-US"/>
        </w:rPr>
      </w:pPr>
    </w:p>
    <w:p w:rsidR="009755CA" w:rsidRPr="00371C22" w:rsidRDefault="009755CA" w:rsidP="009755CA">
      <w:pPr>
        <w:ind w:left="1440" w:hanging="1440"/>
        <w:jc w:val="both"/>
        <w:rPr>
          <w:sz w:val="20"/>
          <w:szCs w:val="20"/>
        </w:rPr>
      </w:pPr>
      <w:r w:rsidRPr="00371C22">
        <w:rPr>
          <w:b/>
          <w:sz w:val="20"/>
          <w:szCs w:val="20"/>
        </w:rPr>
        <w:fldChar w:fldCharType="begin"/>
      </w:r>
      <w:r w:rsidRPr="00371C22">
        <w:rPr>
          <w:b/>
          <w:sz w:val="20"/>
          <w:szCs w:val="20"/>
        </w:rPr>
        <w:instrText xml:space="preserve"> SEQ CHAPTER \h \r 1</w:instrText>
      </w:r>
      <w:r w:rsidRPr="00371C22">
        <w:rPr>
          <w:b/>
          <w:sz w:val="20"/>
          <w:szCs w:val="20"/>
        </w:rPr>
        <w:fldChar w:fldCharType="end"/>
      </w:r>
      <w:r w:rsidRPr="00371C22">
        <w:rPr>
          <w:b/>
          <w:sz w:val="20"/>
          <w:szCs w:val="20"/>
        </w:rPr>
        <w:t>33536</w:t>
      </w:r>
      <w:r w:rsidRPr="00371C22">
        <w:rPr>
          <w:sz w:val="20"/>
          <w:szCs w:val="20"/>
        </w:rPr>
        <w:tab/>
      </w:r>
      <w:r w:rsidRPr="00371C22">
        <w:rPr>
          <w:b/>
          <w:sz w:val="20"/>
          <w:szCs w:val="20"/>
          <w:u w:val="single"/>
        </w:rPr>
        <w:t>Leighton Hay v. Her Majesty the Queen</w:t>
      </w:r>
      <w:r w:rsidRPr="00371C22">
        <w:rPr>
          <w:b/>
          <w:sz w:val="20"/>
          <w:szCs w:val="20"/>
        </w:rPr>
        <w:t xml:space="preserve"> </w:t>
      </w:r>
      <w:r w:rsidRPr="00371C22">
        <w:rPr>
          <w:iCs/>
          <w:sz w:val="20"/>
          <w:szCs w:val="20"/>
        </w:rPr>
        <w:t>(Ont.)</w:t>
      </w:r>
    </w:p>
    <w:p w:rsidR="009755CA" w:rsidRPr="00371C22" w:rsidRDefault="009755CA" w:rsidP="009755CA">
      <w:pPr>
        <w:tabs>
          <w:tab w:val="left" w:pos="1440"/>
          <w:tab w:val="left" w:pos="2160"/>
          <w:tab w:val="left" w:pos="2880"/>
          <w:tab w:val="left" w:pos="3600"/>
          <w:tab w:val="left" w:pos="4320"/>
          <w:tab w:val="left" w:pos="5040"/>
          <w:tab w:val="left" w:pos="5760"/>
          <w:tab w:val="left" w:pos="6480"/>
          <w:tab w:val="left" w:pos="7200"/>
        </w:tabs>
        <w:ind w:left="1440"/>
        <w:jc w:val="both"/>
        <w:rPr>
          <w:sz w:val="20"/>
          <w:szCs w:val="20"/>
        </w:rPr>
      </w:pPr>
      <w:r w:rsidRPr="00371C22">
        <w:rPr>
          <w:b/>
          <w:sz w:val="20"/>
          <w:szCs w:val="20"/>
        </w:rPr>
        <w:t>2013 SCC 61 / 2013 CSC 61</w:t>
      </w:r>
    </w:p>
    <w:p w:rsidR="009755CA" w:rsidRPr="00371C22" w:rsidRDefault="009755CA" w:rsidP="009755CA">
      <w:p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sz w:val="20"/>
          <w:szCs w:val="20"/>
        </w:rPr>
      </w:pPr>
    </w:p>
    <w:p w:rsidR="009755CA" w:rsidRPr="00371C22" w:rsidRDefault="009755CA" w:rsidP="009755CA">
      <w:pPr>
        <w:ind w:left="1440" w:hanging="1440"/>
        <w:rPr>
          <w:sz w:val="20"/>
          <w:szCs w:val="20"/>
          <w:u w:val="single"/>
        </w:rPr>
      </w:pPr>
      <w:r w:rsidRPr="00371C22">
        <w:rPr>
          <w:sz w:val="20"/>
          <w:szCs w:val="20"/>
        </w:rPr>
        <w:t>Coram:</w:t>
      </w:r>
      <w:r w:rsidRPr="00371C22">
        <w:rPr>
          <w:sz w:val="20"/>
          <w:szCs w:val="20"/>
        </w:rPr>
        <w:tab/>
      </w:r>
      <w:r w:rsidRPr="00371C22">
        <w:rPr>
          <w:sz w:val="20"/>
          <w:szCs w:val="20"/>
          <w:u w:val="single"/>
        </w:rPr>
        <w:t xml:space="preserve">McLachlin C.J. and LeBel, Fish, Abella, Rothstein, Cromwell and Wagner JJ. </w:t>
      </w:r>
    </w:p>
    <w:p w:rsidR="009755CA" w:rsidRPr="00371C22" w:rsidRDefault="009755CA" w:rsidP="009755CA">
      <w:pPr>
        <w:tabs>
          <w:tab w:val="left" w:pos="0"/>
          <w:tab w:val="left" w:pos="720"/>
          <w:tab w:val="left" w:pos="2160"/>
          <w:tab w:val="left" w:pos="2880"/>
          <w:tab w:val="left" w:pos="3600"/>
          <w:tab w:val="left" w:pos="4320"/>
          <w:tab w:val="left" w:pos="5040"/>
          <w:tab w:val="left" w:pos="5760"/>
          <w:tab w:val="left" w:pos="6480"/>
          <w:tab w:val="left" w:pos="7200"/>
        </w:tabs>
        <w:ind w:left="1440" w:hanging="1440"/>
        <w:jc w:val="both"/>
        <w:rPr>
          <w:sz w:val="20"/>
          <w:szCs w:val="20"/>
          <w:u w:val="single"/>
        </w:rPr>
      </w:pPr>
    </w:p>
    <w:p w:rsidR="009755CA" w:rsidRPr="00371C22" w:rsidRDefault="009755CA" w:rsidP="009755CA">
      <w:pPr>
        <w:jc w:val="both"/>
        <w:rPr>
          <w:rFonts w:eastAsia="Calibri"/>
          <w:sz w:val="20"/>
          <w:szCs w:val="20"/>
        </w:rPr>
      </w:pPr>
      <w:r w:rsidRPr="00371C22">
        <w:rPr>
          <w:rFonts w:eastAsia="Calibri"/>
          <w:sz w:val="20"/>
          <w:szCs w:val="20"/>
        </w:rPr>
        <w:t>The appeal from the judgment of the Court of Appeal for Ontario, Number C42026, 2009 ONCA 398, dated May 12, 2009, heard on April 23, 2013, is allowed.  The motion to adduce fresh evidence is granted and the matter is remanded for retrial.</w:t>
      </w:r>
    </w:p>
    <w:p w:rsidR="009755CA" w:rsidRPr="00371C22" w:rsidRDefault="009755CA" w:rsidP="009755CA">
      <w:pPr>
        <w:jc w:val="both"/>
        <w:rPr>
          <w:rFonts w:eastAsia="Calibri"/>
          <w:sz w:val="20"/>
          <w:szCs w:val="20"/>
        </w:rPr>
      </w:pPr>
    </w:p>
    <w:p w:rsidR="009755CA" w:rsidRPr="00371C22" w:rsidRDefault="009755CA" w:rsidP="009755CA">
      <w:pPr>
        <w:jc w:val="both"/>
        <w:rPr>
          <w:rFonts w:eastAsia="Calibri"/>
          <w:sz w:val="20"/>
          <w:szCs w:val="20"/>
          <w:lang w:val="fr-CA"/>
        </w:rPr>
      </w:pPr>
      <w:r w:rsidRPr="00371C22">
        <w:rPr>
          <w:rFonts w:eastAsia="Calibri"/>
          <w:sz w:val="20"/>
          <w:szCs w:val="20"/>
          <w:lang w:val="fr-CA"/>
        </w:rPr>
        <w:t>L’appel interjeté contre l’arrêt de la Cour d’appel de l’Ontario, numéro C42026, 2009 ONCA 398, en date du 12 mai 2009, entendu le 23 avril 2013, est accueilli.  La requête pour déposer de nouveaux éléments de preuve est accordée et l’affaire est renvoyée pour la tenue d’un nouveau procès.</w:t>
      </w:r>
    </w:p>
    <w:p w:rsidR="00D004FC" w:rsidRPr="009755CA" w:rsidRDefault="00D004FC" w:rsidP="00D004FC">
      <w:pPr>
        <w:spacing w:line="0" w:lineRule="atLeast"/>
        <w:rPr>
          <w:rFonts w:cs="Times New Roman"/>
          <w:sz w:val="20"/>
          <w:szCs w:val="20"/>
          <w:lang w:val="fr-CA"/>
        </w:rPr>
      </w:pPr>
    </w:p>
    <w:p w:rsidR="00D004FC" w:rsidRDefault="007368AD" w:rsidP="00D004FC">
      <w:pPr>
        <w:jc w:val="both"/>
        <w:rPr>
          <w:rFonts w:cs="Times New Roman"/>
          <w:b/>
          <w:sz w:val="20"/>
          <w:szCs w:val="20"/>
        </w:rPr>
      </w:pPr>
      <w:r>
        <w:rPr>
          <w:rFonts w:cs="Times New Roman"/>
          <w:b/>
          <w:sz w:val="20"/>
          <w:szCs w:val="20"/>
        </w:rPr>
        <w:pict>
          <v:rect id="_x0000_i1060" style="width:144.3pt;height:1pt" o:hrpct="300" o:hralign="center" o:hrstd="t" o:hrnoshade="t" o:hr="t" fillcolor="black [3213]" stroked="f"/>
        </w:pict>
      </w:r>
    </w:p>
    <w:p w:rsidR="00D004FC" w:rsidRPr="00C00175" w:rsidRDefault="00D004FC" w:rsidP="00D004FC">
      <w:pPr>
        <w:jc w:val="both"/>
        <w:rPr>
          <w:rFonts w:cs="Times New Roman"/>
          <w:sz w:val="20"/>
          <w:szCs w:val="20"/>
        </w:rPr>
      </w:pPr>
    </w:p>
    <w:p w:rsidR="00D004FC" w:rsidRPr="006C5F7A" w:rsidRDefault="00D004FC" w:rsidP="00AF1715">
      <w:p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cs="Times New Roman"/>
          <w:sz w:val="20"/>
          <w:szCs w:val="20"/>
          <w:lang w:val="fr-CA"/>
        </w:rPr>
      </w:pPr>
    </w:p>
    <w:p w:rsidR="00732DB7" w:rsidRPr="00C50A5C" w:rsidRDefault="00732DB7" w:rsidP="00732DB7">
      <w:pPr>
        <w:widowControl w:val="0"/>
        <w:rPr>
          <w:sz w:val="20"/>
          <w:szCs w:val="20"/>
        </w:rPr>
      </w:pPr>
    </w:p>
    <w:p w:rsidR="00697C62" w:rsidRPr="00C50A5C" w:rsidRDefault="00697C62" w:rsidP="00732DB7">
      <w:pPr>
        <w:widowControl w:val="0"/>
        <w:rPr>
          <w:sz w:val="20"/>
          <w:szCs w:val="20"/>
        </w:rPr>
        <w:sectPr w:rsidR="00697C62" w:rsidRPr="00C50A5C" w:rsidSect="00782AE4">
          <w:headerReference w:type="even" r:id="rId64"/>
          <w:headerReference w:type="default" r:id="rId65"/>
          <w:footerReference w:type="even" r:id="rId66"/>
          <w:footerReference w:type="default" r:id="rId67"/>
          <w:headerReference w:type="first" r:id="rId68"/>
          <w:footerReference w:type="first" r:id="rId69"/>
          <w:pgSz w:w="12240" w:h="15840"/>
          <w:pgMar w:top="720" w:right="965" w:bottom="1080" w:left="1656" w:header="720" w:footer="960" w:gutter="0"/>
          <w:cols w:space="720"/>
          <w:titlePg/>
          <w:docGrid w:linePitch="326"/>
        </w:sectPr>
      </w:pPr>
    </w:p>
    <w:tbl>
      <w:tblPr>
        <w:tblW w:w="9480" w:type="dxa"/>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080"/>
      </w:tblGrid>
      <w:tr w:rsidR="00782AE4" w:rsidRPr="00C1697B" w:rsidTr="0085476B">
        <w:tc>
          <w:tcPr>
            <w:tcW w:w="4200" w:type="dxa"/>
            <w:tcMar>
              <w:left w:w="0" w:type="dxa"/>
              <w:right w:w="0" w:type="dxa"/>
            </w:tcMar>
          </w:tcPr>
          <w:p w:rsidR="00782AE4" w:rsidRPr="00C1697B" w:rsidRDefault="00782AE4" w:rsidP="00782AE4">
            <w:pPr>
              <w:keepNext/>
              <w:keepLines/>
              <w:jc w:val="both"/>
              <w:rPr>
                <w:b/>
                <w:szCs w:val="24"/>
              </w:rPr>
            </w:pPr>
            <w:r w:rsidRPr="00C1697B">
              <w:rPr>
                <w:b/>
                <w:szCs w:val="24"/>
              </w:rPr>
              <w:lastRenderedPageBreak/>
              <w:t>HEADNOTES OF RECENT</w:t>
            </w:r>
          </w:p>
          <w:p w:rsidR="00782AE4" w:rsidRPr="00C1697B" w:rsidRDefault="00782AE4" w:rsidP="00782AE4">
            <w:pPr>
              <w:keepNext/>
              <w:keepLines/>
              <w:jc w:val="both"/>
              <w:rPr>
                <w:b/>
                <w:szCs w:val="24"/>
              </w:rPr>
            </w:pPr>
            <w:r w:rsidRPr="00C1697B">
              <w:rPr>
                <w:b/>
                <w:szCs w:val="24"/>
              </w:rPr>
              <w:t>JUDGMENTS</w:t>
            </w:r>
          </w:p>
        </w:tc>
        <w:tc>
          <w:tcPr>
            <w:tcW w:w="1200" w:type="dxa"/>
            <w:tcMar>
              <w:left w:w="0" w:type="dxa"/>
              <w:right w:w="0" w:type="dxa"/>
            </w:tcMar>
          </w:tcPr>
          <w:p w:rsidR="00782AE4" w:rsidRPr="00C1697B" w:rsidRDefault="00782AE4" w:rsidP="00102926">
            <w:pPr>
              <w:keepNext/>
              <w:keepLines/>
              <w:jc w:val="center"/>
              <w:rPr>
                <w:b/>
                <w:szCs w:val="24"/>
              </w:rPr>
            </w:pPr>
          </w:p>
          <w:p w:rsidR="00782AE4" w:rsidRPr="00C1697B" w:rsidRDefault="00782AE4" w:rsidP="00102926">
            <w:pPr>
              <w:keepNext/>
              <w:keepLines/>
              <w:jc w:val="center"/>
              <w:rPr>
                <w:b/>
                <w:szCs w:val="24"/>
              </w:rPr>
            </w:pPr>
          </w:p>
          <w:p w:rsidR="00782AE4" w:rsidRPr="00C1697B" w:rsidRDefault="00782AE4" w:rsidP="00102926">
            <w:pPr>
              <w:keepNext/>
              <w:keepLines/>
              <w:jc w:val="center"/>
              <w:rPr>
                <w:b/>
                <w:szCs w:val="24"/>
              </w:rPr>
            </w:pPr>
          </w:p>
        </w:tc>
        <w:tc>
          <w:tcPr>
            <w:tcW w:w="4080" w:type="dxa"/>
            <w:tcMar>
              <w:left w:w="0" w:type="dxa"/>
              <w:right w:w="0" w:type="dxa"/>
            </w:tcMar>
          </w:tcPr>
          <w:p w:rsidR="00782AE4" w:rsidRPr="00C1697B" w:rsidRDefault="00782AE4" w:rsidP="00782AE4">
            <w:pPr>
              <w:keepNext/>
              <w:keepLines/>
              <w:rPr>
                <w:b/>
                <w:szCs w:val="24"/>
              </w:rPr>
            </w:pPr>
            <w:r w:rsidRPr="00C1697B">
              <w:rPr>
                <w:b/>
                <w:szCs w:val="24"/>
              </w:rPr>
              <w:t>SOMMAIRES DE JUGEMENTS RÉCENTS</w:t>
            </w:r>
          </w:p>
        </w:tc>
      </w:tr>
    </w:tbl>
    <w:p w:rsidR="003B3977" w:rsidRPr="003B3977" w:rsidRDefault="003B3977" w:rsidP="005C6840">
      <w:pPr>
        <w:rPr>
          <w:rFonts w:cs="Times New Roman"/>
          <w:i/>
          <w:sz w:val="20"/>
          <w:szCs w:val="20"/>
        </w:rPr>
      </w:pPr>
    </w:p>
    <w:p w:rsidR="002375F8" w:rsidRPr="007368AD" w:rsidRDefault="002375F8" w:rsidP="002375F8">
      <w:pPr>
        <w:widowControl w:val="0"/>
        <w:autoSpaceDE w:val="0"/>
        <w:autoSpaceDN w:val="0"/>
        <w:adjustRightInd w:val="0"/>
        <w:ind w:left="1440" w:hanging="1440"/>
        <w:rPr>
          <w:sz w:val="20"/>
          <w:szCs w:val="20"/>
          <w:lang w:val="fr-CA"/>
        </w:rPr>
      </w:pPr>
      <w:r w:rsidRPr="00621B52">
        <w:rPr>
          <w:i/>
          <w:sz w:val="20"/>
          <w:szCs w:val="20"/>
        </w:rPr>
        <w:t xml:space="preserve">Thanh Long Vu v. Her Majesty the Queen </w:t>
      </w:r>
      <w:r w:rsidRPr="00621B52">
        <w:rPr>
          <w:sz w:val="20"/>
          <w:szCs w:val="20"/>
        </w:rPr>
        <w:t xml:space="preserve">(B.C.) </w:t>
      </w:r>
      <w:r w:rsidRPr="007368AD">
        <w:rPr>
          <w:sz w:val="20"/>
          <w:szCs w:val="20"/>
          <w:lang w:val="fr-CA"/>
        </w:rPr>
        <w:t>(</w:t>
      </w:r>
      <w:hyperlink r:id="rId70" w:history="1">
        <w:r w:rsidRPr="007368AD">
          <w:rPr>
            <w:rStyle w:val="Hyperlink"/>
            <w:sz w:val="20"/>
            <w:szCs w:val="20"/>
            <w:lang w:val="fr-CA"/>
          </w:rPr>
          <w:t>34687</w:t>
        </w:r>
      </w:hyperlink>
      <w:r w:rsidRPr="007368AD">
        <w:rPr>
          <w:sz w:val="20"/>
          <w:szCs w:val="20"/>
          <w:lang w:val="fr-CA"/>
        </w:rPr>
        <w:t>)</w:t>
      </w:r>
    </w:p>
    <w:p w:rsidR="00F13DE6" w:rsidRPr="004951EB" w:rsidRDefault="00F13DE6" w:rsidP="00F13DE6">
      <w:pPr>
        <w:jc w:val="both"/>
        <w:rPr>
          <w:b/>
          <w:sz w:val="20"/>
          <w:szCs w:val="20"/>
          <w:lang w:val="fr-CA"/>
        </w:rPr>
      </w:pPr>
      <w:r w:rsidRPr="00F13DE6">
        <w:rPr>
          <w:b/>
          <w:sz w:val="20"/>
          <w:szCs w:val="20"/>
          <w:lang w:val="fr-CA"/>
        </w:rPr>
        <w:t xml:space="preserve">Indexed as:  R. </w:t>
      </w:r>
      <w:r w:rsidRPr="00F13DE6">
        <w:rPr>
          <w:b/>
          <w:i/>
          <w:sz w:val="20"/>
          <w:szCs w:val="20"/>
          <w:lang w:val="fr-CA"/>
        </w:rPr>
        <w:t>v.</w:t>
      </w:r>
      <w:r w:rsidRPr="00F13DE6">
        <w:rPr>
          <w:b/>
          <w:sz w:val="20"/>
          <w:szCs w:val="20"/>
          <w:lang w:val="fr-CA"/>
        </w:rPr>
        <w:t xml:space="preserve"> Vu / </w:t>
      </w:r>
      <w:r w:rsidRPr="004951EB">
        <w:rPr>
          <w:b/>
          <w:sz w:val="20"/>
          <w:szCs w:val="20"/>
          <w:lang w:val="fr-CA"/>
        </w:rPr>
        <w:t xml:space="preserve">Répertorié : R. </w:t>
      </w:r>
      <w:r w:rsidRPr="004951EB">
        <w:rPr>
          <w:b/>
          <w:i/>
          <w:sz w:val="20"/>
          <w:szCs w:val="20"/>
          <w:lang w:val="fr-CA"/>
        </w:rPr>
        <w:t>c.</w:t>
      </w:r>
      <w:r w:rsidRPr="004951EB">
        <w:rPr>
          <w:b/>
          <w:sz w:val="20"/>
          <w:szCs w:val="20"/>
          <w:lang w:val="fr-CA"/>
        </w:rPr>
        <w:t xml:space="preserve"> Vu</w:t>
      </w:r>
    </w:p>
    <w:p w:rsidR="005C6840" w:rsidRPr="003B3977" w:rsidRDefault="005C6840" w:rsidP="005C6840">
      <w:pPr>
        <w:pStyle w:val="SCCSystemYear"/>
        <w:jc w:val="both"/>
        <w:rPr>
          <w:sz w:val="20"/>
        </w:rPr>
      </w:pPr>
      <w:r w:rsidRPr="003B3977">
        <w:rPr>
          <w:sz w:val="20"/>
        </w:rPr>
        <w:t>Neutral citation:  201</w:t>
      </w:r>
      <w:r w:rsidR="00F761A3">
        <w:rPr>
          <w:sz w:val="20"/>
        </w:rPr>
        <w:t>3</w:t>
      </w:r>
      <w:r w:rsidRPr="003B3977">
        <w:rPr>
          <w:sz w:val="20"/>
        </w:rPr>
        <w:t xml:space="preserve"> SCC </w:t>
      </w:r>
      <w:r w:rsidR="00F13DE6">
        <w:rPr>
          <w:sz w:val="20"/>
        </w:rPr>
        <w:t>60</w:t>
      </w:r>
      <w:r w:rsidRPr="003B3977">
        <w:rPr>
          <w:sz w:val="20"/>
        </w:rPr>
        <w:t xml:space="preserve"> / Référence neutre : 201</w:t>
      </w:r>
      <w:r w:rsidR="00F761A3">
        <w:rPr>
          <w:sz w:val="20"/>
        </w:rPr>
        <w:t>3</w:t>
      </w:r>
      <w:r w:rsidRPr="003B3977">
        <w:rPr>
          <w:sz w:val="20"/>
        </w:rPr>
        <w:t xml:space="preserve"> CSC </w:t>
      </w:r>
      <w:r w:rsidR="00F13DE6">
        <w:rPr>
          <w:sz w:val="20"/>
        </w:rPr>
        <w:t>60</w:t>
      </w:r>
    </w:p>
    <w:p w:rsidR="005C6840" w:rsidRPr="003B3977" w:rsidRDefault="005C6840" w:rsidP="005C6840">
      <w:pPr>
        <w:rPr>
          <w:rFonts w:cs="Times New Roman"/>
          <w:sz w:val="20"/>
          <w:szCs w:val="20"/>
          <w:lang w:val="fr-CA"/>
        </w:rPr>
      </w:pPr>
      <w:r w:rsidRPr="003B3977">
        <w:rPr>
          <w:rFonts w:cs="Times New Roman"/>
          <w:sz w:val="20"/>
          <w:szCs w:val="20"/>
          <w:lang w:val="fr-CA"/>
        </w:rPr>
        <w:t xml:space="preserve">Hearing:  </w:t>
      </w:r>
      <w:r w:rsidR="00F13DE6">
        <w:rPr>
          <w:rFonts w:cs="Times New Roman"/>
          <w:sz w:val="20"/>
          <w:szCs w:val="20"/>
          <w:lang w:val="fr-CA"/>
        </w:rPr>
        <w:t>March 27</w:t>
      </w:r>
      <w:r w:rsidRPr="003B3977">
        <w:rPr>
          <w:rFonts w:cs="Times New Roman"/>
          <w:sz w:val="20"/>
          <w:szCs w:val="20"/>
          <w:lang w:val="fr-CA"/>
        </w:rPr>
        <w:t>, 201</w:t>
      </w:r>
      <w:r w:rsidR="00F13DE6">
        <w:rPr>
          <w:rFonts w:cs="Times New Roman"/>
          <w:sz w:val="20"/>
          <w:szCs w:val="20"/>
          <w:lang w:val="fr-CA"/>
        </w:rPr>
        <w:t>3</w:t>
      </w:r>
      <w:r w:rsidRPr="003B3977">
        <w:rPr>
          <w:rFonts w:cs="Times New Roman"/>
          <w:sz w:val="20"/>
          <w:szCs w:val="20"/>
          <w:lang w:val="fr-CA"/>
        </w:rPr>
        <w:t xml:space="preserve"> / Judgment:  </w:t>
      </w:r>
      <w:r w:rsidR="002375F8">
        <w:rPr>
          <w:rFonts w:cs="Times New Roman"/>
          <w:sz w:val="20"/>
          <w:szCs w:val="20"/>
          <w:lang w:val="fr-CA"/>
        </w:rPr>
        <w:t>Novem</w:t>
      </w:r>
      <w:r w:rsidRPr="003B3977">
        <w:rPr>
          <w:rFonts w:cs="Times New Roman"/>
          <w:sz w:val="20"/>
          <w:szCs w:val="20"/>
          <w:lang w:val="fr-CA"/>
        </w:rPr>
        <w:t>ber 7, 201</w:t>
      </w:r>
      <w:r w:rsidR="002375F8">
        <w:rPr>
          <w:rFonts w:cs="Times New Roman"/>
          <w:sz w:val="20"/>
          <w:szCs w:val="20"/>
          <w:lang w:val="fr-CA"/>
        </w:rPr>
        <w:t>3</w:t>
      </w:r>
    </w:p>
    <w:p w:rsidR="005C6840" w:rsidRPr="003B3977" w:rsidRDefault="005C6840" w:rsidP="005C6840">
      <w:pPr>
        <w:rPr>
          <w:rFonts w:cs="Times New Roman"/>
          <w:sz w:val="20"/>
          <w:szCs w:val="20"/>
          <w:lang w:val="fr-CA"/>
        </w:rPr>
      </w:pPr>
      <w:r w:rsidRPr="003B3977">
        <w:rPr>
          <w:rFonts w:cs="Times New Roman"/>
          <w:sz w:val="20"/>
          <w:szCs w:val="20"/>
          <w:lang w:val="fr-CA"/>
        </w:rPr>
        <w:t xml:space="preserve">Audition : Le </w:t>
      </w:r>
      <w:r w:rsidR="00F13DE6">
        <w:rPr>
          <w:rFonts w:cs="Times New Roman"/>
          <w:sz w:val="20"/>
          <w:szCs w:val="20"/>
          <w:lang w:val="fr-CA"/>
        </w:rPr>
        <w:t>27 ma</w:t>
      </w:r>
      <w:r w:rsidRPr="003B3977">
        <w:rPr>
          <w:rFonts w:cs="Times New Roman"/>
          <w:sz w:val="20"/>
          <w:szCs w:val="20"/>
          <w:lang w:val="fr-CA"/>
        </w:rPr>
        <w:t>r</w:t>
      </w:r>
      <w:r w:rsidR="00F13DE6">
        <w:rPr>
          <w:rFonts w:cs="Times New Roman"/>
          <w:sz w:val="20"/>
          <w:szCs w:val="20"/>
          <w:lang w:val="fr-CA"/>
        </w:rPr>
        <w:t>s</w:t>
      </w:r>
      <w:r w:rsidRPr="003B3977">
        <w:rPr>
          <w:rFonts w:cs="Times New Roman"/>
          <w:sz w:val="20"/>
          <w:szCs w:val="20"/>
          <w:lang w:val="fr-CA"/>
        </w:rPr>
        <w:t xml:space="preserve"> 201</w:t>
      </w:r>
      <w:r w:rsidR="00F13DE6">
        <w:rPr>
          <w:rFonts w:cs="Times New Roman"/>
          <w:sz w:val="20"/>
          <w:szCs w:val="20"/>
          <w:lang w:val="fr-CA"/>
        </w:rPr>
        <w:t>3</w:t>
      </w:r>
      <w:r w:rsidRPr="003B3977">
        <w:rPr>
          <w:rFonts w:cs="Times New Roman"/>
          <w:sz w:val="20"/>
          <w:szCs w:val="20"/>
          <w:lang w:val="fr-CA"/>
        </w:rPr>
        <w:t xml:space="preserve"> / Jugement : Le 7 </w:t>
      </w:r>
      <w:r w:rsidR="002375F8">
        <w:rPr>
          <w:rFonts w:cs="Times New Roman"/>
          <w:sz w:val="20"/>
          <w:szCs w:val="20"/>
          <w:lang w:val="fr-CA"/>
        </w:rPr>
        <w:t>n</w:t>
      </w:r>
      <w:r w:rsidRPr="003B3977">
        <w:rPr>
          <w:rFonts w:cs="Times New Roman"/>
          <w:sz w:val="20"/>
          <w:szCs w:val="20"/>
          <w:lang w:val="fr-CA"/>
        </w:rPr>
        <w:t>o</w:t>
      </w:r>
      <w:r w:rsidR="002375F8">
        <w:rPr>
          <w:rFonts w:cs="Times New Roman"/>
          <w:sz w:val="20"/>
          <w:szCs w:val="20"/>
          <w:lang w:val="fr-CA"/>
        </w:rPr>
        <w:t>vem</w:t>
      </w:r>
      <w:r w:rsidRPr="003B3977">
        <w:rPr>
          <w:rFonts w:cs="Times New Roman"/>
          <w:sz w:val="20"/>
          <w:szCs w:val="20"/>
          <w:lang w:val="fr-CA"/>
        </w:rPr>
        <w:t>bre 201</w:t>
      </w:r>
      <w:r w:rsidR="002375F8">
        <w:rPr>
          <w:rFonts w:cs="Times New Roman"/>
          <w:sz w:val="20"/>
          <w:szCs w:val="20"/>
          <w:lang w:val="fr-CA"/>
        </w:rPr>
        <w:t>3</w:t>
      </w:r>
    </w:p>
    <w:p w:rsidR="005C6840" w:rsidRPr="003B3977" w:rsidRDefault="007368AD" w:rsidP="005C6840">
      <w:pPr>
        <w:rPr>
          <w:rFonts w:cs="Times New Roman"/>
          <w:sz w:val="20"/>
          <w:szCs w:val="20"/>
          <w:lang w:val="fr-CA"/>
        </w:rPr>
      </w:pPr>
      <w:r>
        <w:rPr>
          <w:rFonts w:cs="Times New Roman"/>
          <w:i/>
          <w:sz w:val="20"/>
          <w:szCs w:val="20"/>
        </w:rPr>
        <w:pict>
          <v:rect id="_x0000_i1063" style="width:480.95pt;height:1pt" o:hralign="center" o:hrstd="t" o:hrnoshade="t" o:hr="t" fillcolor="black [3213]" stroked="f"/>
        </w:pict>
      </w:r>
    </w:p>
    <w:p w:rsidR="005C6840" w:rsidRPr="003B3977" w:rsidRDefault="005C6840" w:rsidP="005C6840">
      <w:pPr>
        <w:rPr>
          <w:rFonts w:cs="Times New Roman"/>
          <w:sz w:val="20"/>
          <w:szCs w:val="20"/>
          <w:lang w:val="fr-CA"/>
        </w:rPr>
      </w:pPr>
    </w:p>
    <w:p w:rsidR="00F13DE6" w:rsidRPr="002046C4" w:rsidRDefault="00F13DE6" w:rsidP="00F13DE6">
      <w:pPr>
        <w:jc w:val="both"/>
        <w:rPr>
          <w:sz w:val="20"/>
          <w:szCs w:val="20"/>
        </w:rPr>
      </w:pPr>
      <w:r w:rsidRPr="002046C4">
        <w:rPr>
          <w:sz w:val="20"/>
          <w:szCs w:val="20"/>
        </w:rPr>
        <w:t>Present:  McLachlin C.J. and LeBel, Fish, Abella, Rothstein, Cromwell, Moldaver, Karakatsanis and Wagner JJ.</w:t>
      </w:r>
    </w:p>
    <w:p w:rsidR="00F13DE6" w:rsidRDefault="00F13DE6" w:rsidP="00F13DE6">
      <w:pPr>
        <w:pStyle w:val="SCCLowerCourtNameLowercase"/>
        <w:spacing w:line="240" w:lineRule="auto"/>
        <w:rPr>
          <w:sz w:val="20"/>
        </w:rPr>
      </w:pPr>
    </w:p>
    <w:p w:rsidR="00F13DE6" w:rsidRPr="002046C4" w:rsidRDefault="00F13DE6" w:rsidP="00F13DE6">
      <w:pPr>
        <w:pStyle w:val="SCCNormalDoubleSpacing"/>
        <w:spacing w:line="240" w:lineRule="auto"/>
        <w:rPr>
          <w:i/>
          <w:sz w:val="20"/>
        </w:rPr>
      </w:pPr>
      <w:r w:rsidRPr="002046C4">
        <w:rPr>
          <w:sz w:val="20"/>
        </w:rPr>
        <w:tab/>
      </w:r>
      <w:r w:rsidRPr="002046C4">
        <w:rPr>
          <w:i/>
          <w:sz w:val="20"/>
        </w:rPr>
        <w:t>Constitutional law — Charter of Rights — Search and seizure — Validity of search — Police obtaining warrant not specifying grounds for obtaining evidence of ownership or occupancy of residence and not mentioning search of computers and cellular phones — Whether search warrant properly permitting a search for documents evidencing ownership or occupation — Whether warrant authorized search of computers and cellular phone — If the search was unlawful, whether evidence obtained should be excluded — Charter of Rights and Freedoms, ss. 8, 24(2)</w:t>
      </w:r>
    </w:p>
    <w:p w:rsidR="00F13DE6" w:rsidRDefault="00F13DE6" w:rsidP="00F13DE6">
      <w:pPr>
        <w:pStyle w:val="SCCNormalDoubleSpacing"/>
        <w:spacing w:line="240" w:lineRule="auto"/>
        <w:rPr>
          <w:sz w:val="20"/>
        </w:rPr>
      </w:pPr>
    </w:p>
    <w:p w:rsidR="00F13DE6" w:rsidRPr="002046C4" w:rsidRDefault="00F13DE6" w:rsidP="00F13DE6">
      <w:pPr>
        <w:pStyle w:val="SCCNormalDoubleSpacing"/>
        <w:spacing w:line="240" w:lineRule="auto"/>
        <w:rPr>
          <w:sz w:val="20"/>
        </w:rPr>
      </w:pPr>
      <w:r w:rsidRPr="002046C4">
        <w:rPr>
          <w:sz w:val="20"/>
        </w:rPr>
        <w:tab/>
        <w:t xml:space="preserve">The appellant was charged with production of marijuana, possession of marijuana for the purpose of trafficking, and theft of electricity.  The police had obtained a warrant authorizing the search of a residence for evidence of theft of electricity, including documentation identifying the owners and/or occupants of the residence.  Even though the Information to Obtain (“ITO”) indicated that the police intended to search for “computer generated notes”, the warrant did not specifically refer to computers or authorize the search of computers.  In the course of their search of the residence, police found marijuana, two computers and a cellular telephone.  A search of the devices revealed evidence that the appellant was the occupant.  At trial, he claimed that the searches had violated his s. 8 </w:t>
      </w:r>
      <w:r w:rsidRPr="002046C4">
        <w:rPr>
          <w:i/>
          <w:sz w:val="20"/>
        </w:rPr>
        <w:t>Charter</w:t>
      </w:r>
      <w:r w:rsidRPr="002046C4">
        <w:rPr>
          <w:sz w:val="20"/>
        </w:rPr>
        <w:t xml:space="preserve"> rights.  The trial judge concluded that the ITO did not establish reasonable grounds to believe that documents identifying the owners and/or occupants would be found in the residence and so the warrant could not authorize the search for them.  Further, the police were not authorized to search the personal computers and cellular telephone because those devices were not specifically mentioned in the warrant.  She excluded most of the evidence found as a result of these searches and acquitted the appellant of the drug charges.  The Court of Appeal set aside the acquittals and ordered a new trial on the grounds that the warrant had properly authorized the searches and that there had been no breach of the appellant’s s. 8 </w:t>
      </w:r>
      <w:r w:rsidRPr="002046C4">
        <w:rPr>
          <w:i/>
          <w:sz w:val="20"/>
        </w:rPr>
        <w:t>Charter</w:t>
      </w:r>
      <w:r w:rsidRPr="002046C4">
        <w:rPr>
          <w:sz w:val="20"/>
        </w:rPr>
        <w:t xml:space="preserve"> rights. </w:t>
      </w:r>
    </w:p>
    <w:p w:rsidR="00F13DE6" w:rsidRDefault="00F13DE6" w:rsidP="00F13DE6">
      <w:pPr>
        <w:pStyle w:val="SCCNormalDoubleSpacing"/>
        <w:spacing w:line="240" w:lineRule="auto"/>
        <w:rPr>
          <w:i/>
          <w:sz w:val="20"/>
        </w:rPr>
      </w:pPr>
    </w:p>
    <w:p w:rsidR="00F13DE6" w:rsidRPr="002046C4" w:rsidRDefault="00F13DE6" w:rsidP="00F13DE6">
      <w:pPr>
        <w:pStyle w:val="SCCNormalDoubleSpacing"/>
        <w:spacing w:line="240" w:lineRule="auto"/>
        <w:rPr>
          <w:i/>
          <w:sz w:val="20"/>
        </w:rPr>
      </w:pPr>
      <w:r w:rsidRPr="002046C4">
        <w:rPr>
          <w:i/>
          <w:sz w:val="20"/>
        </w:rPr>
        <w:tab/>
        <w:t>Held</w:t>
      </w:r>
      <w:r w:rsidRPr="002046C4">
        <w:rPr>
          <w:sz w:val="20"/>
        </w:rPr>
        <w:t>:  The appeal should be dismissed.</w:t>
      </w:r>
    </w:p>
    <w:p w:rsidR="00F13DE6" w:rsidRDefault="00F13DE6" w:rsidP="00F13DE6">
      <w:pPr>
        <w:pStyle w:val="SCCNormalDoubleSpacing"/>
        <w:spacing w:line="240" w:lineRule="auto"/>
        <w:rPr>
          <w:sz w:val="20"/>
        </w:rPr>
      </w:pPr>
    </w:p>
    <w:p w:rsidR="00F13DE6" w:rsidRPr="002046C4" w:rsidRDefault="00F13DE6" w:rsidP="00F13DE6">
      <w:pPr>
        <w:pStyle w:val="SCCNormalDoubleSpacing"/>
        <w:spacing w:line="240" w:lineRule="auto"/>
        <w:rPr>
          <w:sz w:val="20"/>
        </w:rPr>
      </w:pPr>
      <w:r w:rsidRPr="002046C4">
        <w:rPr>
          <w:sz w:val="20"/>
        </w:rPr>
        <w:tab/>
        <w:t>The traditional legal framework holds that once police obtain a warrant to search a place for certain things, they do not require specific, prior authorization to search in receptacles such as cupboards and filing cabinets.  The question in this case is whether this framework is appropriate for computer searches. Computers differ in important ways from the receptacles governed by the traditional framework and computer searches give rise to particular privacy concerns that are not sufficiently addressed by that approach. </w:t>
      </w:r>
    </w:p>
    <w:p w:rsidR="00F13DE6" w:rsidRDefault="00F13DE6" w:rsidP="00F13DE6">
      <w:pPr>
        <w:pStyle w:val="SCCNormalDoubleSpacing"/>
        <w:spacing w:line="240" w:lineRule="auto"/>
        <w:rPr>
          <w:sz w:val="20"/>
        </w:rPr>
      </w:pPr>
    </w:p>
    <w:p w:rsidR="00F13DE6" w:rsidRPr="002046C4" w:rsidRDefault="00F13DE6" w:rsidP="00F13DE6">
      <w:pPr>
        <w:pStyle w:val="SCCNormalDoubleSpacing"/>
        <w:spacing w:line="240" w:lineRule="auto"/>
        <w:rPr>
          <w:sz w:val="20"/>
        </w:rPr>
      </w:pPr>
      <w:r w:rsidRPr="002046C4">
        <w:rPr>
          <w:sz w:val="20"/>
        </w:rPr>
        <w:tab/>
        <w:t xml:space="preserve">The first issue that arises in this case is whether the search warrant properly permitted a search for documents identifying the owners and/or occupants. Although the trial judge found that the ITO did not contain a statement by its author that there were reasonable grounds to believe that such documents would be found in the residence, the ITO set out facts sufficient to allow the authorizing justice to reasonably draw that inference.  The search for such material, therefore, did not breach the appellant’s rights under s. 8 of the </w:t>
      </w:r>
      <w:r w:rsidRPr="002046C4">
        <w:rPr>
          <w:i/>
          <w:sz w:val="20"/>
        </w:rPr>
        <w:t>Charter</w:t>
      </w:r>
      <w:r w:rsidRPr="002046C4">
        <w:rPr>
          <w:sz w:val="20"/>
        </w:rPr>
        <w:t xml:space="preserve">. </w:t>
      </w:r>
    </w:p>
    <w:p w:rsidR="00F13DE6" w:rsidRDefault="00F13DE6" w:rsidP="00F13DE6">
      <w:pPr>
        <w:pStyle w:val="SCCNormalDoubleSpacing"/>
        <w:spacing w:line="240" w:lineRule="auto"/>
        <w:rPr>
          <w:sz w:val="20"/>
        </w:rPr>
      </w:pPr>
    </w:p>
    <w:p w:rsidR="00F13DE6" w:rsidRPr="002046C4" w:rsidRDefault="00F13DE6" w:rsidP="00F13DE6">
      <w:pPr>
        <w:pStyle w:val="SCCNormalDoubleSpacing"/>
        <w:spacing w:line="240" w:lineRule="auto"/>
        <w:rPr>
          <w:sz w:val="20"/>
        </w:rPr>
      </w:pPr>
      <w:r w:rsidRPr="002046C4">
        <w:rPr>
          <w:sz w:val="20"/>
        </w:rPr>
        <w:tab/>
        <w:t xml:space="preserve">The second issue is whether the warrant authorized the search of the computers and cellular phone.  Section 8 of the </w:t>
      </w:r>
      <w:r w:rsidRPr="002046C4">
        <w:rPr>
          <w:i/>
          <w:sz w:val="20"/>
        </w:rPr>
        <w:t xml:space="preserve">Charter </w:t>
      </w:r>
      <w:r w:rsidRPr="002046C4">
        <w:rPr>
          <w:sz w:val="20"/>
        </w:rPr>
        <w:t xml:space="preserve">— which gives everyone the right to be free of unreasonable searches and seizures — seeks to strike an appropriate balance between the right to be free of state interference and the legitimate needs of law enforcement.  This balance is generally achieved in two main ways.  First, the police must obtain judicial authorization for a search </w:t>
      </w:r>
      <w:r w:rsidRPr="002046C4">
        <w:rPr>
          <w:i/>
          <w:sz w:val="20"/>
        </w:rPr>
        <w:t>before</w:t>
      </w:r>
      <w:r w:rsidRPr="002046C4">
        <w:rPr>
          <w:sz w:val="20"/>
        </w:rPr>
        <w:t xml:space="preserve"> they conduct it, usually in the form of a search warrant.  Second, an authorized search must be conducted in a reasonable manner, ensuring that the search is no more intrusive than is reasonably necessary to achieve its objectives.  The privacy interests implicated by computer searches are markedly different from those at stake in searches of receptacles such as cupboards and filing cabinets.  It is difficult to imagine a more intrusive invasion of privacy than the </w:t>
      </w:r>
      <w:r w:rsidRPr="002046C4">
        <w:rPr>
          <w:sz w:val="20"/>
        </w:rPr>
        <w:lastRenderedPageBreak/>
        <w:t xml:space="preserve">search of a personal or home computer.  Computers potentially give police access to an almost unlimited universe of information that users cannot control, that they may not even be aware of, may have tried to erase and which may not be, in any meaningful sense, located in the place of search.  The numerous and striking differences between computers and traditional receptacles call for distinctive treatment under s. 8 of the </w:t>
      </w:r>
      <w:r w:rsidRPr="002046C4">
        <w:rPr>
          <w:i/>
          <w:sz w:val="20"/>
        </w:rPr>
        <w:t>Charter</w:t>
      </w:r>
      <w:r w:rsidRPr="002046C4">
        <w:rPr>
          <w:sz w:val="20"/>
        </w:rPr>
        <w:t xml:space="preserve">.  The animating assumption of the traditional rule </w:t>
      </w:r>
      <w:r w:rsidRPr="002046C4">
        <w:rPr>
          <w:i/>
          <w:sz w:val="20"/>
        </w:rPr>
        <w:t>—</w:t>
      </w:r>
      <w:r w:rsidRPr="002046C4">
        <w:rPr>
          <w:sz w:val="20"/>
        </w:rPr>
        <w:t xml:space="preserve"> that if the search of a place is justified, so is the search of receptacles found within it </w:t>
      </w:r>
      <w:r w:rsidRPr="002046C4">
        <w:rPr>
          <w:i/>
          <w:sz w:val="20"/>
        </w:rPr>
        <w:t>—</w:t>
      </w:r>
      <w:r w:rsidRPr="002046C4">
        <w:rPr>
          <w:sz w:val="20"/>
        </w:rPr>
        <w:t xml:space="preserve"> simply cannot apply with respect to computer searches.</w:t>
      </w:r>
    </w:p>
    <w:p w:rsidR="00F13DE6" w:rsidRDefault="00F13DE6" w:rsidP="00F13DE6">
      <w:pPr>
        <w:pStyle w:val="SCCNormalDoubleSpacing"/>
        <w:spacing w:line="240" w:lineRule="auto"/>
        <w:rPr>
          <w:sz w:val="20"/>
        </w:rPr>
      </w:pPr>
    </w:p>
    <w:p w:rsidR="00F13DE6" w:rsidRPr="002046C4" w:rsidRDefault="00F13DE6" w:rsidP="00F13DE6">
      <w:pPr>
        <w:pStyle w:val="SCCNormalDoubleSpacing"/>
        <w:spacing w:line="240" w:lineRule="auto"/>
        <w:rPr>
          <w:sz w:val="20"/>
        </w:rPr>
      </w:pPr>
      <w:r w:rsidRPr="002046C4">
        <w:rPr>
          <w:sz w:val="20"/>
        </w:rPr>
        <w:tab/>
        <w:t xml:space="preserve">In effect, the privacy interests at stake when computers are searched require that those devices be treated, to a certain extent, as a separate place.  Prior authorization of searches is a cornerstone of our search and seizure law.  The purpose of the prior authorization process is to balance the privacy interest of the individual against the interest of the state in investigating criminal activity </w:t>
      </w:r>
      <w:r w:rsidRPr="002046C4">
        <w:rPr>
          <w:i/>
          <w:sz w:val="20"/>
        </w:rPr>
        <w:t xml:space="preserve">before </w:t>
      </w:r>
      <w:r w:rsidRPr="002046C4">
        <w:rPr>
          <w:sz w:val="20"/>
        </w:rPr>
        <w:t xml:space="preserve">the state intrusion occurs.  Only a specific, prior authorization to search a computer found in the place of search ensures that the authorizing justice has considered the full range of the distinctive privacy concerns raised by computer searches and, having done so, has decided that this threshold has been reached in the circumstances of a particular proposed search.  This means that if police intend to search any computers found within a place they want to search, they must first satisfy the authorizing justice that they have reasonable grounds to believe that any computers they discover will contain the things they are looking for.  If police come across a computer in the course of a search and their warrant does not provide specific authorization to search computers, they may seize the computer, and do what is necessary to ensure the integrity of the data.  If they wish to search the data, however, they must obtain a separate warrant.   In this case, the authorizing justice was not required to impose a search protocol in advance with conditions limiting the manner of the search.  While such conditions may be appropriate in some cases, they are not, as a general rule, constitutionally required. </w:t>
      </w:r>
    </w:p>
    <w:p w:rsidR="00F13DE6" w:rsidRDefault="00F13DE6" w:rsidP="00F13DE6">
      <w:pPr>
        <w:pStyle w:val="SCCNormalDoubleSpacing"/>
        <w:spacing w:line="240" w:lineRule="auto"/>
        <w:rPr>
          <w:sz w:val="20"/>
        </w:rPr>
      </w:pPr>
    </w:p>
    <w:p w:rsidR="00F13DE6" w:rsidRDefault="00F13DE6" w:rsidP="00F13DE6">
      <w:pPr>
        <w:pStyle w:val="SCCNormalDoubleSpacing"/>
        <w:spacing w:line="240" w:lineRule="auto"/>
        <w:rPr>
          <w:sz w:val="20"/>
        </w:rPr>
      </w:pPr>
      <w:r w:rsidRPr="002046C4">
        <w:rPr>
          <w:sz w:val="20"/>
        </w:rPr>
        <w:tab/>
        <w:t xml:space="preserve">Having found that the search here was unlawful, the final issue is whether the evidence obtained should be excluded.  Section 24(2) of the </w:t>
      </w:r>
      <w:r w:rsidRPr="002046C4">
        <w:rPr>
          <w:i/>
          <w:sz w:val="20"/>
        </w:rPr>
        <w:t xml:space="preserve">Charter </w:t>
      </w:r>
      <w:r w:rsidRPr="002046C4">
        <w:rPr>
          <w:sz w:val="20"/>
        </w:rPr>
        <w:t xml:space="preserve">requires that evidence obtained in a manner that infringes the rights of an accused under the </w:t>
      </w:r>
      <w:r w:rsidRPr="002046C4">
        <w:rPr>
          <w:i/>
          <w:sz w:val="20"/>
        </w:rPr>
        <w:t>Charter</w:t>
      </w:r>
      <w:r w:rsidRPr="002046C4">
        <w:rPr>
          <w:sz w:val="20"/>
        </w:rPr>
        <w:t xml:space="preserve"> be excluded from the trial if it is established that “having regard to all the circumstances, the admission of it in the proceedings would bring the administration of justice into disrepute”.  Here, the ITO did refer to the intention of the officers to search for computer</w:t>
      </w:r>
      <w:r w:rsidRPr="002046C4">
        <w:rPr>
          <w:sz w:val="20"/>
        </w:rPr>
        <w:noBreakHyphen/>
        <w:t xml:space="preserve">generated documents and considering that the state of the law with respect to computer searches was uncertain when police carried out their investigation and the otherwise reasonable manner in which the search was conducted, the violation was not serious.  Further, there was a clear societal interest in adjudicating on their merits charges of production and possession of marijuana for the purpose of trafficking.  Balancing these factors, the evidence should not be excluded.  The police believed on reasonable grounds that the search of the computer was authorized by the warrant.  While every search of a personal or home computer is a significant invasion of privacy, the search here did not step outside the purposes for which the warrant had been issued.  </w:t>
      </w:r>
    </w:p>
    <w:p w:rsidR="00F13DE6" w:rsidRDefault="00F13DE6" w:rsidP="00F13DE6">
      <w:pPr>
        <w:pStyle w:val="SCCNormalDoubleSpacing"/>
        <w:spacing w:line="240" w:lineRule="auto"/>
        <w:rPr>
          <w:sz w:val="20"/>
        </w:rPr>
      </w:pPr>
    </w:p>
    <w:p w:rsidR="00F13DE6" w:rsidRPr="002046C4" w:rsidRDefault="00F13DE6" w:rsidP="00F13DE6">
      <w:pPr>
        <w:pStyle w:val="SCCNormalDoubleSpacing"/>
        <w:spacing w:line="240" w:lineRule="auto"/>
        <w:rPr>
          <w:sz w:val="20"/>
        </w:rPr>
      </w:pPr>
      <w:r w:rsidRPr="002046C4">
        <w:rPr>
          <w:sz w:val="20"/>
        </w:rPr>
        <w:tab/>
        <w:t>APPEAL from a judgment of the British Columbia Court of Appeal (Low, Levine and Frankel JJ.A.), 2011 BCCA 536, 315 B.C.A.C. 36, 535 W.A.C. 36, 92 C.R. (6th) 15, 250 C.R.R. (2d) 108, 285 C.C.C. (3d) 160, [2011] B.C.J. No. 2487 (QL), 2011 CarswellBC 3551, setting aside the acquittals entered by Bruce J., 2010 BCSC 2012, [2010] B.C.J. No. 2963 (QL), 2010 CarswellBC 4018, and ordering a new trial.  Appeal dismissed.</w:t>
      </w:r>
    </w:p>
    <w:p w:rsidR="00F13DE6" w:rsidRDefault="00F13DE6" w:rsidP="00F13DE6">
      <w:pPr>
        <w:pStyle w:val="SCCNormalDoubleSpacing"/>
        <w:spacing w:line="240" w:lineRule="auto"/>
        <w:rPr>
          <w:i/>
          <w:sz w:val="20"/>
        </w:rPr>
      </w:pPr>
    </w:p>
    <w:p w:rsidR="00F13DE6" w:rsidRPr="002046C4" w:rsidRDefault="00F13DE6" w:rsidP="00F13DE6">
      <w:pPr>
        <w:pStyle w:val="SCCNormalDoubleSpacing"/>
        <w:spacing w:line="240" w:lineRule="auto"/>
        <w:rPr>
          <w:sz w:val="20"/>
        </w:rPr>
      </w:pPr>
      <w:r w:rsidRPr="002046C4">
        <w:rPr>
          <w:i/>
          <w:sz w:val="20"/>
        </w:rPr>
        <w:tab/>
        <w:t>Neil L. Cobb</w:t>
      </w:r>
      <w:r w:rsidRPr="002046C4">
        <w:rPr>
          <w:sz w:val="20"/>
        </w:rPr>
        <w:t xml:space="preserve">, </w:t>
      </w:r>
      <w:r w:rsidRPr="002046C4">
        <w:rPr>
          <w:i/>
          <w:sz w:val="20"/>
        </w:rPr>
        <w:t>Elizabeth P. Lewis</w:t>
      </w:r>
      <w:r w:rsidRPr="002046C4">
        <w:rPr>
          <w:sz w:val="20"/>
        </w:rPr>
        <w:t xml:space="preserve"> and </w:t>
      </w:r>
      <w:r w:rsidRPr="002046C4">
        <w:rPr>
          <w:i/>
          <w:sz w:val="20"/>
        </w:rPr>
        <w:t>Nancy Seto</w:t>
      </w:r>
      <w:r w:rsidRPr="002046C4">
        <w:rPr>
          <w:sz w:val="20"/>
        </w:rPr>
        <w:t>, for the appellant.</w:t>
      </w:r>
    </w:p>
    <w:p w:rsidR="00F13DE6" w:rsidRDefault="00F13DE6" w:rsidP="00F13DE6">
      <w:pPr>
        <w:pStyle w:val="SCCNormalDoubleSpacing"/>
        <w:spacing w:line="240" w:lineRule="auto"/>
        <w:rPr>
          <w:i/>
          <w:sz w:val="20"/>
        </w:rPr>
      </w:pPr>
    </w:p>
    <w:p w:rsidR="00F13DE6" w:rsidRPr="002046C4" w:rsidRDefault="00F13DE6" w:rsidP="00F13DE6">
      <w:pPr>
        <w:pStyle w:val="SCCNormalDoubleSpacing"/>
        <w:spacing w:line="240" w:lineRule="auto"/>
        <w:rPr>
          <w:sz w:val="20"/>
        </w:rPr>
      </w:pPr>
      <w:r w:rsidRPr="002046C4">
        <w:rPr>
          <w:i/>
          <w:sz w:val="20"/>
        </w:rPr>
        <w:tab/>
        <w:t>W. Paul Riley</w:t>
      </w:r>
      <w:r w:rsidRPr="002046C4">
        <w:rPr>
          <w:sz w:val="20"/>
        </w:rPr>
        <w:t xml:space="preserve"> and </w:t>
      </w:r>
      <w:r w:rsidRPr="002046C4">
        <w:rPr>
          <w:i/>
          <w:sz w:val="20"/>
        </w:rPr>
        <w:t>Martha M. Devlin, Q.C.</w:t>
      </w:r>
      <w:r w:rsidRPr="002046C4">
        <w:rPr>
          <w:sz w:val="20"/>
        </w:rPr>
        <w:t>, for the respondent.</w:t>
      </w:r>
    </w:p>
    <w:p w:rsidR="00F13DE6" w:rsidRDefault="00F13DE6" w:rsidP="00F13DE6">
      <w:pPr>
        <w:pStyle w:val="SCCNormalDoubleSpacing"/>
        <w:spacing w:line="240" w:lineRule="auto"/>
        <w:rPr>
          <w:i/>
          <w:sz w:val="20"/>
        </w:rPr>
      </w:pPr>
    </w:p>
    <w:p w:rsidR="00F13DE6" w:rsidRPr="002046C4" w:rsidRDefault="00F13DE6" w:rsidP="00F13DE6">
      <w:pPr>
        <w:pStyle w:val="SCCNormalDoubleSpacing"/>
        <w:spacing w:line="240" w:lineRule="auto"/>
        <w:rPr>
          <w:sz w:val="20"/>
        </w:rPr>
      </w:pPr>
      <w:r w:rsidRPr="002046C4">
        <w:rPr>
          <w:i/>
          <w:sz w:val="20"/>
        </w:rPr>
        <w:tab/>
        <w:t>Michal Fairburn</w:t>
      </w:r>
      <w:r w:rsidRPr="002046C4">
        <w:rPr>
          <w:sz w:val="20"/>
        </w:rPr>
        <w:t xml:space="preserve"> and </w:t>
      </w:r>
      <w:r w:rsidRPr="002046C4">
        <w:rPr>
          <w:i/>
          <w:sz w:val="20"/>
        </w:rPr>
        <w:t>Lisa Henderson</w:t>
      </w:r>
      <w:r w:rsidRPr="002046C4">
        <w:rPr>
          <w:sz w:val="20"/>
        </w:rPr>
        <w:t>, for the intervener Attorney General of Ontario.</w:t>
      </w:r>
    </w:p>
    <w:p w:rsidR="00F13DE6" w:rsidRDefault="00F13DE6" w:rsidP="00F13DE6">
      <w:pPr>
        <w:pStyle w:val="SCCNormalDoubleSpacing"/>
        <w:spacing w:line="240" w:lineRule="auto"/>
        <w:rPr>
          <w:i/>
          <w:sz w:val="20"/>
        </w:rPr>
      </w:pPr>
    </w:p>
    <w:p w:rsidR="00F13DE6" w:rsidRPr="002046C4" w:rsidRDefault="00F13DE6" w:rsidP="00F13DE6">
      <w:pPr>
        <w:pStyle w:val="SCCNormalDoubleSpacing"/>
        <w:spacing w:line="240" w:lineRule="auto"/>
        <w:rPr>
          <w:sz w:val="20"/>
        </w:rPr>
      </w:pPr>
      <w:r w:rsidRPr="002046C4">
        <w:rPr>
          <w:i/>
          <w:sz w:val="20"/>
        </w:rPr>
        <w:tab/>
        <w:t>Jolaine Antonio</w:t>
      </w:r>
      <w:r w:rsidRPr="002046C4">
        <w:rPr>
          <w:sz w:val="20"/>
        </w:rPr>
        <w:t>, for the intervener the Attorney General of Alberta.</w:t>
      </w:r>
    </w:p>
    <w:p w:rsidR="00F13DE6" w:rsidRDefault="00F13DE6" w:rsidP="00F13DE6">
      <w:pPr>
        <w:pStyle w:val="SCCNormalDoubleSpacing"/>
        <w:spacing w:line="240" w:lineRule="auto"/>
        <w:rPr>
          <w:i/>
          <w:sz w:val="20"/>
        </w:rPr>
      </w:pPr>
    </w:p>
    <w:p w:rsidR="00F13DE6" w:rsidRPr="002046C4" w:rsidRDefault="00F13DE6" w:rsidP="00F13DE6">
      <w:pPr>
        <w:pStyle w:val="SCCNormalDoubleSpacing"/>
        <w:spacing w:line="240" w:lineRule="auto"/>
        <w:rPr>
          <w:sz w:val="20"/>
        </w:rPr>
      </w:pPr>
      <w:r w:rsidRPr="002046C4">
        <w:rPr>
          <w:i/>
          <w:sz w:val="20"/>
        </w:rPr>
        <w:tab/>
        <w:t>Nader R. Hasan and Gerald J. Chan</w:t>
      </w:r>
      <w:r w:rsidRPr="002046C4">
        <w:rPr>
          <w:sz w:val="20"/>
        </w:rPr>
        <w:t>, for the intervener the British Columbia Civil Liberties Association.</w:t>
      </w:r>
    </w:p>
    <w:p w:rsidR="00F13DE6" w:rsidRDefault="00F13DE6" w:rsidP="00F13DE6">
      <w:pPr>
        <w:pStyle w:val="SCCNormalDoubleSpacing"/>
        <w:spacing w:line="240" w:lineRule="auto"/>
        <w:rPr>
          <w:i/>
          <w:sz w:val="20"/>
        </w:rPr>
      </w:pPr>
    </w:p>
    <w:p w:rsidR="00F13DE6" w:rsidRPr="002046C4" w:rsidRDefault="00F13DE6" w:rsidP="00F13DE6">
      <w:pPr>
        <w:pStyle w:val="SCCNormalDoubleSpacing"/>
        <w:spacing w:line="240" w:lineRule="auto"/>
        <w:rPr>
          <w:sz w:val="20"/>
        </w:rPr>
      </w:pPr>
      <w:r w:rsidRPr="002046C4">
        <w:rPr>
          <w:i/>
          <w:sz w:val="20"/>
        </w:rPr>
        <w:tab/>
        <w:t>David S. Rose</w:t>
      </w:r>
      <w:r w:rsidRPr="002046C4">
        <w:rPr>
          <w:sz w:val="20"/>
        </w:rPr>
        <w:t xml:space="preserve"> and </w:t>
      </w:r>
      <w:r w:rsidRPr="002046C4">
        <w:rPr>
          <w:i/>
          <w:sz w:val="20"/>
        </w:rPr>
        <w:t>Allan Manson</w:t>
      </w:r>
      <w:r w:rsidRPr="002046C4">
        <w:rPr>
          <w:sz w:val="20"/>
        </w:rPr>
        <w:t>, for the intervener the Canadian Civil Liberties Association.</w:t>
      </w:r>
    </w:p>
    <w:p w:rsidR="00F13DE6" w:rsidRDefault="00F13DE6" w:rsidP="00F13DE6">
      <w:pPr>
        <w:pStyle w:val="SCCNormalDoubleSpacing"/>
        <w:spacing w:line="240" w:lineRule="auto"/>
        <w:rPr>
          <w:i/>
          <w:sz w:val="20"/>
        </w:rPr>
      </w:pPr>
    </w:p>
    <w:p w:rsidR="00F13DE6" w:rsidRPr="002046C4" w:rsidRDefault="00F13DE6" w:rsidP="00F13DE6">
      <w:pPr>
        <w:pStyle w:val="SCCNormalDoubleSpacing"/>
        <w:spacing w:line="240" w:lineRule="auto"/>
        <w:rPr>
          <w:sz w:val="20"/>
        </w:rPr>
      </w:pPr>
      <w:r w:rsidRPr="002046C4">
        <w:rPr>
          <w:i/>
          <w:sz w:val="20"/>
        </w:rPr>
        <w:tab/>
        <w:t>Paul J. I. Alexander</w:t>
      </w:r>
      <w:r w:rsidRPr="002046C4">
        <w:rPr>
          <w:sz w:val="20"/>
        </w:rPr>
        <w:t>, for the intervener the Criminal Lawyers’ Association (Ontario).</w:t>
      </w:r>
    </w:p>
    <w:p w:rsidR="00F13DE6" w:rsidRDefault="00F13DE6" w:rsidP="00F13DE6">
      <w:pPr>
        <w:pStyle w:val="SCCLawFirm"/>
        <w:spacing w:line="240" w:lineRule="auto"/>
        <w:rPr>
          <w:sz w:val="20"/>
        </w:rPr>
      </w:pPr>
    </w:p>
    <w:p w:rsidR="00F13DE6" w:rsidRPr="002046C4" w:rsidRDefault="00F13DE6" w:rsidP="00F13DE6">
      <w:pPr>
        <w:pStyle w:val="SCCLawFirm"/>
        <w:spacing w:line="240" w:lineRule="auto"/>
        <w:rPr>
          <w:sz w:val="20"/>
        </w:rPr>
      </w:pPr>
      <w:r w:rsidRPr="002046C4">
        <w:rPr>
          <w:sz w:val="20"/>
        </w:rPr>
        <w:tab/>
        <w:t>Solicitors for the appellant:  Cobb St</w:t>
      </w:r>
      <w:r w:rsidRPr="002046C4">
        <w:rPr>
          <w:sz w:val="20"/>
        </w:rPr>
        <w:noBreakHyphen/>
        <w:t>Pierre Lewis, Vancouver.</w:t>
      </w:r>
    </w:p>
    <w:p w:rsidR="00F13DE6" w:rsidRDefault="00F13DE6" w:rsidP="00F13DE6">
      <w:pPr>
        <w:pStyle w:val="SCCLawFirm"/>
        <w:spacing w:line="240" w:lineRule="auto"/>
        <w:rPr>
          <w:sz w:val="20"/>
        </w:rPr>
      </w:pPr>
    </w:p>
    <w:p w:rsidR="00F13DE6" w:rsidRPr="002046C4" w:rsidRDefault="00F13DE6" w:rsidP="00F13DE6">
      <w:pPr>
        <w:pStyle w:val="SCCLawFirm"/>
        <w:spacing w:line="240" w:lineRule="auto"/>
        <w:rPr>
          <w:sz w:val="20"/>
        </w:rPr>
      </w:pPr>
      <w:r w:rsidRPr="002046C4">
        <w:rPr>
          <w:sz w:val="20"/>
        </w:rPr>
        <w:lastRenderedPageBreak/>
        <w:tab/>
        <w:t>Solicitor for the respondent:  Public Prosecution Service of Canada, Vancouver.</w:t>
      </w:r>
    </w:p>
    <w:p w:rsidR="00F13DE6" w:rsidRDefault="00F13DE6" w:rsidP="00F13DE6">
      <w:pPr>
        <w:pStyle w:val="SCCLawFirm"/>
        <w:spacing w:line="240" w:lineRule="auto"/>
        <w:rPr>
          <w:sz w:val="20"/>
        </w:rPr>
      </w:pPr>
    </w:p>
    <w:p w:rsidR="00F13DE6" w:rsidRPr="002046C4" w:rsidRDefault="00F13DE6" w:rsidP="00F13DE6">
      <w:pPr>
        <w:pStyle w:val="SCCLawFirm"/>
        <w:spacing w:line="240" w:lineRule="auto"/>
        <w:rPr>
          <w:sz w:val="20"/>
        </w:rPr>
      </w:pPr>
      <w:r w:rsidRPr="002046C4">
        <w:rPr>
          <w:sz w:val="20"/>
        </w:rPr>
        <w:tab/>
        <w:t>Solicitor for the intervener the Attorney General of Ontario:  Attorney General of Ontario, Toronto.</w:t>
      </w:r>
    </w:p>
    <w:p w:rsidR="00F13DE6" w:rsidRDefault="00F13DE6" w:rsidP="00F13DE6">
      <w:pPr>
        <w:pStyle w:val="SCCLawFirm"/>
        <w:spacing w:line="240" w:lineRule="auto"/>
        <w:rPr>
          <w:sz w:val="20"/>
        </w:rPr>
      </w:pPr>
    </w:p>
    <w:p w:rsidR="00F13DE6" w:rsidRPr="002046C4" w:rsidRDefault="00F13DE6" w:rsidP="00F13DE6">
      <w:pPr>
        <w:pStyle w:val="SCCLawFirm"/>
        <w:spacing w:line="240" w:lineRule="auto"/>
        <w:rPr>
          <w:sz w:val="20"/>
        </w:rPr>
      </w:pPr>
      <w:r w:rsidRPr="002046C4">
        <w:rPr>
          <w:sz w:val="20"/>
        </w:rPr>
        <w:tab/>
        <w:t>Solicitor for the intervener the Attorney General of Alberta:  Attorney General of Alberta, Calgary.</w:t>
      </w:r>
    </w:p>
    <w:p w:rsidR="00F13DE6" w:rsidRDefault="00F13DE6" w:rsidP="00F13DE6">
      <w:pPr>
        <w:pStyle w:val="SCCLawFirm"/>
        <w:spacing w:line="240" w:lineRule="auto"/>
        <w:rPr>
          <w:sz w:val="20"/>
        </w:rPr>
      </w:pPr>
    </w:p>
    <w:p w:rsidR="00F13DE6" w:rsidRPr="002046C4" w:rsidRDefault="00F13DE6" w:rsidP="00F13DE6">
      <w:pPr>
        <w:pStyle w:val="SCCLawFirm"/>
        <w:spacing w:line="240" w:lineRule="auto"/>
        <w:rPr>
          <w:sz w:val="20"/>
        </w:rPr>
      </w:pPr>
      <w:r w:rsidRPr="002046C4">
        <w:rPr>
          <w:sz w:val="20"/>
        </w:rPr>
        <w:tab/>
        <w:t>Solicitors for the intervener the British Columbia Civil Liberties Association:  Ruby Shiller Chan Hasan, Toronto.</w:t>
      </w:r>
    </w:p>
    <w:p w:rsidR="00F13DE6" w:rsidRDefault="00F13DE6" w:rsidP="00F13DE6">
      <w:pPr>
        <w:pStyle w:val="SCCLawFirm"/>
        <w:spacing w:line="240" w:lineRule="auto"/>
        <w:rPr>
          <w:sz w:val="20"/>
        </w:rPr>
      </w:pPr>
    </w:p>
    <w:p w:rsidR="00F13DE6" w:rsidRPr="002046C4" w:rsidRDefault="00F13DE6" w:rsidP="00F13DE6">
      <w:pPr>
        <w:pStyle w:val="SCCLawFirm"/>
        <w:spacing w:line="240" w:lineRule="auto"/>
        <w:rPr>
          <w:sz w:val="20"/>
        </w:rPr>
      </w:pPr>
      <w:r w:rsidRPr="002046C4">
        <w:rPr>
          <w:sz w:val="20"/>
        </w:rPr>
        <w:tab/>
        <w:t>Solicitors for the intervener the Canadian Civil Liberties Association:  Neuberger Rose, Toronto.</w:t>
      </w:r>
    </w:p>
    <w:p w:rsidR="00F13DE6" w:rsidRDefault="00F13DE6" w:rsidP="00F13DE6">
      <w:pPr>
        <w:pStyle w:val="SCCLawFirm"/>
        <w:spacing w:line="240" w:lineRule="auto"/>
        <w:rPr>
          <w:sz w:val="20"/>
        </w:rPr>
      </w:pPr>
    </w:p>
    <w:p w:rsidR="00F13DE6" w:rsidRDefault="00F13DE6" w:rsidP="00F13DE6">
      <w:pPr>
        <w:pStyle w:val="SCCLawFirm"/>
        <w:spacing w:line="240" w:lineRule="auto"/>
        <w:rPr>
          <w:sz w:val="20"/>
        </w:rPr>
      </w:pPr>
      <w:r w:rsidRPr="002046C4">
        <w:rPr>
          <w:sz w:val="20"/>
        </w:rPr>
        <w:tab/>
        <w:t>Solicitors for the intervener the Criminal Lawyers’ Association (Ontario):  Rosen Naster, Toronto.</w:t>
      </w:r>
    </w:p>
    <w:p w:rsidR="00DD0B49" w:rsidRPr="003B3977" w:rsidRDefault="00DD0B49" w:rsidP="00DD0B49">
      <w:pPr>
        <w:rPr>
          <w:rFonts w:cs="Times New Roman"/>
          <w:sz w:val="20"/>
          <w:szCs w:val="20"/>
          <w:lang w:val="fr-CA"/>
        </w:rPr>
      </w:pPr>
      <w:r w:rsidRPr="003B3977">
        <w:rPr>
          <w:rFonts w:cs="Times New Roman"/>
          <w:sz w:val="20"/>
          <w:szCs w:val="20"/>
          <w:lang w:val="fr-CA"/>
        </w:rPr>
        <w:t>________________________</w:t>
      </w:r>
    </w:p>
    <w:p w:rsidR="00DD0B49" w:rsidRPr="003B3977" w:rsidRDefault="00DD0B49" w:rsidP="00DD0B49">
      <w:pPr>
        <w:rPr>
          <w:rFonts w:cs="Times New Roman"/>
          <w:sz w:val="20"/>
          <w:szCs w:val="20"/>
          <w:lang w:val="fr-CA"/>
        </w:rPr>
      </w:pPr>
    </w:p>
    <w:p w:rsidR="00F13DE6" w:rsidRPr="004951EB" w:rsidRDefault="00F13DE6" w:rsidP="00F13DE6">
      <w:pPr>
        <w:jc w:val="both"/>
        <w:rPr>
          <w:sz w:val="20"/>
          <w:szCs w:val="20"/>
          <w:lang w:val="fr-CA"/>
        </w:rPr>
      </w:pPr>
      <w:r w:rsidRPr="004951EB">
        <w:rPr>
          <w:sz w:val="20"/>
          <w:szCs w:val="20"/>
          <w:lang w:val="fr-CA"/>
        </w:rPr>
        <w:t>Présents : La juge en chef McLachlin et les juges LeBel, Fish, Abella, Rothstein, Cromwell, Moldaver, Karakatsanis et Wagner.</w:t>
      </w:r>
    </w:p>
    <w:p w:rsidR="00F13DE6" w:rsidRDefault="00F13DE6" w:rsidP="00F13DE6">
      <w:pPr>
        <w:jc w:val="both"/>
        <w:rPr>
          <w:smallCaps/>
          <w:sz w:val="20"/>
          <w:lang w:val="fr-CA"/>
        </w:rPr>
      </w:pPr>
    </w:p>
    <w:p w:rsidR="00F13DE6" w:rsidRPr="004951EB" w:rsidRDefault="00F13DE6" w:rsidP="00F13DE6">
      <w:pPr>
        <w:pStyle w:val="SCCNormalDoubleSpacing"/>
        <w:spacing w:line="240" w:lineRule="auto"/>
        <w:rPr>
          <w:i/>
          <w:sz w:val="20"/>
          <w:lang w:val="fr-CA"/>
        </w:rPr>
      </w:pPr>
      <w:r w:rsidRPr="004951EB">
        <w:rPr>
          <w:sz w:val="20"/>
          <w:lang w:val="fr-CA"/>
        </w:rPr>
        <w:tab/>
      </w:r>
      <w:r w:rsidRPr="004951EB">
        <w:rPr>
          <w:i/>
          <w:sz w:val="20"/>
          <w:lang w:val="fr-CA"/>
        </w:rPr>
        <w:t>Droit constitutionnel — Charte des droits — Fouilles, perquisitions et saisies — Validité de la fouille — Obtention par la police d’un mandat ne précisant pas les motifs de la recherche de preuves confirmant l’identité des propriétaires ou occupants d’une résidence et ne mentionnant pas la fouille d’ordinateurs et de téléphones cellulaires — Le mandat de perquisition autorisait</w:t>
      </w:r>
      <w:r w:rsidRPr="004951EB">
        <w:rPr>
          <w:i/>
          <w:sz w:val="20"/>
          <w:lang w:val="fr-CA"/>
        </w:rPr>
        <w:noBreakHyphen/>
        <w:t>il dûment la recherche de documents confirmant l’identité des propriétaires ou occupants? — Le mandat autorisait</w:t>
      </w:r>
      <w:r w:rsidRPr="004951EB">
        <w:rPr>
          <w:i/>
          <w:sz w:val="20"/>
          <w:lang w:val="fr-CA"/>
        </w:rPr>
        <w:noBreakHyphen/>
        <w:t>il la fouille des ordinateurs et du téléphone cellulaire? — Si la fouille était illégale, la preuve obtenue devait</w:t>
      </w:r>
      <w:r w:rsidRPr="004951EB">
        <w:rPr>
          <w:i/>
          <w:sz w:val="20"/>
          <w:lang w:val="fr-CA"/>
        </w:rPr>
        <w:noBreakHyphen/>
        <w:t>elle être écartée? — Charte des droits et libertés, art. 8, 24(2).</w:t>
      </w:r>
    </w:p>
    <w:p w:rsidR="00F13DE6" w:rsidRDefault="00F13DE6" w:rsidP="00F13DE6">
      <w:pPr>
        <w:pStyle w:val="SCCNormalDoubleSpacing"/>
        <w:spacing w:line="240" w:lineRule="auto"/>
        <w:rPr>
          <w:sz w:val="20"/>
          <w:lang w:val="fr-CA"/>
        </w:rPr>
      </w:pPr>
    </w:p>
    <w:p w:rsidR="00F13DE6" w:rsidRPr="004951EB" w:rsidRDefault="00F13DE6" w:rsidP="00F13DE6">
      <w:pPr>
        <w:pStyle w:val="SCCNormalDoubleSpacing"/>
        <w:spacing w:line="240" w:lineRule="auto"/>
        <w:rPr>
          <w:sz w:val="20"/>
          <w:lang w:val="fr-CA"/>
        </w:rPr>
      </w:pPr>
      <w:r w:rsidRPr="004951EB">
        <w:rPr>
          <w:sz w:val="20"/>
          <w:lang w:val="fr-CA"/>
        </w:rPr>
        <w:tab/>
        <w:t xml:space="preserve">L’appelant a été accusé de production de marijuana, de possession de marijuana en vue d’en faire le trafic et de vol d’électricité.  Les policiers ont obtenu un mandat les autorisant à perquisitionner dans une résidence pour y rechercher des preuves de vol d’électricité, y compris des documents identifiant les propriétaires et/ou occupants de la résidence.  Même si la Dénonciation en vue d’obtenir un mandat de perquisition (la « Dénonciation ») indiquait que les policiers entendaient chercher « des notes générées par ordinateur », le mandat ne faisait pas expressément mention des ordinateurs et n’autorisait pas non plus la fouille de tels appareils.  Durant la perquisition dans la résidence, les policiers ont trouvé de la marijuana, deux ordinateurs et un téléphone cellulaire.  La fouille de ces appareils a permis de découvrir des éléments de preuve établissant que l’appelant était l’occupant de la résidence.  Au procès, l’appelant a soutenu que les fouilles avaient violé les droits que lui garantit l’art. 8 de la </w:t>
      </w:r>
      <w:r w:rsidRPr="004951EB">
        <w:rPr>
          <w:i/>
          <w:sz w:val="20"/>
          <w:lang w:val="fr-CA"/>
        </w:rPr>
        <w:t>Charte</w:t>
      </w:r>
      <w:r w:rsidRPr="004951EB">
        <w:rPr>
          <w:sz w:val="20"/>
          <w:lang w:val="fr-CA"/>
        </w:rPr>
        <w:t xml:space="preserve">.  La juge de première instance a conclu que la Dénonciation ne démontrait pas l’existence de motifs raisonnables de croire que des documents confirmant l’identité des propriétaires et/ou occupants seraient trouvés dans la résidence, et qu’en conséquence le mandat ne pouvait autoriser leur recherche.  En outre, les policiers n’étaient pas autorisés à fouiller les ordinateurs personnels et le téléphone cellulaire, parce que ces appareils n’étaient pas expressément mentionnés dans le mandat.  La juge de première instance a écarté la plupart des éléments de preuve découverts par suite de ces fouilles, et elle a acquitté l’appelant des accusations liées à la drogue.  La Cour d’appel a annulé les acquittements et ordonné la tenue d’un nouveau procès, au motif que le mandat avait dûment autorisé les fouilles et qu’il n’y avait eu aucune violation des droits garantis à l’appelant par l’art. 8 de la </w:t>
      </w:r>
      <w:r w:rsidRPr="004951EB">
        <w:rPr>
          <w:i/>
          <w:sz w:val="20"/>
          <w:lang w:val="fr-CA"/>
        </w:rPr>
        <w:t>Charte</w:t>
      </w:r>
      <w:r w:rsidRPr="004951EB">
        <w:rPr>
          <w:sz w:val="20"/>
          <w:lang w:val="fr-CA"/>
        </w:rPr>
        <w:t>.</w:t>
      </w:r>
    </w:p>
    <w:p w:rsidR="00F13DE6" w:rsidRDefault="00F13DE6" w:rsidP="00F13DE6">
      <w:pPr>
        <w:pStyle w:val="SCCNormalDoubleSpacing"/>
        <w:spacing w:line="240" w:lineRule="auto"/>
        <w:rPr>
          <w:i/>
          <w:sz w:val="20"/>
          <w:lang w:val="fr-CA"/>
        </w:rPr>
      </w:pPr>
    </w:p>
    <w:p w:rsidR="00F13DE6" w:rsidRPr="004951EB" w:rsidRDefault="00F13DE6" w:rsidP="00F13DE6">
      <w:pPr>
        <w:pStyle w:val="SCCNormalDoubleSpacing"/>
        <w:spacing w:line="240" w:lineRule="auto"/>
        <w:rPr>
          <w:sz w:val="20"/>
          <w:lang w:val="fr-CA"/>
        </w:rPr>
      </w:pPr>
      <w:r w:rsidRPr="004951EB">
        <w:rPr>
          <w:i/>
          <w:sz w:val="20"/>
          <w:lang w:val="fr-CA"/>
        </w:rPr>
        <w:tab/>
        <w:t>Arrêt</w:t>
      </w:r>
      <w:r w:rsidRPr="004951EB">
        <w:rPr>
          <w:sz w:val="20"/>
          <w:lang w:val="fr-CA"/>
        </w:rPr>
        <w:t> : Le pourvoi est rejeté.</w:t>
      </w:r>
    </w:p>
    <w:p w:rsidR="00F13DE6" w:rsidRDefault="00F13DE6" w:rsidP="00F13DE6">
      <w:pPr>
        <w:pStyle w:val="SCCNormalDoubleSpacing"/>
        <w:spacing w:line="240" w:lineRule="auto"/>
        <w:rPr>
          <w:sz w:val="20"/>
          <w:lang w:val="fr-CA"/>
        </w:rPr>
      </w:pPr>
    </w:p>
    <w:p w:rsidR="00F13DE6" w:rsidRPr="004951EB" w:rsidRDefault="00F13DE6" w:rsidP="00F13DE6">
      <w:pPr>
        <w:pStyle w:val="SCCNormalDoubleSpacing"/>
        <w:spacing w:line="240" w:lineRule="auto"/>
        <w:rPr>
          <w:sz w:val="20"/>
          <w:lang w:val="fr-CA"/>
        </w:rPr>
      </w:pPr>
      <w:r w:rsidRPr="004951EB">
        <w:rPr>
          <w:sz w:val="20"/>
          <w:lang w:val="fr-CA"/>
        </w:rPr>
        <w:tab/>
        <w:t>Selon le cadre juridique traditionnel, lorsque des policiers obtiennent un mandat les autorisant à perquisitionner dans un lieu et à y chercher certaines choses, ils n’ont pas besoin d’obtenir une autorisation expresse préalable pour fouiller dans des contenants tels que des placards et des classeurs.  Il s’agit en l’espèce de déterminer si ce cadre juridique convient à la fouille des ordinateurs.  Les ordinateurs diffèrent à bien des égards des contenants visés par le cadre juridique traditionnel, et la fouille des ordinateurs soulève, en matière de respect de la vie privée, des préoccupations particulières dont ne tient pas suffisamment compte cette approche. </w:t>
      </w:r>
    </w:p>
    <w:p w:rsidR="00F13DE6" w:rsidRDefault="00F13DE6" w:rsidP="00F13DE6">
      <w:pPr>
        <w:pStyle w:val="SCCNormalDoubleSpacing"/>
        <w:spacing w:line="240" w:lineRule="auto"/>
        <w:rPr>
          <w:sz w:val="20"/>
          <w:lang w:val="fr-CA"/>
        </w:rPr>
      </w:pPr>
    </w:p>
    <w:p w:rsidR="00F13DE6" w:rsidRPr="004951EB" w:rsidRDefault="00F13DE6" w:rsidP="00F13DE6">
      <w:pPr>
        <w:pStyle w:val="SCCNormalDoubleSpacing"/>
        <w:spacing w:line="240" w:lineRule="auto"/>
        <w:rPr>
          <w:sz w:val="20"/>
          <w:lang w:val="fr-CA"/>
        </w:rPr>
      </w:pPr>
      <w:r w:rsidRPr="004951EB">
        <w:rPr>
          <w:sz w:val="20"/>
          <w:lang w:val="fr-CA"/>
        </w:rPr>
        <w:tab/>
        <w:t xml:space="preserve">La première question soulevée en l’espèce consiste à déterminer si le mandat de perquisition autorisait dûment la recherche de documents identifiant les propriétaires et/ou occupants.  Bien que la juge de première instance ait conclu que la Dénonciation ne contenait aucune déclaration de son auteur indiquant qu’il existait des motifs raisonnables de croire que de tels documents seraient découverts dans la résidence, la Dénonciation énonçait </w:t>
      </w:r>
      <w:r w:rsidRPr="004951EB">
        <w:rPr>
          <w:sz w:val="20"/>
          <w:lang w:val="fr-CA"/>
        </w:rPr>
        <w:lastRenderedPageBreak/>
        <w:t xml:space="preserve">suffisamment de faits pour permettre au juge de paix saisi de la demande d’autorisation de tirer raisonnablement cette inférence.  Les fouilles visant de tels documents n’ont donc pas violé les droits garantis à l’appelant par l’art. 8 de la </w:t>
      </w:r>
      <w:r w:rsidRPr="004951EB">
        <w:rPr>
          <w:i/>
          <w:sz w:val="20"/>
          <w:lang w:val="fr-CA"/>
        </w:rPr>
        <w:t>Charte</w:t>
      </w:r>
      <w:r w:rsidRPr="004951EB">
        <w:rPr>
          <w:sz w:val="20"/>
          <w:lang w:val="fr-CA"/>
        </w:rPr>
        <w:t>.</w:t>
      </w:r>
    </w:p>
    <w:p w:rsidR="00F13DE6" w:rsidRDefault="00F13DE6" w:rsidP="00F13DE6">
      <w:pPr>
        <w:pStyle w:val="SCCNormalDoubleSpacing"/>
        <w:spacing w:line="240" w:lineRule="auto"/>
        <w:rPr>
          <w:sz w:val="20"/>
          <w:lang w:val="fr-CA"/>
        </w:rPr>
      </w:pPr>
    </w:p>
    <w:p w:rsidR="00F13DE6" w:rsidRPr="004951EB" w:rsidRDefault="00F13DE6" w:rsidP="00F13DE6">
      <w:pPr>
        <w:pStyle w:val="SCCNormalDoubleSpacing"/>
        <w:spacing w:line="240" w:lineRule="auto"/>
        <w:rPr>
          <w:sz w:val="20"/>
          <w:lang w:val="fr-CA"/>
        </w:rPr>
      </w:pPr>
      <w:r w:rsidRPr="004951EB">
        <w:rPr>
          <w:sz w:val="20"/>
          <w:lang w:val="fr-CA"/>
        </w:rPr>
        <w:tab/>
        <w:t xml:space="preserve">La deuxième question est de savoir si le mandat autorisait la fouille des ordinateurs et du téléphone cellulaire.  L’article 8 de la </w:t>
      </w:r>
      <w:r w:rsidRPr="004951EB">
        <w:rPr>
          <w:i/>
          <w:sz w:val="20"/>
          <w:lang w:val="fr-CA"/>
        </w:rPr>
        <w:t>Charte</w:t>
      </w:r>
      <w:r w:rsidRPr="004951EB">
        <w:rPr>
          <w:sz w:val="20"/>
          <w:lang w:val="fr-CA"/>
        </w:rPr>
        <w:t xml:space="preserve"> — qui confère à chacun le droit à la protection contre les fouilles, les perquisitions ou les saisies abusives — vise à établir un juste équilibre entre le droit à la protection contre l’ingérence de l’État et la nécessité légitime de faire respecter la loi.  Cet équilibre est généralement réalisé grâce à deux moyens principaux. Premièrement, les policiers doivent obtenir des tribunaux l’autorisation d’effectuer une perquisition </w:t>
      </w:r>
      <w:r w:rsidRPr="004951EB">
        <w:rPr>
          <w:i/>
          <w:sz w:val="20"/>
          <w:lang w:val="fr-CA"/>
        </w:rPr>
        <w:t>avant</w:t>
      </w:r>
      <w:r w:rsidRPr="004951EB">
        <w:rPr>
          <w:sz w:val="20"/>
          <w:lang w:val="fr-CA"/>
        </w:rPr>
        <w:t xml:space="preserve"> de procéder à celle</w:t>
      </w:r>
      <w:r w:rsidRPr="004951EB">
        <w:rPr>
          <w:sz w:val="20"/>
          <w:lang w:val="fr-CA"/>
        </w:rPr>
        <w:noBreakHyphen/>
        <w:t>ci, autorisation qui prend habituellement la forme d’un mandat de perquisition.  Deuxièmement, la perquisition ainsi autorisée doit être effectuée d’une manière non abusive, ce qui permet d’éviter que la perquisition ait un caractère plus envahissant que ce qui est raisonnablement nécessaire pour atteindre ses objectifs.  Les intérêts en matière de respect de la vie privée que met en jeu la fouille des ordinateurs diffèrent nettement de ceux en cause lors de la fouille de contenants tels des placards et des classeurs.  Il est difficile d’imaginer une atteinte plus grave à la vie privée d’une personne que la fouille de son ordinateur personnel.  Les ordinateurs sont susceptibles de donner aux policiers accès à un univers presque illimité d’informations sur lesquelles les utilisateurs n’ont aucune maîtrise, dont ils ne connaissent peut</w:t>
      </w:r>
      <w:r w:rsidRPr="004951EB">
        <w:rPr>
          <w:sz w:val="20"/>
          <w:lang w:val="fr-CA"/>
        </w:rPr>
        <w:noBreakHyphen/>
        <w:t xml:space="preserve">être même pas l’existence, qu’ils peuvent avoir tenté d’effacer, et qui d’ailleurs pourraient fort bien ne pas se trouver concrètement dans le lieu fouillé.  Les différences nombreuses et frappantes entre les ordinateurs et les contenants traditionnels commandent que ces objets soient traités différemment pour l’application de l’art. 8 de la </w:t>
      </w:r>
      <w:r w:rsidRPr="004951EB">
        <w:rPr>
          <w:i/>
          <w:sz w:val="20"/>
          <w:lang w:val="fr-CA"/>
        </w:rPr>
        <w:t>Charte</w:t>
      </w:r>
      <w:r w:rsidRPr="004951EB">
        <w:rPr>
          <w:sz w:val="20"/>
          <w:lang w:val="fr-CA"/>
        </w:rPr>
        <w:t>.  L’hypothèse fondamentale à la base de la règle traditionnelle — à savoir que si la perquisition effectuée dans un lieu est justifiée, la fouille des contenants découverts dans ce lieu l’est également — ne peut tout simplement pas s’appliquer à la fouille des ordinateurs.</w:t>
      </w:r>
    </w:p>
    <w:p w:rsidR="00F13DE6" w:rsidRDefault="00F13DE6" w:rsidP="00F13DE6">
      <w:pPr>
        <w:pStyle w:val="SCCNormalDoubleSpacing"/>
        <w:spacing w:line="240" w:lineRule="auto"/>
        <w:rPr>
          <w:sz w:val="20"/>
          <w:lang w:val="fr-CA"/>
        </w:rPr>
      </w:pPr>
    </w:p>
    <w:p w:rsidR="00F13DE6" w:rsidRPr="004951EB" w:rsidRDefault="00F13DE6" w:rsidP="00F13DE6">
      <w:pPr>
        <w:pStyle w:val="SCCNormalDoubleSpacing"/>
        <w:spacing w:line="240" w:lineRule="auto"/>
        <w:rPr>
          <w:sz w:val="20"/>
          <w:lang w:val="fr-CA"/>
        </w:rPr>
      </w:pPr>
      <w:r w:rsidRPr="004951EB">
        <w:rPr>
          <w:sz w:val="20"/>
          <w:lang w:val="fr-CA"/>
        </w:rPr>
        <w:tab/>
        <w:t xml:space="preserve">En effet, en raison des intérêts en matière de vie privée que soulève la fouille d’un ordinateur, un tel appareil doit, dans une certaine mesure, être traité comme un lieu distinct.  L’autorisation préalable des perquisitions constitue une assise fondamentale de notre droit relatif aux fouilles, perquisitions et saisies.  L’objectif du processus d’autorisation préalable est de mettre en balance le droit à la vie privée du particulier et l’intérêt de l’État à enquêter sur une activité criminelle, </w:t>
      </w:r>
      <w:r w:rsidRPr="004951EB">
        <w:rPr>
          <w:i/>
          <w:sz w:val="20"/>
          <w:lang w:val="fr-CA"/>
        </w:rPr>
        <w:t>avant</w:t>
      </w:r>
      <w:r w:rsidRPr="004951EB">
        <w:rPr>
          <w:sz w:val="20"/>
          <w:lang w:val="fr-CA"/>
        </w:rPr>
        <w:t xml:space="preserve"> que l’intrusion de l’État ne se produise.  Seule une autorisation expresse préalable de fouiller des ordinateurs susceptibles d’être découverts dans le lieu perquisitionné garantit que le juge de paix qui a statué sur la demande d’autorisation a pris en compte l’ensemble des préoccupations distinctives en matière de vie privée que soulève la fouille de ces appareils, puis déterminé que ce critère était respecté eu égard aux circonstances de la fouille particulière projetée.  Cela signifie que, si des policiers entendent fouiller tout ordinateur trouvé dans le lieu qu’ils souhaitent perquisitionner, ils doivent d’abord convaincre le juge de paix saisi de la demande d’autorisation qu’ils possèdent des motifs raisonnables de croire que les ordinateurs qu’ils pourraient découvrir contiendront les choses qu’ils recherchent.  Si, durant une perquisition, les policiers trouvent un ordinateur et que leur mandat ne les autorise pas expressément à fouiller les ordinateurs, ils peuvent le saisir et prendre les mesures nécessaires pour assurer l’intégrité des données.  Toutefois, s’ils désirent consulter ces données, ils doivent obtenir un mandat distinct.  En l’espèce, le juge de paix saisi de la demande d’autorisation n’était pas tenu d’imposer à l’avance un protocole de perquisition assorti de conditions limitant la façon de procéder à la fouille.  Quoique de telles conditions puissent convenir dans certains cas, elles ne sont pas, en règle générale, requises par la Constitution.</w:t>
      </w:r>
    </w:p>
    <w:p w:rsidR="00F13DE6" w:rsidRDefault="00F13DE6" w:rsidP="00F13DE6">
      <w:pPr>
        <w:pStyle w:val="SCCNormalDoubleSpacing"/>
        <w:spacing w:line="240" w:lineRule="auto"/>
        <w:rPr>
          <w:sz w:val="20"/>
          <w:lang w:val="fr-CA"/>
        </w:rPr>
      </w:pPr>
    </w:p>
    <w:p w:rsidR="00F13DE6" w:rsidRDefault="00F13DE6" w:rsidP="00F13DE6">
      <w:pPr>
        <w:pStyle w:val="SCCNormalDoubleSpacing"/>
        <w:spacing w:line="240" w:lineRule="auto"/>
        <w:rPr>
          <w:sz w:val="20"/>
          <w:lang w:val="fr-CA"/>
        </w:rPr>
      </w:pPr>
      <w:r w:rsidRPr="004951EB">
        <w:rPr>
          <w:sz w:val="20"/>
          <w:lang w:val="fr-CA"/>
        </w:rPr>
        <w:tab/>
        <w:t xml:space="preserve">Comme il a été conclu que la fouille effectuée dans la présente affaire était illégale, la dernière question qui se pose est de savoir si la preuve obtenue devrait être écartée.  Le paragraphe 24(2) de la </w:t>
      </w:r>
      <w:r w:rsidRPr="004951EB">
        <w:rPr>
          <w:i/>
          <w:sz w:val="20"/>
          <w:lang w:val="fr-CA"/>
        </w:rPr>
        <w:t>Charte</w:t>
      </w:r>
      <w:r w:rsidRPr="004951EB">
        <w:rPr>
          <w:sz w:val="20"/>
          <w:lang w:val="fr-CA"/>
        </w:rPr>
        <w:t xml:space="preserve"> exige que les éléments de preuve obtenus d’une manière qui porte atteinte aux droits garantis à l’accusé par la </w:t>
      </w:r>
      <w:r w:rsidRPr="004951EB">
        <w:rPr>
          <w:i/>
          <w:sz w:val="20"/>
          <w:lang w:val="fr-CA"/>
        </w:rPr>
        <w:t>Charte</w:t>
      </w:r>
      <w:r w:rsidRPr="004951EB">
        <w:rPr>
          <w:sz w:val="20"/>
          <w:lang w:val="fr-CA"/>
        </w:rPr>
        <w:t xml:space="preserve"> soient écartés du procès s’il est établi, « </w:t>
      </w:r>
      <w:r w:rsidRPr="004951EB">
        <w:rPr>
          <w:sz w:val="20"/>
          <w:lang w:val="fr-FR"/>
        </w:rPr>
        <w:t>eu égard aux circonstances, que leur utilisation est susceptible de déconsidérer l’administration de la justice »</w:t>
      </w:r>
      <w:r w:rsidRPr="004951EB">
        <w:rPr>
          <w:sz w:val="20"/>
          <w:lang w:val="fr-CA"/>
        </w:rPr>
        <w:t xml:space="preserve">.  En l’espèce, la dénonciation faisait effectivement mention de l’intention des policiers de rechercher des documents générés par ordinateur et, vu l’état incertain du droit applicable à la fouille d’ordinateurs au moment où les policiers ont effectué leur enquête et la manière par ailleurs non abusive dont la fouille a été effectuée, la violation n’était pas grave.  En outre, il était manifestement dans l’intérêt de la société que des accusations de production et de possession de marijuana en vue d’en faire le trafic soient jugées au fond.  Il ressort de la mise en balance de ces différents facteurs que les éléments de preuve ne doivent pas être écartés.  Les policiers possédaient des motifs raisonnables de croire que la fouille de l’ordinateur était autorisée par le mandat.  Bien que toute fouille d’un ordinateur personnel constitue une atteinte importante à la vie privée, la fouille effectuée en l’espèce n’a pas débordé les objectifs pour lesquels le mandat avait été décerné. </w:t>
      </w:r>
    </w:p>
    <w:p w:rsidR="00F13DE6" w:rsidRDefault="00F13DE6" w:rsidP="00F13DE6">
      <w:pPr>
        <w:pStyle w:val="SCCNormalDoubleSpacing"/>
        <w:spacing w:line="240" w:lineRule="auto"/>
        <w:rPr>
          <w:sz w:val="20"/>
          <w:lang w:val="fr-CA"/>
        </w:rPr>
      </w:pPr>
    </w:p>
    <w:p w:rsidR="00F13DE6" w:rsidRPr="004951EB" w:rsidRDefault="00F13DE6" w:rsidP="00F13DE6">
      <w:pPr>
        <w:pStyle w:val="SCCNormalDoubleSpacing"/>
        <w:spacing w:line="240" w:lineRule="auto"/>
        <w:rPr>
          <w:sz w:val="20"/>
          <w:lang w:val="fr-CA"/>
        </w:rPr>
      </w:pPr>
      <w:r w:rsidRPr="00F13DE6">
        <w:rPr>
          <w:sz w:val="20"/>
          <w:lang w:val="fr-CA"/>
        </w:rPr>
        <w:lastRenderedPageBreak/>
        <w:tab/>
      </w:r>
      <w:r w:rsidRPr="004951EB">
        <w:rPr>
          <w:sz w:val="20"/>
          <w:lang w:val="fr-CA"/>
        </w:rPr>
        <w:t>POURVOI contre un arrêt de la Cour d’appel de la Colombie</w:t>
      </w:r>
      <w:r w:rsidRPr="004951EB">
        <w:rPr>
          <w:sz w:val="20"/>
          <w:lang w:val="fr-CA"/>
        </w:rPr>
        <w:noBreakHyphen/>
        <w:t>Britannique (les juges Low, Levine et Frankel), 2011 BCCA 536, 315 B.C.A.C. 36, 535 W.A.C. 36, 92 C.R. (6th) 15, 250 C.R.R. (2d) 108, 285 C.C.C. (3d) 160, [2011] B.C.J. No. 2487 (QL), 2011 CarswellBC 3551, qui a annulé les acquittements prononcés par la juge Bruce, 2010 BCSC 2012, [2010] B.C.J. No. 2963 (QL), 2010 CarswellBC 4018, et qui a ordonné la tenue d’un nouveau procès.  Pourvoi rejeté.</w:t>
      </w:r>
    </w:p>
    <w:p w:rsidR="00F13DE6" w:rsidRDefault="00F13DE6" w:rsidP="00F13DE6">
      <w:pPr>
        <w:pStyle w:val="SCCNormalDoubleSpacing"/>
        <w:spacing w:line="240" w:lineRule="auto"/>
        <w:rPr>
          <w:i/>
          <w:sz w:val="20"/>
          <w:lang w:val="fr-CA"/>
        </w:rPr>
      </w:pPr>
    </w:p>
    <w:p w:rsidR="00F13DE6" w:rsidRPr="004951EB" w:rsidRDefault="00F13DE6" w:rsidP="00F13DE6">
      <w:pPr>
        <w:pStyle w:val="SCCNormalDoubleSpacing"/>
        <w:spacing w:line="240" w:lineRule="auto"/>
        <w:rPr>
          <w:sz w:val="20"/>
          <w:lang w:val="fr-CA"/>
        </w:rPr>
      </w:pPr>
      <w:r w:rsidRPr="004951EB">
        <w:rPr>
          <w:i/>
          <w:sz w:val="20"/>
          <w:lang w:val="fr-CA"/>
        </w:rPr>
        <w:tab/>
        <w:t>Neil L. Cobb</w:t>
      </w:r>
      <w:r w:rsidRPr="004951EB">
        <w:rPr>
          <w:sz w:val="20"/>
          <w:lang w:val="fr-CA"/>
        </w:rPr>
        <w:t xml:space="preserve">, </w:t>
      </w:r>
      <w:r w:rsidRPr="004951EB">
        <w:rPr>
          <w:i/>
          <w:sz w:val="20"/>
          <w:lang w:val="fr-CA"/>
        </w:rPr>
        <w:t>Elizabeth P. Lewis</w:t>
      </w:r>
      <w:r w:rsidRPr="004951EB">
        <w:rPr>
          <w:sz w:val="20"/>
          <w:lang w:val="fr-CA"/>
        </w:rPr>
        <w:t xml:space="preserve"> et </w:t>
      </w:r>
      <w:r w:rsidRPr="004951EB">
        <w:rPr>
          <w:i/>
          <w:sz w:val="20"/>
          <w:lang w:val="fr-CA"/>
        </w:rPr>
        <w:t>Nancy Seto</w:t>
      </w:r>
      <w:r w:rsidRPr="004951EB">
        <w:rPr>
          <w:sz w:val="20"/>
          <w:lang w:val="fr-CA"/>
        </w:rPr>
        <w:t>, pour l’appelant.</w:t>
      </w:r>
    </w:p>
    <w:p w:rsidR="00F13DE6" w:rsidRDefault="00F13DE6" w:rsidP="00F13DE6">
      <w:pPr>
        <w:pStyle w:val="SCCNormalDoubleSpacing"/>
        <w:spacing w:line="240" w:lineRule="auto"/>
        <w:rPr>
          <w:i/>
          <w:sz w:val="20"/>
          <w:lang w:val="fr-CA"/>
        </w:rPr>
      </w:pPr>
    </w:p>
    <w:p w:rsidR="00F13DE6" w:rsidRPr="004951EB" w:rsidRDefault="00F13DE6" w:rsidP="00F13DE6">
      <w:pPr>
        <w:pStyle w:val="SCCNormalDoubleSpacing"/>
        <w:spacing w:line="240" w:lineRule="auto"/>
        <w:rPr>
          <w:sz w:val="20"/>
          <w:lang w:val="fr-CA"/>
        </w:rPr>
      </w:pPr>
      <w:r w:rsidRPr="004951EB">
        <w:rPr>
          <w:i/>
          <w:sz w:val="20"/>
          <w:lang w:val="fr-CA"/>
        </w:rPr>
        <w:tab/>
        <w:t>W. Paul Riley</w:t>
      </w:r>
      <w:r w:rsidRPr="004951EB">
        <w:rPr>
          <w:sz w:val="20"/>
          <w:lang w:val="fr-CA"/>
        </w:rPr>
        <w:t xml:space="preserve"> et </w:t>
      </w:r>
      <w:r w:rsidRPr="004951EB">
        <w:rPr>
          <w:i/>
          <w:sz w:val="20"/>
          <w:lang w:val="fr-CA"/>
        </w:rPr>
        <w:t>Martha M. Devlin, c.r.</w:t>
      </w:r>
      <w:r w:rsidRPr="004951EB">
        <w:rPr>
          <w:sz w:val="20"/>
          <w:lang w:val="fr-CA"/>
        </w:rPr>
        <w:t>, pour l’intimée.</w:t>
      </w:r>
    </w:p>
    <w:p w:rsidR="00F13DE6" w:rsidRDefault="00F13DE6" w:rsidP="00F13DE6">
      <w:pPr>
        <w:pStyle w:val="SCCNormalDoubleSpacing"/>
        <w:spacing w:line="240" w:lineRule="auto"/>
        <w:rPr>
          <w:i/>
          <w:sz w:val="20"/>
          <w:lang w:val="fr-CA"/>
        </w:rPr>
      </w:pPr>
    </w:p>
    <w:p w:rsidR="00F13DE6" w:rsidRPr="004951EB" w:rsidRDefault="00F13DE6" w:rsidP="00F13DE6">
      <w:pPr>
        <w:pStyle w:val="SCCNormalDoubleSpacing"/>
        <w:spacing w:line="240" w:lineRule="auto"/>
        <w:rPr>
          <w:sz w:val="20"/>
          <w:lang w:val="fr-CA"/>
        </w:rPr>
      </w:pPr>
      <w:r w:rsidRPr="004951EB">
        <w:rPr>
          <w:i/>
          <w:sz w:val="20"/>
          <w:lang w:val="fr-CA"/>
        </w:rPr>
        <w:tab/>
        <w:t>Michal Fairburn</w:t>
      </w:r>
      <w:r w:rsidRPr="004951EB">
        <w:rPr>
          <w:sz w:val="20"/>
          <w:lang w:val="fr-CA"/>
        </w:rPr>
        <w:t xml:space="preserve"> et </w:t>
      </w:r>
      <w:r w:rsidRPr="004951EB">
        <w:rPr>
          <w:i/>
          <w:sz w:val="20"/>
          <w:lang w:val="fr-CA"/>
        </w:rPr>
        <w:t>Lisa Henderson</w:t>
      </w:r>
      <w:r w:rsidRPr="004951EB">
        <w:rPr>
          <w:sz w:val="20"/>
          <w:lang w:val="fr-CA"/>
        </w:rPr>
        <w:t>, pour l’intervenant le procureur général de l’Ontario.</w:t>
      </w:r>
    </w:p>
    <w:p w:rsidR="00F13DE6" w:rsidRDefault="00F13DE6" w:rsidP="00F13DE6">
      <w:pPr>
        <w:pStyle w:val="SCCNormalDoubleSpacing"/>
        <w:spacing w:line="240" w:lineRule="auto"/>
        <w:rPr>
          <w:i/>
          <w:sz w:val="20"/>
          <w:lang w:val="fr-CA"/>
        </w:rPr>
      </w:pPr>
    </w:p>
    <w:p w:rsidR="00F13DE6" w:rsidRPr="004951EB" w:rsidRDefault="00F13DE6" w:rsidP="00F13DE6">
      <w:pPr>
        <w:pStyle w:val="SCCNormalDoubleSpacing"/>
        <w:spacing w:line="240" w:lineRule="auto"/>
        <w:rPr>
          <w:sz w:val="20"/>
          <w:lang w:val="fr-CA"/>
        </w:rPr>
      </w:pPr>
      <w:r w:rsidRPr="004951EB">
        <w:rPr>
          <w:i/>
          <w:sz w:val="20"/>
          <w:lang w:val="fr-CA"/>
        </w:rPr>
        <w:tab/>
        <w:t>Jolaine Antonio</w:t>
      </w:r>
      <w:r w:rsidRPr="004951EB">
        <w:rPr>
          <w:sz w:val="20"/>
          <w:lang w:val="fr-CA"/>
        </w:rPr>
        <w:t>, pour l’intervenant le procureur général de l’Alberta.</w:t>
      </w:r>
    </w:p>
    <w:p w:rsidR="00F13DE6" w:rsidRDefault="00F13DE6" w:rsidP="00F13DE6">
      <w:pPr>
        <w:pStyle w:val="SCCNormalDoubleSpacing"/>
        <w:spacing w:line="240" w:lineRule="auto"/>
        <w:rPr>
          <w:i/>
          <w:sz w:val="20"/>
          <w:lang w:val="fr-CA"/>
        </w:rPr>
      </w:pPr>
    </w:p>
    <w:p w:rsidR="00F13DE6" w:rsidRPr="004951EB" w:rsidRDefault="00F13DE6" w:rsidP="00F13DE6">
      <w:pPr>
        <w:pStyle w:val="SCCNormalDoubleSpacing"/>
        <w:spacing w:line="240" w:lineRule="auto"/>
        <w:rPr>
          <w:sz w:val="20"/>
          <w:lang w:val="fr-CA"/>
        </w:rPr>
      </w:pPr>
      <w:r w:rsidRPr="004951EB">
        <w:rPr>
          <w:i/>
          <w:sz w:val="20"/>
          <w:lang w:val="fr-CA"/>
        </w:rPr>
        <w:tab/>
        <w:t>Nader R. Hasan et Gerald J. Chan</w:t>
      </w:r>
      <w:r w:rsidRPr="004951EB">
        <w:rPr>
          <w:sz w:val="20"/>
          <w:lang w:val="fr-CA"/>
        </w:rPr>
        <w:t xml:space="preserve"> et, pour l’intervenante l’Association des libertés civiles de la Colombie</w:t>
      </w:r>
      <w:r w:rsidRPr="004951EB">
        <w:rPr>
          <w:sz w:val="20"/>
          <w:lang w:val="fr-CA"/>
        </w:rPr>
        <w:noBreakHyphen/>
        <w:t>Britannique.</w:t>
      </w:r>
    </w:p>
    <w:p w:rsidR="00F13DE6" w:rsidRDefault="00F13DE6" w:rsidP="00F13DE6">
      <w:pPr>
        <w:pStyle w:val="SCCNormalDoubleSpacing"/>
        <w:spacing w:line="240" w:lineRule="auto"/>
        <w:rPr>
          <w:i/>
          <w:sz w:val="20"/>
          <w:lang w:val="fr-CA"/>
        </w:rPr>
      </w:pPr>
    </w:p>
    <w:p w:rsidR="00F13DE6" w:rsidRPr="004951EB" w:rsidRDefault="00F13DE6" w:rsidP="00F13DE6">
      <w:pPr>
        <w:pStyle w:val="SCCNormalDoubleSpacing"/>
        <w:spacing w:line="240" w:lineRule="auto"/>
        <w:rPr>
          <w:sz w:val="20"/>
          <w:lang w:val="fr-CA"/>
        </w:rPr>
      </w:pPr>
      <w:r w:rsidRPr="004951EB">
        <w:rPr>
          <w:i/>
          <w:sz w:val="20"/>
          <w:lang w:val="fr-CA"/>
        </w:rPr>
        <w:tab/>
        <w:t>David S. Rose</w:t>
      </w:r>
      <w:r w:rsidRPr="004951EB">
        <w:rPr>
          <w:sz w:val="20"/>
          <w:lang w:val="fr-CA"/>
        </w:rPr>
        <w:t xml:space="preserve"> et </w:t>
      </w:r>
      <w:r w:rsidRPr="004951EB">
        <w:rPr>
          <w:i/>
          <w:sz w:val="20"/>
          <w:lang w:val="fr-CA"/>
        </w:rPr>
        <w:t>Allan Manson</w:t>
      </w:r>
      <w:r w:rsidRPr="004951EB">
        <w:rPr>
          <w:sz w:val="20"/>
          <w:lang w:val="fr-CA"/>
        </w:rPr>
        <w:t>, pour l’intervenante l’Association canadienne des libertés civiles.</w:t>
      </w:r>
    </w:p>
    <w:p w:rsidR="00F13DE6" w:rsidRDefault="00F13DE6" w:rsidP="00F13DE6">
      <w:pPr>
        <w:pStyle w:val="SCCNormalDoubleSpacing"/>
        <w:spacing w:line="240" w:lineRule="auto"/>
        <w:rPr>
          <w:i/>
          <w:sz w:val="20"/>
          <w:lang w:val="fr-CA"/>
        </w:rPr>
      </w:pPr>
    </w:p>
    <w:p w:rsidR="00F13DE6" w:rsidRPr="004951EB" w:rsidRDefault="00F13DE6" w:rsidP="00F13DE6">
      <w:pPr>
        <w:pStyle w:val="SCCNormalDoubleSpacing"/>
        <w:spacing w:line="240" w:lineRule="auto"/>
        <w:rPr>
          <w:sz w:val="20"/>
          <w:lang w:val="fr-CA"/>
        </w:rPr>
      </w:pPr>
      <w:r w:rsidRPr="004951EB">
        <w:rPr>
          <w:i/>
          <w:sz w:val="20"/>
          <w:lang w:val="fr-CA"/>
        </w:rPr>
        <w:tab/>
        <w:t>Paul J. I. Alexander</w:t>
      </w:r>
      <w:r w:rsidRPr="004951EB">
        <w:rPr>
          <w:sz w:val="20"/>
          <w:lang w:val="fr-CA"/>
        </w:rPr>
        <w:t>, pour l’intervenante Criminal Lawyers’ Association (Ontario).</w:t>
      </w:r>
    </w:p>
    <w:p w:rsidR="00F13DE6" w:rsidRDefault="00F13DE6" w:rsidP="00F13DE6">
      <w:pPr>
        <w:pStyle w:val="SCCLawFirm"/>
        <w:spacing w:line="240" w:lineRule="auto"/>
        <w:rPr>
          <w:sz w:val="20"/>
          <w:lang w:val="fr-CA"/>
        </w:rPr>
      </w:pPr>
    </w:p>
    <w:p w:rsidR="00F13DE6" w:rsidRPr="004951EB" w:rsidRDefault="00F13DE6" w:rsidP="00F13DE6">
      <w:pPr>
        <w:pStyle w:val="SCCLawFirm"/>
        <w:spacing w:line="240" w:lineRule="auto"/>
        <w:rPr>
          <w:sz w:val="20"/>
          <w:lang w:val="fr-CA"/>
        </w:rPr>
      </w:pPr>
      <w:r w:rsidRPr="004951EB">
        <w:rPr>
          <w:sz w:val="20"/>
          <w:lang w:val="fr-CA"/>
        </w:rPr>
        <w:tab/>
        <w:t>Procureurs de l’appelant : Cobb St</w:t>
      </w:r>
      <w:r w:rsidRPr="004951EB">
        <w:rPr>
          <w:sz w:val="20"/>
          <w:lang w:val="fr-CA"/>
        </w:rPr>
        <w:noBreakHyphen/>
        <w:t>Pierre Lewis, Vancouver.</w:t>
      </w:r>
    </w:p>
    <w:p w:rsidR="00F13DE6" w:rsidRDefault="00F13DE6" w:rsidP="00F13DE6">
      <w:pPr>
        <w:pStyle w:val="SCCLawFirm"/>
        <w:spacing w:line="240" w:lineRule="auto"/>
        <w:rPr>
          <w:sz w:val="20"/>
          <w:lang w:val="fr-CA"/>
        </w:rPr>
      </w:pPr>
    </w:p>
    <w:p w:rsidR="00F13DE6" w:rsidRPr="004951EB" w:rsidRDefault="00F13DE6" w:rsidP="00F13DE6">
      <w:pPr>
        <w:pStyle w:val="SCCLawFirm"/>
        <w:spacing w:line="240" w:lineRule="auto"/>
        <w:rPr>
          <w:sz w:val="20"/>
          <w:lang w:val="fr-CA"/>
        </w:rPr>
      </w:pPr>
      <w:r w:rsidRPr="004951EB">
        <w:rPr>
          <w:sz w:val="20"/>
          <w:lang w:val="fr-CA"/>
        </w:rPr>
        <w:tab/>
        <w:t>Procureur de l’intimée : Service des poursuites pénales du Canada, Vancouver.</w:t>
      </w:r>
    </w:p>
    <w:p w:rsidR="00F13DE6" w:rsidRDefault="00F13DE6" w:rsidP="00F13DE6">
      <w:pPr>
        <w:pStyle w:val="SCCLawFirm"/>
        <w:spacing w:line="240" w:lineRule="auto"/>
        <w:rPr>
          <w:sz w:val="20"/>
          <w:lang w:val="fr-CA"/>
        </w:rPr>
      </w:pPr>
    </w:p>
    <w:p w:rsidR="00F13DE6" w:rsidRPr="004951EB" w:rsidRDefault="00F13DE6" w:rsidP="00F13DE6">
      <w:pPr>
        <w:pStyle w:val="SCCLawFirm"/>
        <w:spacing w:line="240" w:lineRule="auto"/>
        <w:rPr>
          <w:sz w:val="20"/>
          <w:lang w:val="fr-CA"/>
        </w:rPr>
      </w:pPr>
      <w:r w:rsidRPr="004951EB">
        <w:rPr>
          <w:sz w:val="20"/>
          <w:lang w:val="fr-CA"/>
        </w:rPr>
        <w:tab/>
        <w:t xml:space="preserve">Procureur de l’intervenant le procureur général de l’Ontario : Procureur général de l’Ontario, Toronto. </w:t>
      </w:r>
    </w:p>
    <w:p w:rsidR="00F13DE6" w:rsidRDefault="00F13DE6" w:rsidP="00F13DE6">
      <w:pPr>
        <w:pStyle w:val="SCCLawFirm"/>
        <w:spacing w:line="240" w:lineRule="auto"/>
        <w:rPr>
          <w:sz w:val="20"/>
          <w:lang w:val="fr-CA"/>
        </w:rPr>
      </w:pPr>
    </w:p>
    <w:p w:rsidR="00F13DE6" w:rsidRPr="004951EB" w:rsidRDefault="00F13DE6" w:rsidP="00F13DE6">
      <w:pPr>
        <w:pStyle w:val="SCCLawFirm"/>
        <w:spacing w:line="240" w:lineRule="auto"/>
        <w:rPr>
          <w:sz w:val="20"/>
          <w:lang w:val="fr-CA"/>
        </w:rPr>
      </w:pPr>
      <w:r w:rsidRPr="004951EB">
        <w:rPr>
          <w:sz w:val="20"/>
          <w:lang w:val="fr-CA"/>
        </w:rPr>
        <w:tab/>
        <w:t>Procureur de l’intervenant le procureur général de l’Alberta : Procureur général de l’Alberta, Calgary.</w:t>
      </w:r>
    </w:p>
    <w:p w:rsidR="00F13DE6" w:rsidRDefault="00F13DE6" w:rsidP="00F13DE6">
      <w:pPr>
        <w:pStyle w:val="SCCLawFirm"/>
        <w:spacing w:line="240" w:lineRule="auto"/>
        <w:rPr>
          <w:sz w:val="20"/>
          <w:lang w:val="fr-CA"/>
        </w:rPr>
      </w:pPr>
    </w:p>
    <w:p w:rsidR="00F13DE6" w:rsidRPr="004951EB" w:rsidRDefault="00F13DE6" w:rsidP="00F13DE6">
      <w:pPr>
        <w:pStyle w:val="SCCLawFirm"/>
        <w:spacing w:line="240" w:lineRule="auto"/>
        <w:rPr>
          <w:sz w:val="20"/>
          <w:lang w:val="fr-CA"/>
        </w:rPr>
      </w:pPr>
      <w:r w:rsidRPr="004951EB">
        <w:rPr>
          <w:sz w:val="20"/>
          <w:lang w:val="fr-CA"/>
        </w:rPr>
        <w:tab/>
        <w:t>Procureurs de l’intervenante l’Association des libertés civiles de la Colombie</w:t>
      </w:r>
      <w:r w:rsidRPr="004951EB">
        <w:rPr>
          <w:sz w:val="20"/>
          <w:lang w:val="fr-CA"/>
        </w:rPr>
        <w:noBreakHyphen/>
        <w:t>Britannique : Ruby Shiller Chan Hasan, Toronto.</w:t>
      </w:r>
    </w:p>
    <w:p w:rsidR="00F13DE6" w:rsidRDefault="00F13DE6" w:rsidP="00F13DE6">
      <w:pPr>
        <w:pStyle w:val="SCCLawFirm"/>
        <w:spacing w:line="240" w:lineRule="auto"/>
        <w:rPr>
          <w:sz w:val="20"/>
          <w:lang w:val="fr-CA"/>
        </w:rPr>
      </w:pPr>
    </w:p>
    <w:p w:rsidR="00F13DE6" w:rsidRPr="004951EB" w:rsidRDefault="00F13DE6" w:rsidP="00F13DE6">
      <w:pPr>
        <w:pStyle w:val="SCCLawFirm"/>
        <w:spacing w:line="240" w:lineRule="auto"/>
        <w:rPr>
          <w:sz w:val="20"/>
          <w:lang w:val="fr-CA"/>
        </w:rPr>
      </w:pPr>
      <w:r w:rsidRPr="004951EB">
        <w:rPr>
          <w:sz w:val="20"/>
          <w:lang w:val="fr-CA"/>
        </w:rPr>
        <w:tab/>
        <w:t>Procureurs de l’intervenante l’Association canadienne des libertés civiles : Neuberger Rose, Toronto.</w:t>
      </w:r>
    </w:p>
    <w:p w:rsidR="00F13DE6" w:rsidRDefault="00F13DE6" w:rsidP="00F13DE6">
      <w:pPr>
        <w:pStyle w:val="SCCLawFirm"/>
        <w:spacing w:line="240" w:lineRule="auto"/>
        <w:rPr>
          <w:sz w:val="20"/>
          <w:lang w:val="fr-CA"/>
        </w:rPr>
      </w:pPr>
    </w:p>
    <w:p w:rsidR="00F13DE6" w:rsidRDefault="00F13DE6" w:rsidP="00F13DE6">
      <w:pPr>
        <w:pStyle w:val="SCCLawFirm"/>
        <w:spacing w:line="240" w:lineRule="auto"/>
        <w:rPr>
          <w:sz w:val="20"/>
          <w:lang w:val="fr-CA"/>
        </w:rPr>
      </w:pPr>
      <w:r w:rsidRPr="004951EB">
        <w:rPr>
          <w:sz w:val="20"/>
          <w:lang w:val="fr-CA"/>
        </w:rPr>
        <w:tab/>
        <w:t>Procureurs de l’intervenante Criminal Lawyers’ Association (Ontario) : Rosen Naster, Toronto.</w:t>
      </w:r>
    </w:p>
    <w:p w:rsidR="003B3977" w:rsidRDefault="003B3977" w:rsidP="005C6840">
      <w:pPr>
        <w:rPr>
          <w:rFonts w:cs="Times New Roman"/>
          <w:sz w:val="20"/>
          <w:szCs w:val="20"/>
          <w:lang w:val="fr-CA"/>
        </w:rPr>
      </w:pPr>
    </w:p>
    <w:p w:rsidR="005C6840" w:rsidRDefault="007368AD" w:rsidP="005C6840">
      <w:pPr>
        <w:rPr>
          <w:lang w:val="fr-CA"/>
        </w:rPr>
      </w:pPr>
      <w:r>
        <w:rPr>
          <w:rFonts w:cs="Times New Roman"/>
          <w:sz w:val="20"/>
          <w:szCs w:val="20"/>
          <w:lang w:val="fr-CA"/>
        </w:rPr>
        <w:pict>
          <v:rect id="_x0000_i1064" style="width:144.3pt;height:1pt" o:hrpct="300" o:hralign="center" o:hrstd="t" o:hrnoshade="t" o:hr="t" fillcolor="black [3213]" stroked="f"/>
        </w:pict>
      </w:r>
      <w:r w:rsidR="005C6840">
        <w:rPr>
          <w:lang w:val="fr-CA"/>
        </w:rPr>
        <w:br w:type="page"/>
      </w:r>
    </w:p>
    <w:p w:rsidR="002375F8" w:rsidRPr="007368AD" w:rsidRDefault="002375F8" w:rsidP="002375F8">
      <w:pPr>
        <w:widowControl w:val="0"/>
        <w:autoSpaceDE w:val="0"/>
        <w:autoSpaceDN w:val="0"/>
        <w:adjustRightInd w:val="0"/>
        <w:ind w:left="1440" w:hanging="1440"/>
        <w:jc w:val="both"/>
        <w:rPr>
          <w:sz w:val="20"/>
          <w:szCs w:val="20"/>
          <w:lang w:val="en-US"/>
        </w:rPr>
      </w:pPr>
      <w:r w:rsidRPr="00621B52">
        <w:rPr>
          <w:i/>
          <w:sz w:val="20"/>
          <w:szCs w:val="20"/>
        </w:rPr>
        <w:lastRenderedPageBreak/>
        <w:t xml:space="preserve">Leighton Hay v. Her Majesty the Queen </w:t>
      </w:r>
      <w:r w:rsidRPr="00621B52">
        <w:rPr>
          <w:sz w:val="20"/>
          <w:szCs w:val="20"/>
        </w:rPr>
        <w:t xml:space="preserve">(Ont.) </w:t>
      </w:r>
      <w:r w:rsidRPr="007368AD">
        <w:rPr>
          <w:sz w:val="20"/>
          <w:szCs w:val="20"/>
          <w:lang w:val="en-US"/>
        </w:rPr>
        <w:t>(</w:t>
      </w:r>
      <w:hyperlink r:id="rId71" w:history="1">
        <w:r w:rsidRPr="007368AD">
          <w:rPr>
            <w:rStyle w:val="Hyperlink"/>
            <w:sz w:val="20"/>
            <w:szCs w:val="20"/>
            <w:lang w:val="en-US"/>
          </w:rPr>
          <w:t>33536</w:t>
        </w:r>
      </w:hyperlink>
      <w:r w:rsidRPr="007368AD">
        <w:rPr>
          <w:sz w:val="20"/>
          <w:szCs w:val="20"/>
          <w:lang w:val="en-US"/>
        </w:rPr>
        <w:t>)</w:t>
      </w:r>
    </w:p>
    <w:p w:rsidR="00E471B3" w:rsidRPr="00E471B3" w:rsidRDefault="00E471B3" w:rsidP="00E471B3">
      <w:pPr>
        <w:jc w:val="both"/>
        <w:rPr>
          <w:b/>
          <w:sz w:val="20"/>
          <w:szCs w:val="20"/>
        </w:rPr>
      </w:pPr>
      <w:r w:rsidRPr="00E471B3">
        <w:rPr>
          <w:b/>
          <w:sz w:val="20"/>
          <w:szCs w:val="20"/>
        </w:rPr>
        <w:t xml:space="preserve">Indexed as:  R. </w:t>
      </w:r>
      <w:r w:rsidRPr="00E471B3">
        <w:rPr>
          <w:b/>
          <w:i/>
          <w:sz w:val="20"/>
          <w:szCs w:val="20"/>
        </w:rPr>
        <w:t>v.</w:t>
      </w:r>
      <w:r w:rsidRPr="00E471B3">
        <w:rPr>
          <w:b/>
          <w:sz w:val="20"/>
          <w:szCs w:val="20"/>
        </w:rPr>
        <w:t xml:space="preserve"> Hay / Répertorié : R. </w:t>
      </w:r>
      <w:r w:rsidRPr="00E471B3">
        <w:rPr>
          <w:b/>
          <w:i/>
          <w:sz w:val="20"/>
          <w:szCs w:val="20"/>
        </w:rPr>
        <w:t>c.</w:t>
      </w:r>
      <w:r w:rsidRPr="00E471B3">
        <w:rPr>
          <w:b/>
          <w:sz w:val="20"/>
          <w:szCs w:val="20"/>
        </w:rPr>
        <w:t xml:space="preserve"> Hay</w:t>
      </w:r>
    </w:p>
    <w:p w:rsidR="00902E51" w:rsidRPr="00352A49" w:rsidRDefault="00902E51" w:rsidP="00902E51">
      <w:pPr>
        <w:pStyle w:val="SCCSystemYear"/>
        <w:jc w:val="both"/>
        <w:rPr>
          <w:sz w:val="20"/>
        </w:rPr>
      </w:pPr>
      <w:r w:rsidRPr="00352A49">
        <w:rPr>
          <w:sz w:val="20"/>
        </w:rPr>
        <w:t>Neutral citation:  2013 SCC </w:t>
      </w:r>
      <w:r w:rsidR="00E471B3">
        <w:rPr>
          <w:sz w:val="20"/>
        </w:rPr>
        <w:t>61</w:t>
      </w:r>
      <w:r w:rsidRPr="00352A49">
        <w:rPr>
          <w:sz w:val="20"/>
        </w:rPr>
        <w:t xml:space="preserve"> / Référence neutre : 2013 CSC </w:t>
      </w:r>
      <w:r w:rsidR="00E471B3">
        <w:rPr>
          <w:sz w:val="20"/>
        </w:rPr>
        <w:t>61</w:t>
      </w:r>
    </w:p>
    <w:p w:rsidR="00902E51" w:rsidRPr="00352A49" w:rsidRDefault="00902E51" w:rsidP="00902E51">
      <w:pPr>
        <w:rPr>
          <w:sz w:val="20"/>
          <w:szCs w:val="20"/>
          <w:lang w:val="fr-CA"/>
        </w:rPr>
      </w:pPr>
      <w:r w:rsidRPr="00352A49">
        <w:rPr>
          <w:sz w:val="20"/>
          <w:szCs w:val="20"/>
          <w:lang w:val="fr-CA"/>
        </w:rPr>
        <w:t xml:space="preserve">Hearing:  </w:t>
      </w:r>
      <w:r w:rsidR="00E471B3">
        <w:rPr>
          <w:sz w:val="20"/>
          <w:szCs w:val="20"/>
          <w:lang w:val="fr-CA"/>
        </w:rPr>
        <w:t>Ap</w:t>
      </w:r>
      <w:r w:rsidRPr="00352A49">
        <w:rPr>
          <w:sz w:val="20"/>
          <w:szCs w:val="20"/>
          <w:lang w:val="fr-CA"/>
        </w:rPr>
        <w:t>r</w:t>
      </w:r>
      <w:r w:rsidR="00E471B3">
        <w:rPr>
          <w:sz w:val="20"/>
          <w:szCs w:val="20"/>
          <w:lang w:val="fr-CA"/>
        </w:rPr>
        <w:t>il</w:t>
      </w:r>
      <w:r w:rsidRPr="00352A49">
        <w:rPr>
          <w:sz w:val="20"/>
          <w:szCs w:val="20"/>
          <w:lang w:val="fr-CA"/>
        </w:rPr>
        <w:t xml:space="preserve"> 2</w:t>
      </w:r>
      <w:r w:rsidR="00E471B3">
        <w:rPr>
          <w:sz w:val="20"/>
          <w:szCs w:val="20"/>
          <w:lang w:val="fr-CA"/>
        </w:rPr>
        <w:t>3</w:t>
      </w:r>
      <w:r w:rsidRPr="00352A49">
        <w:rPr>
          <w:sz w:val="20"/>
          <w:szCs w:val="20"/>
          <w:lang w:val="fr-CA"/>
        </w:rPr>
        <w:t xml:space="preserve">, 2013 / Judgment:  </w:t>
      </w:r>
      <w:r w:rsidR="00E471B3">
        <w:rPr>
          <w:sz w:val="20"/>
          <w:szCs w:val="20"/>
          <w:lang w:val="fr-CA"/>
        </w:rPr>
        <w:t>November 8</w:t>
      </w:r>
      <w:r w:rsidRPr="00352A49">
        <w:rPr>
          <w:sz w:val="20"/>
          <w:szCs w:val="20"/>
          <w:lang w:val="fr-CA"/>
        </w:rPr>
        <w:t>, 2013</w:t>
      </w:r>
    </w:p>
    <w:p w:rsidR="00902E51" w:rsidRPr="003B3977" w:rsidRDefault="00902E51" w:rsidP="00902E51">
      <w:pPr>
        <w:rPr>
          <w:sz w:val="20"/>
          <w:szCs w:val="20"/>
          <w:lang w:val="fr-CA"/>
        </w:rPr>
      </w:pPr>
      <w:r w:rsidRPr="003B3977">
        <w:rPr>
          <w:sz w:val="20"/>
          <w:szCs w:val="20"/>
          <w:lang w:val="fr-CA"/>
        </w:rPr>
        <w:t>Audition : Le 2</w:t>
      </w:r>
      <w:r w:rsidR="00E471B3">
        <w:rPr>
          <w:sz w:val="20"/>
          <w:szCs w:val="20"/>
          <w:lang w:val="fr-CA"/>
        </w:rPr>
        <w:t>3</w:t>
      </w:r>
      <w:r>
        <w:rPr>
          <w:sz w:val="20"/>
          <w:szCs w:val="20"/>
          <w:lang w:val="fr-CA"/>
        </w:rPr>
        <w:t xml:space="preserve"> </w:t>
      </w:r>
      <w:r w:rsidRPr="003B3977">
        <w:rPr>
          <w:sz w:val="20"/>
          <w:szCs w:val="20"/>
          <w:lang w:val="fr-CA"/>
        </w:rPr>
        <w:t>a</w:t>
      </w:r>
      <w:r w:rsidR="00E471B3">
        <w:rPr>
          <w:sz w:val="20"/>
          <w:szCs w:val="20"/>
          <w:lang w:val="fr-CA"/>
        </w:rPr>
        <w:t>v</w:t>
      </w:r>
      <w:r>
        <w:rPr>
          <w:sz w:val="20"/>
          <w:szCs w:val="20"/>
          <w:lang w:val="fr-CA"/>
        </w:rPr>
        <w:t>r</w:t>
      </w:r>
      <w:r w:rsidR="00E471B3">
        <w:rPr>
          <w:sz w:val="20"/>
          <w:szCs w:val="20"/>
          <w:lang w:val="fr-CA"/>
        </w:rPr>
        <w:t>il</w:t>
      </w:r>
      <w:r w:rsidRPr="003B3977">
        <w:rPr>
          <w:sz w:val="20"/>
          <w:szCs w:val="20"/>
          <w:lang w:val="fr-CA"/>
        </w:rPr>
        <w:t xml:space="preserve"> 201</w:t>
      </w:r>
      <w:r>
        <w:rPr>
          <w:sz w:val="20"/>
          <w:szCs w:val="20"/>
          <w:lang w:val="fr-CA"/>
        </w:rPr>
        <w:t>3</w:t>
      </w:r>
      <w:r w:rsidRPr="003B3977">
        <w:rPr>
          <w:sz w:val="20"/>
          <w:szCs w:val="20"/>
          <w:lang w:val="fr-CA"/>
        </w:rPr>
        <w:t xml:space="preserve"> / Jugement : Le </w:t>
      </w:r>
      <w:r w:rsidR="00E471B3">
        <w:rPr>
          <w:sz w:val="20"/>
          <w:szCs w:val="20"/>
          <w:lang w:val="fr-CA"/>
        </w:rPr>
        <w:t>8 nove</w:t>
      </w:r>
      <w:r>
        <w:rPr>
          <w:sz w:val="20"/>
          <w:szCs w:val="20"/>
          <w:lang w:val="fr-CA"/>
        </w:rPr>
        <w:t>m</w:t>
      </w:r>
      <w:r w:rsidR="00E471B3">
        <w:rPr>
          <w:sz w:val="20"/>
          <w:szCs w:val="20"/>
          <w:lang w:val="fr-CA"/>
        </w:rPr>
        <w:t>bre</w:t>
      </w:r>
      <w:r w:rsidRPr="003B3977">
        <w:rPr>
          <w:sz w:val="20"/>
          <w:szCs w:val="20"/>
          <w:lang w:val="fr-CA"/>
        </w:rPr>
        <w:t xml:space="preserve"> 201</w:t>
      </w:r>
      <w:r>
        <w:rPr>
          <w:sz w:val="20"/>
          <w:szCs w:val="20"/>
          <w:lang w:val="fr-CA"/>
        </w:rPr>
        <w:t>3</w:t>
      </w:r>
    </w:p>
    <w:p w:rsidR="005C6840" w:rsidRPr="003B3977" w:rsidRDefault="007368AD" w:rsidP="005C6840">
      <w:pPr>
        <w:rPr>
          <w:sz w:val="20"/>
          <w:szCs w:val="20"/>
          <w:lang w:val="fr-CA"/>
        </w:rPr>
      </w:pPr>
      <w:r>
        <w:rPr>
          <w:i/>
          <w:sz w:val="20"/>
          <w:szCs w:val="20"/>
        </w:rPr>
        <w:pict>
          <v:rect id="_x0000_i1065" style="width:480.95pt;height:1pt" o:hralign="center" o:hrstd="t" o:hrnoshade="t" o:hr="t" fillcolor="black [3213]" stroked="f"/>
        </w:pict>
      </w:r>
    </w:p>
    <w:p w:rsidR="005C6840" w:rsidRPr="003B3977" w:rsidRDefault="005C6840" w:rsidP="005C6840">
      <w:pPr>
        <w:spacing w:line="0" w:lineRule="atLeast"/>
        <w:rPr>
          <w:sz w:val="20"/>
          <w:szCs w:val="20"/>
          <w:lang w:val="fr-CA"/>
        </w:rPr>
      </w:pPr>
    </w:p>
    <w:p w:rsidR="00E471B3" w:rsidRPr="00C74CE6" w:rsidRDefault="00E471B3" w:rsidP="00E471B3">
      <w:pPr>
        <w:jc w:val="both"/>
        <w:rPr>
          <w:sz w:val="20"/>
          <w:szCs w:val="20"/>
        </w:rPr>
      </w:pPr>
      <w:r w:rsidRPr="00C74CE6">
        <w:rPr>
          <w:sz w:val="20"/>
          <w:szCs w:val="20"/>
        </w:rPr>
        <w:t>Present:  McLachlin C.J. and LeBel, Fish, Abella, Rothstein, Cromwell and Wagner JJ.</w:t>
      </w:r>
    </w:p>
    <w:p w:rsidR="00E471B3" w:rsidRDefault="00E471B3" w:rsidP="00E471B3">
      <w:pPr>
        <w:pStyle w:val="SCCLowerCourtNameLowercase"/>
        <w:spacing w:line="240" w:lineRule="auto"/>
        <w:rPr>
          <w:sz w:val="20"/>
        </w:rPr>
      </w:pPr>
    </w:p>
    <w:p w:rsidR="00E471B3" w:rsidRPr="00C74CE6" w:rsidRDefault="00E471B3" w:rsidP="00E471B3">
      <w:pPr>
        <w:pStyle w:val="SCCNormalDoubleSpacing"/>
        <w:spacing w:line="240" w:lineRule="auto"/>
        <w:rPr>
          <w:i/>
          <w:sz w:val="20"/>
        </w:rPr>
      </w:pPr>
      <w:r w:rsidRPr="00C74CE6">
        <w:rPr>
          <w:sz w:val="20"/>
        </w:rPr>
        <w:tab/>
      </w:r>
      <w:r w:rsidRPr="00C74CE6">
        <w:rPr>
          <w:i/>
          <w:sz w:val="20"/>
        </w:rPr>
        <w:t>Criminal law — Charge to Jury — Eyewitness evidence — Whether the trial judge instructed the jury that it could convict the accused based on eyewitness evidence alone — If so, whether such an instruction would constitute an error.</w:t>
      </w:r>
    </w:p>
    <w:p w:rsidR="00E471B3" w:rsidRDefault="00E471B3" w:rsidP="00E471B3">
      <w:pPr>
        <w:pStyle w:val="SCCNormalDoubleSpacing"/>
        <w:spacing w:line="240" w:lineRule="auto"/>
        <w:rPr>
          <w:i/>
          <w:sz w:val="20"/>
        </w:rPr>
      </w:pPr>
    </w:p>
    <w:p w:rsidR="00E471B3" w:rsidRPr="00C74CE6" w:rsidRDefault="00E471B3" w:rsidP="00E471B3">
      <w:pPr>
        <w:pStyle w:val="SCCNormalDoubleSpacing"/>
        <w:spacing w:line="240" w:lineRule="auto"/>
        <w:rPr>
          <w:i/>
          <w:sz w:val="20"/>
        </w:rPr>
      </w:pPr>
      <w:r w:rsidRPr="00C74CE6">
        <w:rPr>
          <w:i/>
          <w:sz w:val="20"/>
        </w:rPr>
        <w:tab/>
        <w:t>Criminal law — Evidence — Fresh Evidence — Hair clipping evidence relied upon by Crown to explain accused’s appearance at time of arrest as well as after</w:t>
      </w:r>
      <w:r w:rsidRPr="00C74CE6">
        <w:rPr>
          <w:i/>
          <w:sz w:val="20"/>
        </w:rPr>
        <w:noBreakHyphen/>
        <w:t>the</w:t>
      </w:r>
      <w:r w:rsidRPr="00C74CE6">
        <w:rPr>
          <w:i/>
          <w:sz w:val="20"/>
        </w:rPr>
        <w:noBreakHyphen/>
        <w:t>fact change of appearance — New forensic evidence reports and testimony to the effect that most hair clippings did not originate from scalp — Whether the accused’s motion to adduce fresh evidence should be granted.</w:t>
      </w:r>
    </w:p>
    <w:p w:rsidR="00E471B3" w:rsidRDefault="00E471B3" w:rsidP="00E471B3">
      <w:pPr>
        <w:pStyle w:val="SCCNormalDoubleSpacing"/>
        <w:spacing w:line="240" w:lineRule="auto"/>
        <w:rPr>
          <w:sz w:val="20"/>
        </w:rPr>
      </w:pPr>
    </w:p>
    <w:p w:rsidR="00E471B3" w:rsidRPr="00C74CE6" w:rsidRDefault="00E471B3" w:rsidP="00E471B3">
      <w:pPr>
        <w:pStyle w:val="SCCNormalDoubleSpacing"/>
        <w:spacing w:line="240" w:lineRule="auto"/>
        <w:rPr>
          <w:sz w:val="20"/>
        </w:rPr>
      </w:pPr>
      <w:r w:rsidRPr="00C74CE6">
        <w:rPr>
          <w:sz w:val="20"/>
        </w:rPr>
        <w:tab/>
        <w:t xml:space="preserve">In the early morning of July 6, 2002, two men, one wearing a blue/green shirt, shot and killed C.M. in a Toronto nightclub.  E was seen leaving the club in a car registered to the appellant H’s mother, with whom H lived.  Multiple witnesses were able to confidently identify E as the shooter.  Given H’s connection to the residence and a database lookup that revealed he had a prior firearm conviction, the police considered him a suspect as well.  L.M., who witnessed the shooting, was shown a lineup which included one photo of H that was taken roughly two years earlier.  When asked about the identity of the shooter in the blue/green shirt, she selected H’s photo.  Three weeks after the shooting, L.M. participated in a second photo lineup which contained the photo of H taken on the day of his arrest.  L.M. did not select any photo from this sequence.  E and H were subsequently charged with the first degree murder of C.M. and the attempted murder of his brother. </w:t>
      </w:r>
    </w:p>
    <w:p w:rsidR="00E471B3" w:rsidRDefault="00E471B3" w:rsidP="00E471B3">
      <w:pPr>
        <w:pStyle w:val="SCCNormalDoubleSpacing"/>
        <w:spacing w:line="240" w:lineRule="auto"/>
        <w:rPr>
          <w:sz w:val="20"/>
        </w:rPr>
      </w:pPr>
    </w:p>
    <w:p w:rsidR="00E471B3" w:rsidRPr="00C74CE6" w:rsidRDefault="00E471B3" w:rsidP="00E471B3">
      <w:pPr>
        <w:pStyle w:val="SCCNormalDoubleSpacing"/>
        <w:spacing w:line="240" w:lineRule="auto"/>
        <w:rPr>
          <w:sz w:val="20"/>
        </w:rPr>
      </w:pPr>
      <w:r w:rsidRPr="00C74CE6">
        <w:rPr>
          <w:sz w:val="20"/>
        </w:rPr>
        <w:tab/>
        <w:t>The Crown’s case against H consisted of testimony from L.M. and four pieces of physical evidence: bullets found in a sock in a laundry hamper in H’s bedroom; a white T</w:t>
      </w:r>
      <w:r w:rsidRPr="00C74CE6">
        <w:rPr>
          <w:sz w:val="20"/>
        </w:rPr>
        <w:noBreakHyphen/>
        <w:t>shirt in the same hamper with one granule of gunshot residue on it; hair clippings from a newspaper in the garbage of the bathroom nearest to H’s bedroom; and hair clippings in an electric razor found in H’s nightstand.  The Crown’s theory was that H shaved his head upon returning home from the shootings.  This was necessary to explain the discrepancy between the eyewitness testimony, which indicated that the second shooter had dreadlocks that were two inches or longer, and the length of H’s hair when he was arrested, which was very short.  It was also used to explain why L.M. was not able to identify H based on the arrest photo shown to her three weeks after the shooting.  The Crown also suggested that the haircut represented an after</w:t>
      </w:r>
      <w:r w:rsidRPr="00C74CE6">
        <w:rPr>
          <w:sz w:val="20"/>
        </w:rPr>
        <w:noBreakHyphen/>
        <w:t>the</w:t>
      </w:r>
      <w:r w:rsidRPr="00C74CE6">
        <w:rPr>
          <w:sz w:val="20"/>
        </w:rPr>
        <w:noBreakHyphen/>
        <w:t>fact attempt by H to change his appearance to cover up his involvement in the shooting.  The jury found E and H guilty of first</w:t>
      </w:r>
      <w:r w:rsidRPr="00C74CE6">
        <w:rPr>
          <w:sz w:val="20"/>
        </w:rPr>
        <w:noBreakHyphen/>
        <w:t xml:space="preserve">degree murder of C.M. and attempted murder of his brother.  In the Court of Appeal, H challenged his conviction on the bases that the jury’s verdict was unreasonable and that the trial judge erred in instructing the jury on eyewitness identification.  The court found that the trial judge did not instruct the jury that it could convict on L.M.’s testimony alone and held that the jury’s verdict was not unreasonable because, despite weaknesses in L.M.’s eyewitness testimony, there was other confirmatory evidence presented to the jury. </w:t>
      </w:r>
    </w:p>
    <w:p w:rsidR="00E471B3" w:rsidRDefault="00E471B3" w:rsidP="00E471B3">
      <w:pPr>
        <w:pStyle w:val="SCCNormalDoubleSpacing"/>
        <w:spacing w:line="240" w:lineRule="auto"/>
        <w:rPr>
          <w:sz w:val="20"/>
        </w:rPr>
      </w:pPr>
    </w:p>
    <w:p w:rsidR="00E471B3" w:rsidRPr="00C74CE6" w:rsidRDefault="00E471B3" w:rsidP="00E471B3">
      <w:pPr>
        <w:pStyle w:val="SCCNormalDoubleSpacing"/>
        <w:spacing w:line="240" w:lineRule="auto"/>
        <w:rPr>
          <w:sz w:val="20"/>
        </w:rPr>
      </w:pPr>
      <w:r w:rsidRPr="00C74CE6">
        <w:rPr>
          <w:sz w:val="20"/>
        </w:rPr>
        <w:tab/>
        <w:t>While the application for leave to appeal was pending before this Court, H filed a motion to compel the Crown to release hair clipping evidence for forensic testing.  H sought to forensically examine the hair clippings to determine from what part of the body the clippings came.  This Court allowed the motion.  H subsequently filed a motion to adduce the reports and testimony of experts who conducted the forensic examination.</w:t>
      </w:r>
    </w:p>
    <w:p w:rsidR="00E471B3" w:rsidRDefault="00E471B3" w:rsidP="00E471B3">
      <w:pPr>
        <w:pStyle w:val="SCCNormalDoubleSpacing"/>
        <w:spacing w:line="240" w:lineRule="auto"/>
        <w:rPr>
          <w:sz w:val="20"/>
        </w:rPr>
      </w:pPr>
    </w:p>
    <w:p w:rsidR="00E471B3" w:rsidRPr="00C74CE6" w:rsidRDefault="00E471B3" w:rsidP="00E471B3">
      <w:pPr>
        <w:pStyle w:val="SCCNormalDoubleSpacing"/>
        <w:spacing w:line="240" w:lineRule="auto"/>
        <w:rPr>
          <w:sz w:val="20"/>
        </w:rPr>
      </w:pPr>
      <w:r w:rsidRPr="00C74CE6">
        <w:rPr>
          <w:sz w:val="20"/>
        </w:rPr>
        <w:tab/>
      </w:r>
      <w:r w:rsidRPr="00C74CE6">
        <w:rPr>
          <w:i/>
          <w:sz w:val="20"/>
        </w:rPr>
        <w:t xml:space="preserve">Held: </w:t>
      </w:r>
      <w:r w:rsidRPr="00C74CE6">
        <w:rPr>
          <w:sz w:val="20"/>
        </w:rPr>
        <w:t xml:space="preserve"> The appeal should be allowed, the motion to adduce fresh evidence should be granted and the matter should be remanded for retrial.</w:t>
      </w:r>
    </w:p>
    <w:p w:rsidR="00E471B3" w:rsidRDefault="00E471B3" w:rsidP="00E471B3">
      <w:pPr>
        <w:pStyle w:val="SCCNormalDoubleSpacing"/>
        <w:spacing w:line="240" w:lineRule="auto"/>
        <w:rPr>
          <w:i/>
          <w:sz w:val="20"/>
        </w:rPr>
      </w:pPr>
    </w:p>
    <w:p w:rsidR="00E471B3" w:rsidRPr="00C74CE6" w:rsidRDefault="00E471B3" w:rsidP="00E471B3">
      <w:pPr>
        <w:pStyle w:val="SCCNormalDoubleSpacing"/>
        <w:spacing w:line="240" w:lineRule="auto"/>
        <w:rPr>
          <w:sz w:val="20"/>
        </w:rPr>
      </w:pPr>
      <w:r w:rsidRPr="00C74CE6">
        <w:rPr>
          <w:i/>
          <w:sz w:val="20"/>
        </w:rPr>
        <w:tab/>
        <w:t>Per</w:t>
      </w:r>
      <w:r w:rsidRPr="00C74CE6">
        <w:rPr>
          <w:sz w:val="20"/>
        </w:rPr>
        <w:t xml:space="preserve"> McLachlin C.J. and LeBel, Abella, </w:t>
      </w:r>
      <w:r w:rsidRPr="00C74CE6">
        <w:rPr>
          <w:b/>
          <w:sz w:val="20"/>
        </w:rPr>
        <w:t>Rothstein</w:t>
      </w:r>
      <w:r w:rsidRPr="00C74CE6">
        <w:rPr>
          <w:sz w:val="20"/>
        </w:rPr>
        <w:t>, Cromwell and Wagner JJ.:  It would have been an error to instruct the jury that it could convict H based on L.M.’s testimony alone.  Where the Crown relies on an eyewitness identification, the trial judge has a duty to caution the jury regarding the well</w:t>
      </w:r>
      <w:r w:rsidRPr="00C74CE6">
        <w:rPr>
          <w:sz w:val="20"/>
        </w:rPr>
        <w:noBreakHyphen/>
        <w:t xml:space="preserve">recognized frailties of identification </w:t>
      </w:r>
      <w:r w:rsidRPr="00C74CE6">
        <w:rPr>
          <w:sz w:val="20"/>
        </w:rPr>
        <w:lastRenderedPageBreak/>
        <w:t>evidence.  However, a properly instructed jury may conclude, notwithstanding the frailties of eyewitness identification, that the eyewitness’ testimony is reliable and may enter a conviction on those grounds.  This may be so even where the Crown has relied on only a single eyewitness.  However, where the Crown’s case consists solely of eyewitness testimony that would necessarily leave reasonable doubt in the mind of a reasonable juror, the trial judge must direct an acquittal upon a motion for directed verdict.  L.M.’s testimony, in and of itself, would not have permitted a reasonable juror to conclude without reasonable doubt that H was one of the shooters and therefore, it would have been an error for the trial judge to instruct the jury that it could convict H based solely on L.M.’s evidence.  While L.M.’s testimony on its own could not have supported an inference of guilt beyond a reasonable doubt, the trial judge’s instruction, read as a whole, did not instruct the jury that it could convict H based solely on her testimony.  Rather, in reviewing L.M.’s testimony, the trial judge described each of the specific problems with her identification and instructed the jury that it must look to confirmatory evidence.  The trial judge was not circumscribed to instruct the jury as to the sufficiency of L.M.’s testimony using any particular words and he must be afforded some latitude in determining the best way to convey to the jury the relevant legal principles and how they apply to the evidence adduced at trial.  The trial judge put great care into his jury charge and, in particular, into the instructions as to eyewitness evidence.  L.M.’s testimony in conjunction with the confirmatory evidence was sufficient to support the conclusion that H was guilty beyond a reasonable doubt and, thus, there was no error in the jury charge.</w:t>
      </w:r>
    </w:p>
    <w:p w:rsidR="00E471B3" w:rsidRDefault="00E471B3" w:rsidP="00E471B3">
      <w:pPr>
        <w:pStyle w:val="SCCNormalDoubleSpacing"/>
        <w:spacing w:line="240" w:lineRule="auto"/>
        <w:rPr>
          <w:sz w:val="20"/>
        </w:rPr>
      </w:pPr>
    </w:p>
    <w:p w:rsidR="00E471B3" w:rsidRPr="00C74CE6" w:rsidRDefault="00E471B3" w:rsidP="00E471B3">
      <w:pPr>
        <w:pStyle w:val="SCCNormalDoubleSpacing"/>
        <w:spacing w:line="240" w:lineRule="auto"/>
        <w:rPr>
          <w:sz w:val="20"/>
        </w:rPr>
      </w:pPr>
      <w:r w:rsidRPr="00C74CE6">
        <w:rPr>
          <w:sz w:val="20"/>
        </w:rPr>
        <w:tab/>
        <w:t>The motion to adduce fresh evidence should be granted and a new trial should be ordered.  H’s fresh evidence consists of affidavits and cross</w:t>
      </w:r>
      <w:r w:rsidRPr="00C74CE6">
        <w:rPr>
          <w:sz w:val="20"/>
        </w:rPr>
        <w:noBreakHyphen/>
        <w:t xml:space="preserve">examinations of two forensic experts, in which each expert provides an opinion as to the percentage of hairs in the newspaper and the razor that came from H’s scalp, as opposed to his face or trunk.  The experts agreed that the samples taken were predominantly facial hairs.  The Crown’s experts conducted a paper review and testified that there was no evidence to support the proposition that the hair clippings represented a head shave.  The overriding consideration upon a motion to adduce fresh evidence is “in the interests of justice” and this requires consideration of the principles enunciated in </w:t>
      </w:r>
      <w:r w:rsidRPr="00C74CE6">
        <w:rPr>
          <w:i/>
          <w:sz w:val="20"/>
        </w:rPr>
        <w:t>Palmer v. The Queen</w:t>
      </w:r>
      <w:r w:rsidRPr="00C74CE6">
        <w:rPr>
          <w:sz w:val="20"/>
        </w:rPr>
        <w:t>.  The Crown has conceded that the expert evidence H seeks to adduce is credible.  Mere lack of knowledge on the part of H’s trial counsel without any indication that he inquired into the possibility of obtaining and presenting the evidence is a factor against admitting the evidence for the first time on appeal.  However, in view of the fact that this is a criminal case, involving charges of the most serious nature, the evidence should not be excluded solely on the basis of a lack of diligence.  It cannot reasonably be disputed that H’s fresh evidence bears on a decisive issue.  The evidence of hair clippings was used to explain the discrepancy between the eyewitness description of the shooter and H’s actual appearance at the time of arrest.  This was also how the Crown explained L.M.’s inability to identify H based on his arrest photo.  The hair clippings were also adduced as evidence that H had attempted an after</w:t>
      </w:r>
      <w:r w:rsidRPr="00C74CE6">
        <w:rPr>
          <w:sz w:val="20"/>
        </w:rPr>
        <w:noBreakHyphen/>
        <w:t>the</w:t>
      </w:r>
      <w:r w:rsidRPr="00C74CE6">
        <w:rPr>
          <w:sz w:val="20"/>
        </w:rPr>
        <w:noBreakHyphen/>
        <w:t>fact change of his appearance.  The evidence was directly relevant to whether H was in fact the shooter in the blue/green shirt.  The fresh evidence that H seeks to admit could reasonably be expected to have affected the jury’s verdict.  The Crown relied heavily on the haircut evidence at trial.  The significance of the hair clippings was also reflected in the jury charge.  The Court of Appeal too recognized that the hair clipping evidence was significant to the Crown’s case and noted that the hair clippings allowed for a powerful inference of guilt.  Given the significance of the haircut to the Crown’s case, the fresh evidence could reasonably be expected to have affected the result.  For these reasons, H’s motion to adduce fresh evidence should be granted.  The appropriate remedy here is a new trial.</w:t>
      </w:r>
    </w:p>
    <w:p w:rsidR="00E471B3" w:rsidRDefault="00E471B3" w:rsidP="00E471B3">
      <w:pPr>
        <w:pStyle w:val="SCCNormalDoubleSpacing"/>
        <w:spacing w:line="240" w:lineRule="auto"/>
        <w:rPr>
          <w:i/>
          <w:sz w:val="20"/>
        </w:rPr>
      </w:pPr>
    </w:p>
    <w:p w:rsidR="00E471B3" w:rsidRPr="00C74CE6" w:rsidRDefault="00E471B3" w:rsidP="00E471B3">
      <w:pPr>
        <w:pStyle w:val="SCCNormalDoubleSpacing"/>
        <w:spacing w:line="240" w:lineRule="auto"/>
        <w:rPr>
          <w:sz w:val="20"/>
        </w:rPr>
      </w:pPr>
      <w:r w:rsidRPr="00C74CE6">
        <w:rPr>
          <w:i/>
          <w:sz w:val="20"/>
        </w:rPr>
        <w:tab/>
        <w:t>Per</w:t>
      </w:r>
      <w:r w:rsidRPr="00C74CE6">
        <w:rPr>
          <w:sz w:val="20"/>
        </w:rPr>
        <w:t xml:space="preserve"> Fish J.:  There is agreement that the appellant’s motion to adduce fresh evidence should be granted, that the appeal should be allowed and that a new trial should be ordered.  However, the trial judge made a fatal error by instructing the jury that it could convict the appellant on the evidence of L.M. alone.  </w:t>
      </w:r>
    </w:p>
    <w:p w:rsidR="00E471B3" w:rsidRDefault="00E471B3" w:rsidP="00E471B3">
      <w:pPr>
        <w:pStyle w:val="SCCNormalDoubleSpacing"/>
        <w:spacing w:line="240" w:lineRule="auto"/>
        <w:rPr>
          <w:sz w:val="20"/>
        </w:rPr>
      </w:pPr>
    </w:p>
    <w:p w:rsidR="00E471B3" w:rsidRDefault="00E471B3" w:rsidP="00E471B3">
      <w:pPr>
        <w:pStyle w:val="SCCNormalDoubleSpacing"/>
        <w:spacing w:line="240" w:lineRule="auto"/>
        <w:rPr>
          <w:sz w:val="20"/>
        </w:rPr>
      </w:pPr>
      <w:r w:rsidRPr="00C74CE6">
        <w:rPr>
          <w:sz w:val="20"/>
        </w:rPr>
        <w:tab/>
        <w:t xml:space="preserve">Crown counsel asked the judge to instruct the jury that they could convict the appellant on the evidence of one eyewitness alone.  Counsel made clear that he was referring specifically to the testimony of L.M..  In his closing address, Crown counsel proceeded on the understanding that the trial judge would charge the jury to that effect. At no point in his charge did the trial judge correct these assertions by the Crown.  Pursuant to the Crown’s closing argument, the jury would thus have assumed that it was entitled to convict the appellant based solely on L.M.’s eyewitness identification.  This misapprehension of the law was reinforced by the trial judge in his instructions to the jury.  Although the trial judge urged caution, he informed the jury in unmistakable terms that the testimony of one eyewitness could properly ground a conviction.  The jury would therefore have understood that this rule applied unless instructed otherwise for a particular witness.  No such instruction was ever given.  On the contrary, the trial judge explained that identification evidence is stronger if the accused was previously known to the witness.  This was indisputably a direct reference to L.M.’s evidence implicating the appellant.  The trial judge’s subsequent instructions regarding L.M.’s </w:t>
      </w:r>
      <w:r w:rsidRPr="00C74CE6">
        <w:rPr>
          <w:sz w:val="20"/>
        </w:rPr>
        <w:lastRenderedPageBreak/>
        <w:t>evidence further reinforced Crown counsel’s uncorrected statement to the jury that they could convict the appellant on her photo identification alone.  It is not possible in light of this record to conclude that the trial judge did not instruct the jury that it could convict the appellant on the evidence of L.M. alone.</w:t>
      </w:r>
    </w:p>
    <w:p w:rsidR="00E471B3" w:rsidRDefault="00E471B3" w:rsidP="00E471B3">
      <w:pPr>
        <w:pStyle w:val="SCCNormalDoubleSpacing"/>
        <w:spacing w:line="240" w:lineRule="auto"/>
        <w:rPr>
          <w:sz w:val="20"/>
        </w:rPr>
      </w:pPr>
    </w:p>
    <w:p w:rsidR="00E471B3" w:rsidRPr="00C74CE6" w:rsidRDefault="00E471B3" w:rsidP="00E471B3">
      <w:pPr>
        <w:pStyle w:val="SCCNormalDoubleSpacing"/>
        <w:spacing w:line="240" w:lineRule="auto"/>
        <w:rPr>
          <w:sz w:val="20"/>
        </w:rPr>
      </w:pPr>
      <w:r w:rsidRPr="00E471B3">
        <w:rPr>
          <w:sz w:val="20"/>
        </w:rPr>
        <w:tab/>
      </w:r>
      <w:r w:rsidRPr="00C74CE6">
        <w:rPr>
          <w:sz w:val="20"/>
        </w:rPr>
        <w:t>APPEAL from a judgment of the Ontario Court of Appeal (Moldaver, Blair and MacFarland JJ.A.), 2009 ONCA 398, 249 O.A.C. 24, [2009] O.J. No. 1904 (QL), 2009 CarswellOnt 2518, affirming the accused’s convictions for first degree murder and attempted murder entered by McCombs J.  Appeal allowed</w:t>
      </w:r>
      <w:r w:rsidRPr="00C74CE6">
        <w:rPr>
          <w:b/>
          <w:sz w:val="20"/>
        </w:rPr>
        <w:t>.</w:t>
      </w:r>
    </w:p>
    <w:p w:rsidR="00E471B3" w:rsidRDefault="00E471B3" w:rsidP="00E471B3">
      <w:pPr>
        <w:pStyle w:val="SCCNormalDoubleSpacing"/>
        <w:spacing w:line="240" w:lineRule="auto"/>
        <w:rPr>
          <w:i/>
          <w:sz w:val="20"/>
        </w:rPr>
      </w:pPr>
    </w:p>
    <w:p w:rsidR="00E471B3" w:rsidRPr="00C74CE6" w:rsidRDefault="00E471B3" w:rsidP="00E471B3">
      <w:pPr>
        <w:pStyle w:val="SCCNormalDoubleSpacing"/>
        <w:spacing w:line="240" w:lineRule="auto"/>
        <w:rPr>
          <w:sz w:val="20"/>
        </w:rPr>
      </w:pPr>
      <w:r w:rsidRPr="00C74CE6">
        <w:rPr>
          <w:i/>
          <w:sz w:val="20"/>
        </w:rPr>
        <w:tab/>
        <w:t>James Lockyer</w:t>
      </w:r>
      <w:r w:rsidRPr="00C74CE6">
        <w:rPr>
          <w:sz w:val="20"/>
        </w:rPr>
        <w:t xml:space="preserve">, </w:t>
      </w:r>
      <w:r w:rsidRPr="00C74CE6">
        <w:rPr>
          <w:i/>
          <w:sz w:val="20"/>
        </w:rPr>
        <w:t>Philip Campbell</w:t>
      </w:r>
      <w:r w:rsidRPr="00C74CE6">
        <w:rPr>
          <w:sz w:val="20"/>
        </w:rPr>
        <w:t xml:space="preserve"> and </w:t>
      </w:r>
      <w:r w:rsidRPr="00C74CE6">
        <w:rPr>
          <w:i/>
          <w:sz w:val="20"/>
        </w:rPr>
        <w:t>Joanne McLean</w:t>
      </w:r>
      <w:r w:rsidRPr="00C74CE6">
        <w:rPr>
          <w:sz w:val="20"/>
        </w:rPr>
        <w:t>, for the appellant.</w:t>
      </w:r>
    </w:p>
    <w:p w:rsidR="00E471B3" w:rsidRDefault="00E471B3" w:rsidP="00E471B3">
      <w:pPr>
        <w:pStyle w:val="SCCNormalDoubleSpacing"/>
        <w:spacing w:line="240" w:lineRule="auto"/>
        <w:rPr>
          <w:i/>
          <w:sz w:val="20"/>
        </w:rPr>
      </w:pPr>
    </w:p>
    <w:p w:rsidR="00E471B3" w:rsidRPr="00C74CE6" w:rsidRDefault="00E471B3" w:rsidP="00E471B3">
      <w:pPr>
        <w:pStyle w:val="SCCNormalDoubleSpacing"/>
        <w:spacing w:line="240" w:lineRule="auto"/>
        <w:rPr>
          <w:sz w:val="20"/>
        </w:rPr>
      </w:pPr>
      <w:r w:rsidRPr="00C74CE6">
        <w:rPr>
          <w:i/>
          <w:sz w:val="20"/>
        </w:rPr>
        <w:tab/>
        <w:t>Susan L. Reid</w:t>
      </w:r>
      <w:r w:rsidRPr="00C74CE6">
        <w:rPr>
          <w:sz w:val="20"/>
        </w:rPr>
        <w:t>, for the respondent.</w:t>
      </w:r>
    </w:p>
    <w:p w:rsidR="00E471B3" w:rsidRDefault="00E471B3" w:rsidP="00E471B3">
      <w:pPr>
        <w:pStyle w:val="SCCLawFirm"/>
        <w:spacing w:line="240" w:lineRule="auto"/>
        <w:rPr>
          <w:sz w:val="20"/>
        </w:rPr>
      </w:pPr>
    </w:p>
    <w:p w:rsidR="00E471B3" w:rsidRPr="00C74CE6" w:rsidRDefault="00E471B3" w:rsidP="00E471B3">
      <w:pPr>
        <w:pStyle w:val="SCCLawFirm"/>
        <w:spacing w:line="240" w:lineRule="auto"/>
        <w:rPr>
          <w:sz w:val="20"/>
        </w:rPr>
      </w:pPr>
      <w:r w:rsidRPr="00C74CE6">
        <w:rPr>
          <w:sz w:val="20"/>
        </w:rPr>
        <w:tab/>
        <w:t>Solicitors for the appellant:  Lockyer Campbell Posner, Toronto; Joanne McLean, Toronto.</w:t>
      </w:r>
    </w:p>
    <w:p w:rsidR="00E471B3" w:rsidRDefault="00E471B3" w:rsidP="00E471B3">
      <w:pPr>
        <w:pStyle w:val="SCCLawFirm"/>
        <w:spacing w:line="240" w:lineRule="auto"/>
        <w:rPr>
          <w:sz w:val="20"/>
        </w:rPr>
      </w:pPr>
    </w:p>
    <w:p w:rsidR="00E471B3" w:rsidRDefault="00E471B3" w:rsidP="00E471B3">
      <w:pPr>
        <w:pStyle w:val="SCCLawFirm"/>
        <w:spacing w:line="240" w:lineRule="auto"/>
        <w:rPr>
          <w:sz w:val="20"/>
        </w:rPr>
      </w:pPr>
      <w:r w:rsidRPr="00C74CE6">
        <w:rPr>
          <w:sz w:val="20"/>
        </w:rPr>
        <w:tab/>
        <w:t>Solicitor for the respondent:  Attorney General of Ontario, Toronto.</w:t>
      </w:r>
    </w:p>
    <w:p w:rsidR="00902E51" w:rsidRPr="00E471B3" w:rsidRDefault="00902E51" w:rsidP="00902E51">
      <w:pPr>
        <w:rPr>
          <w:sz w:val="20"/>
          <w:szCs w:val="20"/>
          <w:lang w:val="fr-CA"/>
        </w:rPr>
      </w:pPr>
      <w:r w:rsidRPr="00E471B3">
        <w:rPr>
          <w:sz w:val="20"/>
          <w:szCs w:val="20"/>
          <w:lang w:val="fr-CA"/>
        </w:rPr>
        <w:t>________________________</w:t>
      </w:r>
    </w:p>
    <w:p w:rsidR="00902E51" w:rsidRPr="00E471B3" w:rsidRDefault="00902E51" w:rsidP="00902E51">
      <w:pPr>
        <w:rPr>
          <w:sz w:val="20"/>
          <w:szCs w:val="20"/>
          <w:lang w:val="fr-CA"/>
        </w:rPr>
      </w:pPr>
    </w:p>
    <w:p w:rsidR="00E471B3" w:rsidRPr="00A005E4" w:rsidRDefault="00E471B3" w:rsidP="00E471B3">
      <w:pPr>
        <w:jc w:val="both"/>
        <w:rPr>
          <w:sz w:val="20"/>
          <w:szCs w:val="20"/>
          <w:lang w:val="fr-CA"/>
        </w:rPr>
      </w:pPr>
      <w:r w:rsidRPr="00A005E4">
        <w:rPr>
          <w:sz w:val="20"/>
          <w:szCs w:val="20"/>
          <w:lang w:val="fr-CA"/>
        </w:rPr>
        <w:t>Présents : La juge en chef McLachlin et les juges LeBel, Fish, Abella, Rothstein, Cromwell et Wagner.</w:t>
      </w:r>
    </w:p>
    <w:p w:rsidR="00E471B3" w:rsidRDefault="00E471B3" w:rsidP="00E471B3">
      <w:pPr>
        <w:jc w:val="both"/>
        <w:rPr>
          <w:smallCaps/>
          <w:sz w:val="20"/>
          <w:lang w:val="fr-CA"/>
        </w:rPr>
      </w:pPr>
    </w:p>
    <w:p w:rsidR="00E471B3" w:rsidRPr="00A005E4" w:rsidRDefault="00E471B3" w:rsidP="00E471B3">
      <w:pPr>
        <w:pStyle w:val="SCCNormalDoubleSpacing"/>
        <w:spacing w:line="240" w:lineRule="auto"/>
        <w:rPr>
          <w:i/>
          <w:sz w:val="20"/>
          <w:lang w:val="fr-CA"/>
        </w:rPr>
      </w:pPr>
      <w:r w:rsidRPr="00A005E4">
        <w:rPr>
          <w:sz w:val="20"/>
          <w:lang w:val="fr-CA"/>
        </w:rPr>
        <w:tab/>
      </w:r>
      <w:r w:rsidRPr="00A005E4">
        <w:rPr>
          <w:i/>
          <w:sz w:val="20"/>
          <w:lang w:val="fr-CA"/>
        </w:rPr>
        <w:t>Droit criminel — Exposé au jury — Déposition d’un témoin oculaire — Le juge du procès a</w:t>
      </w:r>
      <w:r w:rsidRPr="00A005E4">
        <w:rPr>
          <w:i/>
          <w:sz w:val="20"/>
          <w:lang w:val="fr-CA"/>
        </w:rPr>
        <w:noBreakHyphen/>
        <w:t>t</w:t>
      </w:r>
      <w:r w:rsidRPr="00A005E4">
        <w:rPr>
          <w:i/>
          <w:sz w:val="20"/>
          <w:lang w:val="fr-CA"/>
        </w:rPr>
        <w:noBreakHyphen/>
        <w:t>il donné au jury la directive qu’il pouvait déclarer l’accusé coupable sur le seul fondement de la déposition d’un témoin oculaire? — Dans l’affirmative, pareille directive était</w:t>
      </w:r>
      <w:r w:rsidRPr="00A005E4">
        <w:rPr>
          <w:i/>
          <w:sz w:val="20"/>
          <w:lang w:val="fr-CA"/>
        </w:rPr>
        <w:noBreakHyphen/>
        <w:t>elle erronée?</w:t>
      </w:r>
    </w:p>
    <w:p w:rsidR="00E471B3" w:rsidRDefault="00E471B3" w:rsidP="00E471B3">
      <w:pPr>
        <w:pStyle w:val="SCCNormalDoubleSpacing"/>
        <w:spacing w:line="240" w:lineRule="auto"/>
        <w:rPr>
          <w:i/>
          <w:sz w:val="20"/>
          <w:lang w:val="fr-CA"/>
        </w:rPr>
      </w:pPr>
    </w:p>
    <w:p w:rsidR="00E471B3" w:rsidRPr="00A005E4" w:rsidRDefault="00E471B3" w:rsidP="00E471B3">
      <w:pPr>
        <w:pStyle w:val="SCCNormalDoubleSpacing"/>
        <w:spacing w:line="240" w:lineRule="auto"/>
        <w:rPr>
          <w:i/>
          <w:sz w:val="20"/>
          <w:lang w:val="fr-CA"/>
        </w:rPr>
      </w:pPr>
      <w:r w:rsidRPr="00A005E4">
        <w:rPr>
          <w:i/>
          <w:sz w:val="20"/>
          <w:lang w:val="fr-CA"/>
        </w:rPr>
        <w:tab/>
        <w:t>Droit criminel — Preuve — Nouvel élément de preuve — Bouts de poils mis en preuve par le ministère public pour expliquer l’apparence de l’accusé au moment de son arrestation et la modification de son apparence après le fait — Nouveaux rapports et témoignages d’experts en criminalistique indiquant que la plupart des bouts de poils ne provenaient pas du cuir chevelu — Y a</w:t>
      </w:r>
      <w:r w:rsidRPr="00A005E4">
        <w:rPr>
          <w:i/>
          <w:sz w:val="20"/>
          <w:lang w:val="fr-CA"/>
        </w:rPr>
        <w:noBreakHyphen/>
        <w:t>t</w:t>
      </w:r>
      <w:r w:rsidRPr="00A005E4">
        <w:rPr>
          <w:i/>
          <w:sz w:val="20"/>
          <w:lang w:val="fr-CA"/>
        </w:rPr>
        <w:noBreakHyphen/>
        <w:t xml:space="preserve">il lieu d’accueillir la requête de l’accusé en production de nouveaux éléments de preuve? </w:t>
      </w:r>
    </w:p>
    <w:p w:rsidR="00E471B3" w:rsidRDefault="00E471B3" w:rsidP="00E471B3">
      <w:pPr>
        <w:pStyle w:val="SCCNormalDoubleSpacing"/>
        <w:spacing w:line="240" w:lineRule="auto"/>
        <w:rPr>
          <w:sz w:val="20"/>
          <w:lang w:val="fr-CA"/>
        </w:rPr>
      </w:pPr>
    </w:p>
    <w:p w:rsidR="00E471B3" w:rsidRPr="00A005E4" w:rsidRDefault="00E471B3" w:rsidP="00E471B3">
      <w:pPr>
        <w:pStyle w:val="SCCNormalDoubleSpacing"/>
        <w:spacing w:line="240" w:lineRule="auto"/>
        <w:rPr>
          <w:sz w:val="20"/>
          <w:lang w:val="fr-CA"/>
        </w:rPr>
      </w:pPr>
      <w:r w:rsidRPr="00A005E4">
        <w:rPr>
          <w:sz w:val="20"/>
          <w:lang w:val="fr-CA"/>
        </w:rPr>
        <w:tab/>
        <w:t xml:space="preserve">Tôt le matin du 6 juillet 2002, deux hommes, dont un portait une chemise de couleur bleue/verte, ont fait feu sur C.M. dans une boîte de nuit de Toronto et l’ont tué.  E a été vu quittant les lieux dans une voiture immatriculée au nom de la mère de l’appelant H, qui vivait avec elle.  Un bon nombre de témoins ont pu identifier avec assurance E comme le tireur.  Étant donné les liens existant entre H et la résidence, et ses antécédents criminels en matière d’armes à feu, révélés par l’interrogation de bases de données, la police le considérait lui aussi comme un suspect.  Une série de photos comprenant une photo de H prise environ deux ans auparavant a été montrée à L.M., qui avait été témoin de la fusillade.  Quand on a demandé à L.M. d’identifier le tireur à la chemise bleue/verte, elle a désigné la photo de H.  Trois semaines après la fusillade, L.M. a participé à une deuxième séance d’identification photographique.  La série de photos comprenait une photo de H prise le jour de son arrestation, mais L.M. n’a désigné aucune de ces photos.  E et H ont par la suite été accusés du meurtre au premier degré de C.M. et de tentative de meurtre à l’endroit du frère de C.M. </w:t>
      </w:r>
    </w:p>
    <w:p w:rsidR="00E471B3" w:rsidRDefault="00E471B3" w:rsidP="00E471B3">
      <w:pPr>
        <w:pStyle w:val="SCCNormalDoubleSpacing"/>
        <w:spacing w:line="240" w:lineRule="auto"/>
        <w:rPr>
          <w:sz w:val="20"/>
          <w:lang w:val="fr-CA"/>
        </w:rPr>
      </w:pPr>
    </w:p>
    <w:p w:rsidR="00E471B3" w:rsidRPr="00A005E4" w:rsidRDefault="00E471B3" w:rsidP="00E471B3">
      <w:pPr>
        <w:pStyle w:val="SCCNormalDoubleSpacing"/>
        <w:spacing w:line="240" w:lineRule="auto"/>
        <w:rPr>
          <w:sz w:val="20"/>
          <w:lang w:val="fr-CA"/>
        </w:rPr>
      </w:pPr>
      <w:r w:rsidRPr="00A005E4">
        <w:rPr>
          <w:sz w:val="20"/>
          <w:lang w:val="fr-CA"/>
        </w:rPr>
        <w:tab/>
        <w:t>La preuve à charge du ministère public à l’encontre de H était constituée du témoignage de L.M. et de quatre éléments de preuve matérielle : des balles trouvées dans une chaussette retirée d’un panier à linge sale trouvé dans sa chambre; un tee</w:t>
      </w:r>
      <w:r w:rsidRPr="00A005E4">
        <w:rPr>
          <w:sz w:val="20"/>
          <w:lang w:val="fr-CA"/>
        </w:rPr>
        <w:noBreakHyphen/>
        <w:t xml:space="preserve">shirt blanc provenant du même panier à linge et sur lequel il y avait une granule de résidu de poudre; des bouts de poils trouvés dans un journal jeté dans la poubelle de la salle de bain la plus près de la chambre de H; et des bouts de poils provenant d’un rasoir électrique trouvé dans la table de nuit de H.  Selon la thèse du ministère public, H s’était rasé la tête à son retour à la maison après la fusillade.  Il fallait expliquer ainsi pourquoi la longueur des cheveux de H lors de son arrestation — il avait les cheveux très courts — ne correspondait pas à la longueur décrite par le témoin oculaire, selon lequel le second tireur portait des tresses rastas longues d’au moins deux pouces.  Cette thèse devait aussi expliquer pourquoi, trois semaines après la fusillade, L.M. n’avait pas pu identifier H à partir de la photo prise lors son arrestation.  Le ministère public a également soutenu qu’en se coupant les cheveux, H avait tenté, après le fait, de modifier son apparence pour dissimuler son implication dans la fusillade.  Le jury a déclaré E et H coupables du meurtre au premier degré de C.M. et de tentative de meurtre à l’endroit du frère de ce dernier.  En Cour d’appel, H a contesté sa déclaration de culpabilité aux motifs que le verdict du jury était déraisonnable et que le juge du procès avait adressé au jury des directives erronées concernant l’identification par témoin oculaire.  La Cour d’appel a estimé que le juge du procès n’avait pas indiqué au jury qu’il pouvait déclarer H coupable en se fondant sur le seul témoignage de </w:t>
      </w:r>
      <w:r w:rsidRPr="00A005E4">
        <w:rPr>
          <w:sz w:val="20"/>
          <w:lang w:val="fr-CA"/>
        </w:rPr>
        <w:lastRenderedPageBreak/>
        <w:t xml:space="preserve">L.M. et a conclu que, malgré des faiblesses relevées dans la déposition de L.M., le témoin oculaire, le verdict du jury n’était pas déraisonnable parce que d’autres éléments corroborants avaient été présentés au jury.  </w:t>
      </w:r>
    </w:p>
    <w:p w:rsidR="00E471B3" w:rsidRDefault="00E471B3" w:rsidP="00E471B3">
      <w:pPr>
        <w:pStyle w:val="SCCNormalDoubleSpacing"/>
        <w:spacing w:line="240" w:lineRule="auto"/>
        <w:rPr>
          <w:sz w:val="20"/>
          <w:lang w:val="fr-CA"/>
        </w:rPr>
      </w:pPr>
    </w:p>
    <w:p w:rsidR="00E471B3" w:rsidRPr="00A005E4" w:rsidRDefault="00E471B3" w:rsidP="00E471B3">
      <w:pPr>
        <w:pStyle w:val="SCCNormalDoubleSpacing"/>
        <w:spacing w:line="240" w:lineRule="auto"/>
        <w:rPr>
          <w:sz w:val="20"/>
          <w:lang w:val="fr-CA"/>
        </w:rPr>
      </w:pPr>
      <w:r w:rsidRPr="00A005E4">
        <w:rPr>
          <w:sz w:val="20"/>
          <w:lang w:val="fr-CA"/>
        </w:rPr>
        <w:tab/>
        <w:t>Pendant que la demande d’autorisation d’appel devant notre Cour suivait son cours, H a demandé par requête que le ministère public soit tenu de produire, à des fins d’analyse criminalistique, des bouts de poils déposés en preuve lors du procès. L’analyse sollicitée visait à déterminer de quelle partie du corps provenaient ces éléments de preuve.  Notre Cour a accueilli la requête.  Par la suite, H a déposé une requête pour présentation des rapports et des témoignages des experts ayant procédé à l’analyse criminalistique.</w:t>
      </w:r>
    </w:p>
    <w:p w:rsidR="00E471B3" w:rsidRDefault="00E471B3" w:rsidP="00E471B3">
      <w:pPr>
        <w:pStyle w:val="SCCNormalDoubleSpacing"/>
        <w:spacing w:line="240" w:lineRule="auto"/>
        <w:rPr>
          <w:sz w:val="20"/>
          <w:lang w:val="fr-CA"/>
        </w:rPr>
      </w:pPr>
    </w:p>
    <w:p w:rsidR="00E471B3" w:rsidRPr="00A005E4" w:rsidRDefault="00E471B3" w:rsidP="00E471B3">
      <w:pPr>
        <w:pStyle w:val="SCCNormalDoubleSpacing"/>
        <w:spacing w:line="240" w:lineRule="auto"/>
        <w:rPr>
          <w:sz w:val="20"/>
          <w:lang w:val="fr-CA"/>
        </w:rPr>
      </w:pPr>
      <w:r w:rsidRPr="00A005E4">
        <w:rPr>
          <w:sz w:val="20"/>
          <w:lang w:val="fr-CA"/>
        </w:rPr>
        <w:tab/>
      </w:r>
      <w:r w:rsidRPr="00A005E4">
        <w:rPr>
          <w:i/>
          <w:sz w:val="20"/>
          <w:lang w:val="fr-CA"/>
        </w:rPr>
        <w:t>Arrêt</w:t>
      </w:r>
      <w:r w:rsidRPr="00A005E4">
        <w:rPr>
          <w:sz w:val="20"/>
          <w:lang w:val="fr-CA"/>
        </w:rPr>
        <w:t> : Le pourvoi est accueilli, il est fait droit à la requête en production de nouveaux éléments de preuve et l’affaire est renvoyée pour la tenue d’un nouveau procès.</w:t>
      </w:r>
    </w:p>
    <w:p w:rsidR="00E471B3" w:rsidRDefault="00E471B3" w:rsidP="00E471B3">
      <w:pPr>
        <w:pStyle w:val="SCCNormalDoubleSpacing"/>
        <w:spacing w:line="240" w:lineRule="auto"/>
        <w:rPr>
          <w:sz w:val="20"/>
          <w:lang w:val="fr-CA"/>
        </w:rPr>
      </w:pPr>
    </w:p>
    <w:p w:rsidR="00E471B3" w:rsidRPr="00A005E4" w:rsidRDefault="00E471B3" w:rsidP="00E471B3">
      <w:pPr>
        <w:pStyle w:val="SCCNormalDoubleSpacing"/>
        <w:spacing w:line="240" w:lineRule="auto"/>
        <w:rPr>
          <w:sz w:val="20"/>
          <w:lang w:val="fr-CA"/>
        </w:rPr>
      </w:pPr>
      <w:r w:rsidRPr="00A005E4">
        <w:rPr>
          <w:sz w:val="20"/>
          <w:lang w:val="fr-CA"/>
        </w:rPr>
        <w:tab/>
      </w:r>
      <w:r w:rsidRPr="00A005E4">
        <w:rPr>
          <w:i/>
          <w:sz w:val="20"/>
          <w:lang w:val="fr-CA"/>
        </w:rPr>
        <w:t>La</w:t>
      </w:r>
      <w:r w:rsidRPr="00A005E4">
        <w:rPr>
          <w:sz w:val="20"/>
          <w:lang w:val="fr-CA"/>
        </w:rPr>
        <w:t xml:space="preserve"> juge en chef McLachlin et les juges LeBel, Abella, </w:t>
      </w:r>
      <w:r w:rsidRPr="00A005E4">
        <w:rPr>
          <w:b/>
          <w:sz w:val="20"/>
          <w:lang w:val="fr-CA"/>
        </w:rPr>
        <w:t>Rothstein</w:t>
      </w:r>
      <w:r w:rsidRPr="00A005E4">
        <w:rPr>
          <w:sz w:val="20"/>
          <w:lang w:val="fr-CA"/>
        </w:rPr>
        <w:t>, Cromwell et Wagner : Le fait d’expliquer au jury qu’il pouvait déclarer H coupable sur le seul fondement du témoignage de L.M. aurait constitué une erreur.  Lorsque le ministère public a recours à l’identification par témoin oculaire, le juge du procès a l’obligation de mettre le jury en garde au sujet des faiblesses reconnues de la preuve d’identification.  Toutefois, un jury ayant reçu les directives appropriées peut, en dépit des faiblesses de l’identification par témoin oculaire, conclure à la fiabilité de la déposition du témoin oculaire et rendre un verdict de culpabilité sur ce fondement, et ce, même si le ministère public n’a cité qu’un seul témoin oculaire.  Cependant, si la preuve du ministère public consiste uniquement en la déposition d’un témoin oculaire qui soulèverait nécessairement un doute raisonnable dans l’esprit d’un juré raisonnable, le juge du procès saisi d’une demande de verdict imposé doit ordonner un acquittement.  Le témoignage de L.M. n’aurait pas, en lui</w:t>
      </w:r>
      <w:r w:rsidRPr="00A005E4">
        <w:rPr>
          <w:sz w:val="20"/>
          <w:lang w:val="fr-CA"/>
        </w:rPr>
        <w:noBreakHyphen/>
        <w:t>même, permis à un juré raisonnable de conclure hors de tout doute raisonnable que H était l’un des tireurs et, par conséquent, le juge du procès aurait commis une erreur s’il avait donné au jury la directive qu’il pouvait déclarer H coupable sur la seule foi du témoignage de L.M.  La déposition de L.M. ne pouvait, à elle seule, étayer une inférence de culpabilité hors de tout doute raisonnable.  Toutefois, les directives du juge, considérées dans leur ensemble, n’indiquaient pas au jury qu’il pouvait déclarer H coupable sur le seul fondement de ce témoignage.  En passant en revue le témoignage de L.M., le juge a plutôt décrit chacun des problèmes particuliers que posait l’identification qu’elle avait faite et il a donné comme directive au jury qu’il devait rechercher des éléments de preuve corroborants.  Le juge du procès n’était pas obligé de s’en tenir à des termes précis dans ses directives concernant la suffisance du témoignage de L.M.  I</w:t>
      </w:r>
      <w:r w:rsidRPr="00A005E4">
        <w:rPr>
          <w:sz w:val="20"/>
          <w:lang w:val="fr-FR"/>
        </w:rPr>
        <w:t>l faut lui laisser une certaine latitude dans le choix de la meilleure façon d’expliquer aux jurés les principes juridiques appropriés et la façon de les appliquer à la preuve présentée au procès</w:t>
      </w:r>
      <w:r w:rsidRPr="00A005E4">
        <w:rPr>
          <w:sz w:val="20"/>
          <w:lang w:val="fr-CA"/>
        </w:rPr>
        <w:t xml:space="preserve">.  Le juge du procès a apporté beaucoup de soin à son exposé au jury et, plus particulièrement, aux directives concernant la preuve par témoin oculaire.  Jumelé à la preuve corroborante, le témoignage de L.M. était suffisant pour fonder une conclusion de culpabilité hors de tout doute raisonnable et, par conséquent, l’exposé au jury n’était entaché d’aucune erreur. </w:t>
      </w:r>
    </w:p>
    <w:p w:rsidR="00E471B3" w:rsidRDefault="00E471B3" w:rsidP="00E471B3">
      <w:pPr>
        <w:pStyle w:val="SCCNormalDoubleSpacing"/>
        <w:spacing w:line="240" w:lineRule="auto"/>
        <w:rPr>
          <w:sz w:val="20"/>
          <w:lang w:val="fr-CA"/>
        </w:rPr>
      </w:pPr>
    </w:p>
    <w:p w:rsidR="00E471B3" w:rsidRPr="00A005E4" w:rsidRDefault="00E471B3" w:rsidP="00E471B3">
      <w:pPr>
        <w:pStyle w:val="SCCNormalDoubleSpacing"/>
        <w:spacing w:line="240" w:lineRule="auto"/>
        <w:rPr>
          <w:sz w:val="20"/>
          <w:lang w:val="fr-CA"/>
        </w:rPr>
      </w:pPr>
      <w:r w:rsidRPr="00A005E4">
        <w:rPr>
          <w:sz w:val="20"/>
          <w:lang w:val="fr-CA"/>
        </w:rPr>
        <w:tab/>
        <w:t>Il y a lieu d’accueillir la requête en production de nouveaux éléments de preuve et d’ordonner la tenue d’un nouveau procès.  Ces nouveaux éléments de preuve apportés par H se composent des affidavits et des contre</w:t>
      </w:r>
      <w:r w:rsidRPr="00A005E4">
        <w:rPr>
          <w:sz w:val="20"/>
          <w:lang w:val="fr-CA"/>
        </w:rPr>
        <w:noBreakHyphen/>
        <w:t xml:space="preserve">interrogatoires de deux experts en criminalistique exposant leurs avis respectifs concernant le pourcentage de cheveux de H trouvés dans le journal et le rasoir par rapport au pourcentage de poils provenant de son visage ou de son tronc.  Les experts s’entendaient pour dire que les échantillons provenaient principalement de poils faciaux.  Les experts du ministère public ont analysé les rapports et témoigné qu’aucune preuve ne permettait d’affirmer qu’il s’agissait de cheveux.  L’élément prépondérant dans l’examen d’une requête en production de nouveaux éléments de preuve est « l’intérêt de la justice » et il importe à cet égard d’examiner les principes énoncés dans </w:t>
      </w:r>
      <w:r w:rsidRPr="00A005E4">
        <w:rPr>
          <w:i/>
          <w:sz w:val="20"/>
          <w:lang w:val="fr-CA"/>
        </w:rPr>
        <w:t>Palmer c. La Reine</w:t>
      </w:r>
      <w:r w:rsidRPr="00A005E4">
        <w:rPr>
          <w:sz w:val="20"/>
          <w:lang w:val="fr-CA"/>
        </w:rPr>
        <w:t xml:space="preserve">.  Le ministère public a reconnu la plausibilité de l’expertise que H cherche à présenter.  La seule ignorance de la part de l’avocat de H au procès, sans indication qu’il se soit informé de la possibilité d’obtenir et de produire l’élément de preuve, constitue un facteur jouant contre l’admission de l’élément en preuve pour la première fois en appel.  Toutefois, comme il s’agit d’une affaire criminelle portant sur des accusations extrêmement graves, il n’y a pas lieu d’exclure la preuve sur le seul fondement du manque de diligence.  On ne peut raisonnablement contester que le nouvel élément de preuve que veut produire H porte sur une question décisive.  Les bouts de poils mis en preuve ont servi à expliquer pourquoi la description du tireur donnée par le témoin oculaire ne correspondait pas à l’apparence de H au moment de son arrestation.  Ils ont aussi servi à expliquer pourquoi, selon le ministère public, L.M. avait été incapable d’identifier H à partir de la photo prise le jour de son arrestation.  Les bouts de poils avaient également été mis en preuve pour démontrer que H avait tenté, après le fait, de modifier son apparence.  La preuve se rapporte directement à la question de savoir si H était bien le tireur à la chemise bleue/verte.  On peut raisonnablement penser que les nouveaux éléments de preuve que H cherche à faire admettre auraient influé sur le verdict du jury.  Le ministère public s’est fortement </w:t>
      </w:r>
      <w:r w:rsidRPr="00A005E4">
        <w:rPr>
          <w:sz w:val="20"/>
          <w:lang w:val="fr-CA"/>
        </w:rPr>
        <w:lastRenderedPageBreak/>
        <w:t>appuyé au procès sur la preuve relative à la coupe de cheveux.  L’exposé du juge au jury révèle lui aussi l’importance des bouts de poils.  La Cour d’appel a elle aussi reconnu l’importance de la preuve relative aux bouts de poils pour la thèse du ministère public et a fait remarquer que les bouts de poils permettaient de tirer une solide inférence de culpabilité.  Compte tenu de l’importance de la question de la coupe de cheveux pour le ministère public, on peut raisonnablement penser que les nouveaux éléments de preuve auraient influé sur le résultat.  Pour ces motifs, il y a lieu d’accueillir la requête de H en production de nouveaux éléments de preuve.  La tenue d’un nouveau procès constitue la réparation appropriée en l’espèce.</w:t>
      </w:r>
    </w:p>
    <w:p w:rsidR="00E471B3" w:rsidRDefault="00E471B3" w:rsidP="00E471B3">
      <w:pPr>
        <w:pStyle w:val="SCCNormalDoubleSpacing"/>
        <w:spacing w:line="240" w:lineRule="auto"/>
        <w:rPr>
          <w:sz w:val="20"/>
          <w:lang w:val="fr-CA"/>
        </w:rPr>
      </w:pPr>
    </w:p>
    <w:p w:rsidR="00E471B3" w:rsidRPr="00A005E4" w:rsidRDefault="00E471B3" w:rsidP="00E471B3">
      <w:pPr>
        <w:pStyle w:val="SCCNormalDoubleSpacing"/>
        <w:spacing w:line="240" w:lineRule="auto"/>
        <w:rPr>
          <w:sz w:val="20"/>
          <w:lang w:val="fr-CA"/>
        </w:rPr>
      </w:pPr>
      <w:r w:rsidRPr="00A005E4">
        <w:rPr>
          <w:sz w:val="20"/>
          <w:lang w:val="fr-CA"/>
        </w:rPr>
        <w:tab/>
      </w:r>
      <w:r w:rsidRPr="00A005E4">
        <w:rPr>
          <w:i/>
          <w:sz w:val="20"/>
          <w:lang w:val="fr-CA"/>
        </w:rPr>
        <w:t>Le</w:t>
      </w:r>
      <w:r w:rsidRPr="00A005E4">
        <w:rPr>
          <w:sz w:val="20"/>
          <w:lang w:val="fr-CA"/>
        </w:rPr>
        <w:t xml:space="preserve"> juge Fish : On s’entend pour dire qu’il y a lieu de faire droit à la requête de l’appelant en production de nouveaux éléments de preuve, d’accueillir le pourvoi et d’ordonner la tenue d’un nouveau procès.  Le juge du procès a toutefois commis une erreur fatale en disant au jury qu’il pouvait déclarer l’appelant coupable sur la foi du seul témoignage de L.M.   </w:t>
      </w:r>
    </w:p>
    <w:p w:rsidR="00E471B3" w:rsidRDefault="00E471B3" w:rsidP="00E471B3">
      <w:pPr>
        <w:pStyle w:val="SCCNormalDoubleSpacing"/>
        <w:spacing w:line="240" w:lineRule="auto"/>
        <w:rPr>
          <w:sz w:val="20"/>
          <w:lang w:val="fr-CA"/>
        </w:rPr>
      </w:pPr>
    </w:p>
    <w:p w:rsidR="00E471B3" w:rsidRDefault="00E471B3" w:rsidP="00E471B3">
      <w:pPr>
        <w:pStyle w:val="SCCNormalDoubleSpacing"/>
        <w:spacing w:line="240" w:lineRule="auto"/>
        <w:rPr>
          <w:sz w:val="20"/>
          <w:lang w:val="fr-CA"/>
        </w:rPr>
      </w:pPr>
      <w:r w:rsidRPr="00A005E4">
        <w:rPr>
          <w:sz w:val="20"/>
          <w:lang w:val="fr-CA"/>
        </w:rPr>
        <w:tab/>
        <w:t>L’avocat du ministère public a demandé au juge d’expliquer au jury qu’il pouvait déclarer l’appelant coupable sur la base de la déposition d’un seul témoin oculaire.  L’avocat a clairement indiqué qu’il parlait précisément du témoignage de L.M.  Dans sa plaidoirie finale, l’avocat du ministère public s’est exprimé conformément à l’entente suivant laquelle le juge du procès donnerait au jury des directives en ce sens.  Le juge du procès n’a jamais corrigé dans son exposé ces affirmations du ministère public.  Aux termes de la plaidoirie finale du ministère public, le jury aurait ainsi tenu pour acquis qu’il était habilité à déclarer l’appelant coupable en se fondant uniquement sur l’identification faite par L.M., le témoin oculaire.  Le juge du procès a renforcé cette conception erronée du droit dans ses directives adressées au jury.  Bien que le juge du procès ait exhorté le jury à la prudence, il lui a fait savoir sans équivoque que la déposition d’un seul témoin oculaire pouvait fonder une déclaration de culpabilité.  Le jury aurait donc compris que cette règle s’appliquait à moins que le juge lui ait donné une directive contraire à l’égard d’un témoin en particulier.  Aucune directive de la sorte ne lui a été donnée.  Au contraire, le juge du procès a expliqué que la preuve d’identification est plus solide si le témoin connaissait déjà l’accusé.  À n’en pas douter, il renvoyait ainsi directement au témoignage de L.M. impliquant l’appelant.  Les directives subséquentes du juge du procès relatives au témoignage de L.M. ont donné encore plus de poids à la déclaration non corrigée faite par l’avocat du ministère public aux jurés, selon laquelle ils pouvaient déclarer l’appelant coupable sur le seul fondement de son identification par L.M. à partir d’une photo.  Il est impossible de conclure, à la lumière du dossier en l’espèce, que le juge du procès n’a pas expliqué au jury qu’il pouvait déclarer l’appelant coupable sur la foi du seul témoignage de L.M.</w:t>
      </w:r>
    </w:p>
    <w:p w:rsidR="00E471B3" w:rsidRDefault="00E471B3" w:rsidP="00E471B3">
      <w:pPr>
        <w:pStyle w:val="SCCNormalDoubleSpacing"/>
        <w:spacing w:line="240" w:lineRule="auto"/>
        <w:rPr>
          <w:sz w:val="20"/>
          <w:lang w:val="fr-CA"/>
        </w:rPr>
      </w:pPr>
    </w:p>
    <w:p w:rsidR="00E471B3" w:rsidRPr="00A005E4" w:rsidRDefault="00E471B3" w:rsidP="00E471B3">
      <w:pPr>
        <w:pStyle w:val="SCCNormalDoubleSpacing"/>
        <w:spacing w:line="240" w:lineRule="auto"/>
        <w:rPr>
          <w:sz w:val="20"/>
          <w:lang w:val="fr-CA"/>
        </w:rPr>
      </w:pPr>
      <w:r w:rsidRPr="00A005E4">
        <w:rPr>
          <w:sz w:val="20"/>
          <w:lang w:val="fr-CA"/>
        </w:rPr>
        <w:tab/>
        <w:t>POURVOI contre un arrêt de la Cour d’appel de l’Ontario (les juges Moldaver, Blair et MacFarland), 2009 ONCA 398, 249 O.A.C. 24, [2009] O.J. No. 1904 (QL), 2009 CarswellOnt 2518, qui a confirmé les déclarations de culpabilité de l’accusé de meurtre au premier degré et tentative de meurtre inscrites par le juge McCombs.  Pourvoi accueilli.</w:t>
      </w:r>
    </w:p>
    <w:p w:rsidR="00E471B3" w:rsidRDefault="00E471B3" w:rsidP="00E471B3">
      <w:pPr>
        <w:pStyle w:val="SCCNormalDoubleSpacing"/>
        <w:spacing w:line="240" w:lineRule="auto"/>
        <w:rPr>
          <w:i/>
          <w:sz w:val="20"/>
          <w:lang w:val="fr-CA"/>
        </w:rPr>
      </w:pPr>
    </w:p>
    <w:p w:rsidR="00E471B3" w:rsidRPr="00A005E4" w:rsidRDefault="00E471B3" w:rsidP="00E471B3">
      <w:pPr>
        <w:pStyle w:val="SCCNormalDoubleSpacing"/>
        <w:spacing w:line="240" w:lineRule="auto"/>
        <w:rPr>
          <w:sz w:val="20"/>
          <w:lang w:val="fr-CA"/>
        </w:rPr>
      </w:pPr>
      <w:r w:rsidRPr="00A005E4">
        <w:rPr>
          <w:i/>
          <w:sz w:val="20"/>
          <w:lang w:val="fr-CA"/>
        </w:rPr>
        <w:tab/>
        <w:t>James Lockyer</w:t>
      </w:r>
      <w:r w:rsidRPr="00A005E4">
        <w:rPr>
          <w:sz w:val="20"/>
          <w:lang w:val="fr-CA"/>
        </w:rPr>
        <w:t xml:space="preserve">, </w:t>
      </w:r>
      <w:r w:rsidRPr="00A005E4">
        <w:rPr>
          <w:i/>
          <w:sz w:val="20"/>
          <w:lang w:val="fr-CA"/>
        </w:rPr>
        <w:t>Philip Campbell</w:t>
      </w:r>
      <w:r w:rsidRPr="00A005E4">
        <w:rPr>
          <w:sz w:val="20"/>
          <w:lang w:val="fr-CA"/>
        </w:rPr>
        <w:t xml:space="preserve"> et </w:t>
      </w:r>
      <w:r w:rsidRPr="00A005E4">
        <w:rPr>
          <w:i/>
          <w:sz w:val="20"/>
          <w:lang w:val="fr-CA"/>
        </w:rPr>
        <w:t>Joanne McLean</w:t>
      </w:r>
      <w:r w:rsidRPr="00A005E4">
        <w:rPr>
          <w:sz w:val="20"/>
          <w:lang w:val="fr-CA"/>
        </w:rPr>
        <w:t>, pour l’appelant.</w:t>
      </w:r>
    </w:p>
    <w:p w:rsidR="00E471B3" w:rsidRDefault="00E471B3" w:rsidP="00E471B3">
      <w:pPr>
        <w:pStyle w:val="SCCNormalDoubleSpacing"/>
        <w:spacing w:line="240" w:lineRule="auto"/>
        <w:rPr>
          <w:i/>
          <w:sz w:val="20"/>
          <w:lang w:val="fr-CA"/>
        </w:rPr>
      </w:pPr>
    </w:p>
    <w:p w:rsidR="00E471B3" w:rsidRPr="00A005E4" w:rsidRDefault="00E471B3" w:rsidP="00E471B3">
      <w:pPr>
        <w:pStyle w:val="SCCNormalDoubleSpacing"/>
        <w:spacing w:line="240" w:lineRule="auto"/>
        <w:rPr>
          <w:sz w:val="20"/>
          <w:lang w:val="fr-CA"/>
        </w:rPr>
      </w:pPr>
      <w:r w:rsidRPr="00A005E4">
        <w:rPr>
          <w:i/>
          <w:sz w:val="20"/>
          <w:lang w:val="fr-CA"/>
        </w:rPr>
        <w:tab/>
        <w:t>Susan L. Reid</w:t>
      </w:r>
      <w:r w:rsidRPr="00A005E4">
        <w:rPr>
          <w:sz w:val="20"/>
          <w:lang w:val="fr-CA"/>
        </w:rPr>
        <w:t>, pour l’intimée.</w:t>
      </w:r>
    </w:p>
    <w:p w:rsidR="00E471B3" w:rsidRDefault="00E471B3" w:rsidP="00E471B3">
      <w:pPr>
        <w:pStyle w:val="SCCLawFirm"/>
        <w:spacing w:line="240" w:lineRule="auto"/>
        <w:rPr>
          <w:sz w:val="20"/>
          <w:lang w:val="fr-CA"/>
        </w:rPr>
      </w:pPr>
    </w:p>
    <w:p w:rsidR="00E471B3" w:rsidRPr="00A005E4" w:rsidRDefault="00E471B3" w:rsidP="00E471B3">
      <w:pPr>
        <w:pStyle w:val="SCCLawFirm"/>
        <w:spacing w:line="240" w:lineRule="auto"/>
        <w:rPr>
          <w:sz w:val="20"/>
          <w:lang w:val="fr-CA"/>
        </w:rPr>
      </w:pPr>
      <w:r w:rsidRPr="00A005E4">
        <w:rPr>
          <w:sz w:val="20"/>
          <w:lang w:val="fr-CA"/>
        </w:rPr>
        <w:tab/>
        <w:t>Procureurs de l’appelant : Lockyer Campbell Posner, Toronto; Joanne McLean, Toronto.</w:t>
      </w:r>
    </w:p>
    <w:p w:rsidR="00E471B3" w:rsidRDefault="00E471B3" w:rsidP="00E471B3">
      <w:pPr>
        <w:pStyle w:val="SCCLawFirm"/>
        <w:spacing w:line="240" w:lineRule="auto"/>
        <w:rPr>
          <w:sz w:val="20"/>
          <w:lang w:val="fr-CA"/>
        </w:rPr>
      </w:pPr>
    </w:p>
    <w:p w:rsidR="00E471B3" w:rsidRDefault="00E471B3" w:rsidP="00E471B3">
      <w:pPr>
        <w:pStyle w:val="SCCLawFirm"/>
        <w:spacing w:line="240" w:lineRule="auto"/>
        <w:rPr>
          <w:sz w:val="20"/>
          <w:lang w:val="fr-CA"/>
        </w:rPr>
      </w:pPr>
      <w:r w:rsidRPr="00A005E4">
        <w:rPr>
          <w:sz w:val="20"/>
          <w:lang w:val="fr-CA"/>
        </w:rPr>
        <w:tab/>
        <w:t>Procureur de l’intimée : Procureur général de l’Ontario, Toronto.</w:t>
      </w:r>
    </w:p>
    <w:p w:rsidR="00902E51" w:rsidRPr="00352A49" w:rsidRDefault="00902E51" w:rsidP="00902E51">
      <w:pPr>
        <w:rPr>
          <w:sz w:val="20"/>
          <w:szCs w:val="20"/>
          <w:lang w:val="fr-CA"/>
        </w:rPr>
      </w:pPr>
    </w:p>
    <w:p w:rsidR="00902E51" w:rsidRDefault="007368AD" w:rsidP="00902E51">
      <w:pPr>
        <w:rPr>
          <w:rFonts w:cs="Times New Roman"/>
          <w:sz w:val="20"/>
          <w:szCs w:val="20"/>
          <w:lang w:val="fr-CA"/>
        </w:rPr>
      </w:pPr>
      <w:r>
        <w:rPr>
          <w:rFonts w:cs="Times New Roman"/>
          <w:sz w:val="20"/>
          <w:szCs w:val="20"/>
          <w:lang w:val="fr-CA"/>
        </w:rPr>
        <w:pict>
          <v:rect id="_x0000_i1066" style="width:144.3pt;height:1pt" o:hrpct="300" o:hralign="center" o:hrstd="t" o:hrnoshade="t" o:hr="t" fillcolor="black [3213]" stroked="f"/>
        </w:pict>
      </w:r>
    </w:p>
    <w:p w:rsidR="003B3977" w:rsidRPr="003F4721" w:rsidRDefault="003B3977" w:rsidP="003B3977">
      <w:pPr>
        <w:rPr>
          <w:sz w:val="20"/>
          <w:szCs w:val="20"/>
        </w:rPr>
      </w:pPr>
    </w:p>
    <w:p w:rsidR="005C6840" w:rsidRPr="00C50A5C" w:rsidRDefault="005C6840" w:rsidP="005C6840">
      <w:pPr>
        <w:jc w:val="both"/>
        <w:rPr>
          <w:sz w:val="20"/>
          <w:szCs w:val="20"/>
        </w:rPr>
      </w:pPr>
    </w:p>
    <w:p w:rsidR="00102926" w:rsidRPr="00C50A5C" w:rsidRDefault="00102926" w:rsidP="00782AE4">
      <w:pPr>
        <w:jc w:val="both"/>
        <w:rPr>
          <w:sz w:val="20"/>
          <w:szCs w:val="20"/>
        </w:rPr>
        <w:sectPr w:rsidR="00102926" w:rsidRPr="00C50A5C" w:rsidSect="00782AE4">
          <w:headerReference w:type="even" r:id="rId72"/>
          <w:headerReference w:type="default" r:id="rId73"/>
          <w:footerReference w:type="even" r:id="rId74"/>
          <w:footerReference w:type="default" r:id="rId75"/>
          <w:headerReference w:type="first" r:id="rId76"/>
          <w:footerReference w:type="first" r:id="rId77"/>
          <w:pgSz w:w="12240" w:h="15840"/>
          <w:pgMar w:top="720" w:right="965" w:bottom="1080" w:left="1656" w:header="576" w:footer="960" w:gutter="0"/>
          <w:cols w:space="720"/>
          <w:titlePg/>
          <w:docGrid w:linePitch="272"/>
        </w:sectPr>
      </w:pPr>
    </w:p>
    <w:p w:rsidR="0081610A" w:rsidRPr="002E0C7E" w:rsidRDefault="00047631" w:rsidP="0081610A">
      <w:pPr>
        <w:widowControl w:val="0"/>
        <w:spacing w:line="180" w:lineRule="auto"/>
        <w:jc w:val="center"/>
        <w:rPr>
          <w:rFonts w:asciiTheme="minorHAnsi" w:hAnsiTheme="minorHAnsi" w:cstheme="minorHAnsi"/>
          <w:b/>
          <w:szCs w:val="24"/>
        </w:rPr>
      </w:pPr>
      <w:r w:rsidRPr="002E0C7E">
        <w:rPr>
          <w:rFonts w:asciiTheme="minorHAnsi" w:hAnsiTheme="minorHAnsi" w:cstheme="minorHAnsi"/>
          <w:b/>
          <w:szCs w:val="24"/>
        </w:rPr>
        <w:lastRenderedPageBreak/>
        <w:fldChar w:fldCharType="begin"/>
      </w:r>
      <w:r w:rsidR="0081610A" w:rsidRPr="002E0C7E">
        <w:rPr>
          <w:rFonts w:asciiTheme="minorHAnsi" w:hAnsiTheme="minorHAnsi" w:cstheme="minorHAnsi"/>
          <w:b/>
          <w:szCs w:val="24"/>
        </w:rPr>
        <w:instrText xml:space="preserve"> SEQ CHAPTER \h \r 1</w:instrText>
      </w:r>
      <w:r w:rsidRPr="002E0C7E">
        <w:rPr>
          <w:rFonts w:asciiTheme="minorHAnsi" w:hAnsiTheme="minorHAnsi" w:cstheme="minorHAnsi"/>
          <w:b/>
          <w:szCs w:val="24"/>
        </w:rPr>
        <w:fldChar w:fldCharType="end"/>
      </w:r>
      <w:r w:rsidR="0081610A" w:rsidRPr="002E0C7E">
        <w:rPr>
          <w:rFonts w:asciiTheme="minorHAnsi" w:hAnsiTheme="minorHAnsi" w:cstheme="minorHAnsi"/>
          <w:b/>
          <w:szCs w:val="24"/>
        </w:rPr>
        <w:t xml:space="preserve">SUPREME COURT OF CANADA SCHEDULE / </w:t>
      </w:r>
      <w:r w:rsidR="0081610A" w:rsidRPr="00743E53">
        <w:rPr>
          <w:rFonts w:asciiTheme="minorHAnsi" w:hAnsiTheme="minorHAnsi" w:cstheme="minorHAnsi"/>
          <w:b/>
          <w:szCs w:val="24"/>
          <w:lang w:val="fr-CA"/>
        </w:rPr>
        <w:t>CALENDRIER DE LA COUR SUPR</w:t>
      </w:r>
      <w:r w:rsidR="0081610A">
        <w:rPr>
          <w:rFonts w:asciiTheme="minorHAnsi" w:hAnsiTheme="minorHAnsi" w:cstheme="minorHAnsi"/>
          <w:b/>
          <w:szCs w:val="24"/>
          <w:lang w:val="fr-CA"/>
        </w:rPr>
        <w:t>Ê</w:t>
      </w:r>
      <w:r w:rsidR="0081610A" w:rsidRPr="00743E53">
        <w:rPr>
          <w:rFonts w:asciiTheme="minorHAnsi" w:hAnsiTheme="minorHAnsi" w:cstheme="minorHAnsi"/>
          <w:b/>
          <w:szCs w:val="24"/>
          <w:lang w:val="fr-CA"/>
        </w:rPr>
        <w:t>ME</w:t>
      </w:r>
    </w:p>
    <w:p w:rsidR="0081610A" w:rsidRPr="002E0C7E" w:rsidRDefault="0081610A" w:rsidP="0081610A">
      <w:pPr>
        <w:widowControl w:val="0"/>
        <w:spacing w:line="180" w:lineRule="auto"/>
        <w:rPr>
          <w:rFonts w:asciiTheme="minorHAnsi" w:hAnsiTheme="minorHAnsi" w:cstheme="minorHAnsi"/>
          <w:szCs w:val="24"/>
        </w:rPr>
      </w:pPr>
    </w:p>
    <w:p w:rsidR="0081610A" w:rsidRPr="002E0C7E" w:rsidRDefault="0081610A" w:rsidP="0081610A">
      <w:pPr>
        <w:widowControl w:val="0"/>
        <w:tabs>
          <w:tab w:val="center" w:pos="5400"/>
          <w:tab w:val="right" w:pos="10440"/>
        </w:tabs>
        <w:rPr>
          <w:rFonts w:ascii="Arial" w:hAnsi="Arial"/>
          <w:sz w:val="18"/>
        </w:rPr>
      </w:pPr>
      <w:r w:rsidRPr="002E0C7E">
        <w:rPr>
          <w:rFonts w:ascii="Arial" w:hAnsi="Arial"/>
          <w:sz w:val="18"/>
        </w:rPr>
        <w:tab/>
      </w:r>
      <w:r w:rsidRPr="002E0C7E">
        <w:rPr>
          <w:rFonts w:ascii="Arial" w:hAnsi="Arial"/>
          <w:i/>
          <w:sz w:val="36"/>
        </w:rPr>
        <w:t xml:space="preserve">- </w:t>
      </w:r>
      <w:r w:rsidRPr="002E0C7E">
        <w:rPr>
          <w:rFonts w:ascii="Arial" w:hAnsi="Arial"/>
          <w:b/>
          <w:i/>
          <w:sz w:val="36"/>
        </w:rPr>
        <w:t>201</w:t>
      </w:r>
      <w:r>
        <w:rPr>
          <w:rFonts w:ascii="Arial" w:hAnsi="Arial"/>
          <w:b/>
          <w:i/>
          <w:sz w:val="36"/>
        </w:rPr>
        <w:t>3</w:t>
      </w:r>
      <w:r w:rsidRPr="002E0C7E">
        <w:rPr>
          <w:rFonts w:ascii="Arial" w:hAnsi="Arial"/>
          <w:i/>
          <w:sz w:val="36"/>
        </w:rPr>
        <w:t xml:space="preserve"> -</w:t>
      </w:r>
      <w:r w:rsidRPr="002E0C7E">
        <w:rPr>
          <w:rFonts w:ascii="Arial" w:hAnsi="Arial"/>
          <w:sz w:val="18"/>
        </w:rPr>
        <w:tab/>
      </w:r>
    </w:p>
    <w:tbl>
      <w:tblPr>
        <w:tblW w:w="10797" w:type="dxa"/>
        <w:jc w:val="center"/>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469"/>
        <w:gridCol w:w="469"/>
        <w:gridCol w:w="470"/>
        <w:gridCol w:w="469"/>
        <w:gridCol w:w="470"/>
        <w:gridCol w:w="469"/>
        <w:gridCol w:w="470"/>
        <w:gridCol w:w="469"/>
        <w:gridCol w:w="469"/>
        <w:gridCol w:w="470"/>
        <w:gridCol w:w="469"/>
        <w:gridCol w:w="470"/>
        <w:gridCol w:w="469"/>
        <w:gridCol w:w="470"/>
        <w:gridCol w:w="469"/>
        <w:gridCol w:w="469"/>
        <w:gridCol w:w="470"/>
        <w:gridCol w:w="469"/>
        <w:gridCol w:w="470"/>
        <w:gridCol w:w="469"/>
        <w:gridCol w:w="470"/>
        <w:gridCol w:w="469"/>
        <w:gridCol w:w="470"/>
      </w:tblGrid>
      <w:tr w:rsidR="0081610A" w:rsidRPr="002E0C7E" w:rsidTr="00DB0773">
        <w:trPr>
          <w:cantSplit/>
          <w:jc w:val="center"/>
        </w:trPr>
        <w:tc>
          <w:tcPr>
            <w:tcW w:w="3286" w:type="dxa"/>
            <w:gridSpan w:val="7"/>
            <w:tcBorders>
              <w:top w:val="double" w:sz="6" w:space="0" w:color="000000"/>
              <w:left w:val="double" w:sz="6" w:space="0" w:color="000000"/>
              <w:bottom w:val="double" w:sz="8" w:space="0" w:color="000000"/>
              <w:right w:val="double" w:sz="6" w:space="0" w:color="000000"/>
            </w:tcBorders>
            <w:shd w:val="pct30" w:color="000000" w:fill="auto"/>
            <w:tcMar>
              <w:top w:w="72" w:type="dxa"/>
              <w:left w:w="0" w:type="dxa"/>
              <w:bottom w:w="72" w:type="dxa"/>
              <w:right w:w="0" w:type="dxa"/>
            </w:tcMar>
          </w:tcPr>
          <w:p w:rsidR="0081610A" w:rsidRPr="002E0C7E" w:rsidRDefault="0081610A" w:rsidP="00DB0773">
            <w:pPr>
              <w:widowControl w:val="0"/>
              <w:jc w:val="center"/>
              <w:rPr>
                <w:rFonts w:ascii="Arial" w:hAnsi="Arial"/>
                <w:sz w:val="14"/>
              </w:rPr>
            </w:pPr>
            <w:r w:rsidRPr="002E0C7E">
              <w:rPr>
                <w:rFonts w:ascii="Arial" w:hAnsi="Arial"/>
                <w:b/>
                <w:sz w:val="14"/>
              </w:rPr>
              <w:t>OCTOBER - OCTOBRE</w:t>
            </w:r>
          </w:p>
        </w:tc>
        <w:tc>
          <w:tcPr>
            <w:tcW w:w="469" w:type="dxa"/>
            <w:tcBorders>
              <w:top w:val="nil"/>
              <w:left w:val="double" w:sz="6" w:space="0" w:color="000000"/>
              <w:bottom w:val="nil"/>
              <w:right w:val="double" w:sz="6" w:space="0" w:color="000000"/>
            </w:tcBorders>
            <w:tcMar>
              <w:top w:w="72" w:type="dxa"/>
              <w:left w:w="0" w:type="dxa"/>
              <w:bottom w:w="72" w:type="dxa"/>
              <w:right w:w="0" w:type="dxa"/>
            </w:tcMar>
          </w:tcPr>
          <w:p w:rsidR="0081610A" w:rsidRPr="002E0C7E" w:rsidRDefault="0081610A" w:rsidP="00DB0773">
            <w:pPr>
              <w:widowControl w:val="0"/>
              <w:jc w:val="center"/>
              <w:rPr>
                <w:rFonts w:ascii="Arial" w:hAnsi="Arial"/>
                <w:sz w:val="14"/>
              </w:rPr>
            </w:pPr>
          </w:p>
        </w:tc>
        <w:tc>
          <w:tcPr>
            <w:tcW w:w="3286" w:type="dxa"/>
            <w:gridSpan w:val="7"/>
            <w:tcBorders>
              <w:top w:val="double" w:sz="6" w:space="0" w:color="000000"/>
              <w:left w:val="double" w:sz="6" w:space="0" w:color="000000"/>
              <w:bottom w:val="double" w:sz="8" w:space="0" w:color="000000"/>
              <w:right w:val="double" w:sz="6" w:space="0" w:color="000000"/>
            </w:tcBorders>
            <w:shd w:val="pct30" w:color="000000" w:fill="auto"/>
            <w:tcMar>
              <w:top w:w="72" w:type="dxa"/>
              <w:left w:w="0" w:type="dxa"/>
              <w:bottom w:w="72" w:type="dxa"/>
              <w:right w:w="0" w:type="dxa"/>
            </w:tcMar>
          </w:tcPr>
          <w:p w:rsidR="0081610A" w:rsidRPr="002E0C7E" w:rsidRDefault="0081610A" w:rsidP="00DB0773">
            <w:pPr>
              <w:widowControl w:val="0"/>
              <w:jc w:val="center"/>
              <w:rPr>
                <w:rFonts w:ascii="Arial" w:hAnsi="Arial"/>
                <w:sz w:val="14"/>
              </w:rPr>
            </w:pPr>
            <w:r w:rsidRPr="002E0C7E">
              <w:rPr>
                <w:rFonts w:ascii="Arial" w:hAnsi="Arial"/>
                <w:b/>
                <w:sz w:val="14"/>
              </w:rPr>
              <w:t>NOVEMBER - NOVEMBRE</w:t>
            </w:r>
          </w:p>
        </w:tc>
        <w:tc>
          <w:tcPr>
            <w:tcW w:w="469" w:type="dxa"/>
            <w:tcBorders>
              <w:top w:val="nil"/>
              <w:left w:val="double" w:sz="6" w:space="0" w:color="000000"/>
              <w:bottom w:val="nil"/>
              <w:right w:val="double" w:sz="6" w:space="0" w:color="000000"/>
            </w:tcBorders>
            <w:tcMar>
              <w:top w:w="72" w:type="dxa"/>
              <w:left w:w="0" w:type="dxa"/>
              <w:bottom w:w="72" w:type="dxa"/>
              <w:right w:w="0" w:type="dxa"/>
            </w:tcMar>
          </w:tcPr>
          <w:p w:rsidR="0081610A" w:rsidRPr="002E0C7E" w:rsidRDefault="0081610A" w:rsidP="00DB0773">
            <w:pPr>
              <w:widowControl w:val="0"/>
              <w:jc w:val="center"/>
              <w:rPr>
                <w:rFonts w:ascii="Arial" w:hAnsi="Arial"/>
                <w:sz w:val="14"/>
              </w:rPr>
            </w:pPr>
          </w:p>
        </w:tc>
        <w:tc>
          <w:tcPr>
            <w:tcW w:w="3287" w:type="dxa"/>
            <w:gridSpan w:val="7"/>
            <w:tcBorders>
              <w:top w:val="double" w:sz="6" w:space="0" w:color="000000"/>
              <w:left w:val="double" w:sz="6" w:space="0" w:color="000000"/>
              <w:bottom w:val="double" w:sz="8" w:space="0" w:color="000000"/>
              <w:right w:val="double" w:sz="6" w:space="0" w:color="000000"/>
            </w:tcBorders>
            <w:shd w:val="pct30" w:color="000000" w:fill="auto"/>
            <w:tcMar>
              <w:top w:w="72" w:type="dxa"/>
              <w:left w:w="0" w:type="dxa"/>
              <w:bottom w:w="72" w:type="dxa"/>
              <w:right w:w="0" w:type="dxa"/>
            </w:tcMar>
          </w:tcPr>
          <w:p w:rsidR="0081610A" w:rsidRPr="002E0C7E" w:rsidRDefault="0081610A" w:rsidP="00DB0773">
            <w:pPr>
              <w:widowControl w:val="0"/>
              <w:jc w:val="center"/>
              <w:rPr>
                <w:rFonts w:ascii="Arial" w:hAnsi="Arial"/>
                <w:sz w:val="14"/>
              </w:rPr>
            </w:pPr>
            <w:r w:rsidRPr="002E0C7E">
              <w:rPr>
                <w:rFonts w:ascii="Arial" w:hAnsi="Arial"/>
                <w:b/>
                <w:sz w:val="14"/>
              </w:rPr>
              <w:t>DECEMBER - DÉCEMBRE</w:t>
            </w:r>
          </w:p>
        </w:tc>
      </w:tr>
      <w:tr w:rsidR="0081610A" w:rsidRPr="002E0C7E" w:rsidTr="00DB0773">
        <w:trPr>
          <w:cantSplit/>
          <w:trHeight w:val="288"/>
          <w:jc w:val="center"/>
        </w:trPr>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r w:rsidRPr="002E0C7E">
              <w:rPr>
                <w:rFonts w:ascii="Arial" w:hAnsi="Arial"/>
                <w:sz w:val="14"/>
              </w:rPr>
              <w:t>S</w:t>
            </w:r>
          </w:p>
          <w:p w:rsidR="0081610A" w:rsidRPr="002E0C7E" w:rsidRDefault="0081610A" w:rsidP="00DB0773">
            <w:pPr>
              <w:widowControl w:val="0"/>
              <w:jc w:val="center"/>
              <w:rPr>
                <w:rFonts w:ascii="Arial" w:hAnsi="Arial"/>
                <w:sz w:val="14"/>
              </w:rPr>
            </w:pPr>
            <w:r w:rsidRPr="002E0C7E">
              <w:rPr>
                <w:rFonts w:ascii="Arial" w:hAnsi="Arial"/>
                <w:sz w:val="14"/>
              </w:rPr>
              <w:t>D</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r w:rsidRPr="002E0C7E">
              <w:rPr>
                <w:rFonts w:ascii="Arial" w:hAnsi="Arial"/>
                <w:sz w:val="14"/>
              </w:rPr>
              <w:t>M</w:t>
            </w:r>
          </w:p>
          <w:p w:rsidR="0081610A" w:rsidRPr="002E0C7E" w:rsidRDefault="0081610A" w:rsidP="00DB0773">
            <w:pPr>
              <w:widowControl w:val="0"/>
              <w:jc w:val="center"/>
              <w:rPr>
                <w:rFonts w:ascii="Arial" w:hAnsi="Arial"/>
                <w:sz w:val="14"/>
              </w:rPr>
            </w:pPr>
            <w:r w:rsidRPr="002E0C7E">
              <w:rPr>
                <w:rFonts w:ascii="Arial" w:hAnsi="Arial"/>
                <w:sz w:val="14"/>
              </w:rPr>
              <w:t>L</w:t>
            </w:r>
          </w:p>
        </w:tc>
        <w:tc>
          <w:tcPr>
            <w:tcW w:w="47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r w:rsidRPr="002E0C7E">
              <w:rPr>
                <w:rFonts w:ascii="Arial" w:hAnsi="Arial"/>
                <w:sz w:val="14"/>
              </w:rPr>
              <w:t>T</w:t>
            </w:r>
          </w:p>
          <w:p w:rsidR="0081610A" w:rsidRPr="002E0C7E" w:rsidRDefault="0081610A" w:rsidP="00DB0773">
            <w:pPr>
              <w:widowControl w:val="0"/>
              <w:jc w:val="center"/>
              <w:rPr>
                <w:rFonts w:ascii="Arial" w:hAnsi="Arial"/>
                <w:sz w:val="14"/>
              </w:rPr>
            </w:pPr>
            <w:r w:rsidRPr="002E0C7E">
              <w:rPr>
                <w:rFonts w:ascii="Arial" w:hAnsi="Arial"/>
                <w:sz w:val="14"/>
              </w:rPr>
              <w:t>M</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r w:rsidRPr="002E0C7E">
              <w:rPr>
                <w:rFonts w:ascii="Arial" w:hAnsi="Arial"/>
                <w:sz w:val="14"/>
              </w:rPr>
              <w:t>W</w:t>
            </w:r>
          </w:p>
          <w:p w:rsidR="0081610A" w:rsidRPr="002E0C7E" w:rsidRDefault="0081610A" w:rsidP="00DB0773">
            <w:pPr>
              <w:widowControl w:val="0"/>
              <w:jc w:val="center"/>
              <w:rPr>
                <w:rFonts w:ascii="Arial" w:hAnsi="Arial"/>
                <w:sz w:val="14"/>
              </w:rPr>
            </w:pPr>
            <w:r w:rsidRPr="002E0C7E">
              <w:rPr>
                <w:rFonts w:ascii="Arial" w:hAnsi="Arial"/>
                <w:sz w:val="14"/>
              </w:rPr>
              <w:t>M</w:t>
            </w:r>
          </w:p>
        </w:tc>
        <w:tc>
          <w:tcPr>
            <w:tcW w:w="47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r w:rsidRPr="002E0C7E">
              <w:rPr>
                <w:rFonts w:ascii="Arial" w:hAnsi="Arial"/>
                <w:sz w:val="14"/>
              </w:rPr>
              <w:t>T</w:t>
            </w:r>
          </w:p>
          <w:p w:rsidR="0081610A" w:rsidRPr="002E0C7E" w:rsidRDefault="0081610A" w:rsidP="00DB0773">
            <w:pPr>
              <w:widowControl w:val="0"/>
              <w:jc w:val="center"/>
              <w:rPr>
                <w:rFonts w:ascii="Arial" w:hAnsi="Arial"/>
                <w:sz w:val="14"/>
              </w:rPr>
            </w:pPr>
            <w:r w:rsidRPr="002E0C7E">
              <w:rPr>
                <w:rFonts w:ascii="Arial" w:hAnsi="Arial"/>
                <w:sz w:val="14"/>
              </w:rPr>
              <w:t>J</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r w:rsidRPr="002E0C7E">
              <w:rPr>
                <w:rFonts w:ascii="Arial" w:hAnsi="Arial"/>
                <w:sz w:val="14"/>
              </w:rPr>
              <w:t>F</w:t>
            </w:r>
          </w:p>
          <w:p w:rsidR="0081610A" w:rsidRPr="002E0C7E" w:rsidRDefault="0081610A" w:rsidP="00DB0773">
            <w:pPr>
              <w:widowControl w:val="0"/>
              <w:jc w:val="center"/>
              <w:rPr>
                <w:rFonts w:ascii="Arial" w:hAnsi="Arial"/>
                <w:sz w:val="14"/>
              </w:rPr>
            </w:pPr>
            <w:r w:rsidRPr="002E0C7E">
              <w:rPr>
                <w:rFonts w:ascii="Arial" w:hAnsi="Arial"/>
                <w:sz w:val="14"/>
              </w:rPr>
              <w:t>V</w:t>
            </w:r>
          </w:p>
        </w:tc>
        <w:tc>
          <w:tcPr>
            <w:tcW w:w="470"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r w:rsidRPr="002E0C7E">
              <w:rPr>
                <w:rFonts w:ascii="Arial" w:hAnsi="Arial"/>
                <w:sz w:val="14"/>
              </w:rPr>
              <w:t>S</w:t>
            </w:r>
          </w:p>
          <w:p w:rsidR="0081610A" w:rsidRPr="002E0C7E" w:rsidRDefault="0081610A" w:rsidP="00DB0773">
            <w:pPr>
              <w:widowControl w:val="0"/>
              <w:jc w:val="center"/>
              <w:rPr>
                <w:rFonts w:ascii="Arial" w:hAnsi="Arial"/>
                <w:sz w:val="14"/>
              </w:rPr>
            </w:pPr>
            <w:r w:rsidRPr="002E0C7E">
              <w:rPr>
                <w:rFonts w:ascii="Arial" w:hAnsi="Arial"/>
                <w:sz w:val="14"/>
              </w:rPr>
              <w:t>S</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r w:rsidRPr="002E0C7E">
              <w:rPr>
                <w:rFonts w:ascii="Arial" w:hAnsi="Arial"/>
                <w:sz w:val="14"/>
              </w:rPr>
              <w:t>S</w:t>
            </w:r>
          </w:p>
          <w:p w:rsidR="0081610A" w:rsidRPr="002E0C7E" w:rsidRDefault="0081610A" w:rsidP="00DB0773">
            <w:pPr>
              <w:widowControl w:val="0"/>
              <w:jc w:val="center"/>
              <w:rPr>
                <w:rFonts w:ascii="Arial" w:hAnsi="Arial"/>
                <w:sz w:val="14"/>
              </w:rPr>
            </w:pPr>
            <w:r w:rsidRPr="002E0C7E">
              <w:rPr>
                <w:rFonts w:ascii="Arial" w:hAnsi="Arial"/>
                <w:sz w:val="14"/>
              </w:rPr>
              <w:t>D</w:t>
            </w:r>
          </w:p>
        </w:tc>
        <w:tc>
          <w:tcPr>
            <w:tcW w:w="47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r w:rsidRPr="002E0C7E">
              <w:rPr>
                <w:rFonts w:ascii="Arial" w:hAnsi="Arial"/>
                <w:sz w:val="14"/>
              </w:rPr>
              <w:t>M</w:t>
            </w:r>
          </w:p>
          <w:p w:rsidR="0081610A" w:rsidRPr="002E0C7E" w:rsidRDefault="0081610A" w:rsidP="00DB0773">
            <w:pPr>
              <w:widowControl w:val="0"/>
              <w:jc w:val="center"/>
              <w:rPr>
                <w:rFonts w:ascii="Arial" w:hAnsi="Arial"/>
                <w:sz w:val="14"/>
              </w:rPr>
            </w:pPr>
            <w:r w:rsidRPr="002E0C7E">
              <w:rPr>
                <w:rFonts w:ascii="Arial" w:hAnsi="Arial"/>
                <w:sz w:val="14"/>
              </w:rPr>
              <w:t>L</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r w:rsidRPr="002E0C7E">
              <w:rPr>
                <w:rFonts w:ascii="Arial" w:hAnsi="Arial"/>
                <w:sz w:val="14"/>
              </w:rPr>
              <w:t>T</w:t>
            </w:r>
          </w:p>
          <w:p w:rsidR="0081610A" w:rsidRPr="002E0C7E" w:rsidRDefault="0081610A" w:rsidP="00DB0773">
            <w:pPr>
              <w:widowControl w:val="0"/>
              <w:jc w:val="center"/>
              <w:rPr>
                <w:rFonts w:ascii="Arial" w:hAnsi="Arial"/>
                <w:sz w:val="14"/>
              </w:rPr>
            </w:pPr>
            <w:r w:rsidRPr="002E0C7E">
              <w:rPr>
                <w:rFonts w:ascii="Arial" w:hAnsi="Arial"/>
                <w:sz w:val="14"/>
              </w:rPr>
              <w:t>M</w:t>
            </w:r>
          </w:p>
        </w:tc>
        <w:tc>
          <w:tcPr>
            <w:tcW w:w="47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r w:rsidRPr="002E0C7E">
              <w:rPr>
                <w:rFonts w:ascii="Arial" w:hAnsi="Arial"/>
                <w:sz w:val="14"/>
              </w:rPr>
              <w:t>W</w:t>
            </w:r>
          </w:p>
          <w:p w:rsidR="0081610A" w:rsidRPr="002E0C7E" w:rsidRDefault="0081610A" w:rsidP="00DB0773">
            <w:pPr>
              <w:widowControl w:val="0"/>
              <w:jc w:val="center"/>
              <w:rPr>
                <w:rFonts w:ascii="Arial" w:hAnsi="Arial"/>
                <w:sz w:val="14"/>
              </w:rPr>
            </w:pPr>
            <w:r w:rsidRPr="002E0C7E">
              <w:rPr>
                <w:rFonts w:ascii="Arial" w:hAnsi="Arial"/>
                <w:sz w:val="14"/>
              </w:rPr>
              <w:t>M</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r w:rsidRPr="002E0C7E">
              <w:rPr>
                <w:rFonts w:ascii="Arial" w:hAnsi="Arial"/>
                <w:sz w:val="14"/>
              </w:rPr>
              <w:t>T</w:t>
            </w:r>
          </w:p>
          <w:p w:rsidR="0081610A" w:rsidRPr="002E0C7E" w:rsidRDefault="0081610A" w:rsidP="00DB0773">
            <w:pPr>
              <w:widowControl w:val="0"/>
              <w:jc w:val="center"/>
              <w:rPr>
                <w:rFonts w:ascii="Arial" w:hAnsi="Arial"/>
                <w:sz w:val="14"/>
              </w:rPr>
            </w:pPr>
            <w:r w:rsidRPr="002E0C7E">
              <w:rPr>
                <w:rFonts w:ascii="Arial" w:hAnsi="Arial"/>
                <w:sz w:val="14"/>
              </w:rPr>
              <w:t>J</w:t>
            </w:r>
          </w:p>
        </w:tc>
        <w:tc>
          <w:tcPr>
            <w:tcW w:w="47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r w:rsidRPr="002E0C7E">
              <w:rPr>
                <w:rFonts w:ascii="Arial" w:hAnsi="Arial"/>
                <w:sz w:val="14"/>
              </w:rPr>
              <w:t>F</w:t>
            </w:r>
          </w:p>
          <w:p w:rsidR="0081610A" w:rsidRPr="002E0C7E" w:rsidRDefault="0081610A" w:rsidP="00DB0773">
            <w:pPr>
              <w:widowControl w:val="0"/>
              <w:jc w:val="center"/>
              <w:rPr>
                <w:rFonts w:ascii="Arial" w:hAnsi="Arial"/>
                <w:sz w:val="14"/>
              </w:rPr>
            </w:pPr>
            <w:r w:rsidRPr="002E0C7E">
              <w:rPr>
                <w:rFonts w:ascii="Arial" w:hAnsi="Arial"/>
                <w:sz w:val="14"/>
              </w:rPr>
              <w:t>V</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r w:rsidRPr="002E0C7E">
              <w:rPr>
                <w:rFonts w:ascii="Arial" w:hAnsi="Arial"/>
                <w:sz w:val="14"/>
              </w:rPr>
              <w:t>S</w:t>
            </w:r>
          </w:p>
          <w:p w:rsidR="0081610A" w:rsidRPr="002E0C7E" w:rsidRDefault="0081610A" w:rsidP="00DB0773">
            <w:pPr>
              <w:widowControl w:val="0"/>
              <w:jc w:val="center"/>
              <w:rPr>
                <w:rFonts w:ascii="Arial" w:hAnsi="Arial"/>
                <w:sz w:val="14"/>
              </w:rPr>
            </w:pPr>
            <w:r w:rsidRPr="002E0C7E">
              <w:rPr>
                <w:rFonts w:ascii="Arial" w:hAnsi="Arial"/>
                <w:sz w:val="14"/>
              </w:rPr>
              <w:t>S</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tc>
        <w:tc>
          <w:tcPr>
            <w:tcW w:w="470" w:type="dxa"/>
            <w:tcBorders>
              <w:top w:val="double" w:sz="6" w:space="0" w:color="000000"/>
              <w:left w:val="double" w:sz="6"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r w:rsidRPr="002E0C7E">
              <w:rPr>
                <w:rFonts w:ascii="Arial" w:hAnsi="Arial"/>
                <w:sz w:val="14"/>
              </w:rPr>
              <w:t>S</w:t>
            </w:r>
          </w:p>
          <w:p w:rsidR="0081610A" w:rsidRPr="002E0C7E" w:rsidRDefault="0081610A" w:rsidP="00DB0773">
            <w:pPr>
              <w:widowControl w:val="0"/>
              <w:jc w:val="center"/>
              <w:rPr>
                <w:rFonts w:ascii="Arial" w:hAnsi="Arial"/>
                <w:sz w:val="14"/>
              </w:rPr>
            </w:pPr>
            <w:r w:rsidRPr="002E0C7E">
              <w:rPr>
                <w:rFonts w:ascii="Arial" w:hAnsi="Arial"/>
                <w:sz w:val="14"/>
              </w:rPr>
              <w:t>D</w:t>
            </w:r>
          </w:p>
        </w:tc>
        <w:tc>
          <w:tcPr>
            <w:tcW w:w="469" w:type="dxa"/>
            <w:tcBorders>
              <w:top w:val="double" w:sz="8" w:space="0" w:color="000000"/>
              <w:left w:val="double" w:sz="6"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r w:rsidRPr="002E0C7E">
              <w:rPr>
                <w:rFonts w:ascii="Arial" w:hAnsi="Arial"/>
                <w:sz w:val="14"/>
              </w:rPr>
              <w:t>M</w:t>
            </w:r>
          </w:p>
          <w:p w:rsidR="0081610A" w:rsidRPr="002E0C7E" w:rsidRDefault="0081610A" w:rsidP="00DB0773">
            <w:pPr>
              <w:widowControl w:val="0"/>
              <w:jc w:val="center"/>
              <w:rPr>
                <w:rFonts w:ascii="Arial" w:hAnsi="Arial"/>
                <w:sz w:val="14"/>
              </w:rPr>
            </w:pPr>
            <w:r w:rsidRPr="002E0C7E">
              <w:rPr>
                <w:rFonts w:ascii="Arial" w:hAnsi="Arial"/>
                <w:sz w:val="14"/>
              </w:rPr>
              <w:t>L</w:t>
            </w:r>
          </w:p>
        </w:tc>
        <w:tc>
          <w:tcPr>
            <w:tcW w:w="470"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r w:rsidRPr="002E0C7E">
              <w:rPr>
                <w:rFonts w:ascii="Arial" w:hAnsi="Arial"/>
                <w:sz w:val="14"/>
              </w:rPr>
              <w:t>T</w:t>
            </w:r>
          </w:p>
          <w:p w:rsidR="0081610A" w:rsidRPr="002E0C7E" w:rsidRDefault="0081610A" w:rsidP="00DB0773">
            <w:pPr>
              <w:widowControl w:val="0"/>
              <w:jc w:val="center"/>
              <w:rPr>
                <w:rFonts w:ascii="Arial" w:hAnsi="Arial"/>
                <w:sz w:val="14"/>
              </w:rPr>
            </w:pPr>
            <w:r w:rsidRPr="002E0C7E">
              <w:rPr>
                <w:rFonts w:ascii="Arial" w:hAnsi="Arial"/>
                <w:sz w:val="14"/>
              </w:rPr>
              <w:t>M</w:t>
            </w:r>
          </w:p>
        </w:tc>
        <w:tc>
          <w:tcPr>
            <w:tcW w:w="469"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r w:rsidRPr="002E0C7E">
              <w:rPr>
                <w:rFonts w:ascii="Arial" w:hAnsi="Arial"/>
                <w:sz w:val="14"/>
              </w:rPr>
              <w:t>W</w:t>
            </w:r>
          </w:p>
          <w:p w:rsidR="0081610A" w:rsidRPr="002E0C7E" w:rsidRDefault="0081610A" w:rsidP="00DB0773">
            <w:pPr>
              <w:widowControl w:val="0"/>
              <w:jc w:val="center"/>
              <w:rPr>
                <w:rFonts w:ascii="Arial" w:hAnsi="Arial"/>
                <w:sz w:val="14"/>
              </w:rPr>
            </w:pPr>
            <w:r w:rsidRPr="002E0C7E">
              <w:rPr>
                <w:rFonts w:ascii="Arial" w:hAnsi="Arial"/>
                <w:sz w:val="14"/>
              </w:rPr>
              <w:t>M</w:t>
            </w:r>
          </w:p>
        </w:tc>
        <w:tc>
          <w:tcPr>
            <w:tcW w:w="470"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r w:rsidRPr="002E0C7E">
              <w:rPr>
                <w:rFonts w:ascii="Arial" w:hAnsi="Arial"/>
                <w:sz w:val="14"/>
              </w:rPr>
              <w:t>T</w:t>
            </w:r>
          </w:p>
          <w:p w:rsidR="0081610A" w:rsidRPr="002E0C7E" w:rsidRDefault="0081610A" w:rsidP="00DB0773">
            <w:pPr>
              <w:widowControl w:val="0"/>
              <w:jc w:val="center"/>
              <w:rPr>
                <w:rFonts w:ascii="Arial" w:hAnsi="Arial"/>
                <w:sz w:val="14"/>
              </w:rPr>
            </w:pPr>
            <w:r w:rsidRPr="002E0C7E">
              <w:rPr>
                <w:rFonts w:ascii="Arial" w:hAnsi="Arial"/>
                <w:sz w:val="14"/>
              </w:rPr>
              <w:t>J</w:t>
            </w:r>
          </w:p>
        </w:tc>
        <w:tc>
          <w:tcPr>
            <w:tcW w:w="469"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r w:rsidRPr="002E0C7E">
              <w:rPr>
                <w:rFonts w:ascii="Arial" w:hAnsi="Arial"/>
                <w:sz w:val="14"/>
              </w:rPr>
              <w:t>F</w:t>
            </w:r>
          </w:p>
          <w:p w:rsidR="0081610A" w:rsidRPr="002E0C7E" w:rsidRDefault="0081610A" w:rsidP="00DB0773">
            <w:pPr>
              <w:widowControl w:val="0"/>
              <w:jc w:val="center"/>
              <w:rPr>
                <w:rFonts w:ascii="Arial" w:hAnsi="Arial"/>
                <w:sz w:val="14"/>
              </w:rPr>
            </w:pPr>
            <w:r w:rsidRPr="002E0C7E">
              <w:rPr>
                <w:rFonts w:ascii="Arial" w:hAnsi="Arial"/>
                <w:sz w:val="14"/>
              </w:rPr>
              <w:t>V</w:t>
            </w:r>
          </w:p>
        </w:tc>
        <w:tc>
          <w:tcPr>
            <w:tcW w:w="470" w:type="dxa"/>
            <w:tcBorders>
              <w:top w:val="doub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r w:rsidRPr="002E0C7E">
              <w:rPr>
                <w:rFonts w:ascii="Arial" w:hAnsi="Arial"/>
                <w:sz w:val="14"/>
              </w:rPr>
              <w:t>S</w:t>
            </w:r>
          </w:p>
          <w:p w:rsidR="0081610A" w:rsidRPr="002E0C7E" w:rsidRDefault="0081610A" w:rsidP="00DB0773">
            <w:pPr>
              <w:widowControl w:val="0"/>
              <w:jc w:val="center"/>
              <w:rPr>
                <w:rFonts w:ascii="Arial" w:hAnsi="Arial"/>
                <w:sz w:val="14"/>
              </w:rPr>
            </w:pPr>
            <w:r w:rsidRPr="002E0C7E">
              <w:rPr>
                <w:rFonts w:ascii="Arial" w:hAnsi="Arial"/>
                <w:sz w:val="14"/>
              </w:rPr>
              <w:t>S</w:t>
            </w:r>
          </w:p>
        </w:tc>
      </w:tr>
      <w:tr w:rsidR="0081610A" w:rsidRPr="002E0C7E" w:rsidTr="00DB0773">
        <w:trPr>
          <w:cantSplit/>
          <w:trHeight w:val="288"/>
          <w:jc w:val="center"/>
        </w:trPr>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p>
        </w:tc>
        <w:tc>
          <w:tcPr>
            <w:tcW w:w="469" w:type="dxa"/>
            <w:tcBorders>
              <w:top w:val="single" w:sz="8" w:space="0" w:color="000000"/>
              <w:left w:val="single" w:sz="8" w:space="0" w:color="000000"/>
              <w:bottom w:val="double" w:sz="6" w:space="0" w:color="000000"/>
              <w:right w:val="nil"/>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p>
        </w:tc>
        <w:tc>
          <w:tcPr>
            <w:tcW w:w="47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1</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2</w:t>
            </w:r>
          </w:p>
        </w:tc>
        <w:tc>
          <w:tcPr>
            <w:tcW w:w="47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3</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4</w:t>
            </w:r>
          </w:p>
        </w:tc>
        <w:tc>
          <w:tcPr>
            <w:tcW w:w="470"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5</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p>
        </w:tc>
        <w:tc>
          <w:tcPr>
            <w:tcW w:w="470" w:type="dxa"/>
            <w:tcBorders>
              <w:top w:val="single" w:sz="8" w:space="0" w:color="000000"/>
              <w:left w:val="single" w:sz="8" w:space="0" w:color="000000"/>
              <w:bottom w:val="double" w:sz="6" w:space="0" w:color="000000"/>
              <w:right w:val="nil"/>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p>
        </w:tc>
        <w:tc>
          <w:tcPr>
            <w:tcW w:w="47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p>
        </w:tc>
        <w:tc>
          <w:tcPr>
            <w:tcW w:w="47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1</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2</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tc>
        <w:tc>
          <w:tcPr>
            <w:tcW w:w="470" w:type="dxa"/>
            <w:tcBorders>
              <w:top w:val="single" w:sz="8" w:space="0" w:color="000000"/>
              <w:left w:val="double" w:sz="6" w:space="0" w:color="000000"/>
              <w:bottom w:val="single" w:sz="8" w:space="0" w:color="000000"/>
              <w:right w:val="double" w:sz="6" w:space="0" w:color="000000"/>
            </w:tcBorders>
            <w:tcMar>
              <w:top w:w="72" w:type="dxa"/>
              <w:left w:w="0" w:type="dxa"/>
              <w:bottom w:w="43" w:type="dxa"/>
              <w:right w:w="0" w:type="dxa"/>
            </w:tcMar>
          </w:tcPr>
          <w:p w:rsidR="0081610A"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1</w:t>
            </w:r>
          </w:p>
        </w:tc>
        <w:tc>
          <w:tcPr>
            <w:tcW w:w="469" w:type="dxa"/>
            <w:tcBorders>
              <w:top w:val="double" w:sz="6" w:space="0" w:color="000000"/>
              <w:left w:val="double" w:sz="6" w:space="0" w:color="000000"/>
              <w:bottom w:val="double" w:sz="6" w:space="0" w:color="000000"/>
              <w:right w:val="double" w:sz="6" w:space="0" w:color="000000"/>
            </w:tcBorders>
            <w:shd w:val="pct30" w:color="auto" w:fill="auto"/>
            <w:tcMar>
              <w:top w:w="72" w:type="dxa"/>
              <w:left w:w="0" w:type="dxa"/>
              <w:bottom w:w="43" w:type="dxa"/>
              <w:right w:w="0" w:type="dxa"/>
            </w:tcMar>
          </w:tcPr>
          <w:p w:rsidR="0081610A" w:rsidRPr="00035CC4" w:rsidRDefault="0081610A" w:rsidP="00DB0773">
            <w:pPr>
              <w:widowControl w:val="0"/>
              <w:jc w:val="center"/>
              <w:rPr>
                <w:rFonts w:ascii="Arial" w:hAnsi="Arial"/>
                <w:b/>
                <w:sz w:val="14"/>
              </w:rPr>
            </w:pPr>
            <w:r>
              <w:rPr>
                <w:rFonts w:ascii="Arial" w:hAnsi="Arial"/>
                <w:b/>
                <w:sz w:val="14"/>
              </w:rPr>
              <w:t>M</w:t>
            </w:r>
          </w:p>
          <w:p w:rsidR="0081610A" w:rsidRPr="002E0C7E" w:rsidRDefault="0081610A" w:rsidP="00DB0773">
            <w:pPr>
              <w:widowControl w:val="0"/>
              <w:jc w:val="center"/>
              <w:rPr>
                <w:rFonts w:ascii="Arial" w:hAnsi="Arial"/>
                <w:sz w:val="14"/>
              </w:rPr>
            </w:pPr>
            <w:r>
              <w:rPr>
                <w:rFonts w:ascii="Arial" w:hAnsi="Arial"/>
                <w:sz w:val="14"/>
              </w:rPr>
              <w:t>2</w:t>
            </w:r>
          </w:p>
        </w:tc>
        <w:tc>
          <w:tcPr>
            <w:tcW w:w="470" w:type="dxa"/>
            <w:tcBorders>
              <w:top w:val="single" w:sz="8" w:space="0" w:color="000000"/>
              <w:left w:val="double" w:sz="6" w:space="0" w:color="000000"/>
              <w:bottom w:val="single" w:sz="8" w:space="0" w:color="000000"/>
              <w:right w:val="single" w:sz="8" w:space="0" w:color="000000"/>
            </w:tcBorders>
            <w:shd w:val="pct30" w:color="auto"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3</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4</w:t>
            </w:r>
          </w:p>
        </w:tc>
        <w:tc>
          <w:tcPr>
            <w:tcW w:w="470"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5</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6</w:t>
            </w:r>
          </w:p>
        </w:tc>
        <w:tc>
          <w:tcPr>
            <w:tcW w:w="470"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7</w:t>
            </w:r>
          </w:p>
        </w:tc>
      </w:tr>
      <w:tr w:rsidR="0081610A" w:rsidRPr="002E0C7E" w:rsidTr="00DB0773">
        <w:trPr>
          <w:cantSplit/>
          <w:trHeight w:val="288"/>
          <w:jc w:val="center"/>
        </w:trPr>
        <w:tc>
          <w:tcPr>
            <w:tcW w:w="469" w:type="dxa"/>
            <w:tcBorders>
              <w:top w:val="single" w:sz="8" w:space="0" w:color="000000"/>
              <w:left w:val="double" w:sz="6"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6</w:t>
            </w:r>
          </w:p>
        </w:tc>
        <w:tc>
          <w:tcPr>
            <w:tcW w:w="469" w:type="dxa"/>
            <w:tcBorders>
              <w:top w:val="double" w:sz="6" w:space="0" w:color="000000"/>
              <w:left w:val="double" w:sz="6" w:space="0" w:color="000000"/>
              <w:bottom w:val="double" w:sz="6" w:space="0" w:color="000000"/>
              <w:right w:val="double" w:sz="6" w:space="0" w:color="000000"/>
            </w:tcBorders>
            <w:shd w:val="pct30" w:color="auto" w:fill="auto"/>
            <w:tcMar>
              <w:top w:w="72" w:type="dxa"/>
              <w:left w:w="0" w:type="dxa"/>
              <w:bottom w:w="43" w:type="dxa"/>
              <w:right w:w="0" w:type="dxa"/>
            </w:tcMar>
          </w:tcPr>
          <w:p w:rsidR="0081610A" w:rsidRPr="000C583B" w:rsidRDefault="0081610A" w:rsidP="00DB0773">
            <w:pPr>
              <w:widowControl w:val="0"/>
              <w:jc w:val="center"/>
              <w:rPr>
                <w:rFonts w:ascii="Arial" w:hAnsi="Arial"/>
                <w:b/>
                <w:sz w:val="14"/>
              </w:rPr>
            </w:pPr>
            <w:r>
              <w:rPr>
                <w:rFonts w:ascii="Arial" w:hAnsi="Arial"/>
                <w:b/>
                <w:sz w:val="14"/>
              </w:rPr>
              <w:t>M</w:t>
            </w:r>
          </w:p>
          <w:p w:rsidR="0081610A" w:rsidRPr="002E0C7E" w:rsidRDefault="0081610A" w:rsidP="00DB0773">
            <w:pPr>
              <w:widowControl w:val="0"/>
              <w:jc w:val="center"/>
              <w:rPr>
                <w:rFonts w:ascii="Arial" w:hAnsi="Arial"/>
                <w:sz w:val="14"/>
              </w:rPr>
            </w:pPr>
            <w:r>
              <w:rPr>
                <w:rFonts w:ascii="Arial" w:hAnsi="Arial"/>
                <w:sz w:val="14"/>
              </w:rPr>
              <w:t>7</w:t>
            </w:r>
          </w:p>
        </w:tc>
        <w:tc>
          <w:tcPr>
            <w:tcW w:w="470" w:type="dxa"/>
            <w:tcBorders>
              <w:top w:val="single" w:sz="8" w:space="0" w:color="000000"/>
              <w:left w:val="double" w:sz="6" w:space="0" w:color="000000"/>
              <w:bottom w:val="single" w:sz="8" w:space="0" w:color="000000"/>
              <w:right w:val="single" w:sz="8" w:space="0" w:color="000000"/>
            </w:tcBorders>
            <w:shd w:val="pct30" w:color="auto" w:fill="auto"/>
            <w:tcMar>
              <w:top w:w="72" w:type="dxa"/>
              <w:left w:w="0" w:type="dxa"/>
              <w:bottom w:w="43" w:type="dxa"/>
              <w:right w:w="0" w:type="dxa"/>
            </w:tcMar>
          </w:tcPr>
          <w:p w:rsidR="0081610A" w:rsidRPr="000C583B" w:rsidRDefault="0081610A" w:rsidP="00DB0773">
            <w:pPr>
              <w:widowControl w:val="0"/>
              <w:jc w:val="center"/>
              <w:rPr>
                <w:rFonts w:ascii="Arial" w:hAnsi="Arial"/>
                <w:b/>
                <w:sz w:val="14"/>
              </w:rPr>
            </w:pPr>
          </w:p>
          <w:p w:rsidR="0081610A" w:rsidRPr="002E0C7E" w:rsidRDefault="0081610A" w:rsidP="00DB0773">
            <w:pPr>
              <w:widowControl w:val="0"/>
              <w:jc w:val="center"/>
              <w:rPr>
                <w:rFonts w:ascii="Arial" w:hAnsi="Arial"/>
                <w:sz w:val="14"/>
              </w:rPr>
            </w:pPr>
            <w:r>
              <w:rPr>
                <w:rFonts w:ascii="Arial" w:hAnsi="Arial"/>
                <w:sz w:val="14"/>
              </w:rPr>
              <w:t>8</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9</w:t>
            </w:r>
          </w:p>
        </w:tc>
        <w:tc>
          <w:tcPr>
            <w:tcW w:w="470" w:type="dxa"/>
            <w:tcBorders>
              <w:top w:val="single" w:sz="8" w:space="0" w:color="000000"/>
              <w:left w:val="single" w:sz="8" w:space="0" w:color="000000"/>
              <w:bottom w:val="nil"/>
              <w:right w:val="nil"/>
            </w:tcBorders>
            <w:shd w:val="pct30" w:color="auto"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10</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11</w:t>
            </w:r>
          </w:p>
        </w:tc>
        <w:tc>
          <w:tcPr>
            <w:tcW w:w="470"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12</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3</w:t>
            </w:r>
          </w:p>
        </w:tc>
        <w:tc>
          <w:tcPr>
            <w:tcW w:w="470" w:type="dxa"/>
            <w:tcBorders>
              <w:top w:val="double" w:sz="6" w:space="0" w:color="000000"/>
              <w:left w:val="double" w:sz="6" w:space="0" w:color="000000"/>
              <w:bottom w:val="double" w:sz="6" w:space="0" w:color="000000"/>
              <w:right w:val="double" w:sz="6" w:space="0" w:color="000000"/>
            </w:tcBorders>
            <w:shd w:val="pct30" w:color="000000"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r w:rsidRPr="002E0C7E">
              <w:rPr>
                <w:rFonts w:ascii="Arial" w:hAnsi="Arial"/>
                <w:b/>
                <w:sz w:val="14"/>
              </w:rPr>
              <w:t>M</w:t>
            </w:r>
          </w:p>
          <w:p w:rsidR="0081610A" w:rsidRPr="002E0C7E" w:rsidRDefault="0081610A" w:rsidP="00DB0773">
            <w:pPr>
              <w:widowControl w:val="0"/>
              <w:jc w:val="center"/>
              <w:rPr>
                <w:rFonts w:ascii="Arial" w:hAnsi="Arial"/>
                <w:sz w:val="14"/>
              </w:rPr>
            </w:pPr>
            <w:r>
              <w:rPr>
                <w:rFonts w:ascii="Arial" w:hAnsi="Arial"/>
                <w:sz w:val="14"/>
              </w:rPr>
              <w:t>4</w:t>
            </w:r>
          </w:p>
        </w:tc>
        <w:tc>
          <w:tcPr>
            <w:tcW w:w="469" w:type="dxa"/>
            <w:tcBorders>
              <w:top w:val="single" w:sz="8" w:space="0" w:color="000000"/>
              <w:left w:val="double" w:sz="6" w:space="0" w:color="000000"/>
              <w:bottom w:val="single" w:sz="8" w:space="0" w:color="000000"/>
              <w:right w:val="single" w:sz="8" w:space="0" w:color="000000"/>
            </w:tcBorders>
            <w:shd w:val="pct30" w:color="000000"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5</w:t>
            </w:r>
          </w:p>
        </w:tc>
        <w:tc>
          <w:tcPr>
            <w:tcW w:w="470" w:type="dxa"/>
            <w:tcBorders>
              <w:top w:val="single" w:sz="8" w:space="0" w:color="000000"/>
              <w:left w:val="single" w:sz="8" w:space="0" w:color="000000"/>
              <w:bottom w:val="nil"/>
              <w:right w:val="nil"/>
            </w:tcBorders>
            <w:shd w:val="pct30" w:color="000000"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6</w:t>
            </w:r>
          </w:p>
        </w:tc>
        <w:tc>
          <w:tcPr>
            <w:tcW w:w="469" w:type="dxa"/>
            <w:tcBorders>
              <w:top w:val="single" w:sz="8" w:space="0" w:color="000000"/>
              <w:left w:val="single" w:sz="8" w:space="0" w:color="000000"/>
              <w:bottom w:val="nil"/>
              <w:right w:val="single" w:sz="8" w:space="0" w:color="000000"/>
            </w:tcBorders>
            <w:shd w:val="pct30" w:color="000000"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7</w:t>
            </w:r>
          </w:p>
        </w:tc>
        <w:tc>
          <w:tcPr>
            <w:tcW w:w="470"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8</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9</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tc>
        <w:tc>
          <w:tcPr>
            <w:tcW w:w="470"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8</w:t>
            </w:r>
          </w:p>
        </w:tc>
        <w:tc>
          <w:tcPr>
            <w:tcW w:w="469" w:type="dxa"/>
            <w:tcBorders>
              <w:top w:val="double" w:sz="6"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9</w:t>
            </w:r>
          </w:p>
        </w:tc>
        <w:tc>
          <w:tcPr>
            <w:tcW w:w="470"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10</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11</w:t>
            </w:r>
          </w:p>
        </w:tc>
        <w:tc>
          <w:tcPr>
            <w:tcW w:w="470"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12</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13</w:t>
            </w:r>
          </w:p>
        </w:tc>
        <w:tc>
          <w:tcPr>
            <w:tcW w:w="470"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14</w:t>
            </w:r>
          </w:p>
        </w:tc>
      </w:tr>
      <w:tr w:rsidR="0081610A" w:rsidRPr="002E0C7E" w:rsidTr="00DB0773">
        <w:trPr>
          <w:cantSplit/>
          <w:trHeight w:val="288"/>
          <w:jc w:val="center"/>
        </w:trPr>
        <w:tc>
          <w:tcPr>
            <w:tcW w:w="469" w:type="dxa"/>
            <w:tcBorders>
              <w:top w:val="single" w:sz="8" w:space="0" w:color="000000"/>
              <w:left w:val="double" w:sz="6"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13</w:t>
            </w:r>
          </w:p>
        </w:tc>
        <w:tc>
          <w:tcPr>
            <w:tcW w:w="469" w:type="dxa"/>
            <w:tcBorders>
              <w:top w:val="double" w:sz="6" w:space="0" w:color="000000"/>
              <w:left w:val="double" w:sz="6" w:space="0" w:color="000000"/>
              <w:bottom w:val="double" w:sz="6" w:space="0" w:color="000000"/>
              <w:right w:val="double" w:sz="6" w:space="0" w:color="000000"/>
            </w:tcBorders>
            <w:shd w:val="clear" w:color="auto" w:fill="auto"/>
            <w:tcMar>
              <w:top w:w="72" w:type="dxa"/>
              <w:left w:w="0" w:type="dxa"/>
              <w:bottom w:w="43" w:type="dxa"/>
              <w:right w:w="0" w:type="dxa"/>
            </w:tcMar>
          </w:tcPr>
          <w:p w:rsidR="0081610A" w:rsidRPr="000C583B" w:rsidRDefault="0081610A" w:rsidP="00DB0773">
            <w:pPr>
              <w:widowControl w:val="0"/>
              <w:jc w:val="center"/>
              <w:rPr>
                <w:rFonts w:ascii="Arial" w:hAnsi="Arial"/>
                <w:b/>
                <w:sz w:val="14"/>
              </w:rPr>
            </w:pPr>
            <w:r>
              <w:rPr>
                <w:rFonts w:ascii="Arial" w:hAnsi="Arial"/>
                <w:b/>
                <w:sz w:val="14"/>
              </w:rPr>
              <w:t>H</w:t>
            </w:r>
          </w:p>
          <w:p w:rsidR="0081610A" w:rsidRPr="002E0C7E" w:rsidRDefault="0081610A" w:rsidP="00DB0773">
            <w:pPr>
              <w:widowControl w:val="0"/>
              <w:jc w:val="center"/>
              <w:rPr>
                <w:rFonts w:ascii="Arial" w:hAnsi="Arial"/>
                <w:sz w:val="14"/>
              </w:rPr>
            </w:pPr>
            <w:r w:rsidRPr="002E0C7E">
              <w:rPr>
                <w:rFonts w:ascii="Arial" w:hAnsi="Arial"/>
                <w:sz w:val="14"/>
              </w:rPr>
              <w:t>1</w:t>
            </w:r>
            <w:r>
              <w:rPr>
                <w:rFonts w:ascii="Arial" w:hAnsi="Arial"/>
                <w:sz w:val="14"/>
              </w:rPr>
              <w:t>4</w:t>
            </w:r>
          </w:p>
        </w:tc>
        <w:tc>
          <w:tcPr>
            <w:tcW w:w="470" w:type="dxa"/>
            <w:tcBorders>
              <w:top w:val="single" w:sz="8" w:space="0" w:color="000000"/>
              <w:left w:val="double" w:sz="6" w:space="0" w:color="000000"/>
              <w:bottom w:val="single" w:sz="8" w:space="0" w:color="000000"/>
              <w:right w:val="single" w:sz="8" w:space="0" w:color="000000"/>
            </w:tcBorders>
            <w:shd w:val="pct30" w:color="000000" w:fill="auto"/>
            <w:tcMar>
              <w:top w:w="72" w:type="dxa"/>
              <w:left w:w="0" w:type="dxa"/>
              <w:bottom w:w="43" w:type="dxa"/>
              <w:right w:w="0" w:type="dxa"/>
            </w:tcMar>
          </w:tcPr>
          <w:p w:rsidR="0081610A" w:rsidRPr="000C583B"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sidRPr="002E0C7E">
              <w:rPr>
                <w:rFonts w:ascii="Arial" w:hAnsi="Arial"/>
                <w:sz w:val="14"/>
              </w:rPr>
              <w:t>1</w:t>
            </w:r>
            <w:r>
              <w:rPr>
                <w:rFonts w:ascii="Arial" w:hAnsi="Arial"/>
                <w:sz w:val="14"/>
              </w:rPr>
              <w:t>5</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sidRPr="002E0C7E">
              <w:rPr>
                <w:rFonts w:ascii="Arial" w:hAnsi="Arial"/>
                <w:sz w:val="14"/>
              </w:rPr>
              <w:t>1</w:t>
            </w:r>
            <w:r>
              <w:rPr>
                <w:rFonts w:ascii="Arial" w:hAnsi="Arial"/>
                <w:sz w:val="14"/>
              </w:rPr>
              <w:t>6</w:t>
            </w:r>
          </w:p>
        </w:tc>
        <w:tc>
          <w:tcPr>
            <w:tcW w:w="470"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sidRPr="002E0C7E">
              <w:rPr>
                <w:rFonts w:ascii="Arial" w:hAnsi="Arial"/>
                <w:sz w:val="14"/>
              </w:rPr>
              <w:t>1</w:t>
            </w:r>
            <w:r>
              <w:rPr>
                <w:rFonts w:ascii="Arial" w:hAnsi="Arial"/>
                <w:sz w:val="14"/>
              </w:rPr>
              <w:t>7</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sidRPr="002E0C7E">
              <w:rPr>
                <w:rFonts w:ascii="Arial" w:hAnsi="Arial"/>
                <w:sz w:val="14"/>
              </w:rPr>
              <w:t>1</w:t>
            </w:r>
            <w:r>
              <w:rPr>
                <w:rFonts w:ascii="Arial" w:hAnsi="Arial"/>
                <w:sz w:val="14"/>
              </w:rPr>
              <w:t>8</w:t>
            </w:r>
          </w:p>
        </w:tc>
        <w:tc>
          <w:tcPr>
            <w:tcW w:w="470"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19</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10</w:t>
            </w:r>
          </w:p>
        </w:tc>
        <w:tc>
          <w:tcPr>
            <w:tcW w:w="470" w:type="dxa"/>
            <w:tcBorders>
              <w:top w:val="double" w:sz="6" w:space="0" w:color="000000"/>
              <w:left w:val="double" w:sz="6" w:space="0" w:color="000000"/>
              <w:bottom w:val="double" w:sz="6" w:space="0" w:color="000000"/>
              <w:right w:val="double" w:sz="6" w:space="0" w:color="000000"/>
            </w:tcBorders>
            <w:shd w:val="clear" w:color="auto" w:fill="auto"/>
            <w:tcMar>
              <w:top w:w="72" w:type="dxa"/>
              <w:left w:w="0" w:type="dxa"/>
              <w:bottom w:w="43" w:type="dxa"/>
              <w:right w:w="0" w:type="dxa"/>
            </w:tcMar>
          </w:tcPr>
          <w:p w:rsidR="0081610A" w:rsidRPr="004030BA" w:rsidRDefault="0081610A" w:rsidP="00DB0773">
            <w:pPr>
              <w:widowControl w:val="0"/>
              <w:jc w:val="center"/>
              <w:rPr>
                <w:rFonts w:ascii="Arial" w:hAnsi="Arial"/>
                <w:sz w:val="14"/>
              </w:rPr>
            </w:pPr>
            <w:r>
              <w:rPr>
                <w:rFonts w:ascii="Arial" w:hAnsi="Arial"/>
                <w:b/>
                <w:sz w:val="14"/>
              </w:rPr>
              <w:t>H</w:t>
            </w:r>
          </w:p>
          <w:p w:rsidR="0081610A" w:rsidRPr="002E0C7E" w:rsidRDefault="0081610A" w:rsidP="00DB0773">
            <w:pPr>
              <w:widowControl w:val="0"/>
              <w:jc w:val="center"/>
              <w:rPr>
                <w:rFonts w:ascii="Arial" w:hAnsi="Arial"/>
                <w:sz w:val="14"/>
              </w:rPr>
            </w:pPr>
            <w:r w:rsidRPr="002E0C7E">
              <w:rPr>
                <w:rFonts w:ascii="Arial" w:hAnsi="Arial"/>
                <w:sz w:val="14"/>
              </w:rPr>
              <w:t>1</w:t>
            </w:r>
            <w:r>
              <w:rPr>
                <w:rFonts w:ascii="Arial" w:hAnsi="Arial"/>
                <w:sz w:val="14"/>
              </w:rPr>
              <w:t>1</w:t>
            </w:r>
          </w:p>
        </w:tc>
        <w:tc>
          <w:tcPr>
            <w:tcW w:w="469" w:type="dxa"/>
            <w:tcBorders>
              <w:top w:val="single" w:sz="8" w:space="0" w:color="000000"/>
              <w:left w:val="double" w:sz="6" w:space="0" w:color="000000"/>
              <w:bottom w:val="nil"/>
              <w:right w:val="nil"/>
            </w:tcBorders>
            <w:shd w:val="pct30" w:color="000000"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12</w:t>
            </w:r>
          </w:p>
        </w:tc>
        <w:tc>
          <w:tcPr>
            <w:tcW w:w="470" w:type="dxa"/>
            <w:tcBorders>
              <w:top w:val="single" w:sz="8" w:space="0" w:color="000000"/>
              <w:left w:val="single" w:sz="8" w:space="0" w:color="000000"/>
              <w:bottom w:val="nil"/>
              <w:right w:val="nil"/>
            </w:tcBorders>
            <w:shd w:val="pct30" w:color="000000"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sidRPr="002E0C7E">
              <w:rPr>
                <w:rFonts w:ascii="Arial" w:hAnsi="Arial"/>
                <w:sz w:val="14"/>
              </w:rPr>
              <w:t>1</w:t>
            </w:r>
            <w:r>
              <w:rPr>
                <w:rFonts w:ascii="Arial" w:hAnsi="Arial"/>
                <w:sz w:val="14"/>
              </w:rPr>
              <w:t>3</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sidRPr="002E0C7E">
              <w:rPr>
                <w:rFonts w:ascii="Arial" w:hAnsi="Arial"/>
                <w:sz w:val="14"/>
              </w:rPr>
              <w:t>1</w:t>
            </w:r>
            <w:r>
              <w:rPr>
                <w:rFonts w:ascii="Arial" w:hAnsi="Arial"/>
                <w:sz w:val="14"/>
              </w:rPr>
              <w:t>4</w:t>
            </w:r>
          </w:p>
        </w:tc>
        <w:tc>
          <w:tcPr>
            <w:tcW w:w="470"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sidRPr="002E0C7E">
              <w:rPr>
                <w:rFonts w:ascii="Arial" w:hAnsi="Arial"/>
                <w:sz w:val="14"/>
              </w:rPr>
              <w:t>1</w:t>
            </w:r>
            <w:r>
              <w:rPr>
                <w:rFonts w:ascii="Arial" w:hAnsi="Arial"/>
                <w:sz w:val="14"/>
              </w:rPr>
              <w:t>5</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sidRPr="002E0C7E">
              <w:rPr>
                <w:rFonts w:ascii="Arial" w:hAnsi="Arial"/>
                <w:sz w:val="14"/>
              </w:rPr>
              <w:t>1</w:t>
            </w:r>
            <w:r>
              <w:rPr>
                <w:rFonts w:ascii="Arial" w:hAnsi="Arial"/>
                <w:sz w:val="14"/>
              </w:rPr>
              <w:t>6</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tc>
        <w:tc>
          <w:tcPr>
            <w:tcW w:w="470"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15</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sidRPr="002E0C7E">
              <w:rPr>
                <w:rFonts w:ascii="Arial" w:hAnsi="Arial"/>
                <w:sz w:val="14"/>
              </w:rPr>
              <w:t>1</w:t>
            </w:r>
            <w:r>
              <w:rPr>
                <w:rFonts w:ascii="Arial" w:hAnsi="Arial"/>
                <w:sz w:val="14"/>
              </w:rPr>
              <w:t>6</w:t>
            </w:r>
          </w:p>
        </w:tc>
        <w:tc>
          <w:tcPr>
            <w:tcW w:w="470"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sidRPr="002E0C7E">
              <w:rPr>
                <w:rFonts w:ascii="Arial" w:hAnsi="Arial"/>
                <w:sz w:val="14"/>
              </w:rPr>
              <w:t>1</w:t>
            </w:r>
            <w:r>
              <w:rPr>
                <w:rFonts w:ascii="Arial" w:hAnsi="Arial"/>
                <w:sz w:val="14"/>
              </w:rPr>
              <w:t>7</w:t>
            </w:r>
          </w:p>
        </w:tc>
        <w:tc>
          <w:tcPr>
            <w:tcW w:w="469" w:type="dxa"/>
            <w:tcBorders>
              <w:top w:val="single" w:sz="8" w:space="0" w:color="000000"/>
              <w:left w:val="single" w:sz="8" w:space="0" w:color="000000"/>
              <w:bottom w:val="double" w:sz="6"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sidRPr="002E0C7E">
              <w:rPr>
                <w:rFonts w:ascii="Arial" w:hAnsi="Arial"/>
                <w:sz w:val="14"/>
              </w:rPr>
              <w:t>1</w:t>
            </w:r>
            <w:r>
              <w:rPr>
                <w:rFonts w:ascii="Arial" w:hAnsi="Arial"/>
                <w:sz w:val="14"/>
              </w:rPr>
              <w:t>8</w:t>
            </w:r>
          </w:p>
        </w:tc>
        <w:tc>
          <w:tcPr>
            <w:tcW w:w="470" w:type="dxa"/>
            <w:tcBorders>
              <w:top w:val="single" w:sz="8" w:space="0" w:color="000000"/>
              <w:left w:val="single" w:sz="8" w:space="0" w:color="000000"/>
              <w:bottom w:val="double" w:sz="6"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sidRPr="002E0C7E">
              <w:rPr>
                <w:rFonts w:ascii="Arial" w:hAnsi="Arial"/>
                <w:sz w:val="14"/>
              </w:rPr>
              <w:t>1</w:t>
            </w:r>
            <w:r>
              <w:rPr>
                <w:rFonts w:ascii="Arial" w:hAnsi="Arial"/>
                <w:sz w:val="14"/>
              </w:rPr>
              <w:t>9</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20</w:t>
            </w:r>
          </w:p>
        </w:tc>
        <w:tc>
          <w:tcPr>
            <w:tcW w:w="470"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2</w:t>
            </w:r>
            <w:r w:rsidRPr="002E0C7E">
              <w:rPr>
                <w:rFonts w:ascii="Arial" w:hAnsi="Arial"/>
                <w:sz w:val="14"/>
              </w:rPr>
              <w:t>1</w:t>
            </w:r>
          </w:p>
        </w:tc>
      </w:tr>
      <w:tr w:rsidR="0081610A" w:rsidRPr="002E0C7E" w:rsidTr="00DB0773">
        <w:trPr>
          <w:cantSplit/>
          <w:trHeight w:val="288"/>
          <w:jc w:val="center"/>
        </w:trPr>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20</w:t>
            </w:r>
          </w:p>
        </w:tc>
        <w:tc>
          <w:tcPr>
            <w:tcW w:w="469" w:type="dxa"/>
            <w:tcBorders>
              <w:top w:val="double" w:sz="6"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21</w:t>
            </w:r>
          </w:p>
        </w:tc>
        <w:tc>
          <w:tcPr>
            <w:tcW w:w="470"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22</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23</w:t>
            </w:r>
          </w:p>
        </w:tc>
        <w:tc>
          <w:tcPr>
            <w:tcW w:w="470"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sidRPr="002E0C7E">
              <w:rPr>
                <w:rFonts w:ascii="Arial" w:hAnsi="Arial"/>
                <w:sz w:val="14"/>
              </w:rPr>
              <w:t>2</w:t>
            </w:r>
            <w:r>
              <w:rPr>
                <w:rFonts w:ascii="Arial" w:hAnsi="Arial"/>
                <w:sz w:val="14"/>
              </w:rPr>
              <w:t>4</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sidRPr="002E0C7E">
              <w:rPr>
                <w:rFonts w:ascii="Arial" w:hAnsi="Arial"/>
                <w:sz w:val="14"/>
              </w:rPr>
              <w:t>2</w:t>
            </w:r>
            <w:r>
              <w:rPr>
                <w:rFonts w:ascii="Arial" w:hAnsi="Arial"/>
                <w:sz w:val="14"/>
              </w:rPr>
              <w:t>5</w:t>
            </w:r>
          </w:p>
        </w:tc>
        <w:tc>
          <w:tcPr>
            <w:tcW w:w="470"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sidRPr="002E0C7E">
              <w:rPr>
                <w:rFonts w:ascii="Arial" w:hAnsi="Arial"/>
                <w:sz w:val="14"/>
              </w:rPr>
              <w:t>2</w:t>
            </w:r>
            <w:r>
              <w:rPr>
                <w:rFonts w:ascii="Arial" w:hAnsi="Arial"/>
                <w:sz w:val="14"/>
              </w:rPr>
              <w:t>6</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17</w:t>
            </w:r>
          </w:p>
        </w:tc>
        <w:tc>
          <w:tcPr>
            <w:tcW w:w="470" w:type="dxa"/>
            <w:tcBorders>
              <w:top w:val="double" w:sz="6" w:space="0" w:color="000000"/>
              <w:left w:val="single" w:sz="8" w:space="0" w:color="000000"/>
              <w:bottom w:val="nil"/>
              <w:right w:val="nil"/>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sidRPr="002E0C7E">
              <w:rPr>
                <w:rFonts w:ascii="Arial" w:hAnsi="Arial"/>
                <w:sz w:val="14"/>
              </w:rPr>
              <w:t>1</w:t>
            </w:r>
            <w:r>
              <w:rPr>
                <w:rFonts w:ascii="Arial" w:hAnsi="Arial"/>
                <w:sz w:val="14"/>
              </w:rPr>
              <w:t>8</w:t>
            </w:r>
          </w:p>
        </w:tc>
        <w:tc>
          <w:tcPr>
            <w:tcW w:w="469" w:type="dxa"/>
            <w:tcBorders>
              <w:top w:val="single" w:sz="8" w:space="0" w:color="000000"/>
              <w:left w:val="single" w:sz="8" w:space="0" w:color="000000"/>
              <w:bottom w:val="nil"/>
              <w:right w:val="nil"/>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19</w:t>
            </w:r>
          </w:p>
        </w:tc>
        <w:tc>
          <w:tcPr>
            <w:tcW w:w="470" w:type="dxa"/>
            <w:tcBorders>
              <w:top w:val="single" w:sz="8" w:space="0" w:color="000000"/>
              <w:left w:val="single" w:sz="8" w:space="0" w:color="000000"/>
              <w:bottom w:val="nil"/>
              <w:right w:val="nil"/>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sidRPr="002E0C7E">
              <w:rPr>
                <w:rFonts w:ascii="Arial" w:hAnsi="Arial"/>
                <w:sz w:val="14"/>
              </w:rPr>
              <w:t>2</w:t>
            </w:r>
            <w:r>
              <w:rPr>
                <w:rFonts w:ascii="Arial" w:hAnsi="Arial"/>
                <w:sz w:val="14"/>
              </w:rPr>
              <w:t>0</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sidRPr="002E0C7E">
              <w:rPr>
                <w:rFonts w:ascii="Arial" w:hAnsi="Arial"/>
                <w:sz w:val="14"/>
              </w:rPr>
              <w:t>2</w:t>
            </w:r>
            <w:r>
              <w:rPr>
                <w:rFonts w:ascii="Arial" w:hAnsi="Arial"/>
                <w:sz w:val="14"/>
              </w:rPr>
              <w:t>1</w:t>
            </w:r>
          </w:p>
        </w:tc>
        <w:tc>
          <w:tcPr>
            <w:tcW w:w="47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sidRPr="002E0C7E">
              <w:rPr>
                <w:rFonts w:ascii="Arial" w:hAnsi="Arial"/>
                <w:sz w:val="14"/>
              </w:rPr>
              <w:t>2</w:t>
            </w:r>
            <w:r>
              <w:rPr>
                <w:rFonts w:ascii="Arial" w:hAnsi="Arial"/>
                <w:sz w:val="14"/>
              </w:rPr>
              <w:t>2</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sidRPr="002E0C7E">
              <w:rPr>
                <w:rFonts w:ascii="Arial" w:hAnsi="Arial"/>
                <w:sz w:val="14"/>
              </w:rPr>
              <w:t>2</w:t>
            </w:r>
            <w:r>
              <w:rPr>
                <w:rFonts w:ascii="Arial" w:hAnsi="Arial"/>
                <w:sz w:val="14"/>
              </w:rPr>
              <w:t>3</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tc>
        <w:tc>
          <w:tcPr>
            <w:tcW w:w="470"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22</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23</w:t>
            </w:r>
          </w:p>
        </w:tc>
        <w:tc>
          <w:tcPr>
            <w:tcW w:w="470"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24</w:t>
            </w:r>
          </w:p>
        </w:tc>
        <w:tc>
          <w:tcPr>
            <w:tcW w:w="469" w:type="dxa"/>
            <w:tcBorders>
              <w:top w:val="double" w:sz="6" w:space="0" w:color="000000"/>
              <w:left w:val="double" w:sz="6" w:space="0" w:color="000000"/>
              <w:bottom w:val="double" w:sz="6" w:space="0" w:color="000000"/>
              <w:right w:val="double" w:sz="6" w:space="0" w:color="000000"/>
            </w:tcBorders>
            <w:tcMar>
              <w:top w:w="72" w:type="dxa"/>
              <w:left w:w="0" w:type="dxa"/>
              <w:bottom w:w="43" w:type="dxa"/>
              <w:right w:w="0" w:type="dxa"/>
            </w:tcMar>
          </w:tcPr>
          <w:p w:rsidR="0081610A" w:rsidRPr="00D23ECF" w:rsidRDefault="0081610A" w:rsidP="00DB0773">
            <w:pPr>
              <w:widowControl w:val="0"/>
              <w:jc w:val="center"/>
              <w:rPr>
                <w:rFonts w:ascii="Arial" w:hAnsi="Arial"/>
                <w:b/>
                <w:sz w:val="14"/>
              </w:rPr>
            </w:pPr>
            <w:r>
              <w:rPr>
                <w:rFonts w:ascii="Arial" w:hAnsi="Arial"/>
                <w:b/>
                <w:sz w:val="14"/>
              </w:rPr>
              <w:t>H</w:t>
            </w:r>
          </w:p>
          <w:p w:rsidR="0081610A" w:rsidRPr="002E0C7E" w:rsidRDefault="0081610A" w:rsidP="00DB0773">
            <w:pPr>
              <w:widowControl w:val="0"/>
              <w:jc w:val="center"/>
              <w:rPr>
                <w:rFonts w:ascii="Arial" w:hAnsi="Arial"/>
                <w:sz w:val="14"/>
              </w:rPr>
            </w:pPr>
            <w:r>
              <w:rPr>
                <w:rFonts w:ascii="Arial" w:hAnsi="Arial"/>
                <w:sz w:val="14"/>
              </w:rPr>
              <w:t>25</w:t>
            </w:r>
          </w:p>
        </w:tc>
        <w:tc>
          <w:tcPr>
            <w:tcW w:w="470" w:type="dxa"/>
            <w:tcBorders>
              <w:top w:val="double" w:sz="6" w:space="0" w:color="000000"/>
              <w:left w:val="double" w:sz="6" w:space="0" w:color="000000"/>
              <w:bottom w:val="double" w:sz="6" w:space="0" w:color="000000"/>
              <w:right w:val="double" w:sz="6" w:space="0" w:color="000000"/>
            </w:tcBorders>
            <w:tcMar>
              <w:top w:w="72" w:type="dxa"/>
              <w:left w:w="0" w:type="dxa"/>
              <w:bottom w:w="43" w:type="dxa"/>
              <w:right w:w="0" w:type="dxa"/>
            </w:tcMar>
          </w:tcPr>
          <w:p w:rsidR="0081610A" w:rsidRPr="00D23ECF" w:rsidRDefault="0081610A" w:rsidP="00DB0773">
            <w:pPr>
              <w:widowControl w:val="0"/>
              <w:jc w:val="center"/>
              <w:rPr>
                <w:rFonts w:ascii="Arial" w:hAnsi="Arial"/>
                <w:b/>
                <w:sz w:val="14"/>
              </w:rPr>
            </w:pPr>
            <w:r>
              <w:rPr>
                <w:rFonts w:ascii="Arial" w:hAnsi="Arial"/>
                <w:b/>
                <w:sz w:val="14"/>
              </w:rPr>
              <w:t>H</w:t>
            </w:r>
          </w:p>
          <w:p w:rsidR="0081610A" w:rsidRPr="002E0C7E" w:rsidRDefault="0081610A" w:rsidP="00DB0773">
            <w:pPr>
              <w:widowControl w:val="0"/>
              <w:jc w:val="center"/>
              <w:rPr>
                <w:rFonts w:ascii="Arial" w:hAnsi="Arial"/>
                <w:sz w:val="14"/>
              </w:rPr>
            </w:pPr>
            <w:r>
              <w:rPr>
                <w:rFonts w:ascii="Arial" w:hAnsi="Arial"/>
                <w:sz w:val="14"/>
              </w:rPr>
              <w:t>26</w:t>
            </w:r>
          </w:p>
        </w:tc>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sidRPr="002E0C7E">
              <w:rPr>
                <w:rFonts w:ascii="Arial" w:hAnsi="Arial"/>
                <w:sz w:val="14"/>
              </w:rPr>
              <w:t>2</w:t>
            </w:r>
            <w:r>
              <w:rPr>
                <w:rFonts w:ascii="Arial" w:hAnsi="Arial"/>
                <w:sz w:val="14"/>
              </w:rPr>
              <w:t>7</w:t>
            </w:r>
          </w:p>
        </w:tc>
        <w:tc>
          <w:tcPr>
            <w:tcW w:w="470"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sidRPr="002E0C7E">
              <w:rPr>
                <w:rFonts w:ascii="Arial" w:hAnsi="Arial"/>
                <w:sz w:val="14"/>
              </w:rPr>
              <w:t>2</w:t>
            </w:r>
            <w:r>
              <w:rPr>
                <w:rFonts w:ascii="Arial" w:hAnsi="Arial"/>
                <w:sz w:val="14"/>
              </w:rPr>
              <w:t>8</w:t>
            </w:r>
          </w:p>
        </w:tc>
      </w:tr>
      <w:tr w:rsidR="0081610A" w:rsidRPr="002E0C7E" w:rsidTr="00DB0773">
        <w:trPr>
          <w:cantSplit/>
          <w:trHeight w:val="288"/>
          <w:jc w:val="center"/>
        </w:trPr>
        <w:tc>
          <w:tcPr>
            <w:tcW w:w="469" w:type="dxa"/>
            <w:tcBorders>
              <w:top w:val="single" w:sz="8" w:space="0" w:color="000000"/>
              <w:left w:val="double" w:sz="6"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27</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28</w:t>
            </w:r>
          </w:p>
        </w:tc>
        <w:tc>
          <w:tcPr>
            <w:tcW w:w="470"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29</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30</w:t>
            </w:r>
          </w:p>
        </w:tc>
        <w:tc>
          <w:tcPr>
            <w:tcW w:w="470"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31</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p>
        </w:tc>
        <w:tc>
          <w:tcPr>
            <w:tcW w:w="470" w:type="dxa"/>
            <w:tcBorders>
              <w:top w:val="single" w:sz="8" w:space="0" w:color="000000"/>
              <w:left w:val="single" w:sz="8" w:space="0" w:color="000000"/>
              <w:bottom w:val="double" w:sz="6" w:space="0" w:color="000000"/>
              <w:right w:val="double" w:sz="6"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tc>
        <w:tc>
          <w:tcPr>
            <w:tcW w:w="469" w:type="dxa"/>
            <w:tcBorders>
              <w:top w:val="single" w:sz="8" w:space="0" w:color="000000"/>
              <w:left w:val="double" w:sz="6"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sidRPr="002E0C7E">
              <w:rPr>
                <w:rFonts w:ascii="Arial" w:hAnsi="Arial"/>
                <w:sz w:val="14"/>
              </w:rPr>
              <w:t>2</w:t>
            </w:r>
            <w:r>
              <w:rPr>
                <w:rFonts w:ascii="Arial" w:hAnsi="Arial"/>
                <w:sz w:val="14"/>
              </w:rPr>
              <w:t>4</w:t>
            </w:r>
          </w:p>
        </w:tc>
        <w:tc>
          <w:tcPr>
            <w:tcW w:w="470" w:type="dxa"/>
            <w:tcBorders>
              <w:top w:val="single" w:sz="8" w:space="0" w:color="000000"/>
              <w:left w:val="single" w:sz="8" w:space="0" w:color="000000"/>
              <w:bottom w:val="double" w:sz="6" w:space="0" w:color="000000"/>
              <w:right w:val="nil"/>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sidRPr="002E0C7E">
              <w:rPr>
                <w:rFonts w:ascii="Arial" w:hAnsi="Arial"/>
                <w:sz w:val="14"/>
              </w:rPr>
              <w:t>2</w:t>
            </w:r>
            <w:r>
              <w:rPr>
                <w:rFonts w:ascii="Arial" w:hAnsi="Arial"/>
                <w:sz w:val="14"/>
              </w:rPr>
              <w:t>5</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sidRPr="002E0C7E">
              <w:rPr>
                <w:rFonts w:ascii="Arial" w:hAnsi="Arial"/>
                <w:sz w:val="14"/>
              </w:rPr>
              <w:t>2</w:t>
            </w:r>
            <w:r>
              <w:rPr>
                <w:rFonts w:ascii="Arial" w:hAnsi="Arial"/>
                <w:sz w:val="14"/>
              </w:rPr>
              <w:t>6</w:t>
            </w:r>
          </w:p>
        </w:tc>
        <w:tc>
          <w:tcPr>
            <w:tcW w:w="470"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27</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28</w:t>
            </w:r>
          </w:p>
        </w:tc>
        <w:tc>
          <w:tcPr>
            <w:tcW w:w="470"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29</w:t>
            </w:r>
          </w:p>
        </w:tc>
        <w:tc>
          <w:tcPr>
            <w:tcW w:w="469" w:type="dxa"/>
            <w:tcBorders>
              <w:top w:val="single" w:sz="8" w:space="0" w:color="000000"/>
              <w:left w:val="single" w:sz="8" w:space="0" w:color="000000"/>
              <w:bottom w:val="double" w:sz="6" w:space="0" w:color="000000"/>
              <w:right w:val="double" w:sz="6"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30</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tc>
        <w:tc>
          <w:tcPr>
            <w:tcW w:w="470" w:type="dxa"/>
            <w:tcBorders>
              <w:top w:val="single" w:sz="8" w:space="0" w:color="000000"/>
              <w:left w:val="double" w:sz="6"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29</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30</w:t>
            </w:r>
          </w:p>
        </w:tc>
        <w:tc>
          <w:tcPr>
            <w:tcW w:w="470"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31</w:t>
            </w:r>
          </w:p>
        </w:tc>
        <w:tc>
          <w:tcPr>
            <w:tcW w:w="469" w:type="dxa"/>
            <w:tcBorders>
              <w:top w:val="double" w:sz="6" w:space="0" w:color="000000"/>
              <w:left w:val="single" w:sz="8" w:space="0" w:color="000000"/>
              <w:bottom w:val="double" w:sz="6" w:space="0" w:color="000000"/>
              <w:right w:val="single" w:sz="4" w:space="0" w:color="auto"/>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p>
        </w:tc>
        <w:tc>
          <w:tcPr>
            <w:tcW w:w="470" w:type="dxa"/>
            <w:tcBorders>
              <w:top w:val="double" w:sz="6" w:space="0" w:color="000000"/>
              <w:left w:val="single" w:sz="4" w:space="0" w:color="auto"/>
              <w:bottom w:val="double" w:sz="6"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p>
        </w:tc>
        <w:tc>
          <w:tcPr>
            <w:tcW w:w="470" w:type="dxa"/>
            <w:tcBorders>
              <w:top w:val="single" w:sz="8" w:space="0" w:color="000000"/>
              <w:left w:val="single" w:sz="8" w:space="0" w:color="000000"/>
              <w:bottom w:val="double" w:sz="6" w:space="0" w:color="000000"/>
              <w:right w:val="double" w:sz="6"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p>
        </w:tc>
      </w:tr>
    </w:tbl>
    <w:p w:rsidR="0081610A" w:rsidRPr="002E0C7E" w:rsidRDefault="0081610A" w:rsidP="0081610A">
      <w:pPr>
        <w:widowControl w:val="0"/>
        <w:tabs>
          <w:tab w:val="center" w:pos="5400"/>
        </w:tabs>
        <w:rPr>
          <w:rFonts w:ascii="Arial" w:hAnsi="Arial"/>
          <w:sz w:val="16"/>
        </w:rPr>
      </w:pPr>
      <w:r w:rsidRPr="002E0C7E">
        <w:rPr>
          <w:rFonts w:ascii="Arial" w:hAnsi="Arial"/>
          <w:sz w:val="18"/>
        </w:rPr>
        <w:tab/>
      </w:r>
      <w:r w:rsidRPr="002E0C7E">
        <w:rPr>
          <w:rFonts w:ascii="Arial" w:hAnsi="Arial"/>
          <w:i/>
          <w:sz w:val="36"/>
        </w:rPr>
        <w:t xml:space="preserve">- </w:t>
      </w:r>
      <w:r w:rsidRPr="002E0C7E">
        <w:rPr>
          <w:rFonts w:ascii="Arial" w:hAnsi="Arial"/>
          <w:b/>
          <w:i/>
          <w:sz w:val="36"/>
        </w:rPr>
        <w:t>201</w:t>
      </w:r>
      <w:r>
        <w:rPr>
          <w:rFonts w:ascii="Arial" w:hAnsi="Arial"/>
          <w:b/>
          <w:i/>
          <w:sz w:val="36"/>
        </w:rPr>
        <w:t>4</w:t>
      </w:r>
      <w:r w:rsidRPr="002E0C7E">
        <w:rPr>
          <w:rFonts w:ascii="Arial" w:hAnsi="Arial"/>
          <w:i/>
          <w:sz w:val="36"/>
        </w:rPr>
        <w:t xml:space="preserve"> -</w:t>
      </w:r>
    </w:p>
    <w:tbl>
      <w:tblPr>
        <w:tblW w:w="10789" w:type="dxa"/>
        <w:jc w:val="center"/>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469"/>
        <w:gridCol w:w="469"/>
        <w:gridCol w:w="469"/>
        <w:gridCol w:w="469"/>
        <w:gridCol w:w="469"/>
        <w:gridCol w:w="469"/>
        <w:gridCol w:w="469"/>
        <w:gridCol w:w="469"/>
        <w:gridCol w:w="469"/>
        <w:gridCol w:w="469"/>
        <w:gridCol w:w="469"/>
        <w:gridCol w:w="470"/>
        <w:gridCol w:w="469"/>
        <w:gridCol w:w="469"/>
        <w:gridCol w:w="469"/>
        <w:gridCol w:w="469"/>
        <w:gridCol w:w="469"/>
        <w:gridCol w:w="469"/>
        <w:gridCol w:w="469"/>
        <w:gridCol w:w="469"/>
        <w:gridCol w:w="469"/>
        <w:gridCol w:w="469"/>
        <w:gridCol w:w="470"/>
      </w:tblGrid>
      <w:tr w:rsidR="0081610A" w:rsidRPr="002E0C7E" w:rsidTr="00DB0773">
        <w:trPr>
          <w:cantSplit/>
          <w:jc w:val="center"/>
        </w:trPr>
        <w:tc>
          <w:tcPr>
            <w:tcW w:w="3283" w:type="dxa"/>
            <w:gridSpan w:val="7"/>
            <w:tcBorders>
              <w:top w:val="double" w:sz="6" w:space="0" w:color="000000"/>
              <w:left w:val="double" w:sz="6" w:space="0" w:color="000000"/>
              <w:bottom w:val="double" w:sz="6" w:space="0" w:color="000000"/>
              <w:right w:val="double" w:sz="6" w:space="0" w:color="000000"/>
            </w:tcBorders>
            <w:shd w:val="pct30" w:color="000000" w:fill="auto"/>
            <w:tcMar>
              <w:top w:w="72" w:type="dxa"/>
              <w:left w:w="0" w:type="dxa"/>
              <w:bottom w:w="72" w:type="dxa"/>
              <w:right w:w="0" w:type="dxa"/>
            </w:tcMar>
          </w:tcPr>
          <w:p w:rsidR="0081610A" w:rsidRPr="002E0C7E" w:rsidRDefault="0081610A" w:rsidP="00DB0773">
            <w:pPr>
              <w:widowControl w:val="0"/>
              <w:jc w:val="center"/>
              <w:rPr>
                <w:rFonts w:ascii="Arial" w:hAnsi="Arial"/>
                <w:sz w:val="14"/>
              </w:rPr>
            </w:pPr>
            <w:r w:rsidRPr="002E0C7E">
              <w:rPr>
                <w:rFonts w:ascii="Arial" w:hAnsi="Arial"/>
                <w:b/>
                <w:sz w:val="14"/>
              </w:rPr>
              <w:t>JANUARY - JANVIER</w:t>
            </w:r>
          </w:p>
        </w:tc>
        <w:tc>
          <w:tcPr>
            <w:tcW w:w="469" w:type="dxa"/>
            <w:tcBorders>
              <w:top w:val="nil"/>
              <w:left w:val="double" w:sz="6" w:space="0" w:color="000000"/>
              <w:bottom w:val="nil"/>
              <w:right w:val="double" w:sz="6" w:space="0" w:color="000000"/>
            </w:tcBorders>
            <w:tcMar>
              <w:top w:w="72" w:type="dxa"/>
              <w:left w:w="0" w:type="dxa"/>
              <w:bottom w:w="72" w:type="dxa"/>
              <w:right w:w="0" w:type="dxa"/>
            </w:tcMar>
          </w:tcPr>
          <w:p w:rsidR="0081610A" w:rsidRPr="002E0C7E" w:rsidRDefault="0081610A" w:rsidP="00DB0773">
            <w:pPr>
              <w:widowControl w:val="0"/>
              <w:jc w:val="center"/>
              <w:rPr>
                <w:rFonts w:ascii="Arial" w:hAnsi="Arial"/>
                <w:sz w:val="14"/>
              </w:rPr>
            </w:pPr>
          </w:p>
        </w:tc>
        <w:tc>
          <w:tcPr>
            <w:tcW w:w="3284" w:type="dxa"/>
            <w:gridSpan w:val="7"/>
            <w:tcBorders>
              <w:top w:val="double" w:sz="6" w:space="0" w:color="000000"/>
              <w:left w:val="double" w:sz="6" w:space="0" w:color="000000"/>
              <w:bottom w:val="double" w:sz="6" w:space="0" w:color="000000"/>
              <w:right w:val="double" w:sz="6" w:space="0" w:color="000000"/>
            </w:tcBorders>
            <w:shd w:val="pct30" w:color="000000" w:fill="auto"/>
            <w:tcMar>
              <w:top w:w="72" w:type="dxa"/>
              <w:left w:w="0" w:type="dxa"/>
              <w:bottom w:w="72" w:type="dxa"/>
              <w:right w:w="0" w:type="dxa"/>
            </w:tcMar>
          </w:tcPr>
          <w:p w:rsidR="0081610A" w:rsidRPr="002E0C7E" w:rsidRDefault="0081610A" w:rsidP="00DB0773">
            <w:pPr>
              <w:widowControl w:val="0"/>
              <w:jc w:val="center"/>
              <w:rPr>
                <w:rFonts w:ascii="Arial" w:hAnsi="Arial"/>
                <w:sz w:val="14"/>
              </w:rPr>
            </w:pPr>
            <w:r w:rsidRPr="002E0C7E">
              <w:rPr>
                <w:rFonts w:ascii="Arial" w:hAnsi="Arial"/>
                <w:b/>
                <w:sz w:val="14"/>
              </w:rPr>
              <w:t>FEBRUARY - FÉVRIER</w:t>
            </w:r>
          </w:p>
        </w:tc>
        <w:tc>
          <w:tcPr>
            <w:tcW w:w="469" w:type="dxa"/>
            <w:tcBorders>
              <w:top w:val="nil"/>
              <w:left w:val="double" w:sz="6" w:space="0" w:color="000000"/>
              <w:bottom w:val="nil"/>
              <w:right w:val="double" w:sz="6" w:space="0" w:color="000000"/>
            </w:tcBorders>
            <w:tcMar>
              <w:top w:w="72" w:type="dxa"/>
              <w:left w:w="0" w:type="dxa"/>
              <w:bottom w:w="72" w:type="dxa"/>
              <w:right w:w="0" w:type="dxa"/>
            </w:tcMar>
          </w:tcPr>
          <w:p w:rsidR="0081610A" w:rsidRPr="002E0C7E" w:rsidRDefault="0081610A" w:rsidP="00DB0773">
            <w:pPr>
              <w:widowControl w:val="0"/>
              <w:jc w:val="center"/>
              <w:rPr>
                <w:rFonts w:ascii="Arial" w:hAnsi="Arial"/>
                <w:sz w:val="14"/>
              </w:rPr>
            </w:pPr>
          </w:p>
        </w:tc>
        <w:tc>
          <w:tcPr>
            <w:tcW w:w="3284" w:type="dxa"/>
            <w:gridSpan w:val="7"/>
            <w:tcBorders>
              <w:top w:val="double" w:sz="6" w:space="0" w:color="000000"/>
              <w:left w:val="double" w:sz="6" w:space="0" w:color="000000"/>
              <w:bottom w:val="double" w:sz="6" w:space="0" w:color="000000"/>
              <w:right w:val="double" w:sz="6" w:space="0" w:color="000000"/>
            </w:tcBorders>
            <w:shd w:val="pct30" w:color="000000" w:fill="auto"/>
            <w:tcMar>
              <w:top w:w="72" w:type="dxa"/>
              <w:left w:w="0" w:type="dxa"/>
              <w:bottom w:w="72" w:type="dxa"/>
              <w:right w:w="0" w:type="dxa"/>
            </w:tcMar>
          </w:tcPr>
          <w:p w:rsidR="0081610A" w:rsidRPr="002E0C7E" w:rsidRDefault="0081610A" w:rsidP="00DB0773">
            <w:pPr>
              <w:widowControl w:val="0"/>
              <w:jc w:val="center"/>
              <w:rPr>
                <w:rFonts w:ascii="Arial" w:hAnsi="Arial"/>
                <w:sz w:val="14"/>
              </w:rPr>
            </w:pPr>
            <w:r w:rsidRPr="002E0C7E">
              <w:rPr>
                <w:rFonts w:ascii="Arial" w:hAnsi="Arial"/>
                <w:b/>
                <w:sz w:val="14"/>
              </w:rPr>
              <w:t>MARCH - MARS</w:t>
            </w:r>
          </w:p>
        </w:tc>
      </w:tr>
      <w:tr w:rsidR="0081610A" w:rsidRPr="002E0C7E" w:rsidTr="00DB0773">
        <w:trPr>
          <w:cantSplit/>
          <w:jc w:val="center"/>
        </w:trPr>
        <w:tc>
          <w:tcPr>
            <w:tcW w:w="469" w:type="dxa"/>
            <w:tcBorders>
              <w:top w:val="double" w:sz="6" w:space="0" w:color="000000"/>
              <w:left w:val="double" w:sz="6"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r w:rsidRPr="002E0C7E">
              <w:rPr>
                <w:rFonts w:ascii="Arial" w:hAnsi="Arial"/>
                <w:sz w:val="14"/>
              </w:rPr>
              <w:t>S</w:t>
            </w:r>
          </w:p>
          <w:p w:rsidR="0081610A" w:rsidRPr="002E0C7E" w:rsidRDefault="0081610A" w:rsidP="00DB0773">
            <w:pPr>
              <w:widowControl w:val="0"/>
              <w:jc w:val="center"/>
              <w:rPr>
                <w:rFonts w:ascii="Arial" w:hAnsi="Arial"/>
                <w:sz w:val="14"/>
              </w:rPr>
            </w:pPr>
            <w:r w:rsidRPr="002E0C7E">
              <w:rPr>
                <w:rFonts w:ascii="Arial" w:hAnsi="Arial"/>
                <w:sz w:val="14"/>
              </w:rPr>
              <w:t>D</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r w:rsidRPr="002E0C7E">
              <w:rPr>
                <w:rFonts w:ascii="Arial" w:hAnsi="Arial"/>
                <w:sz w:val="14"/>
              </w:rPr>
              <w:t>M</w:t>
            </w:r>
          </w:p>
          <w:p w:rsidR="0081610A" w:rsidRPr="002E0C7E" w:rsidRDefault="0081610A" w:rsidP="00DB0773">
            <w:pPr>
              <w:widowControl w:val="0"/>
              <w:jc w:val="center"/>
              <w:rPr>
                <w:rFonts w:ascii="Arial" w:hAnsi="Arial"/>
                <w:sz w:val="14"/>
              </w:rPr>
            </w:pPr>
            <w:r w:rsidRPr="002E0C7E">
              <w:rPr>
                <w:rFonts w:ascii="Arial" w:hAnsi="Arial"/>
                <w:sz w:val="14"/>
              </w:rPr>
              <w:t>L</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r w:rsidRPr="002E0C7E">
              <w:rPr>
                <w:rFonts w:ascii="Arial" w:hAnsi="Arial"/>
                <w:sz w:val="14"/>
              </w:rPr>
              <w:t>T</w:t>
            </w:r>
          </w:p>
          <w:p w:rsidR="0081610A" w:rsidRPr="002E0C7E" w:rsidRDefault="0081610A" w:rsidP="00DB0773">
            <w:pPr>
              <w:widowControl w:val="0"/>
              <w:jc w:val="center"/>
              <w:rPr>
                <w:rFonts w:ascii="Arial" w:hAnsi="Arial"/>
                <w:sz w:val="14"/>
              </w:rPr>
            </w:pPr>
            <w:r w:rsidRPr="002E0C7E">
              <w:rPr>
                <w:rFonts w:ascii="Arial" w:hAnsi="Arial"/>
                <w:sz w:val="14"/>
              </w:rPr>
              <w:t>M</w:t>
            </w:r>
          </w:p>
        </w:tc>
        <w:tc>
          <w:tcPr>
            <w:tcW w:w="469" w:type="dxa"/>
            <w:tcBorders>
              <w:top w:val="double" w:sz="6"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r w:rsidRPr="002E0C7E">
              <w:rPr>
                <w:rFonts w:ascii="Arial" w:hAnsi="Arial"/>
                <w:sz w:val="14"/>
              </w:rPr>
              <w:t>W</w:t>
            </w:r>
          </w:p>
          <w:p w:rsidR="0081610A" w:rsidRPr="002E0C7E" w:rsidRDefault="0081610A" w:rsidP="00DB0773">
            <w:pPr>
              <w:widowControl w:val="0"/>
              <w:jc w:val="center"/>
              <w:rPr>
                <w:rFonts w:ascii="Arial" w:hAnsi="Arial"/>
                <w:sz w:val="14"/>
              </w:rPr>
            </w:pPr>
            <w:r w:rsidRPr="002E0C7E">
              <w:rPr>
                <w:rFonts w:ascii="Arial" w:hAnsi="Arial"/>
                <w:sz w:val="14"/>
              </w:rPr>
              <w:t>M</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r w:rsidRPr="002E0C7E">
              <w:rPr>
                <w:rFonts w:ascii="Arial" w:hAnsi="Arial"/>
                <w:sz w:val="14"/>
              </w:rPr>
              <w:t>T</w:t>
            </w:r>
          </w:p>
          <w:p w:rsidR="0081610A" w:rsidRPr="002E0C7E" w:rsidRDefault="0081610A" w:rsidP="00DB0773">
            <w:pPr>
              <w:widowControl w:val="0"/>
              <w:jc w:val="center"/>
              <w:rPr>
                <w:rFonts w:ascii="Arial" w:hAnsi="Arial"/>
                <w:sz w:val="14"/>
              </w:rPr>
            </w:pPr>
            <w:r w:rsidRPr="002E0C7E">
              <w:rPr>
                <w:rFonts w:ascii="Arial" w:hAnsi="Arial"/>
                <w:sz w:val="14"/>
              </w:rPr>
              <w:t>J</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r w:rsidRPr="002E0C7E">
              <w:rPr>
                <w:rFonts w:ascii="Arial" w:hAnsi="Arial"/>
                <w:sz w:val="14"/>
              </w:rPr>
              <w:t>F</w:t>
            </w:r>
          </w:p>
          <w:p w:rsidR="0081610A" w:rsidRPr="002E0C7E" w:rsidRDefault="0081610A" w:rsidP="00DB0773">
            <w:pPr>
              <w:widowControl w:val="0"/>
              <w:jc w:val="center"/>
              <w:rPr>
                <w:rFonts w:ascii="Arial" w:hAnsi="Arial"/>
                <w:sz w:val="14"/>
              </w:rPr>
            </w:pPr>
            <w:r w:rsidRPr="002E0C7E">
              <w:rPr>
                <w:rFonts w:ascii="Arial" w:hAnsi="Arial"/>
                <w:sz w:val="14"/>
              </w:rPr>
              <w:t>V</w:t>
            </w:r>
          </w:p>
        </w:tc>
        <w:tc>
          <w:tcPr>
            <w:tcW w:w="469" w:type="dxa"/>
            <w:tcBorders>
              <w:top w:val="double" w:sz="6"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r w:rsidRPr="002E0C7E">
              <w:rPr>
                <w:rFonts w:ascii="Arial" w:hAnsi="Arial"/>
                <w:sz w:val="14"/>
              </w:rPr>
              <w:t>S</w:t>
            </w:r>
          </w:p>
          <w:p w:rsidR="0081610A" w:rsidRPr="002E0C7E" w:rsidRDefault="0081610A" w:rsidP="00DB0773">
            <w:pPr>
              <w:widowControl w:val="0"/>
              <w:jc w:val="center"/>
              <w:rPr>
                <w:rFonts w:ascii="Arial" w:hAnsi="Arial"/>
                <w:sz w:val="14"/>
              </w:rPr>
            </w:pPr>
            <w:r w:rsidRPr="002E0C7E">
              <w:rPr>
                <w:rFonts w:ascii="Arial" w:hAnsi="Arial"/>
                <w:sz w:val="14"/>
              </w:rPr>
              <w:t>S</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tc>
        <w:tc>
          <w:tcPr>
            <w:tcW w:w="469" w:type="dxa"/>
            <w:tcBorders>
              <w:top w:val="double" w:sz="6" w:space="0" w:color="000000"/>
              <w:left w:val="double" w:sz="6"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r w:rsidRPr="002E0C7E">
              <w:rPr>
                <w:rFonts w:ascii="Arial" w:hAnsi="Arial"/>
                <w:sz w:val="14"/>
              </w:rPr>
              <w:t>S</w:t>
            </w:r>
          </w:p>
          <w:p w:rsidR="0081610A" w:rsidRPr="002E0C7E" w:rsidRDefault="0081610A" w:rsidP="00DB0773">
            <w:pPr>
              <w:widowControl w:val="0"/>
              <w:jc w:val="center"/>
              <w:rPr>
                <w:rFonts w:ascii="Arial" w:hAnsi="Arial"/>
                <w:sz w:val="14"/>
              </w:rPr>
            </w:pPr>
            <w:r w:rsidRPr="002E0C7E">
              <w:rPr>
                <w:rFonts w:ascii="Arial" w:hAnsi="Arial"/>
                <w:sz w:val="14"/>
              </w:rPr>
              <w:t>D</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r w:rsidRPr="002E0C7E">
              <w:rPr>
                <w:rFonts w:ascii="Arial" w:hAnsi="Arial"/>
                <w:sz w:val="14"/>
              </w:rPr>
              <w:t>M</w:t>
            </w:r>
          </w:p>
          <w:p w:rsidR="0081610A" w:rsidRPr="002E0C7E" w:rsidRDefault="0081610A" w:rsidP="00DB0773">
            <w:pPr>
              <w:widowControl w:val="0"/>
              <w:jc w:val="center"/>
              <w:rPr>
                <w:rFonts w:ascii="Arial" w:hAnsi="Arial"/>
                <w:sz w:val="14"/>
              </w:rPr>
            </w:pPr>
            <w:r w:rsidRPr="002E0C7E">
              <w:rPr>
                <w:rFonts w:ascii="Arial" w:hAnsi="Arial"/>
                <w:sz w:val="14"/>
              </w:rPr>
              <w:t>L</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r w:rsidRPr="002E0C7E">
              <w:rPr>
                <w:rFonts w:ascii="Arial" w:hAnsi="Arial"/>
                <w:sz w:val="14"/>
              </w:rPr>
              <w:t>T</w:t>
            </w:r>
          </w:p>
          <w:p w:rsidR="0081610A" w:rsidRPr="002E0C7E" w:rsidRDefault="0081610A" w:rsidP="00DB0773">
            <w:pPr>
              <w:widowControl w:val="0"/>
              <w:jc w:val="center"/>
              <w:rPr>
                <w:rFonts w:ascii="Arial" w:hAnsi="Arial"/>
                <w:sz w:val="14"/>
              </w:rPr>
            </w:pPr>
            <w:r w:rsidRPr="002E0C7E">
              <w:rPr>
                <w:rFonts w:ascii="Arial" w:hAnsi="Arial"/>
                <w:sz w:val="14"/>
              </w:rPr>
              <w:t>M</w:t>
            </w:r>
          </w:p>
        </w:tc>
        <w:tc>
          <w:tcPr>
            <w:tcW w:w="470"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r w:rsidRPr="002E0C7E">
              <w:rPr>
                <w:rFonts w:ascii="Arial" w:hAnsi="Arial"/>
                <w:sz w:val="14"/>
              </w:rPr>
              <w:t>W</w:t>
            </w:r>
          </w:p>
          <w:p w:rsidR="0081610A" w:rsidRPr="002E0C7E" w:rsidRDefault="0081610A" w:rsidP="00DB0773">
            <w:pPr>
              <w:widowControl w:val="0"/>
              <w:jc w:val="center"/>
              <w:rPr>
                <w:rFonts w:ascii="Arial" w:hAnsi="Arial"/>
                <w:sz w:val="14"/>
              </w:rPr>
            </w:pPr>
            <w:r w:rsidRPr="002E0C7E">
              <w:rPr>
                <w:rFonts w:ascii="Arial" w:hAnsi="Arial"/>
                <w:sz w:val="14"/>
              </w:rPr>
              <w:t>M</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r w:rsidRPr="002E0C7E">
              <w:rPr>
                <w:rFonts w:ascii="Arial" w:hAnsi="Arial"/>
                <w:sz w:val="14"/>
              </w:rPr>
              <w:t>T</w:t>
            </w:r>
          </w:p>
          <w:p w:rsidR="0081610A" w:rsidRPr="002E0C7E" w:rsidRDefault="0081610A" w:rsidP="00DB0773">
            <w:pPr>
              <w:widowControl w:val="0"/>
              <w:jc w:val="center"/>
              <w:rPr>
                <w:rFonts w:ascii="Arial" w:hAnsi="Arial"/>
                <w:sz w:val="14"/>
              </w:rPr>
            </w:pPr>
            <w:r w:rsidRPr="002E0C7E">
              <w:rPr>
                <w:rFonts w:ascii="Arial" w:hAnsi="Arial"/>
                <w:sz w:val="14"/>
              </w:rPr>
              <w:t>J</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r w:rsidRPr="002E0C7E">
              <w:rPr>
                <w:rFonts w:ascii="Arial" w:hAnsi="Arial"/>
                <w:sz w:val="14"/>
              </w:rPr>
              <w:t>F</w:t>
            </w:r>
          </w:p>
          <w:p w:rsidR="0081610A" w:rsidRPr="002E0C7E" w:rsidRDefault="0081610A" w:rsidP="00DB0773">
            <w:pPr>
              <w:widowControl w:val="0"/>
              <w:jc w:val="center"/>
              <w:rPr>
                <w:rFonts w:ascii="Arial" w:hAnsi="Arial"/>
                <w:sz w:val="14"/>
              </w:rPr>
            </w:pPr>
            <w:r w:rsidRPr="002E0C7E">
              <w:rPr>
                <w:rFonts w:ascii="Arial" w:hAnsi="Arial"/>
                <w:sz w:val="14"/>
              </w:rPr>
              <w:t>V</w:t>
            </w:r>
          </w:p>
        </w:tc>
        <w:tc>
          <w:tcPr>
            <w:tcW w:w="469" w:type="dxa"/>
            <w:tcBorders>
              <w:top w:val="double" w:sz="6"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r w:rsidRPr="002E0C7E">
              <w:rPr>
                <w:rFonts w:ascii="Arial" w:hAnsi="Arial"/>
                <w:sz w:val="14"/>
              </w:rPr>
              <w:t>S</w:t>
            </w:r>
          </w:p>
          <w:p w:rsidR="0081610A" w:rsidRPr="002E0C7E" w:rsidRDefault="0081610A" w:rsidP="00DB0773">
            <w:pPr>
              <w:widowControl w:val="0"/>
              <w:jc w:val="center"/>
              <w:rPr>
                <w:rFonts w:ascii="Arial" w:hAnsi="Arial"/>
                <w:sz w:val="14"/>
              </w:rPr>
            </w:pPr>
            <w:r w:rsidRPr="002E0C7E">
              <w:rPr>
                <w:rFonts w:ascii="Arial" w:hAnsi="Arial"/>
                <w:sz w:val="14"/>
              </w:rPr>
              <w:t>S</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tc>
        <w:tc>
          <w:tcPr>
            <w:tcW w:w="469" w:type="dxa"/>
            <w:tcBorders>
              <w:top w:val="double" w:sz="6" w:space="0" w:color="000000"/>
              <w:left w:val="double" w:sz="6"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r w:rsidRPr="002E0C7E">
              <w:rPr>
                <w:rFonts w:ascii="Arial" w:hAnsi="Arial"/>
                <w:sz w:val="14"/>
              </w:rPr>
              <w:t>S</w:t>
            </w:r>
          </w:p>
          <w:p w:rsidR="0081610A" w:rsidRPr="002E0C7E" w:rsidRDefault="0081610A" w:rsidP="00DB0773">
            <w:pPr>
              <w:widowControl w:val="0"/>
              <w:jc w:val="center"/>
              <w:rPr>
                <w:rFonts w:ascii="Arial" w:hAnsi="Arial"/>
                <w:sz w:val="14"/>
              </w:rPr>
            </w:pPr>
            <w:r w:rsidRPr="002E0C7E">
              <w:rPr>
                <w:rFonts w:ascii="Arial" w:hAnsi="Arial"/>
                <w:sz w:val="14"/>
              </w:rPr>
              <w:t>D</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r w:rsidRPr="002E0C7E">
              <w:rPr>
                <w:rFonts w:ascii="Arial" w:hAnsi="Arial"/>
                <w:sz w:val="14"/>
              </w:rPr>
              <w:t>M</w:t>
            </w:r>
          </w:p>
          <w:p w:rsidR="0081610A" w:rsidRPr="002E0C7E" w:rsidRDefault="0081610A" w:rsidP="00DB0773">
            <w:pPr>
              <w:widowControl w:val="0"/>
              <w:jc w:val="center"/>
              <w:rPr>
                <w:rFonts w:ascii="Arial" w:hAnsi="Arial"/>
                <w:sz w:val="14"/>
              </w:rPr>
            </w:pPr>
            <w:r w:rsidRPr="002E0C7E">
              <w:rPr>
                <w:rFonts w:ascii="Arial" w:hAnsi="Arial"/>
                <w:sz w:val="14"/>
              </w:rPr>
              <w:t>L</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r w:rsidRPr="002E0C7E">
              <w:rPr>
                <w:rFonts w:ascii="Arial" w:hAnsi="Arial"/>
                <w:sz w:val="14"/>
              </w:rPr>
              <w:t>T</w:t>
            </w:r>
          </w:p>
          <w:p w:rsidR="0081610A" w:rsidRPr="002E0C7E" w:rsidRDefault="0081610A" w:rsidP="00DB0773">
            <w:pPr>
              <w:widowControl w:val="0"/>
              <w:jc w:val="center"/>
              <w:rPr>
                <w:rFonts w:ascii="Arial" w:hAnsi="Arial"/>
                <w:sz w:val="14"/>
              </w:rPr>
            </w:pPr>
            <w:r w:rsidRPr="002E0C7E">
              <w:rPr>
                <w:rFonts w:ascii="Arial" w:hAnsi="Arial"/>
                <w:sz w:val="14"/>
              </w:rPr>
              <w:t>M</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r w:rsidRPr="002E0C7E">
              <w:rPr>
                <w:rFonts w:ascii="Arial" w:hAnsi="Arial"/>
                <w:sz w:val="14"/>
              </w:rPr>
              <w:t>W</w:t>
            </w:r>
          </w:p>
          <w:p w:rsidR="0081610A" w:rsidRPr="002E0C7E" w:rsidRDefault="0081610A" w:rsidP="00DB0773">
            <w:pPr>
              <w:widowControl w:val="0"/>
              <w:jc w:val="center"/>
              <w:rPr>
                <w:rFonts w:ascii="Arial" w:hAnsi="Arial"/>
                <w:sz w:val="14"/>
              </w:rPr>
            </w:pPr>
            <w:r w:rsidRPr="002E0C7E">
              <w:rPr>
                <w:rFonts w:ascii="Arial" w:hAnsi="Arial"/>
                <w:sz w:val="14"/>
              </w:rPr>
              <w:t>M</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r w:rsidRPr="002E0C7E">
              <w:rPr>
                <w:rFonts w:ascii="Arial" w:hAnsi="Arial"/>
                <w:sz w:val="14"/>
              </w:rPr>
              <w:t>T</w:t>
            </w:r>
          </w:p>
          <w:p w:rsidR="0081610A" w:rsidRPr="002E0C7E" w:rsidRDefault="0081610A" w:rsidP="00DB0773">
            <w:pPr>
              <w:widowControl w:val="0"/>
              <w:jc w:val="center"/>
              <w:rPr>
                <w:rFonts w:ascii="Arial" w:hAnsi="Arial"/>
                <w:sz w:val="14"/>
              </w:rPr>
            </w:pPr>
            <w:r w:rsidRPr="002E0C7E">
              <w:rPr>
                <w:rFonts w:ascii="Arial" w:hAnsi="Arial"/>
                <w:sz w:val="14"/>
              </w:rPr>
              <w:t>J</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r w:rsidRPr="002E0C7E">
              <w:rPr>
                <w:rFonts w:ascii="Arial" w:hAnsi="Arial"/>
                <w:sz w:val="14"/>
              </w:rPr>
              <w:t>F</w:t>
            </w:r>
          </w:p>
          <w:p w:rsidR="0081610A" w:rsidRPr="002E0C7E" w:rsidRDefault="0081610A" w:rsidP="00DB0773">
            <w:pPr>
              <w:widowControl w:val="0"/>
              <w:jc w:val="center"/>
              <w:rPr>
                <w:rFonts w:ascii="Arial" w:hAnsi="Arial"/>
                <w:sz w:val="14"/>
              </w:rPr>
            </w:pPr>
            <w:r w:rsidRPr="002E0C7E">
              <w:rPr>
                <w:rFonts w:ascii="Arial" w:hAnsi="Arial"/>
                <w:sz w:val="14"/>
              </w:rPr>
              <w:t>V</w:t>
            </w:r>
          </w:p>
        </w:tc>
        <w:tc>
          <w:tcPr>
            <w:tcW w:w="470" w:type="dxa"/>
            <w:tcBorders>
              <w:top w:val="double" w:sz="6"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r w:rsidRPr="002E0C7E">
              <w:rPr>
                <w:rFonts w:ascii="Arial" w:hAnsi="Arial"/>
                <w:sz w:val="14"/>
              </w:rPr>
              <w:t>S</w:t>
            </w:r>
          </w:p>
          <w:p w:rsidR="0081610A" w:rsidRPr="002E0C7E" w:rsidRDefault="0081610A" w:rsidP="00DB0773">
            <w:pPr>
              <w:widowControl w:val="0"/>
              <w:jc w:val="center"/>
              <w:rPr>
                <w:rFonts w:ascii="Arial" w:hAnsi="Arial"/>
                <w:sz w:val="14"/>
              </w:rPr>
            </w:pPr>
            <w:r w:rsidRPr="002E0C7E">
              <w:rPr>
                <w:rFonts w:ascii="Arial" w:hAnsi="Arial"/>
                <w:sz w:val="14"/>
              </w:rPr>
              <w:t>S</w:t>
            </w:r>
          </w:p>
        </w:tc>
      </w:tr>
      <w:tr w:rsidR="0081610A" w:rsidRPr="002E0C7E" w:rsidTr="00DB0773">
        <w:trPr>
          <w:cantSplit/>
          <w:jc w:val="center"/>
        </w:trPr>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317A69" w:rsidRDefault="0081610A" w:rsidP="00DB0773">
            <w:pPr>
              <w:widowControl w:val="0"/>
              <w:jc w:val="center"/>
              <w:rPr>
                <w:rFonts w:ascii="Arial" w:hAnsi="Arial"/>
                <w:b/>
                <w:sz w:val="14"/>
              </w:rPr>
            </w:pPr>
          </w:p>
          <w:p w:rsidR="0081610A" w:rsidRPr="002E0C7E" w:rsidRDefault="0081610A" w:rsidP="00DB0773">
            <w:pPr>
              <w:widowControl w:val="0"/>
              <w:jc w:val="center"/>
              <w:rPr>
                <w:rFonts w:ascii="Arial" w:hAnsi="Arial"/>
                <w:sz w:val="14"/>
              </w:rPr>
            </w:pPr>
          </w:p>
        </w:tc>
        <w:tc>
          <w:tcPr>
            <w:tcW w:w="469" w:type="dxa"/>
            <w:tcBorders>
              <w:top w:val="double" w:sz="6" w:space="0" w:color="000000"/>
              <w:left w:val="double" w:sz="6" w:space="0" w:color="000000"/>
              <w:bottom w:val="double" w:sz="6" w:space="0" w:color="000000"/>
              <w:right w:val="double" w:sz="6" w:space="0" w:color="000000"/>
            </w:tcBorders>
            <w:tcMar>
              <w:top w:w="72" w:type="dxa"/>
              <w:left w:w="0" w:type="dxa"/>
              <w:bottom w:w="43" w:type="dxa"/>
              <w:right w:w="0" w:type="dxa"/>
            </w:tcMar>
          </w:tcPr>
          <w:p w:rsidR="0081610A" w:rsidRPr="00D23ECF" w:rsidRDefault="0081610A" w:rsidP="00DB0773">
            <w:pPr>
              <w:widowControl w:val="0"/>
              <w:jc w:val="center"/>
              <w:rPr>
                <w:rFonts w:ascii="Arial" w:hAnsi="Arial"/>
                <w:b/>
                <w:sz w:val="14"/>
              </w:rPr>
            </w:pPr>
            <w:r>
              <w:rPr>
                <w:rFonts w:ascii="Arial" w:hAnsi="Arial"/>
                <w:b/>
                <w:sz w:val="14"/>
              </w:rPr>
              <w:t>H</w:t>
            </w:r>
          </w:p>
          <w:p w:rsidR="0081610A" w:rsidRPr="002E0C7E" w:rsidRDefault="0081610A" w:rsidP="00DB0773">
            <w:pPr>
              <w:widowControl w:val="0"/>
              <w:jc w:val="center"/>
              <w:rPr>
                <w:rFonts w:ascii="Arial" w:hAnsi="Arial"/>
                <w:sz w:val="14"/>
              </w:rPr>
            </w:pPr>
            <w:r>
              <w:rPr>
                <w:rFonts w:ascii="Arial" w:hAnsi="Arial"/>
                <w:sz w:val="14"/>
              </w:rPr>
              <w:t>1</w:t>
            </w:r>
          </w:p>
        </w:tc>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2</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3</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4</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p>
        </w:tc>
        <w:tc>
          <w:tcPr>
            <w:tcW w:w="47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1</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p>
        </w:tc>
        <w:tc>
          <w:tcPr>
            <w:tcW w:w="470"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1</w:t>
            </w:r>
          </w:p>
        </w:tc>
      </w:tr>
      <w:tr w:rsidR="0081610A" w:rsidRPr="002E0C7E" w:rsidTr="00DB0773">
        <w:trPr>
          <w:cantSplit/>
          <w:jc w:val="center"/>
        </w:trPr>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5</w:t>
            </w:r>
          </w:p>
        </w:tc>
        <w:tc>
          <w:tcPr>
            <w:tcW w:w="469" w:type="dxa"/>
            <w:tcBorders>
              <w:top w:val="single" w:sz="8" w:space="0" w:color="000000"/>
              <w:left w:val="single" w:sz="8" w:space="0" w:color="000000"/>
              <w:bottom w:val="double" w:sz="6"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6</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7</w:t>
            </w:r>
          </w:p>
        </w:tc>
        <w:tc>
          <w:tcPr>
            <w:tcW w:w="469" w:type="dxa"/>
            <w:tcBorders>
              <w:top w:val="double" w:sz="6"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8</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9</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sidRPr="002E0C7E">
              <w:rPr>
                <w:rFonts w:ascii="Arial" w:hAnsi="Arial"/>
                <w:sz w:val="14"/>
              </w:rPr>
              <w:t>1</w:t>
            </w:r>
            <w:r>
              <w:rPr>
                <w:rFonts w:ascii="Arial" w:hAnsi="Arial"/>
                <w:sz w:val="14"/>
              </w:rPr>
              <w:t>0</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sidRPr="002E0C7E">
              <w:rPr>
                <w:rFonts w:ascii="Arial" w:hAnsi="Arial"/>
                <w:sz w:val="14"/>
              </w:rPr>
              <w:t>1</w:t>
            </w:r>
            <w:r>
              <w:rPr>
                <w:rFonts w:ascii="Arial" w:hAnsi="Arial"/>
                <w:sz w:val="14"/>
              </w:rPr>
              <w:t>1</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2</w:t>
            </w:r>
          </w:p>
        </w:tc>
        <w:tc>
          <w:tcPr>
            <w:tcW w:w="469" w:type="dxa"/>
            <w:tcBorders>
              <w:top w:val="single" w:sz="8" w:space="0" w:color="000000"/>
              <w:left w:val="single" w:sz="8" w:space="0" w:color="000000"/>
              <w:bottom w:val="double" w:sz="6"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3</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4</w:t>
            </w:r>
          </w:p>
        </w:tc>
        <w:tc>
          <w:tcPr>
            <w:tcW w:w="470"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5</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6</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7</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8</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2</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3</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4</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5</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6</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7</w:t>
            </w:r>
          </w:p>
        </w:tc>
        <w:tc>
          <w:tcPr>
            <w:tcW w:w="470"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8</w:t>
            </w:r>
          </w:p>
        </w:tc>
      </w:tr>
      <w:tr w:rsidR="0081610A" w:rsidRPr="002E0C7E" w:rsidTr="00DB0773">
        <w:trPr>
          <w:cantSplit/>
          <w:jc w:val="center"/>
        </w:trPr>
        <w:tc>
          <w:tcPr>
            <w:tcW w:w="469" w:type="dxa"/>
            <w:tcBorders>
              <w:top w:val="single" w:sz="8" w:space="0" w:color="000000"/>
              <w:left w:val="double" w:sz="6"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sidRPr="002E0C7E">
              <w:rPr>
                <w:rFonts w:ascii="Arial" w:hAnsi="Arial"/>
                <w:sz w:val="14"/>
              </w:rPr>
              <w:t>1</w:t>
            </w:r>
            <w:r>
              <w:rPr>
                <w:rFonts w:ascii="Arial" w:hAnsi="Arial"/>
                <w:sz w:val="14"/>
              </w:rPr>
              <w:t>2</w:t>
            </w:r>
          </w:p>
        </w:tc>
        <w:tc>
          <w:tcPr>
            <w:tcW w:w="469" w:type="dxa"/>
            <w:tcBorders>
              <w:top w:val="double" w:sz="6" w:space="0" w:color="000000"/>
              <w:left w:val="double" w:sz="6" w:space="0" w:color="000000"/>
              <w:bottom w:val="double" w:sz="6" w:space="0" w:color="000000"/>
              <w:right w:val="double" w:sz="6" w:space="0" w:color="000000"/>
            </w:tcBorders>
            <w:shd w:val="pct30" w:color="000000" w:fill="auto"/>
            <w:tcMar>
              <w:top w:w="72" w:type="dxa"/>
              <w:left w:w="0" w:type="dxa"/>
              <w:bottom w:w="43" w:type="dxa"/>
              <w:right w:w="0" w:type="dxa"/>
            </w:tcMar>
          </w:tcPr>
          <w:p w:rsidR="0081610A" w:rsidRPr="007255AD" w:rsidRDefault="0081610A" w:rsidP="00DB0773">
            <w:pPr>
              <w:widowControl w:val="0"/>
              <w:jc w:val="center"/>
              <w:rPr>
                <w:rFonts w:ascii="Arial" w:hAnsi="Arial"/>
                <w:b/>
                <w:sz w:val="14"/>
              </w:rPr>
            </w:pPr>
            <w:r>
              <w:rPr>
                <w:rFonts w:ascii="Arial" w:hAnsi="Arial"/>
                <w:b/>
                <w:sz w:val="14"/>
              </w:rPr>
              <w:t>M</w:t>
            </w:r>
          </w:p>
          <w:p w:rsidR="0081610A" w:rsidRPr="002E0C7E" w:rsidRDefault="0081610A" w:rsidP="00DB0773">
            <w:pPr>
              <w:widowControl w:val="0"/>
              <w:jc w:val="center"/>
              <w:rPr>
                <w:rFonts w:ascii="Arial" w:hAnsi="Arial"/>
                <w:sz w:val="14"/>
              </w:rPr>
            </w:pPr>
            <w:r w:rsidRPr="002E0C7E">
              <w:rPr>
                <w:rFonts w:ascii="Arial" w:hAnsi="Arial"/>
                <w:sz w:val="14"/>
              </w:rPr>
              <w:t>1</w:t>
            </w:r>
            <w:r>
              <w:rPr>
                <w:rFonts w:ascii="Arial" w:hAnsi="Arial"/>
                <w:sz w:val="14"/>
              </w:rPr>
              <w:t>3</w:t>
            </w:r>
          </w:p>
        </w:tc>
        <w:tc>
          <w:tcPr>
            <w:tcW w:w="469" w:type="dxa"/>
            <w:tcBorders>
              <w:top w:val="single" w:sz="8" w:space="0" w:color="000000"/>
              <w:left w:val="double" w:sz="6" w:space="0" w:color="000000"/>
              <w:bottom w:val="single" w:sz="8" w:space="0" w:color="000000"/>
              <w:right w:val="single" w:sz="8" w:space="0" w:color="000000"/>
            </w:tcBorders>
            <w:shd w:val="pct30" w:color="000000"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sidRPr="002E0C7E">
              <w:rPr>
                <w:rFonts w:ascii="Arial" w:hAnsi="Arial"/>
                <w:sz w:val="14"/>
              </w:rPr>
              <w:t>1</w:t>
            </w:r>
            <w:r>
              <w:rPr>
                <w:rFonts w:ascii="Arial" w:hAnsi="Arial"/>
                <w:sz w:val="14"/>
              </w:rPr>
              <w:t>4</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sidRPr="002E0C7E">
              <w:rPr>
                <w:rFonts w:ascii="Arial" w:hAnsi="Arial"/>
                <w:sz w:val="14"/>
              </w:rPr>
              <w:t>1</w:t>
            </w:r>
            <w:r>
              <w:rPr>
                <w:rFonts w:ascii="Arial" w:hAnsi="Arial"/>
                <w:sz w:val="14"/>
              </w:rPr>
              <w:t>5</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sidRPr="002E0C7E">
              <w:rPr>
                <w:rFonts w:ascii="Arial" w:hAnsi="Arial"/>
                <w:sz w:val="14"/>
              </w:rPr>
              <w:t>1</w:t>
            </w:r>
            <w:r>
              <w:rPr>
                <w:rFonts w:ascii="Arial" w:hAnsi="Arial"/>
                <w:sz w:val="14"/>
              </w:rPr>
              <w:t>6</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17</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sidRPr="002E0C7E">
              <w:rPr>
                <w:rFonts w:ascii="Arial" w:hAnsi="Arial"/>
                <w:sz w:val="14"/>
              </w:rPr>
              <w:t>1</w:t>
            </w:r>
            <w:r>
              <w:rPr>
                <w:rFonts w:ascii="Arial" w:hAnsi="Arial"/>
                <w:sz w:val="14"/>
              </w:rPr>
              <w:t>8</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9</w:t>
            </w:r>
          </w:p>
        </w:tc>
        <w:tc>
          <w:tcPr>
            <w:tcW w:w="469" w:type="dxa"/>
            <w:tcBorders>
              <w:top w:val="double" w:sz="6" w:space="0" w:color="000000"/>
              <w:left w:val="double" w:sz="6" w:space="0" w:color="000000"/>
              <w:bottom w:val="double" w:sz="6" w:space="0" w:color="000000"/>
              <w:right w:val="double" w:sz="6" w:space="0" w:color="000000"/>
            </w:tcBorders>
            <w:shd w:val="pct30" w:color="000000" w:fill="auto"/>
            <w:tcMar>
              <w:top w:w="72" w:type="dxa"/>
              <w:left w:w="0" w:type="dxa"/>
              <w:bottom w:w="43" w:type="dxa"/>
              <w:right w:w="0" w:type="dxa"/>
            </w:tcMar>
          </w:tcPr>
          <w:p w:rsidR="0081610A" w:rsidRPr="000E2B85" w:rsidRDefault="0081610A" w:rsidP="00DB0773">
            <w:pPr>
              <w:widowControl w:val="0"/>
              <w:jc w:val="center"/>
              <w:rPr>
                <w:rFonts w:ascii="Arial" w:hAnsi="Arial"/>
                <w:b/>
                <w:sz w:val="14"/>
              </w:rPr>
            </w:pPr>
            <w:r>
              <w:rPr>
                <w:rFonts w:ascii="Arial" w:hAnsi="Arial"/>
                <w:b/>
                <w:sz w:val="14"/>
              </w:rPr>
              <w:t>M</w:t>
            </w:r>
          </w:p>
          <w:p w:rsidR="0081610A" w:rsidRPr="002E0C7E" w:rsidRDefault="0081610A" w:rsidP="00DB0773">
            <w:pPr>
              <w:widowControl w:val="0"/>
              <w:jc w:val="center"/>
              <w:rPr>
                <w:rFonts w:ascii="Arial" w:hAnsi="Arial"/>
                <w:sz w:val="14"/>
              </w:rPr>
            </w:pPr>
            <w:r w:rsidRPr="002E0C7E">
              <w:rPr>
                <w:rFonts w:ascii="Arial" w:hAnsi="Arial"/>
                <w:sz w:val="14"/>
              </w:rPr>
              <w:t>1</w:t>
            </w:r>
            <w:r>
              <w:rPr>
                <w:rFonts w:ascii="Arial" w:hAnsi="Arial"/>
                <w:sz w:val="14"/>
              </w:rPr>
              <w:t>0</w:t>
            </w:r>
          </w:p>
        </w:tc>
        <w:tc>
          <w:tcPr>
            <w:tcW w:w="469" w:type="dxa"/>
            <w:tcBorders>
              <w:top w:val="single" w:sz="8" w:space="0" w:color="000000"/>
              <w:left w:val="double" w:sz="6" w:space="0" w:color="000000"/>
              <w:bottom w:val="single" w:sz="8" w:space="0" w:color="000000"/>
              <w:right w:val="single" w:sz="8" w:space="0" w:color="000000"/>
            </w:tcBorders>
            <w:shd w:val="pct30" w:color="000000"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sidRPr="002E0C7E">
              <w:rPr>
                <w:rFonts w:ascii="Arial" w:hAnsi="Arial"/>
                <w:sz w:val="14"/>
              </w:rPr>
              <w:t>1</w:t>
            </w:r>
            <w:r>
              <w:rPr>
                <w:rFonts w:ascii="Arial" w:hAnsi="Arial"/>
                <w:sz w:val="14"/>
              </w:rPr>
              <w:t>1</w:t>
            </w:r>
          </w:p>
        </w:tc>
        <w:tc>
          <w:tcPr>
            <w:tcW w:w="470"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12</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sidRPr="002E0C7E">
              <w:rPr>
                <w:rFonts w:ascii="Arial" w:hAnsi="Arial"/>
                <w:sz w:val="14"/>
              </w:rPr>
              <w:t>1</w:t>
            </w:r>
            <w:r>
              <w:rPr>
                <w:rFonts w:ascii="Arial" w:hAnsi="Arial"/>
                <w:sz w:val="14"/>
              </w:rPr>
              <w:t>3</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sidRPr="002E0C7E">
              <w:rPr>
                <w:rFonts w:ascii="Arial" w:hAnsi="Arial"/>
                <w:sz w:val="14"/>
              </w:rPr>
              <w:t>1</w:t>
            </w:r>
            <w:r>
              <w:rPr>
                <w:rFonts w:ascii="Arial" w:hAnsi="Arial"/>
                <w:sz w:val="14"/>
              </w:rPr>
              <w:t>4</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sidRPr="002E0C7E">
              <w:rPr>
                <w:rFonts w:ascii="Arial" w:hAnsi="Arial"/>
                <w:sz w:val="14"/>
              </w:rPr>
              <w:t>1</w:t>
            </w:r>
            <w:r>
              <w:rPr>
                <w:rFonts w:ascii="Arial" w:hAnsi="Arial"/>
                <w:sz w:val="14"/>
              </w:rPr>
              <w:t>5</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9</w:t>
            </w:r>
          </w:p>
        </w:tc>
        <w:tc>
          <w:tcPr>
            <w:tcW w:w="469" w:type="dxa"/>
            <w:tcBorders>
              <w:top w:val="single" w:sz="8" w:space="0" w:color="000000"/>
              <w:left w:val="single" w:sz="8" w:space="0" w:color="000000"/>
              <w:bottom w:val="double" w:sz="6"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sidRPr="002E0C7E">
              <w:rPr>
                <w:rFonts w:ascii="Arial" w:hAnsi="Arial"/>
                <w:sz w:val="14"/>
              </w:rPr>
              <w:t>1</w:t>
            </w:r>
            <w:r>
              <w:rPr>
                <w:rFonts w:ascii="Arial" w:hAnsi="Arial"/>
                <w:sz w:val="14"/>
              </w:rPr>
              <w:t>0</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sidRPr="002E0C7E">
              <w:rPr>
                <w:rFonts w:ascii="Arial" w:hAnsi="Arial"/>
                <w:sz w:val="14"/>
              </w:rPr>
              <w:t>1</w:t>
            </w:r>
            <w:r>
              <w:rPr>
                <w:rFonts w:ascii="Arial" w:hAnsi="Arial"/>
                <w:sz w:val="14"/>
              </w:rPr>
              <w:t>1</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sidRPr="002E0C7E">
              <w:rPr>
                <w:rFonts w:ascii="Arial" w:hAnsi="Arial"/>
                <w:sz w:val="14"/>
              </w:rPr>
              <w:t>1</w:t>
            </w:r>
            <w:r>
              <w:rPr>
                <w:rFonts w:ascii="Arial" w:hAnsi="Arial"/>
                <w:sz w:val="14"/>
              </w:rPr>
              <w:t>2</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sidRPr="002E0C7E">
              <w:rPr>
                <w:rFonts w:ascii="Arial" w:hAnsi="Arial"/>
                <w:sz w:val="14"/>
              </w:rPr>
              <w:t>1</w:t>
            </w:r>
            <w:r>
              <w:rPr>
                <w:rFonts w:ascii="Arial" w:hAnsi="Arial"/>
                <w:sz w:val="14"/>
              </w:rPr>
              <w:t>3</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sidRPr="002E0C7E">
              <w:rPr>
                <w:rFonts w:ascii="Arial" w:hAnsi="Arial"/>
                <w:sz w:val="14"/>
              </w:rPr>
              <w:t>1</w:t>
            </w:r>
            <w:r>
              <w:rPr>
                <w:rFonts w:ascii="Arial" w:hAnsi="Arial"/>
                <w:sz w:val="14"/>
              </w:rPr>
              <w:t>4</w:t>
            </w:r>
          </w:p>
        </w:tc>
        <w:tc>
          <w:tcPr>
            <w:tcW w:w="470"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sidRPr="002E0C7E">
              <w:rPr>
                <w:rFonts w:ascii="Arial" w:hAnsi="Arial"/>
                <w:sz w:val="14"/>
              </w:rPr>
              <w:t>1</w:t>
            </w:r>
            <w:r>
              <w:rPr>
                <w:rFonts w:ascii="Arial" w:hAnsi="Arial"/>
                <w:sz w:val="14"/>
              </w:rPr>
              <w:t>5</w:t>
            </w:r>
          </w:p>
        </w:tc>
      </w:tr>
      <w:tr w:rsidR="0081610A" w:rsidRPr="002E0C7E" w:rsidTr="00DB0773">
        <w:trPr>
          <w:cantSplit/>
          <w:jc w:val="center"/>
        </w:trPr>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19</w:t>
            </w:r>
          </w:p>
        </w:tc>
        <w:tc>
          <w:tcPr>
            <w:tcW w:w="469" w:type="dxa"/>
            <w:tcBorders>
              <w:top w:val="double" w:sz="6"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sidRPr="002E0C7E">
              <w:rPr>
                <w:rFonts w:ascii="Arial" w:hAnsi="Arial"/>
                <w:sz w:val="14"/>
              </w:rPr>
              <w:t>2</w:t>
            </w:r>
            <w:r>
              <w:rPr>
                <w:rFonts w:ascii="Arial" w:hAnsi="Arial"/>
                <w:sz w:val="14"/>
              </w:rPr>
              <w:t>0</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sidRPr="002E0C7E">
              <w:rPr>
                <w:rFonts w:ascii="Arial" w:hAnsi="Arial"/>
                <w:sz w:val="14"/>
              </w:rPr>
              <w:t>2</w:t>
            </w:r>
            <w:r>
              <w:rPr>
                <w:rFonts w:ascii="Arial" w:hAnsi="Arial"/>
                <w:sz w:val="14"/>
              </w:rPr>
              <w:t>1</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sidRPr="002E0C7E">
              <w:rPr>
                <w:rFonts w:ascii="Arial" w:hAnsi="Arial"/>
                <w:sz w:val="14"/>
              </w:rPr>
              <w:t>2</w:t>
            </w:r>
            <w:r>
              <w:rPr>
                <w:rFonts w:ascii="Arial" w:hAnsi="Arial"/>
                <w:sz w:val="14"/>
              </w:rPr>
              <w:t>2</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sidRPr="002E0C7E">
              <w:rPr>
                <w:rFonts w:ascii="Arial" w:hAnsi="Arial"/>
                <w:sz w:val="14"/>
              </w:rPr>
              <w:t>2</w:t>
            </w:r>
            <w:r>
              <w:rPr>
                <w:rFonts w:ascii="Arial" w:hAnsi="Arial"/>
                <w:sz w:val="14"/>
              </w:rPr>
              <w:t>3</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sidRPr="002E0C7E">
              <w:rPr>
                <w:rFonts w:ascii="Arial" w:hAnsi="Arial"/>
                <w:sz w:val="14"/>
              </w:rPr>
              <w:t>2</w:t>
            </w:r>
            <w:r>
              <w:rPr>
                <w:rFonts w:ascii="Arial" w:hAnsi="Arial"/>
                <w:sz w:val="14"/>
              </w:rPr>
              <w:t>4</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sidRPr="002E0C7E">
              <w:rPr>
                <w:rFonts w:ascii="Arial" w:hAnsi="Arial"/>
                <w:sz w:val="14"/>
              </w:rPr>
              <w:t>2</w:t>
            </w:r>
            <w:r>
              <w:rPr>
                <w:rFonts w:ascii="Arial" w:hAnsi="Arial"/>
                <w:sz w:val="14"/>
              </w:rPr>
              <w:t>5</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sidRPr="002E0C7E">
              <w:rPr>
                <w:rFonts w:ascii="Arial" w:hAnsi="Arial"/>
                <w:sz w:val="14"/>
              </w:rPr>
              <w:t>1</w:t>
            </w:r>
            <w:r>
              <w:rPr>
                <w:rFonts w:ascii="Arial" w:hAnsi="Arial"/>
                <w:sz w:val="14"/>
              </w:rPr>
              <w:t>6</w:t>
            </w:r>
          </w:p>
        </w:tc>
        <w:tc>
          <w:tcPr>
            <w:tcW w:w="469" w:type="dxa"/>
            <w:tcBorders>
              <w:top w:val="double" w:sz="6"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17</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sidRPr="002E0C7E">
              <w:rPr>
                <w:rFonts w:ascii="Arial" w:hAnsi="Arial"/>
                <w:sz w:val="14"/>
              </w:rPr>
              <w:t>1</w:t>
            </w:r>
            <w:r>
              <w:rPr>
                <w:rFonts w:ascii="Arial" w:hAnsi="Arial"/>
                <w:sz w:val="14"/>
              </w:rPr>
              <w:t>8</w:t>
            </w:r>
          </w:p>
        </w:tc>
        <w:tc>
          <w:tcPr>
            <w:tcW w:w="470"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19</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sidRPr="002E0C7E">
              <w:rPr>
                <w:rFonts w:ascii="Arial" w:hAnsi="Arial"/>
                <w:sz w:val="14"/>
              </w:rPr>
              <w:t>2</w:t>
            </w:r>
            <w:r>
              <w:rPr>
                <w:rFonts w:ascii="Arial" w:hAnsi="Arial"/>
                <w:sz w:val="14"/>
              </w:rPr>
              <w:t>0</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sidRPr="002E0C7E">
              <w:rPr>
                <w:rFonts w:ascii="Arial" w:hAnsi="Arial"/>
                <w:sz w:val="14"/>
              </w:rPr>
              <w:t>2</w:t>
            </w:r>
            <w:r>
              <w:rPr>
                <w:rFonts w:ascii="Arial" w:hAnsi="Arial"/>
                <w:sz w:val="14"/>
              </w:rPr>
              <w:t>1</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sidRPr="002E0C7E">
              <w:rPr>
                <w:rFonts w:ascii="Arial" w:hAnsi="Arial"/>
                <w:sz w:val="14"/>
              </w:rPr>
              <w:t>2</w:t>
            </w:r>
            <w:r>
              <w:rPr>
                <w:rFonts w:ascii="Arial" w:hAnsi="Arial"/>
                <w:sz w:val="14"/>
              </w:rPr>
              <w:t>2</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sidRPr="002E0C7E">
              <w:rPr>
                <w:rFonts w:ascii="Arial" w:hAnsi="Arial"/>
                <w:sz w:val="14"/>
              </w:rPr>
              <w:t>1</w:t>
            </w:r>
            <w:r>
              <w:rPr>
                <w:rFonts w:ascii="Arial" w:hAnsi="Arial"/>
                <w:sz w:val="14"/>
              </w:rPr>
              <w:t>6</w:t>
            </w:r>
          </w:p>
        </w:tc>
        <w:tc>
          <w:tcPr>
            <w:tcW w:w="469" w:type="dxa"/>
            <w:tcBorders>
              <w:top w:val="double" w:sz="6" w:space="0" w:color="000000"/>
              <w:left w:val="double" w:sz="6" w:space="0" w:color="000000"/>
              <w:bottom w:val="double" w:sz="6" w:space="0" w:color="000000"/>
              <w:right w:val="double" w:sz="6" w:space="0" w:color="000000"/>
            </w:tcBorders>
            <w:shd w:val="pct30" w:color="000000" w:fill="auto"/>
            <w:tcMar>
              <w:top w:w="72" w:type="dxa"/>
              <w:left w:w="0" w:type="dxa"/>
              <w:bottom w:w="43" w:type="dxa"/>
              <w:right w:w="0" w:type="dxa"/>
            </w:tcMar>
          </w:tcPr>
          <w:p w:rsidR="0081610A" w:rsidRPr="00D34238" w:rsidRDefault="0081610A" w:rsidP="00DB0773">
            <w:pPr>
              <w:widowControl w:val="0"/>
              <w:jc w:val="center"/>
              <w:rPr>
                <w:rFonts w:ascii="Arial" w:hAnsi="Arial"/>
                <w:b/>
                <w:sz w:val="14"/>
              </w:rPr>
            </w:pPr>
            <w:r>
              <w:rPr>
                <w:rFonts w:ascii="Arial" w:hAnsi="Arial"/>
                <w:b/>
                <w:sz w:val="14"/>
              </w:rPr>
              <w:t>M</w:t>
            </w:r>
          </w:p>
          <w:p w:rsidR="0081610A" w:rsidRPr="002E0C7E" w:rsidRDefault="0081610A" w:rsidP="00DB0773">
            <w:pPr>
              <w:widowControl w:val="0"/>
              <w:jc w:val="center"/>
              <w:rPr>
                <w:rFonts w:ascii="Arial" w:hAnsi="Arial"/>
                <w:sz w:val="14"/>
              </w:rPr>
            </w:pPr>
            <w:r w:rsidRPr="002E0C7E">
              <w:rPr>
                <w:rFonts w:ascii="Arial" w:hAnsi="Arial"/>
                <w:sz w:val="14"/>
              </w:rPr>
              <w:t>1</w:t>
            </w:r>
            <w:r>
              <w:rPr>
                <w:rFonts w:ascii="Arial" w:hAnsi="Arial"/>
                <w:sz w:val="14"/>
              </w:rPr>
              <w:t>7</w:t>
            </w:r>
          </w:p>
        </w:tc>
        <w:tc>
          <w:tcPr>
            <w:tcW w:w="469" w:type="dxa"/>
            <w:tcBorders>
              <w:top w:val="single" w:sz="8" w:space="0" w:color="000000"/>
              <w:left w:val="double" w:sz="6" w:space="0" w:color="000000"/>
              <w:bottom w:val="single" w:sz="8" w:space="0" w:color="000000"/>
              <w:right w:val="single" w:sz="8" w:space="0" w:color="000000"/>
            </w:tcBorders>
            <w:shd w:val="pct30" w:color="000000"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18</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19</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sidRPr="002E0C7E">
              <w:rPr>
                <w:rFonts w:ascii="Arial" w:hAnsi="Arial"/>
                <w:sz w:val="14"/>
              </w:rPr>
              <w:t>2</w:t>
            </w:r>
            <w:r>
              <w:rPr>
                <w:rFonts w:ascii="Arial" w:hAnsi="Arial"/>
                <w:sz w:val="14"/>
              </w:rPr>
              <w:t>0</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sidRPr="002E0C7E">
              <w:rPr>
                <w:rFonts w:ascii="Arial" w:hAnsi="Arial"/>
                <w:sz w:val="14"/>
              </w:rPr>
              <w:t>2</w:t>
            </w:r>
            <w:r>
              <w:rPr>
                <w:rFonts w:ascii="Arial" w:hAnsi="Arial"/>
                <w:sz w:val="14"/>
              </w:rPr>
              <w:t>1</w:t>
            </w:r>
          </w:p>
        </w:tc>
        <w:tc>
          <w:tcPr>
            <w:tcW w:w="470"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sidRPr="002E0C7E">
              <w:rPr>
                <w:rFonts w:ascii="Arial" w:hAnsi="Arial"/>
                <w:sz w:val="14"/>
              </w:rPr>
              <w:t>2</w:t>
            </w:r>
            <w:r>
              <w:rPr>
                <w:rFonts w:ascii="Arial" w:hAnsi="Arial"/>
                <w:sz w:val="14"/>
              </w:rPr>
              <w:t>2</w:t>
            </w:r>
          </w:p>
        </w:tc>
      </w:tr>
      <w:tr w:rsidR="0081610A" w:rsidRPr="002E0C7E" w:rsidTr="00DB0773">
        <w:trPr>
          <w:cantSplit/>
          <w:jc w:val="center"/>
        </w:trPr>
        <w:tc>
          <w:tcPr>
            <w:tcW w:w="469" w:type="dxa"/>
            <w:tcBorders>
              <w:top w:val="single" w:sz="8" w:space="0" w:color="000000"/>
              <w:left w:val="double" w:sz="6"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sidRPr="002E0C7E">
              <w:rPr>
                <w:rFonts w:ascii="Arial" w:hAnsi="Arial"/>
                <w:sz w:val="14"/>
              </w:rPr>
              <w:t>2</w:t>
            </w:r>
            <w:r>
              <w:rPr>
                <w:rFonts w:ascii="Arial" w:hAnsi="Arial"/>
                <w:sz w:val="14"/>
              </w:rPr>
              <w:t>6</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27</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28</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29</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30</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31</w:t>
            </w:r>
          </w:p>
        </w:tc>
        <w:tc>
          <w:tcPr>
            <w:tcW w:w="469" w:type="dxa"/>
            <w:tcBorders>
              <w:top w:val="single" w:sz="8" w:space="0" w:color="000000"/>
              <w:left w:val="single" w:sz="8" w:space="0" w:color="000000"/>
              <w:bottom w:val="double" w:sz="6" w:space="0" w:color="000000"/>
              <w:right w:val="double" w:sz="6"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tc>
        <w:tc>
          <w:tcPr>
            <w:tcW w:w="469" w:type="dxa"/>
            <w:tcBorders>
              <w:top w:val="single" w:sz="8" w:space="0" w:color="000000"/>
              <w:left w:val="double" w:sz="6"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sidRPr="002E0C7E">
              <w:rPr>
                <w:rFonts w:ascii="Arial" w:hAnsi="Arial"/>
                <w:sz w:val="14"/>
              </w:rPr>
              <w:t>2</w:t>
            </w:r>
            <w:r>
              <w:rPr>
                <w:rFonts w:ascii="Arial" w:hAnsi="Arial"/>
                <w:sz w:val="14"/>
              </w:rPr>
              <w:t>3</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sidRPr="002E0C7E">
              <w:rPr>
                <w:rFonts w:ascii="Arial" w:hAnsi="Arial"/>
                <w:sz w:val="14"/>
              </w:rPr>
              <w:t>2</w:t>
            </w:r>
            <w:r>
              <w:rPr>
                <w:rFonts w:ascii="Arial" w:hAnsi="Arial"/>
                <w:sz w:val="14"/>
              </w:rPr>
              <w:t>4</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sidRPr="002E0C7E">
              <w:rPr>
                <w:rFonts w:ascii="Arial" w:hAnsi="Arial"/>
                <w:sz w:val="14"/>
              </w:rPr>
              <w:t>2</w:t>
            </w:r>
            <w:r>
              <w:rPr>
                <w:rFonts w:ascii="Arial" w:hAnsi="Arial"/>
                <w:sz w:val="14"/>
              </w:rPr>
              <w:t>5</w:t>
            </w:r>
          </w:p>
        </w:tc>
        <w:tc>
          <w:tcPr>
            <w:tcW w:w="470"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sidRPr="002E0C7E">
              <w:rPr>
                <w:rFonts w:ascii="Arial" w:hAnsi="Arial"/>
                <w:sz w:val="14"/>
              </w:rPr>
              <w:t>2</w:t>
            </w:r>
            <w:r>
              <w:rPr>
                <w:rFonts w:ascii="Arial" w:hAnsi="Arial"/>
                <w:sz w:val="14"/>
              </w:rPr>
              <w:t>6</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27</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28</w:t>
            </w:r>
          </w:p>
        </w:tc>
        <w:tc>
          <w:tcPr>
            <w:tcW w:w="469" w:type="dxa"/>
            <w:tcBorders>
              <w:top w:val="single" w:sz="8" w:space="0" w:color="000000"/>
              <w:left w:val="single" w:sz="8" w:space="0" w:color="000000"/>
              <w:bottom w:val="double" w:sz="6" w:space="0" w:color="000000"/>
              <w:right w:val="double" w:sz="6"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tc>
        <w:tc>
          <w:tcPr>
            <w:tcW w:w="469" w:type="dxa"/>
            <w:tcBorders>
              <w:top w:val="single" w:sz="8" w:space="0" w:color="000000"/>
              <w:left w:val="double" w:sz="6"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r>
              <w:rPr>
                <w:rFonts w:ascii="Arial" w:hAnsi="Arial"/>
                <w:sz w:val="14"/>
              </w:rPr>
              <w:t>23</w:t>
            </w:r>
          </w:p>
          <w:p w:rsidR="0081610A" w:rsidRPr="002E0C7E" w:rsidRDefault="0081610A" w:rsidP="00DB0773">
            <w:pPr>
              <w:widowControl w:val="0"/>
              <w:jc w:val="center"/>
              <w:rPr>
                <w:rFonts w:ascii="Arial" w:hAnsi="Arial"/>
                <w:sz w:val="14"/>
              </w:rPr>
            </w:pPr>
            <w:r>
              <w:rPr>
                <w:rFonts w:ascii="Arial" w:hAnsi="Arial"/>
                <w:sz w:val="14"/>
              </w:rPr>
              <w:t xml:space="preserve">  30</w:t>
            </w:r>
          </w:p>
        </w:tc>
        <w:tc>
          <w:tcPr>
            <w:tcW w:w="469" w:type="dxa"/>
            <w:tcBorders>
              <w:top w:val="double" w:sz="6" w:space="0" w:color="000000"/>
              <w:left w:val="single" w:sz="8" w:space="0" w:color="000000"/>
              <w:bottom w:val="double" w:sz="6" w:space="0" w:color="000000"/>
              <w:right w:val="single" w:sz="8" w:space="0" w:color="000000"/>
            </w:tcBorders>
            <w:shd w:val="pct30" w:color="auto"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r>
              <w:rPr>
                <w:rFonts w:ascii="Arial" w:hAnsi="Arial"/>
                <w:sz w:val="14"/>
              </w:rPr>
              <w:t>24</w:t>
            </w:r>
          </w:p>
          <w:p w:rsidR="0081610A" w:rsidRPr="002E0C7E" w:rsidRDefault="0081610A" w:rsidP="00DB0773">
            <w:pPr>
              <w:widowControl w:val="0"/>
              <w:jc w:val="center"/>
              <w:rPr>
                <w:rFonts w:ascii="Arial" w:hAnsi="Arial"/>
                <w:sz w:val="14"/>
              </w:rPr>
            </w:pPr>
            <w:r>
              <w:rPr>
                <w:rFonts w:ascii="Arial" w:hAnsi="Arial"/>
                <w:sz w:val="14"/>
              </w:rPr>
              <w:t xml:space="preserve">  31</w:t>
            </w:r>
          </w:p>
        </w:tc>
        <w:tc>
          <w:tcPr>
            <w:tcW w:w="469" w:type="dxa"/>
            <w:tcBorders>
              <w:top w:val="single" w:sz="8" w:space="0" w:color="000000"/>
              <w:left w:val="single" w:sz="8" w:space="0" w:color="000000"/>
              <w:bottom w:val="double" w:sz="6" w:space="0" w:color="000000"/>
              <w:right w:val="single" w:sz="8" w:space="0" w:color="000000"/>
            </w:tcBorders>
            <w:shd w:val="pct30" w:color="auto"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sidRPr="002E0C7E">
              <w:rPr>
                <w:rFonts w:ascii="Arial" w:hAnsi="Arial"/>
                <w:sz w:val="14"/>
              </w:rPr>
              <w:t>2</w:t>
            </w:r>
            <w:r>
              <w:rPr>
                <w:rFonts w:ascii="Arial" w:hAnsi="Arial"/>
                <w:sz w:val="14"/>
              </w:rPr>
              <w:t>5</w:t>
            </w:r>
          </w:p>
        </w:tc>
        <w:tc>
          <w:tcPr>
            <w:tcW w:w="469" w:type="dxa"/>
            <w:tcBorders>
              <w:top w:val="single" w:sz="8" w:space="0" w:color="000000"/>
              <w:left w:val="single" w:sz="8" w:space="0" w:color="000000"/>
              <w:bottom w:val="double" w:sz="6" w:space="0" w:color="000000"/>
              <w:right w:val="single" w:sz="8" w:space="0" w:color="000000"/>
            </w:tcBorders>
            <w:shd w:val="pct30" w:color="auto"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sidRPr="002E0C7E">
              <w:rPr>
                <w:rFonts w:ascii="Arial" w:hAnsi="Arial"/>
                <w:sz w:val="14"/>
              </w:rPr>
              <w:t>2</w:t>
            </w:r>
            <w:r>
              <w:rPr>
                <w:rFonts w:ascii="Arial" w:hAnsi="Arial"/>
                <w:sz w:val="14"/>
              </w:rPr>
              <w:t>6</w:t>
            </w:r>
          </w:p>
        </w:tc>
        <w:tc>
          <w:tcPr>
            <w:tcW w:w="469" w:type="dxa"/>
            <w:tcBorders>
              <w:top w:val="single" w:sz="8" w:space="0" w:color="000000"/>
              <w:left w:val="single" w:sz="8" w:space="0" w:color="000000"/>
              <w:bottom w:val="double" w:sz="6" w:space="0" w:color="000000"/>
              <w:right w:val="single" w:sz="8" w:space="0" w:color="000000"/>
            </w:tcBorders>
            <w:shd w:val="pct30" w:color="auto"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sidRPr="002E0C7E">
              <w:rPr>
                <w:rFonts w:ascii="Arial" w:hAnsi="Arial"/>
                <w:sz w:val="14"/>
              </w:rPr>
              <w:t>2</w:t>
            </w:r>
            <w:r>
              <w:rPr>
                <w:rFonts w:ascii="Arial" w:hAnsi="Arial"/>
                <w:sz w:val="14"/>
              </w:rPr>
              <w:t>7</w:t>
            </w:r>
          </w:p>
        </w:tc>
        <w:tc>
          <w:tcPr>
            <w:tcW w:w="469" w:type="dxa"/>
            <w:tcBorders>
              <w:top w:val="single" w:sz="8" w:space="0" w:color="000000"/>
              <w:left w:val="single" w:sz="8" w:space="0" w:color="000000"/>
              <w:bottom w:val="double" w:sz="6" w:space="0" w:color="000000"/>
              <w:right w:val="single" w:sz="8" w:space="0" w:color="000000"/>
            </w:tcBorders>
            <w:shd w:val="pct30" w:color="auto" w:fill="auto"/>
            <w:tcMar>
              <w:top w:w="72" w:type="dxa"/>
              <w:left w:w="0" w:type="dxa"/>
              <w:bottom w:w="43" w:type="dxa"/>
              <w:right w:w="0" w:type="dxa"/>
            </w:tcMar>
          </w:tcPr>
          <w:p w:rsidR="0081610A" w:rsidRPr="00261B35" w:rsidRDefault="0081610A" w:rsidP="00DB0773">
            <w:pPr>
              <w:widowControl w:val="0"/>
              <w:jc w:val="center"/>
              <w:rPr>
                <w:rFonts w:ascii="Arial" w:hAnsi="Arial"/>
                <w:b/>
                <w:sz w:val="14"/>
              </w:rPr>
            </w:pPr>
          </w:p>
          <w:p w:rsidR="0081610A" w:rsidRPr="002E0C7E" w:rsidRDefault="0081610A" w:rsidP="00DB0773">
            <w:pPr>
              <w:widowControl w:val="0"/>
              <w:jc w:val="center"/>
              <w:rPr>
                <w:rFonts w:ascii="Arial" w:hAnsi="Arial"/>
                <w:sz w:val="14"/>
              </w:rPr>
            </w:pPr>
            <w:r>
              <w:rPr>
                <w:rFonts w:ascii="Arial" w:hAnsi="Arial"/>
                <w:sz w:val="14"/>
              </w:rPr>
              <w:t>28</w:t>
            </w:r>
          </w:p>
        </w:tc>
        <w:tc>
          <w:tcPr>
            <w:tcW w:w="470" w:type="dxa"/>
            <w:tcBorders>
              <w:top w:val="single" w:sz="8" w:space="0" w:color="000000"/>
              <w:left w:val="single" w:sz="8" w:space="0" w:color="000000"/>
              <w:bottom w:val="double" w:sz="6" w:space="0" w:color="000000"/>
              <w:right w:val="double" w:sz="6"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29</w:t>
            </w:r>
          </w:p>
        </w:tc>
      </w:tr>
    </w:tbl>
    <w:p w:rsidR="0081610A" w:rsidRPr="002E0C7E" w:rsidRDefault="0081610A" w:rsidP="0081610A">
      <w:pPr>
        <w:widowControl w:val="0"/>
        <w:rPr>
          <w:rFonts w:ascii="Arial" w:hAnsi="Arial"/>
          <w:vanish/>
          <w:szCs w:val="24"/>
        </w:rPr>
      </w:pPr>
    </w:p>
    <w:tbl>
      <w:tblPr>
        <w:tblW w:w="10790" w:type="dxa"/>
        <w:jc w:val="center"/>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469"/>
        <w:gridCol w:w="469"/>
        <w:gridCol w:w="469"/>
        <w:gridCol w:w="469"/>
        <w:gridCol w:w="469"/>
        <w:gridCol w:w="469"/>
        <w:gridCol w:w="469"/>
        <w:gridCol w:w="470"/>
        <w:gridCol w:w="469"/>
        <w:gridCol w:w="469"/>
        <w:gridCol w:w="469"/>
        <w:gridCol w:w="469"/>
        <w:gridCol w:w="469"/>
        <w:gridCol w:w="469"/>
        <w:gridCol w:w="469"/>
        <w:gridCol w:w="470"/>
        <w:gridCol w:w="469"/>
        <w:gridCol w:w="469"/>
        <w:gridCol w:w="469"/>
        <w:gridCol w:w="469"/>
        <w:gridCol w:w="469"/>
        <w:gridCol w:w="469"/>
        <w:gridCol w:w="470"/>
      </w:tblGrid>
      <w:tr w:rsidR="0081610A" w:rsidRPr="002E0C7E" w:rsidTr="00DB0773">
        <w:trPr>
          <w:cantSplit/>
          <w:jc w:val="center"/>
        </w:trPr>
        <w:tc>
          <w:tcPr>
            <w:tcW w:w="3283" w:type="dxa"/>
            <w:gridSpan w:val="7"/>
            <w:tcBorders>
              <w:top w:val="double" w:sz="8" w:space="0" w:color="000000"/>
              <w:left w:val="double" w:sz="6" w:space="0" w:color="000000"/>
              <w:bottom w:val="double" w:sz="6" w:space="0" w:color="000000"/>
              <w:right w:val="double" w:sz="6" w:space="0" w:color="000000"/>
            </w:tcBorders>
            <w:shd w:val="pct30" w:color="000000" w:fill="auto"/>
            <w:tcMar>
              <w:top w:w="72" w:type="dxa"/>
              <w:left w:w="0" w:type="dxa"/>
              <w:bottom w:w="72" w:type="dxa"/>
              <w:right w:w="0" w:type="dxa"/>
            </w:tcMar>
          </w:tcPr>
          <w:p w:rsidR="0081610A" w:rsidRPr="002E0C7E" w:rsidRDefault="0081610A" w:rsidP="00DB0773">
            <w:pPr>
              <w:widowControl w:val="0"/>
              <w:jc w:val="center"/>
              <w:rPr>
                <w:rFonts w:ascii="Arial" w:hAnsi="Arial"/>
                <w:sz w:val="14"/>
              </w:rPr>
            </w:pPr>
            <w:r w:rsidRPr="002E0C7E">
              <w:rPr>
                <w:rFonts w:ascii="Arial" w:hAnsi="Arial"/>
                <w:b/>
                <w:sz w:val="14"/>
              </w:rPr>
              <w:t>APRIL - AVRIL</w:t>
            </w:r>
          </w:p>
        </w:tc>
        <w:tc>
          <w:tcPr>
            <w:tcW w:w="470" w:type="dxa"/>
            <w:tcBorders>
              <w:top w:val="nil"/>
              <w:left w:val="double" w:sz="6" w:space="0" w:color="000000"/>
              <w:bottom w:val="nil"/>
              <w:right w:val="double" w:sz="6" w:space="0" w:color="000000"/>
            </w:tcBorders>
            <w:tcMar>
              <w:top w:w="72" w:type="dxa"/>
              <w:left w:w="0" w:type="dxa"/>
              <w:bottom w:w="72" w:type="dxa"/>
              <w:right w:w="0" w:type="dxa"/>
            </w:tcMar>
          </w:tcPr>
          <w:p w:rsidR="0081610A" w:rsidRPr="002E0C7E" w:rsidRDefault="0081610A" w:rsidP="00DB0773">
            <w:pPr>
              <w:widowControl w:val="0"/>
              <w:jc w:val="center"/>
              <w:rPr>
                <w:rFonts w:ascii="Arial" w:hAnsi="Arial"/>
                <w:sz w:val="14"/>
              </w:rPr>
            </w:pPr>
          </w:p>
        </w:tc>
        <w:tc>
          <w:tcPr>
            <w:tcW w:w="3283" w:type="dxa"/>
            <w:gridSpan w:val="7"/>
            <w:tcBorders>
              <w:top w:val="double" w:sz="8" w:space="0" w:color="000000"/>
              <w:left w:val="double" w:sz="6" w:space="0" w:color="000000"/>
              <w:bottom w:val="double" w:sz="6" w:space="0" w:color="000000"/>
              <w:right w:val="double" w:sz="6" w:space="0" w:color="000000"/>
            </w:tcBorders>
            <w:shd w:val="pct30" w:color="000000" w:fill="auto"/>
            <w:tcMar>
              <w:top w:w="72" w:type="dxa"/>
              <w:left w:w="0" w:type="dxa"/>
              <w:bottom w:w="72" w:type="dxa"/>
              <w:right w:w="0" w:type="dxa"/>
            </w:tcMar>
          </w:tcPr>
          <w:p w:rsidR="0081610A" w:rsidRPr="002E0C7E" w:rsidRDefault="0081610A" w:rsidP="00DB0773">
            <w:pPr>
              <w:widowControl w:val="0"/>
              <w:jc w:val="center"/>
              <w:rPr>
                <w:rFonts w:ascii="Arial" w:hAnsi="Arial"/>
                <w:sz w:val="14"/>
              </w:rPr>
            </w:pPr>
            <w:r w:rsidRPr="002E0C7E">
              <w:rPr>
                <w:rFonts w:ascii="Arial" w:hAnsi="Arial"/>
                <w:b/>
                <w:sz w:val="14"/>
              </w:rPr>
              <w:t>MAY - MAI</w:t>
            </w:r>
          </w:p>
        </w:tc>
        <w:tc>
          <w:tcPr>
            <w:tcW w:w="470" w:type="dxa"/>
            <w:tcBorders>
              <w:top w:val="nil"/>
              <w:left w:val="double" w:sz="6" w:space="0" w:color="000000"/>
              <w:bottom w:val="nil"/>
              <w:right w:val="double" w:sz="6" w:space="0" w:color="000000"/>
            </w:tcBorders>
            <w:tcMar>
              <w:top w:w="72" w:type="dxa"/>
              <w:left w:w="0" w:type="dxa"/>
              <w:bottom w:w="72" w:type="dxa"/>
              <w:right w:w="0" w:type="dxa"/>
            </w:tcMar>
          </w:tcPr>
          <w:p w:rsidR="0081610A" w:rsidRPr="002E0C7E" w:rsidRDefault="0081610A" w:rsidP="00DB0773">
            <w:pPr>
              <w:widowControl w:val="0"/>
              <w:jc w:val="center"/>
              <w:rPr>
                <w:rFonts w:ascii="Arial" w:hAnsi="Arial"/>
                <w:sz w:val="14"/>
              </w:rPr>
            </w:pPr>
          </w:p>
        </w:tc>
        <w:tc>
          <w:tcPr>
            <w:tcW w:w="3284" w:type="dxa"/>
            <w:gridSpan w:val="7"/>
            <w:tcBorders>
              <w:top w:val="double" w:sz="8" w:space="0" w:color="000000"/>
              <w:left w:val="double" w:sz="6" w:space="0" w:color="000000"/>
              <w:bottom w:val="double" w:sz="6" w:space="0" w:color="000000"/>
              <w:right w:val="double" w:sz="6" w:space="0" w:color="000000"/>
            </w:tcBorders>
            <w:shd w:val="pct30" w:color="000000" w:fill="auto"/>
            <w:tcMar>
              <w:top w:w="72" w:type="dxa"/>
              <w:left w:w="0" w:type="dxa"/>
              <w:bottom w:w="72" w:type="dxa"/>
              <w:right w:w="0" w:type="dxa"/>
            </w:tcMar>
          </w:tcPr>
          <w:p w:rsidR="0081610A" w:rsidRPr="002E0C7E" w:rsidRDefault="0081610A" w:rsidP="00DB0773">
            <w:pPr>
              <w:widowControl w:val="0"/>
              <w:jc w:val="center"/>
              <w:rPr>
                <w:rFonts w:ascii="Arial" w:hAnsi="Arial"/>
                <w:sz w:val="14"/>
              </w:rPr>
            </w:pPr>
            <w:r w:rsidRPr="002E0C7E">
              <w:rPr>
                <w:rFonts w:ascii="Arial" w:hAnsi="Arial"/>
                <w:b/>
                <w:sz w:val="14"/>
              </w:rPr>
              <w:t>JUNE - JUIN</w:t>
            </w:r>
          </w:p>
        </w:tc>
      </w:tr>
      <w:tr w:rsidR="0081610A" w:rsidRPr="002E0C7E" w:rsidTr="00DB0773">
        <w:trPr>
          <w:cantSplit/>
          <w:jc w:val="center"/>
        </w:trPr>
        <w:tc>
          <w:tcPr>
            <w:tcW w:w="469" w:type="dxa"/>
            <w:tcBorders>
              <w:top w:val="double" w:sz="6" w:space="0" w:color="000000"/>
              <w:left w:val="double" w:sz="6"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r w:rsidRPr="002E0C7E">
              <w:rPr>
                <w:rFonts w:ascii="Arial" w:hAnsi="Arial"/>
                <w:sz w:val="14"/>
              </w:rPr>
              <w:t>S</w:t>
            </w:r>
          </w:p>
          <w:p w:rsidR="0081610A" w:rsidRPr="002E0C7E" w:rsidRDefault="0081610A" w:rsidP="00DB0773">
            <w:pPr>
              <w:widowControl w:val="0"/>
              <w:jc w:val="center"/>
              <w:rPr>
                <w:rFonts w:ascii="Arial" w:hAnsi="Arial"/>
                <w:sz w:val="14"/>
              </w:rPr>
            </w:pPr>
            <w:r w:rsidRPr="002E0C7E">
              <w:rPr>
                <w:rFonts w:ascii="Arial" w:hAnsi="Arial"/>
                <w:sz w:val="14"/>
              </w:rPr>
              <w:t>D</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r w:rsidRPr="002E0C7E">
              <w:rPr>
                <w:rFonts w:ascii="Arial" w:hAnsi="Arial"/>
                <w:sz w:val="14"/>
              </w:rPr>
              <w:t>M</w:t>
            </w:r>
          </w:p>
          <w:p w:rsidR="0081610A" w:rsidRPr="002E0C7E" w:rsidRDefault="0081610A" w:rsidP="00DB0773">
            <w:pPr>
              <w:widowControl w:val="0"/>
              <w:jc w:val="center"/>
              <w:rPr>
                <w:rFonts w:ascii="Arial" w:hAnsi="Arial"/>
                <w:sz w:val="14"/>
              </w:rPr>
            </w:pPr>
            <w:r w:rsidRPr="002E0C7E">
              <w:rPr>
                <w:rFonts w:ascii="Arial" w:hAnsi="Arial"/>
                <w:sz w:val="14"/>
              </w:rPr>
              <w:t>L</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r w:rsidRPr="002E0C7E">
              <w:rPr>
                <w:rFonts w:ascii="Arial" w:hAnsi="Arial"/>
                <w:sz w:val="14"/>
              </w:rPr>
              <w:t>T</w:t>
            </w:r>
          </w:p>
          <w:p w:rsidR="0081610A" w:rsidRPr="002E0C7E" w:rsidRDefault="0081610A" w:rsidP="00DB0773">
            <w:pPr>
              <w:widowControl w:val="0"/>
              <w:jc w:val="center"/>
              <w:rPr>
                <w:rFonts w:ascii="Arial" w:hAnsi="Arial"/>
                <w:sz w:val="14"/>
              </w:rPr>
            </w:pPr>
            <w:r w:rsidRPr="002E0C7E">
              <w:rPr>
                <w:rFonts w:ascii="Arial" w:hAnsi="Arial"/>
                <w:sz w:val="14"/>
              </w:rPr>
              <w:t>M</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r w:rsidRPr="002E0C7E">
              <w:rPr>
                <w:rFonts w:ascii="Arial" w:hAnsi="Arial"/>
                <w:sz w:val="14"/>
              </w:rPr>
              <w:t>W</w:t>
            </w:r>
          </w:p>
          <w:p w:rsidR="0081610A" w:rsidRPr="002E0C7E" w:rsidRDefault="0081610A" w:rsidP="00DB0773">
            <w:pPr>
              <w:widowControl w:val="0"/>
              <w:jc w:val="center"/>
              <w:rPr>
                <w:rFonts w:ascii="Arial" w:hAnsi="Arial"/>
                <w:sz w:val="14"/>
              </w:rPr>
            </w:pPr>
            <w:r w:rsidRPr="002E0C7E">
              <w:rPr>
                <w:rFonts w:ascii="Arial" w:hAnsi="Arial"/>
                <w:sz w:val="14"/>
              </w:rPr>
              <w:t>M</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r w:rsidRPr="002E0C7E">
              <w:rPr>
                <w:rFonts w:ascii="Arial" w:hAnsi="Arial"/>
                <w:sz w:val="14"/>
              </w:rPr>
              <w:t>T</w:t>
            </w:r>
          </w:p>
          <w:p w:rsidR="0081610A" w:rsidRPr="002E0C7E" w:rsidRDefault="0081610A" w:rsidP="00DB0773">
            <w:pPr>
              <w:widowControl w:val="0"/>
              <w:jc w:val="center"/>
              <w:rPr>
                <w:rFonts w:ascii="Arial" w:hAnsi="Arial"/>
                <w:sz w:val="14"/>
              </w:rPr>
            </w:pPr>
            <w:r w:rsidRPr="002E0C7E">
              <w:rPr>
                <w:rFonts w:ascii="Arial" w:hAnsi="Arial"/>
                <w:sz w:val="14"/>
              </w:rPr>
              <w:t>J</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r w:rsidRPr="002E0C7E">
              <w:rPr>
                <w:rFonts w:ascii="Arial" w:hAnsi="Arial"/>
                <w:sz w:val="14"/>
              </w:rPr>
              <w:t>F</w:t>
            </w:r>
          </w:p>
          <w:p w:rsidR="0081610A" w:rsidRPr="002E0C7E" w:rsidRDefault="0081610A" w:rsidP="00DB0773">
            <w:pPr>
              <w:widowControl w:val="0"/>
              <w:jc w:val="center"/>
              <w:rPr>
                <w:rFonts w:ascii="Arial" w:hAnsi="Arial"/>
                <w:sz w:val="14"/>
              </w:rPr>
            </w:pPr>
            <w:r w:rsidRPr="002E0C7E">
              <w:rPr>
                <w:rFonts w:ascii="Arial" w:hAnsi="Arial"/>
                <w:sz w:val="14"/>
              </w:rPr>
              <w:t>V</w:t>
            </w:r>
          </w:p>
        </w:tc>
        <w:tc>
          <w:tcPr>
            <w:tcW w:w="469" w:type="dxa"/>
            <w:tcBorders>
              <w:top w:val="double" w:sz="6"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r w:rsidRPr="002E0C7E">
              <w:rPr>
                <w:rFonts w:ascii="Arial" w:hAnsi="Arial"/>
                <w:sz w:val="14"/>
              </w:rPr>
              <w:t>S</w:t>
            </w:r>
          </w:p>
          <w:p w:rsidR="0081610A" w:rsidRPr="002E0C7E" w:rsidRDefault="0081610A" w:rsidP="00DB0773">
            <w:pPr>
              <w:widowControl w:val="0"/>
              <w:jc w:val="center"/>
              <w:rPr>
                <w:rFonts w:ascii="Arial" w:hAnsi="Arial"/>
                <w:sz w:val="14"/>
              </w:rPr>
            </w:pPr>
            <w:r w:rsidRPr="002E0C7E">
              <w:rPr>
                <w:rFonts w:ascii="Arial" w:hAnsi="Arial"/>
                <w:sz w:val="14"/>
              </w:rPr>
              <w:t>S</w:t>
            </w:r>
          </w:p>
        </w:tc>
        <w:tc>
          <w:tcPr>
            <w:tcW w:w="470"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tc>
        <w:tc>
          <w:tcPr>
            <w:tcW w:w="469" w:type="dxa"/>
            <w:tcBorders>
              <w:top w:val="double" w:sz="6" w:space="0" w:color="000000"/>
              <w:left w:val="double" w:sz="6"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r w:rsidRPr="002E0C7E">
              <w:rPr>
                <w:rFonts w:ascii="Arial" w:hAnsi="Arial"/>
                <w:sz w:val="14"/>
              </w:rPr>
              <w:t>S</w:t>
            </w:r>
          </w:p>
          <w:p w:rsidR="0081610A" w:rsidRPr="002E0C7E" w:rsidRDefault="0081610A" w:rsidP="00DB0773">
            <w:pPr>
              <w:widowControl w:val="0"/>
              <w:jc w:val="center"/>
              <w:rPr>
                <w:rFonts w:ascii="Arial" w:hAnsi="Arial"/>
                <w:sz w:val="14"/>
              </w:rPr>
            </w:pPr>
            <w:r w:rsidRPr="002E0C7E">
              <w:rPr>
                <w:rFonts w:ascii="Arial" w:hAnsi="Arial"/>
                <w:sz w:val="14"/>
              </w:rPr>
              <w:t>D</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r w:rsidRPr="002E0C7E">
              <w:rPr>
                <w:rFonts w:ascii="Arial" w:hAnsi="Arial"/>
                <w:sz w:val="14"/>
              </w:rPr>
              <w:t>M</w:t>
            </w:r>
          </w:p>
          <w:p w:rsidR="0081610A" w:rsidRPr="002E0C7E" w:rsidRDefault="0081610A" w:rsidP="00DB0773">
            <w:pPr>
              <w:widowControl w:val="0"/>
              <w:jc w:val="center"/>
              <w:rPr>
                <w:rFonts w:ascii="Arial" w:hAnsi="Arial"/>
                <w:sz w:val="14"/>
              </w:rPr>
            </w:pPr>
            <w:r w:rsidRPr="002E0C7E">
              <w:rPr>
                <w:rFonts w:ascii="Arial" w:hAnsi="Arial"/>
                <w:sz w:val="14"/>
              </w:rPr>
              <w:t>L</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r w:rsidRPr="002E0C7E">
              <w:rPr>
                <w:rFonts w:ascii="Arial" w:hAnsi="Arial"/>
                <w:sz w:val="14"/>
              </w:rPr>
              <w:t>T</w:t>
            </w:r>
          </w:p>
          <w:p w:rsidR="0081610A" w:rsidRPr="002E0C7E" w:rsidRDefault="0081610A" w:rsidP="00DB0773">
            <w:pPr>
              <w:widowControl w:val="0"/>
              <w:jc w:val="center"/>
              <w:rPr>
                <w:rFonts w:ascii="Arial" w:hAnsi="Arial"/>
                <w:sz w:val="14"/>
              </w:rPr>
            </w:pPr>
            <w:r w:rsidRPr="002E0C7E">
              <w:rPr>
                <w:rFonts w:ascii="Arial" w:hAnsi="Arial"/>
                <w:sz w:val="14"/>
              </w:rPr>
              <w:t>M</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r w:rsidRPr="002E0C7E">
              <w:rPr>
                <w:rFonts w:ascii="Arial" w:hAnsi="Arial"/>
                <w:sz w:val="14"/>
              </w:rPr>
              <w:t>W</w:t>
            </w:r>
          </w:p>
          <w:p w:rsidR="0081610A" w:rsidRPr="002E0C7E" w:rsidRDefault="0081610A" w:rsidP="00DB0773">
            <w:pPr>
              <w:widowControl w:val="0"/>
              <w:jc w:val="center"/>
              <w:rPr>
                <w:rFonts w:ascii="Arial" w:hAnsi="Arial"/>
                <w:sz w:val="14"/>
              </w:rPr>
            </w:pPr>
            <w:r w:rsidRPr="002E0C7E">
              <w:rPr>
                <w:rFonts w:ascii="Arial" w:hAnsi="Arial"/>
                <w:sz w:val="14"/>
              </w:rPr>
              <w:t>M</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r w:rsidRPr="002E0C7E">
              <w:rPr>
                <w:rFonts w:ascii="Arial" w:hAnsi="Arial"/>
                <w:sz w:val="14"/>
              </w:rPr>
              <w:t>T</w:t>
            </w:r>
          </w:p>
          <w:p w:rsidR="0081610A" w:rsidRPr="002E0C7E" w:rsidRDefault="0081610A" w:rsidP="00DB0773">
            <w:pPr>
              <w:widowControl w:val="0"/>
              <w:jc w:val="center"/>
              <w:rPr>
                <w:rFonts w:ascii="Arial" w:hAnsi="Arial"/>
                <w:sz w:val="14"/>
              </w:rPr>
            </w:pPr>
            <w:r w:rsidRPr="002E0C7E">
              <w:rPr>
                <w:rFonts w:ascii="Arial" w:hAnsi="Arial"/>
                <w:sz w:val="14"/>
              </w:rPr>
              <w:t>J</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r w:rsidRPr="002E0C7E">
              <w:rPr>
                <w:rFonts w:ascii="Arial" w:hAnsi="Arial"/>
                <w:sz w:val="14"/>
              </w:rPr>
              <w:t>F</w:t>
            </w:r>
          </w:p>
          <w:p w:rsidR="0081610A" w:rsidRPr="002E0C7E" w:rsidRDefault="0081610A" w:rsidP="00DB0773">
            <w:pPr>
              <w:widowControl w:val="0"/>
              <w:jc w:val="center"/>
              <w:rPr>
                <w:rFonts w:ascii="Arial" w:hAnsi="Arial"/>
                <w:sz w:val="14"/>
              </w:rPr>
            </w:pPr>
            <w:r w:rsidRPr="002E0C7E">
              <w:rPr>
                <w:rFonts w:ascii="Arial" w:hAnsi="Arial"/>
                <w:sz w:val="14"/>
              </w:rPr>
              <w:t>V</w:t>
            </w:r>
          </w:p>
        </w:tc>
        <w:tc>
          <w:tcPr>
            <w:tcW w:w="469" w:type="dxa"/>
            <w:tcBorders>
              <w:top w:val="double" w:sz="6"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r w:rsidRPr="002E0C7E">
              <w:rPr>
                <w:rFonts w:ascii="Arial" w:hAnsi="Arial"/>
                <w:sz w:val="14"/>
              </w:rPr>
              <w:t>S</w:t>
            </w:r>
          </w:p>
          <w:p w:rsidR="0081610A" w:rsidRPr="002E0C7E" w:rsidRDefault="0081610A" w:rsidP="00DB0773">
            <w:pPr>
              <w:widowControl w:val="0"/>
              <w:jc w:val="center"/>
              <w:rPr>
                <w:rFonts w:ascii="Arial" w:hAnsi="Arial"/>
                <w:sz w:val="14"/>
              </w:rPr>
            </w:pPr>
            <w:r w:rsidRPr="002E0C7E">
              <w:rPr>
                <w:rFonts w:ascii="Arial" w:hAnsi="Arial"/>
                <w:sz w:val="14"/>
              </w:rPr>
              <w:t>S</w:t>
            </w:r>
          </w:p>
        </w:tc>
        <w:tc>
          <w:tcPr>
            <w:tcW w:w="470"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tc>
        <w:tc>
          <w:tcPr>
            <w:tcW w:w="469" w:type="dxa"/>
            <w:tcBorders>
              <w:top w:val="double" w:sz="6" w:space="0" w:color="000000"/>
              <w:left w:val="double" w:sz="6"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r w:rsidRPr="002E0C7E">
              <w:rPr>
                <w:rFonts w:ascii="Arial" w:hAnsi="Arial"/>
                <w:sz w:val="14"/>
              </w:rPr>
              <w:t>S</w:t>
            </w:r>
          </w:p>
          <w:p w:rsidR="0081610A" w:rsidRPr="002E0C7E" w:rsidRDefault="0081610A" w:rsidP="00DB0773">
            <w:pPr>
              <w:widowControl w:val="0"/>
              <w:jc w:val="center"/>
              <w:rPr>
                <w:rFonts w:ascii="Arial" w:hAnsi="Arial"/>
                <w:sz w:val="14"/>
              </w:rPr>
            </w:pPr>
            <w:r w:rsidRPr="002E0C7E">
              <w:rPr>
                <w:rFonts w:ascii="Arial" w:hAnsi="Arial"/>
                <w:sz w:val="14"/>
              </w:rPr>
              <w:t>D</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r w:rsidRPr="002E0C7E">
              <w:rPr>
                <w:rFonts w:ascii="Arial" w:hAnsi="Arial"/>
                <w:sz w:val="14"/>
              </w:rPr>
              <w:t>M</w:t>
            </w:r>
          </w:p>
          <w:p w:rsidR="0081610A" w:rsidRPr="002E0C7E" w:rsidRDefault="0081610A" w:rsidP="00DB0773">
            <w:pPr>
              <w:widowControl w:val="0"/>
              <w:jc w:val="center"/>
              <w:rPr>
                <w:rFonts w:ascii="Arial" w:hAnsi="Arial"/>
                <w:sz w:val="14"/>
              </w:rPr>
            </w:pPr>
            <w:r w:rsidRPr="002E0C7E">
              <w:rPr>
                <w:rFonts w:ascii="Arial" w:hAnsi="Arial"/>
                <w:sz w:val="14"/>
              </w:rPr>
              <w:t>L</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r w:rsidRPr="002E0C7E">
              <w:rPr>
                <w:rFonts w:ascii="Arial" w:hAnsi="Arial"/>
                <w:sz w:val="14"/>
              </w:rPr>
              <w:t>T</w:t>
            </w:r>
          </w:p>
          <w:p w:rsidR="0081610A" w:rsidRPr="002E0C7E" w:rsidRDefault="0081610A" w:rsidP="00DB0773">
            <w:pPr>
              <w:widowControl w:val="0"/>
              <w:jc w:val="center"/>
              <w:rPr>
                <w:rFonts w:ascii="Arial" w:hAnsi="Arial"/>
                <w:sz w:val="14"/>
              </w:rPr>
            </w:pPr>
            <w:r w:rsidRPr="002E0C7E">
              <w:rPr>
                <w:rFonts w:ascii="Arial" w:hAnsi="Arial"/>
                <w:sz w:val="14"/>
              </w:rPr>
              <w:t>M</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r w:rsidRPr="002E0C7E">
              <w:rPr>
                <w:rFonts w:ascii="Arial" w:hAnsi="Arial"/>
                <w:sz w:val="14"/>
              </w:rPr>
              <w:t>W</w:t>
            </w:r>
          </w:p>
          <w:p w:rsidR="0081610A" w:rsidRPr="002E0C7E" w:rsidRDefault="0081610A" w:rsidP="00DB0773">
            <w:pPr>
              <w:widowControl w:val="0"/>
              <w:jc w:val="center"/>
              <w:rPr>
                <w:rFonts w:ascii="Arial" w:hAnsi="Arial"/>
                <w:sz w:val="14"/>
              </w:rPr>
            </w:pPr>
            <w:r w:rsidRPr="002E0C7E">
              <w:rPr>
                <w:rFonts w:ascii="Arial" w:hAnsi="Arial"/>
                <w:sz w:val="14"/>
              </w:rPr>
              <w:t>M</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r w:rsidRPr="002E0C7E">
              <w:rPr>
                <w:rFonts w:ascii="Arial" w:hAnsi="Arial"/>
                <w:sz w:val="14"/>
              </w:rPr>
              <w:t>T</w:t>
            </w:r>
          </w:p>
          <w:p w:rsidR="0081610A" w:rsidRPr="002E0C7E" w:rsidRDefault="0081610A" w:rsidP="00DB0773">
            <w:pPr>
              <w:widowControl w:val="0"/>
              <w:jc w:val="center"/>
              <w:rPr>
                <w:rFonts w:ascii="Arial" w:hAnsi="Arial"/>
                <w:sz w:val="14"/>
              </w:rPr>
            </w:pPr>
            <w:r w:rsidRPr="002E0C7E">
              <w:rPr>
                <w:rFonts w:ascii="Arial" w:hAnsi="Arial"/>
                <w:sz w:val="14"/>
              </w:rPr>
              <w:t>J</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r w:rsidRPr="002E0C7E">
              <w:rPr>
                <w:rFonts w:ascii="Arial" w:hAnsi="Arial"/>
                <w:sz w:val="14"/>
              </w:rPr>
              <w:t>F</w:t>
            </w:r>
          </w:p>
          <w:p w:rsidR="0081610A" w:rsidRPr="002E0C7E" w:rsidRDefault="0081610A" w:rsidP="00DB0773">
            <w:pPr>
              <w:widowControl w:val="0"/>
              <w:jc w:val="center"/>
              <w:rPr>
                <w:rFonts w:ascii="Arial" w:hAnsi="Arial"/>
                <w:sz w:val="14"/>
              </w:rPr>
            </w:pPr>
            <w:r>
              <w:rPr>
                <w:rFonts w:ascii="Arial" w:hAnsi="Arial"/>
                <w:sz w:val="14"/>
              </w:rPr>
              <w:t>V</w:t>
            </w:r>
          </w:p>
        </w:tc>
        <w:tc>
          <w:tcPr>
            <w:tcW w:w="470" w:type="dxa"/>
            <w:tcBorders>
              <w:top w:val="double" w:sz="6"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r>
              <w:rPr>
                <w:rFonts w:ascii="Arial" w:hAnsi="Arial"/>
                <w:sz w:val="14"/>
              </w:rPr>
              <w:t>S</w:t>
            </w:r>
          </w:p>
          <w:p w:rsidR="0081610A" w:rsidRPr="002E0C7E" w:rsidRDefault="0081610A" w:rsidP="00DB0773">
            <w:pPr>
              <w:widowControl w:val="0"/>
              <w:jc w:val="center"/>
              <w:rPr>
                <w:rFonts w:ascii="Arial" w:hAnsi="Arial"/>
                <w:sz w:val="14"/>
              </w:rPr>
            </w:pPr>
            <w:r>
              <w:rPr>
                <w:rFonts w:ascii="Arial" w:hAnsi="Arial"/>
                <w:sz w:val="14"/>
              </w:rPr>
              <w:t>S</w:t>
            </w:r>
          </w:p>
        </w:tc>
      </w:tr>
      <w:tr w:rsidR="0081610A" w:rsidRPr="002E0C7E" w:rsidTr="00DB0773">
        <w:trPr>
          <w:cantSplit/>
          <w:trHeight w:val="422"/>
          <w:jc w:val="center"/>
        </w:trPr>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1</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2</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3</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4</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5</w:t>
            </w:r>
          </w:p>
        </w:tc>
        <w:tc>
          <w:tcPr>
            <w:tcW w:w="470"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1</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b/>
                <w:sz w:val="14"/>
              </w:rPr>
            </w:pPr>
          </w:p>
          <w:p w:rsidR="0081610A" w:rsidRPr="002E0C7E" w:rsidRDefault="0081610A" w:rsidP="00DB0773">
            <w:pPr>
              <w:widowControl w:val="0"/>
              <w:jc w:val="center"/>
              <w:rPr>
                <w:rFonts w:ascii="Arial" w:hAnsi="Arial"/>
                <w:sz w:val="14"/>
              </w:rPr>
            </w:pPr>
            <w:r>
              <w:rPr>
                <w:rFonts w:ascii="Arial" w:hAnsi="Arial"/>
                <w:sz w:val="14"/>
              </w:rPr>
              <w:t>2</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3</w:t>
            </w:r>
          </w:p>
        </w:tc>
        <w:tc>
          <w:tcPr>
            <w:tcW w:w="470"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1</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2</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3</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4</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5</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6</w:t>
            </w:r>
          </w:p>
        </w:tc>
        <w:tc>
          <w:tcPr>
            <w:tcW w:w="470"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7</w:t>
            </w:r>
          </w:p>
        </w:tc>
      </w:tr>
      <w:tr w:rsidR="0081610A" w:rsidRPr="002E0C7E" w:rsidTr="00DB0773">
        <w:trPr>
          <w:cantSplit/>
          <w:jc w:val="center"/>
        </w:trPr>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6</w:t>
            </w:r>
          </w:p>
        </w:tc>
        <w:tc>
          <w:tcPr>
            <w:tcW w:w="469" w:type="dxa"/>
            <w:tcBorders>
              <w:top w:val="single" w:sz="8" w:space="0" w:color="000000"/>
              <w:left w:val="single" w:sz="8" w:space="0" w:color="000000"/>
              <w:bottom w:val="double" w:sz="6" w:space="0" w:color="000000"/>
              <w:right w:val="single" w:sz="8" w:space="0" w:color="000000"/>
            </w:tcBorders>
            <w:shd w:val="clear" w:color="auto" w:fill="auto"/>
            <w:tcMar>
              <w:top w:w="72" w:type="dxa"/>
              <w:left w:w="0" w:type="dxa"/>
              <w:bottom w:w="43" w:type="dxa"/>
              <w:right w:w="0" w:type="dxa"/>
            </w:tcMar>
          </w:tcPr>
          <w:p w:rsidR="0081610A" w:rsidRPr="00710C8B" w:rsidRDefault="0081610A" w:rsidP="00DB0773">
            <w:pPr>
              <w:widowControl w:val="0"/>
              <w:jc w:val="center"/>
              <w:rPr>
                <w:rFonts w:ascii="Arial" w:hAnsi="Arial"/>
                <w:b/>
                <w:sz w:val="14"/>
              </w:rPr>
            </w:pPr>
          </w:p>
          <w:p w:rsidR="0081610A" w:rsidRPr="002E0C7E" w:rsidRDefault="0081610A" w:rsidP="00DB0773">
            <w:pPr>
              <w:widowControl w:val="0"/>
              <w:jc w:val="center"/>
              <w:rPr>
                <w:rFonts w:ascii="Arial" w:hAnsi="Arial"/>
                <w:sz w:val="14"/>
              </w:rPr>
            </w:pPr>
            <w:r>
              <w:rPr>
                <w:rFonts w:ascii="Arial" w:hAnsi="Arial"/>
                <w:sz w:val="14"/>
              </w:rPr>
              <w:t>7</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8</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9</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sidRPr="002E0C7E">
              <w:rPr>
                <w:rFonts w:ascii="Arial" w:hAnsi="Arial"/>
                <w:sz w:val="14"/>
              </w:rPr>
              <w:t>1</w:t>
            </w:r>
            <w:r>
              <w:rPr>
                <w:rFonts w:ascii="Arial" w:hAnsi="Arial"/>
                <w:sz w:val="14"/>
              </w:rPr>
              <w:t>0</w:t>
            </w:r>
          </w:p>
        </w:tc>
        <w:tc>
          <w:tcPr>
            <w:tcW w:w="469" w:type="dxa"/>
            <w:tcBorders>
              <w:top w:val="single" w:sz="8" w:space="0" w:color="000000"/>
              <w:left w:val="single" w:sz="8" w:space="0" w:color="000000"/>
              <w:bottom w:val="double" w:sz="6" w:space="0" w:color="000000"/>
              <w:right w:val="single" w:sz="8" w:space="0" w:color="000000"/>
            </w:tcBorders>
            <w:shd w:val="clear" w:color="auto"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sidRPr="002E0C7E">
              <w:rPr>
                <w:rFonts w:ascii="Arial" w:hAnsi="Arial"/>
                <w:sz w:val="14"/>
              </w:rPr>
              <w:t>1</w:t>
            </w:r>
            <w:r>
              <w:rPr>
                <w:rFonts w:ascii="Arial" w:hAnsi="Arial"/>
                <w:sz w:val="14"/>
              </w:rPr>
              <w:t>1</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sidRPr="002E0C7E">
              <w:rPr>
                <w:rFonts w:ascii="Arial" w:hAnsi="Arial"/>
                <w:sz w:val="14"/>
              </w:rPr>
              <w:t>1</w:t>
            </w:r>
            <w:r>
              <w:rPr>
                <w:rFonts w:ascii="Arial" w:hAnsi="Arial"/>
                <w:sz w:val="14"/>
              </w:rPr>
              <w:t>2</w:t>
            </w:r>
          </w:p>
        </w:tc>
        <w:tc>
          <w:tcPr>
            <w:tcW w:w="470"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4</w:t>
            </w:r>
          </w:p>
        </w:tc>
        <w:tc>
          <w:tcPr>
            <w:tcW w:w="469" w:type="dxa"/>
            <w:tcBorders>
              <w:top w:val="single" w:sz="8" w:space="0" w:color="000000"/>
              <w:left w:val="single" w:sz="8" w:space="0" w:color="000000"/>
              <w:bottom w:val="double" w:sz="6"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5</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6</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7</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8</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9</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sidRPr="002E0C7E">
              <w:rPr>
                <w:rFonts w:ascii="Arial" w:hAnsi="Arial"/>
                <w:sz w:val="14"/>
              </w:rPr>
              <w:t>1</w:t>
            </w:r>
            <w:r>
              <w:rPr>
                <w:rFonts w:ascii="Arial" w:hAnsi="Arial"/>
                <w:sz w:val="14"/>
              </w:rPr>
              <w:t>0</w:t>
            </w:r>
          </w:p>
        </w:tc>
        <w:tc>
          <w:tcPr>
            <w:tcW w:w="470"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8</w:t>
            </w:r>
          </w:p>
        </w:tc>
        <w:tc>
          <w:tcPr>
            <w:tcW w:w="469" w:type="dxa"/>
            <w:tcBorders>
              <w:top w:val="single" w:sz="8" w:space="0" w:color="000000"/>
              <w:left w:val="single" w:sz="8" w:space="0" w:color="000000"/>
              <w:bottom w:val="double" w:sz="6"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9</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10</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11</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12</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13</w:t>
            </w:r>
          </w:p>
        </w:tc>
        <w:tc>
          <w:tcPr>
            <w:tcW w:w="470"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14</w:t>
            </w:r>
          </w:p>
        </w:tc>
      </w:tr>
      <w:tr w:rsidR="0081610A" w:rsidRPr="002E0C7E" w:rsidTr="00DB0773">
        <w:trPr>
          <w:cantSplit/>
          <w:jc w:val="center"/>
        </w:trPr>
        <w:tc>
          <w:tcPr>
            <w:tcW w:w="469" w:type="dxa"/>
            <w:tcBorders>
              <w:top w:val="single" w:sz="8" w:space="0" w:color="000000"/>
              <w:left w:val="double" w:sz="6"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13</w:t>
            </w:r>
          </w:p>
        </w:tc>
        <w:tc>
          <w:tcPr>
            <w:tcW w:w="469" w:type="dxa"/>
            <w:tcBorders>
              <w:top w:val="double" w:sz="6" w:space="0" w:color="000000"/>
              <w:left w:val="double" w:sz="6" w:space="0" w:color="000000"/>
              <w:bottom w:val="double" w:sz="6" w:space="0" w:color="000000"/>
              <w:right w:val="double" w:sz="6" w:space="0" w:color="000000"/>
            </w:tcBorders>
            <w:shd w:val="pct30" w:color="000000" w:fill="auto"/>
            <w:tcMar>
              <w:top w:w="72" w:type="dxa"/>
              <w:left w:w="0" w:type="dxa"/>
              <w:bottom w:w="43" w:type="dxa"/>
              <w:right w:w="0" w:type="dxa"/>
            </w:tcMar>
          </w:tcPr>
          <w:p w:rsidR="0081610A" w:rsidRPr="00DB5777" w:rsidRDefault="0081610A" w:rsidP="00DB0773">
            <w:pPr>
              <w:widowControl w:val="0"/>
              <w:jc w:val="center"/>
              <w:rPr>
                <w:rFonts w:ascii="Arial" w:hAnsi="Arial"/>
                <w:b/>
                <w:sz w:val="14"/>
              </w:rPr>
            </w:pPr>
            <w:r w:rsidRPr="00DB5777">
              <w:rPr>
                <w:rFonts w:ascii="Arial" w:hAnsi="Arial"/>
                <w:b/>
                <w:sz w:val="14"/>
              </w:rPr>
              <w:t>M</w:t>
            </w:r>
          </w:p>
          <w:p w:rsidR="0081610A" w:rsidRPr="002E0C7E" w:rsidRDefault="0081610A" w:rsidP="00DB0773">
            <w:pPr>
              <w:widowControl w:val="0"/>
              <w:jc w:val="center"/>
              <w:rPr>
                <w:rFonts w:ascii="Arial" w:hAnsi="Arial"/>
                <w:sz w:val="14"/>
              </w:rPr>
            </w:pPr>
            <w:r w:rsidRPr="002E0C7E">
              <w:rPr>
                <w:rFonts w:ascii="Arial" w:hAnsi="Arial"/>
                <w:sz w:val="14"/>
              </w:rPr>
              <w:t>1</w:t>
            </w:r>
            <w:r>
              <w:rPr>
                <w:rFonts w:ascii="Arial" w:hAnsi="Arial"/>
                <w:sz w:val="14"/>
              </w:rPr>
              <w:t>4</w:t>
            </w:r>
          </w:p>
        </w:tc>
        <w:tc>
          <w:tcPr>
            <w:tcW w:w="469" w:type="dxa"/>
            <w:tcBorders>
              <w:top w:val="single" w:sz="8" w:space="0" w:color="000000"/>
              <w:left w:val="double" w:sz="6" w:space="0" w:color="000000"/>
              <w:bottom w:val="single" w:sz="8" w:space="0" w:color="000000"/>
              <w:right w:val="single" w:sz="8" w:space="0" w:color="000000"/>
            </w:tcBorders>
            <w:shd w:val="pct30" w:color="000000"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sidRPr="002E0C7E">
              <w:rPr>
                <w:rFonts w:ascii="Arial" w:hAnsi="Arial"/>
                <w:sz w:val="14"/>
              </w:rPr>
              <w:t>1</w:t>
            </w:r>
            <w:r>
              <w:rPr>
                <w:rFonts w:ascii="Arial" w:hAnsi="Arial"/>
                <w:sz w:val="14"/>
              </w:rPr>
              <w:t>5</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sidRPr="002E0C7E">
              <w:rPr>
                <w:rFonts w:ascii="Arial" w:hAnsi="Arial"/>
                <w:sz w:val="14"/>
              </w:rPr>
              <w:t>1</w:t>
            </w:r>
            <w:r>
              <w:rPr>
                <w:rFonts w:ascii="Arial" w:hAnsi="Arial"/>
                <w:sz w:val="14"/>
              </w:rPr>
              <w:t>6</w:t>
            </w:r>
          </w:p>
        </w:tc>
        <w:tc>
          <w:tcPr>
            <w:tcW w:w="469" w:type="dxa"/>
            <w:tcBorders>
              <w:top w:val="single" w:sz="8" w:space="0" w:color="000000"/>
              <w:left w:val="single" w:sz="8" w:space="0" w:color="000000"/>
              <w:bottom w:val="single" w:sz="8" w:space="0" w:color="000000"/>
              <w:right w:val="double" w:sz="6" w:space="0" w:color="000000"/>
            </w:tcBorders>
            <w:shd w:val="pct30" w:color="000000"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sidRPr="002E0C7E">
              <w:rPr>
                <w:rFonts w:ascii="Arial" w:hAnsi="Arial"/>
                <w:sz w:val="14"/>
              </w:rPr>
              <w:t>1</w:t>
            </w:r>
            <w:r>
              <w:rPr>
                <w:rFonts w:ascii="Arial" w:hAnsi="Arial"/>
                <w:sz w:val="14"/>
              </w:rPr>
              <w:t>7</w:t>
            </w:r>
          </w:p>
        </w:tc>
        <w:tc>
          <w:tcPr>
            <w:tcW w:w="469" w:type="dxa"/>
            <w:tcBorders>
              <w:top w:val="double" w:sz="6" w:space="0" w:color="000000"/>
              <w:left w:val="double" w:sz="6" w:space="0" w:color="000000"/>
              <w:bottom w:val="double" w:sz="6" w:space="0" w:color="000000"/>
              <w:right w:val="double" w:sz="6" w:space="0" w:color="000000"/>
            </w:tcBorders>
            <w:shd w:val="clear" w:color="auto" w:fill="auto"/>
            <w:tcMar>
              <w:top w:w="72" w:type="dxa"/>
              <w:left w:w="0" w:type="dxa"/>
              <w:bottom w:w="43" w:type="dxa"/>
              <w:right w:w="0" w:type="dxa"/>
            </w:tcMar>
          </w:tcPr>
          <w:p w:rsidR="0081610A" w:rsidRPr="00852172" w:rsidRDefault="0081610A" w:rsidP="00DB0773">
            <w:pPr>
              <w:widowControl w:val="0"/>
              <w:jc w:val="center"/>
              <w:rPr>
                <w:rFonts w:ascii="Arial" w:hAnsi="Arial"/>
                <w:b/>
                <w:sz w:val="14"/>
              </w:rPr>
            </w:pPr>
            <w:r>
              <w:rPr>
                <w:rFonts w:ascii="Arial" w:hAnsi="Arial"/>
                <w:b/>
                <w:sz w:val="14"/>
              </w:rPr>
              <w:t>H</w:t>
            </w:r>
          </w:p>
          <w:p w:rsidR="0081610A" w:rsidRPr="002E0C7E" w:rsidRDefault="0081610A" w:rsidP="00DB0773">
            <w:pPr>
              <w:widowControl w:val="0"/>
              <w:jc w:val="center"/>
              <w:rPr>
                <w:rFonts w:ascii="Arial" w:hAnsi="Arial"/>
                <w:sz w:val="14"/>
              </w:rPr>
            </w:pPr>
            <w:r>
              <w:rPr>
                <w:rFonts w:ascii="Arial" w:hAnsi="Arial"/>
                <w:sz w:val="14"/>
              </w:rPr>
              <w:t>18</w:t>
            </w:r>
          </w:p>
        </w:tc>
        <w:tc>
          <w:tcPr>
            <w:tcW w:w="469" w:type="dxa"/>
            <w:tcBorders>
              <w:top w:val="single" w:sz="8" w:space="0" w:color="000000"/>
              <w:left w:val="double" w:sz="6"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19</w:t>
            </w:r>
          </w:p>
        </w:tc>
        <w:tc>
          <w:tcPr>
            <w:tcW w:w="470"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sidRPr="002E0C7E">
              <w:rPr>
                <w:rFonts w:ascii="Arial" w:hAnsi="Arial"/>
                <w:sz w:val="14"/>
              </w:rPr>
              <w:t>1</w:t>
            </w:r>
            <w:r>
              <w:rPr>
                <w:rFonts w:ascii="Arial" w:hAnsi="Arial"/>
                <w:sz w:val="14"/>
              </w:rPr>
              <w:t>1</w:t>
            </w:r>
          </w:p>
        </w:tc>
        <w:tc>
          <w:tcPr>
            <w:tcW w:w="469" w:type="dxa"/>
            <w:tcBorders>
              <w:top w:val="double" w:sz="6" w:space="0" w:color="000000"/>
              <w:left w:val="double" w:sz="6" w:space="0" w:color="000000"/>
              <w:bottom w:val="double" w:sz="6" w:space="0" w:color="000000"/>
              <w:right w:val="double" w:sz="6" w:space="0" w:color="000000"/>
            </w:tcBorders>
            <w:shd w:val="pct30" w:color="000000" w:fill="auto"/>
            <w:tcMar>
              <w:top w:w="72" w:type="dxa"/>
              <w:left w:w="0" w:type="dxa"/>
              <w:bottom w:w="43" w:type="dxa"/>
              <w:right w:w="0" w:type="dxa"/>
            </w:tcMar>
          </w:tcPr>
          <w:p w:rsidR="0081610A" w:rsidRPr="002453E3" w:rsidRDefault="0081610A" w:rsidP="00DB0773">
            <w:pPr>
              <w:widowControl w:val="0"/>
              <w:jc w:val="center"/>
              <w:rPr>
                <w:rFonts w:ascii="Arial" w:hAnsi="Arial"/>
                <w:b/>
                <w:sz w:val="14"/>
              </w:rPr>
            </w:pPr>
            <w:r w:rsidRPr="002453E3">
              <w:rPr>
                <w:rFonts w:ascii="Arial" w:hAnsi="Arial"/>
                <w:b/>
                <w:sz w:val="14"/>
              </w:rPr>
              <w:t>M</w:t>
            </w:r>
          </w:p>
          <w:p w:rsidR="0081610A" w:rsidRPr="002E0C7E" w:rsidRDefault="0081610A" w:rsidP="00DB0773">
            <w:pPr>
              <w:widowControl w:val="0"/>
              <w:jc w:val="center"/>
              <w:rPr>
                <w:rFonts w:ascii="Arial" w:hAnsi="Arial"/>
                <w:sz w:val="14"/>
              </w:rPr>
            </w:pPr>
            <w:r w:rsidRPr="002E0C7E">
              <w:rPr>
                <w:rFonts w:ascii="Arial" w:hAnsi="Arial"/>
                <w:sz w:val="14"/>
              </w:rPr>
              <w:t>1</w:t>
            </w:r>
            <w:r>
              <w:rPr>
                <w:rFonts w:ascii="Arial" w:hAnsi="Arial"/>
                <w:sz w:val="14"/>
              </w:rPr>
              <w:t>2</w:t>
            </w:r>
          </w:p>
        </w:tc>
        <w:tc>
          <w:tcPr>
            <w:tcW w:w="469" w:type="dxa"/>
            <w:tcBorders>
              <w:top w:val="single" w:sz="8" w:space="0" w:color="000000"/>
              <w:left w:val="double" w:sz="6" w:space="0" w:color="000000"/>
              <w:bottom w:val="single" w:sz="8" w:space="0" w:color="000000"/>
              <w:right w:val="single" w:sz="8" w:space="0" w:color="000000"/>
            </w:tcBorders>
            <w:shd w:val="pct30" w:color="000000"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sidRPr="002E0C7E">
              <w:rPr>
                <w:rFonts w:ascii="Arial" w:hAnsi="Arial"/>
                <w:sz w:val="14"/>
              </w:rPr>
              <w:t>1</w:t>
            </w:r>
            <w:r>
              <w:rPr>
                <w:rFonts w:ascii="Arial" w:hAnsi="Arial"/>
                <w:sz w:val="14"/>
              </w:rPr>
              <w:t>3</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sidRPr="002E0C7E">
              <w:rPr>
                <w:rFonts w:ascii="Arial" w:hAnsi="Arial"/>
                <w:sz w:val="14"/>
              </w:rPr>
              <w:t>1</w:t>
            </w:r>
            <w:r>
              <w:rPr>
                <w:rFonts w:ascii="Arial" w:hAnsi="Arial"/>
                <w:sz w:val="14"/>
              </w:rPr>
              <w:t>4</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sidRPr="002E0C7E">
              <w:rPr>
                <w:rFonts w:ascii="Arial" w:hAnsi="Arial"/>
                <w:sz w:val="14"/>
              </w:rPr>
              <w:t>1</w:t>
            </w:r>
            <w:r>
              <w:rPr>
                <w:rFonts w:ascii="Arial" w:hAnsi="Arial"/>
                <w:sz w:val="14"/>
              </w:rPr>
              <w:t>5</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sidRPr="002E0C7E">
              <w:rPr>
                <w:rFonts w:ascii="Arial" w:hAnsi="Arial"/>
                <w:sz w:val="14"/>
              </w:rPr>
              <w:t>1</w:t>
            </w:r>
            <w:r>
              <w:rPr>
                <w:rFonts w:ascii="Arial" w:hAnsi="Arial"/>
                <w:sz w:val="14"/>
              </w:rPr>
              <w:t>6</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sidRPr="002E0C7E">
              <w:rPr>
                <w:rFonts w:ascii="Arial" w:hAnsi="Arial"/>
                <w:sz w:val="14"/>
              </w:rPr>
              <w:t>1</w:t>
            </w:r>
            <w:r>
              <w:rPr>
                <w:rFonts w:ascii="Arial" w:hAnsi="Arial"/>
                <w:sz w:val="14"/>
              </w:rPr>
              <w:t>7</w:t>
            </w:r>
          </w:p>
        </w:tc>
        <w:tc>
          <w:tcPr>
            <w:tcW w:w="470"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15</w:t>
            </w:r>
          </w:p>
        </w:tc>
        <w:tc>
          <w:tcPr>
            <w:tcW w:w="469" w:type="dxa"/>
            <w:tcBorders>
              <w:top w:val="double" w:sz="6" w:space="0" w:color="000000"/>
              <w:left w:val="double" w:sz="6" w:space="0" w:color="000000"/>
              <w:bottom w:val="double" w:sz="6" w:space="0" w:color="000000"/>
              <w:right w:val="double" w:sz="6" w:space="0" w:color="000000"/>
            </w:tcBorders>
            <w:shd w:val="pct30" w:color="000000" w:fill="auto"/>
            <w:tcMar>
              <w:top w:w="72" w:type="dxa"/>
              <w:left w:w="0" w:type="dxa"/>
              <w:bottom w:w="43" w:type="dxa"/>
              <w:right w:w="0" w:type="dxa"/>
            </w:tcMar>
          </w:tcPr>
          <w:p w:rsidR="0081610A" w:rsidRPr="006A1E8D" w:rsidRDefault="0081610A" w:rsidP="00DB0773">
            <w:pPr>
              <w:widowControl w:val="0"/>
              <w:jc w:val="center"/>
              <w:rPr>
                <w:rFonts w:ascii="Arial" w:hAnsi="Arial"/>
                <w:b/>
                <w:sz w:val="14"/>
              </w:rPr>
            </w:pPr>
            <w:r w:rsidRPr="006A1E8D">
              <w:rPr>
                <w:rFonts w:ascii="Arial" w:hAnsi="Arial"/>
                <w:b/>
                <w:sz w:val="14"/>
              </w:rPr>
              <w:t>M</w:t>
            </w:r>
          </w:p>
          <w:p w:rsidR="0081610A" w:rsidRPr="002E0C7E" w:rsidRDefault="0081610A" w:rsidP="00DB0773">
            <w:pPr>
              <w:widowControl w:val="0"/>
              <w:jc w:val="center"/>
              <w:rPr>
                <w:rFonts w:ascii="Arial" w:hAnsi="Arial"/>
                <w:sz w:val="14"/>
              </w:rPr>
            </w:pPr>
            <w:r w:rsidRPr="002E0C7E">
              <w:rPr>
                <w:rFonts w:ascii="Arial" w:hAnsi="Arial"/>
                <w:sz w:val="14"/>
              </w:rPr>
              <w:t>1</w:t>
            </w:r>
            <w:r>
              <w:rPr>
                <w:rFonts w:ascii="Arial" w:hAnsi="Arial"/>
                <w:sz w:val="14"/>
              </w:rPr>
              <w:t>6</w:t>
            </w:r>
          </w:p>
        </w:tc>
        <w:tc>
          <w:tcPr>
            <w:tcW w:w="469" w:type="dxa"/>
            <w:tcBorders>
              <w:top w:val="single" w:sz="8" w:space="0" w:color="000000"/>
              <w:left w:val="double" w:sz="6" w:space="0" w:color="000000"/>
              <w:bottom w:val="single" w:sz="8" w:space="0" w:color="000000"/>
              <w:right w:val="single" w:sz="8" w:space="0" w:color="000000"/>
            </w:tcBorders>
            <w:shd w:val="pct30" w:color="000000"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sidRPr="002E0C7E">
              <w:rPr>
                <w:rFonts w:ascii="Arial" w:hAnsi="Arial"/>
                <w:sz w:val="14"/>
              </w:rPr>
              <w:t>1</w:t>
            </w:r>
            <w:r>
              <w:rPr>
                <w:rFonts w:ascii="Arial" w:hAnsi="Arial"/>
                <w:sz w:val="14"/>
              </w:rPr>
              <w:t>7</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sidRPr="002E0C7E">
              <w:rPr>
                <w:rFonts w:ascii="Arial" w:hAnsi="Arial"/>
                <w:sz w:val="14"/>
              </w:rPr>
              <w:t>1</w:t>
            </w:r>
            <w:r>
              <w:rPr>
                <w:rFonts w:ascii="Arial" w:hAnsi="Arial"/>
                <w:sz w:val="14"/>
              </w:rPr>
              <w:t>8</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sidRPr="002E0C7E">
              <w:rPr>
                <w:rFonts w:ascii="Arial" w:hAnsi="Arial"/>
                <w:sz w:val="14"/>
              </w:rPr>
              <w:t>1</w:t>
            </w:r>
            <w:r>
              <w:rPr>
                <w:rFonts w:ascii="Arial" w:hAnsi="Arial"/>
                <w:sz w:val="14"/>
              </w:rPr>
              <w:t>9</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20</w:t>
            </w:r>
          </w:p>
        </w:tc>
        <w:tc>
          <w:tcPr>
            <w:tcW w:w="470"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2</w:t>
            </w:r>
            <w:r w:rsidRPr="002E0C7E">
              <w:rPr>
                <w:rFonts w:ascii="Arial" w:hAnsi="Arial"/>
                <w:sz w:val="14"/>
              </w:rPr>
              <w:t>1</w:t>
            </w:r>
          </w:p>
        </w:tc>
      </w:tr>
      <w:tr w:rsidR="0081610A" w:rsidRPr="002E0C7E" w:rsidTr="00DB0773">
        <w:trPr>
          <w:cantSplit/>
          <w:jc w:val="center"/>
        </w:trPr>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20</w:t>
            </w:r>
          </w:p>
        </w:tc>
        <w:tc>
          <w:tcPr>
            <w:tcW w:w="469" w:type="dxa"/>
            <w:tcBorders>
              <w:top w:val="double" w:sz="6" w:space="0" w:color="000000"/>
              <w:left w:val="single" w:sz="8" w:space="0" w:color="000000"/>
              <w:bottom w:val="single" w:sz="8" w:space="0" w:color="000000"/>
              <w:right w:val="single" w:sz="8" w:space="0" w:color="000000"/>
            </w:tcBorders>
            <w:shd w:val="clear" w:color="auto" w:fill="auto"/>
            <w:tcMar>
              <w:top w:w="72" w:type="dxa"/>
              <w:left w:w="0" w:type="dxa"/>
              <w:bottom w:w="43" w:type="dxa"/>
              <w:right w:w="0" w:type="dxa"/>
            </w:tcMar>
            <w:vAlign w:val="center"/>
          </w:tcPr>
          <w:p w:rsidR="0081610A" w:rsidRPr="00CD57C3" w:rsidRDefault="0081610A" w:rsidP="00DB0773">
            <w:pPr>
              <w:widowControl w:val="0"/>
              <w:jc w:val="center"/>
              <w:rPr>
                <w:rFonts w:ascii="Arial" w:hAnsi="Arial"/>
                <w:b/>
                <w:sz w:val="14"/>
              </w:rPr>
            </w:pPr>
            <w:r w:rsidRPr="00CD57C3">
              <w:rPr>
                <w:rFonts w:ascii="Arial" w:hAnsi="Arial"/>
                <w:b/>
                <w:sz w:val="14"/>
              </w:rPr>
              <w:t>H</w:t>
            </w:r>
          </w:p>
          <w:p w:rsidR="0081610A" w:rsidRPr="002E0C7E" w:rsidRDefault="0081610A" w:rsidP="00DB0773">
            <w:pPr>
              <w:widowControl w:val="0"/>
              <w:jc w:val="center"/>
              <w:rPr>
                <w:rFonts w:ascii="Arial" w:hAnsi="Arial"/>
                <w:sz w:val="14"/>
              </w:rPr>
            </w:pPr>
            <w:r w:rsidRPr="002E0C7E">
              <w:rPr>
                <w:rFonts w:ascii="Arial" w:hAnsi="Arial"/>
                <w:sz w:val="14"/>
              </w:rPr>
              <w:t>2</w:t>
            </w:r>
            <w:r>
              <w:rPr>
                <w:rFonts w:ascii="Arial" w:hAnsi="Arial"/>
                <w:sz w:val="14"/>
              </w:rPr>
              <w:t>1</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sidRPr="002E0C7E">
              <w:rPr>
                <w:rFonts w:ascii="Arial" w:hAnsi="Arial"/>
                <w:sz w:val="14"/>
              </w:rPr>
              <w:t>2</w:t>
            </w:r>
            <w:r>
              <w:rPr>
                <w:rFonts w:ascii="Arial" w:hAnsi="Arial"/>
                <w:sz w:val="14"/>
              </w:rPr>
              <w:t>2</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sidRPr="002E0C7E">
              <w:rPr>
                <w:rFonts w:ascii="Arial" w:hAnsi="Arial"/>
                <w:sz w:val="14"/>
              </w:rPr>
              <w:t>2</w:t>
            </w:r>
            <w:r>
              <w:rPr>
                <w:rFonts w:ascii="Arial" w:hAnsi="Arial"/>
                <w:sz w:val="14"/>
              </w:rPr>
              <w:t>3</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sidRPr="002E0C7E">
              <w:rPr>
                <w:rFonts w:ascii="Arial" w:hAnsi="Arial"/>
                <w:sz w:val="14"/>
              </w:rPr>
              <w:t>2</w:t>
            </w:r>
            <w:r>
              <w:rPr>
                <w:rFonts w:ascii="Arial" w:hAnsi="Arial"/>
                <w:sz w:val="14"/>
              </w:rPr>
              <w:t>4</w:t>
            </w:r>
          </w:p>
        </w:tc>
        <w:tc>
          <w:tcPr>
            <w:tcW w:w="469" w:type="dxa"/>
            <w:tcBorders>
              <w:top w:val="double" w:sz="6"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sidRPr="002E0C7E">
              <w:rPr>
                <w:rFonts w:ascii="Arial" w:hAnsi="Arial"/>
                <w:sz w:val="14"/>
              </w:rPr>
              <w:t>2</w:t>
            </w:r>
            <w:r>
              <w:rPr>
                <w:rFonts w:ascii="Arial" w:hAnsi="Arial"/>
                <w:sz w:val="14"/>
              </w:rPr>
              <w:t>5</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sidRPr="002E0C7E">
              <w:rPr>
                <w:rFonts w:ascii="Arial" w:hAnsi="Arial"/>
                <w:sz w:val="14"/>
              </w:rPr>
              <w:t>2</w:t>
            </w:r>
            <w:r>
              <w:rPr>
                <w:rFonts w:ascii="Arial" w:hAnsi="Arial"/>
                <w:sz w:val="14"/>
              </w:rPr>
              <w:t>6</w:t>
            </w:r>
          </w:p>
        </w:tc>
        <w:tc>
          <w:tcPr>
            <w:tcW w:w="470"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18</w:t>
            </w:r>
          </w:p>
        </w:tc>
        <w:tc>
          <w:tcPr>
            <w:tcW w:w="469" w:type="dxa"/>
            <w:tcBorders>
              <w:top w:val="double" w:sz="6" w:space="0" w:color="000000"/>
              <w:left w:val="double" w:sz="6" w:space="0" w:color="000000"/>
              <w:bottom w:val="double" w:sz="6" w:space="0" w:color="000000"/>
              <w:right w:val="double" w:sz="6" w:space="0" w:color="000000"/>
            </w:tcBorders>
            <w:shd w:val="clear" w:color="auto" w:fill="auto"/>
            <w:tcMar>
              <w:top w:w="72" w:type="dxa"/>
              <w:left w:w="0" w:type="dxa"/>
              <w:bottom w:w="43" w:type="dxa"/>
              <w:right w:w="0" w:type="dxa"/>
            </w:tcMar>
          </w:tcPr>
          <w:p w:rsidR="0081610A" w:rsidRPr="002453E3" w:rsidRDefault="0081610A" w:rsidP="00DB0773">
            <w:pPr>
              <w:widowControl w:val="0"/>
              <w:jc w:val="center"/>
              <w:rPr>
                <w:rFonts w:ascii="Arial" w:hAnsi="Arial"/>
                <w:b/>
                <w:sz w:val="14"/>
              </w:rPr>
            </w:pPr>
            <w:r>
              <w:rPr>
                <w:rFonts w:ascii="Arial" w:hAnsi="Arial"/>
                <w:b/>
                <w:sz w:val="14"/>
              </w:rPr>
              <w:t>H</w:t>
            </w:r>
          </w:p>
          <w:p w:rsidR="0081610A" w:rsidRPr="002E0C7E" w:rsidRDefault="0081610A" w:rsidP="00DB0773">
            <w:pPr>
              <w:widowControl w:val="0"/>
              <w:jc w:val="center"/>
              <w:rPr>
                <w:rFonts w:ascii="Arial" w:hAnsi="Arial"/>
                <w:sz w:val="14"/>
              </w:rPr>
            </w:pPr>
            <w:r>
              <w:rPr>
                <w:rFonts w:ascii="Arial" w:hAnsi="Arial"/>
                <w:sz w:val="14"/>
              </w:rPr>
              <w:t>19</w:t>
            </w:r>
          </w:p>
        </w:tc>
        <w:tc>
          <w:tcPr>
            <w:tcW w:w="469" w:type="dxa"/>
            <w:tcBorders>
              <w:top w:val="single" w:sz="8" w:space="0" w:color="000000"/>
              <w:left w:val="double" w:sz="6" w:space="0" w:color="000000"/>
              <w:bottom w:val="single" w:sz="8" w:space="0" w:color="000000"/>
              <w:right w:val="single" w:sz="8" w:space="0" w:color="000000"/>
            </w:tcBorders>
            <w:shd w:val="pct30" w:color="auto"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sidRPr="002E0C7E">
              <w:rPr>
                <w:rFonts w:ascii="Arial" w:hAnsi="Arial"/>
                <w:sz w:val="14"/>
              </w:rPr>
              <w:t>2</w:t>
            </w:r>
            <w:r>
              <w:rPr>
                <w:rFonts w:ascii="Arial" w:hAnsi="Arial"/>
                <w:sz w:val="14"/>
              </w:rPr>
              <w:t>0</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sidRPr="002E0C7E">
              <w:rPr>
                <w:rFonts w:ascii="Arial" w:hAnsi="Arial"/>
                <w:sz w:val="14"/>
              </w:rPr>
              <w:t>2</w:t>
            </w:r>
            <w:r>
              <w:rPr>
                <w:rFonts w:ascii="Arial" w:hAnsi="Arial"/>
                <w:sz w:val="14"/>
              </w:rPr>
              <w:t>1</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sidRPr="002E0C7E">
              <w:rPr>
                <w:rFonts w:ascii="Arial" w:hAnsi="Arial"/>
                <w:sz w:val="14"/>
              </w:rPr>
              <w:t>2</w:t>
            </w:r>
            <w:r>
              <w:rPr>
                <w:rFonts w:ascii="Arial" w:hAnsi="Arial"/>
                <w:sz w:val="14"/>
              </w:rPr>
              <w:t>2</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sidRPr="002E0C7E">
              <w:rPr>
                <w:rFonts w:ascii="Arial" w:hAnsi="Arial"/>
                <w:sz w:val="14"/>
              </w:rPr>
              <w:t>2</w:t>
            </w:r>
            <w:r>
              <w:rPr>
                <w:rFonts w:ascii="Arial" w:hAnsi="Arial"/>
                <w:sz w:val="14"/>
              </w:rPr>
              <w:t>3</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sidRPr="002E0C7E">
              <w:rPr>
                <w:rFonts w:ascii="Arial" w:hAnsi="Arial"/>
                <w:sz w:val="14"/>
              </w:rPr>
              <w:t>2</w:t>
            </w:r>
            <w:r>
              <w:rPr>
                <w:rFonts w:ascii="Arial" w:hAnsi="Arial"/>
                <w:sz w:val="14"/>
              </w:rPr>
              <w:t>4</w:t>
            </w:r>
          </w:p>
        </w:tc>
        <w:tc>
          <w:tcPr>
            <w:tcW w:w="470"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22</w:t>
            </w:r>
          </w:p>
        </w:tc>
        <w:tc>
          <w:tcPr>
            <w:tcW w:w="469" w:type="dxa"/>
            <w:tcBorders>
              <w:top w:val="double" w:sz="6"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23</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24</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25</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sidRPr="002E0C7E">
              <w:rPr>
                <w:rFonts w:ascii="Arial" w:hAnsi="Arial"/>
                <w:sz w:val="14"/>
              </w:rPr>
              <w:t>2</w:t>
            </w:r>
            <w:r>
              <w:rPr>
                <w:rFonts w:ascii="Arial" w:hAnsi="Arial"/>
                <w:sz w:val="14"/>
              </w:rPr>
              <w:t>6</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sidRPr="002E0C7E">
              <w:rPr>
                <w:rFonts w:ascii="Arial" w:hAnsi="Arial"/>
                <w:sz w:val="14"/>
              </w:rPr>
              <w:t>2</w:t>
            </w:r>
            <w:r>
              <w:rPr>
                <w:rFonts w:ascii="Arial" w:hAnsi="Arial"/>
                <w:sz w:val="14"/>
              </w:rPr>
              <w:t>7</w:t>
            </w:r>
          </w:p>
        </w:tc>
        <w:tc>
          <w:tcPr>
            <w:tcW w:w="470"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sidRPr="002E0C7E">
              <w:rPr>
                <w:rFonts w:ascii="Arial" w:hAnsi="Arial"/>
                <w:sz w:val="14"/>
              </w:rPr>
              <w:t>2</w:t>
            </w:r>
            <w:r>
              <w:rPr>
                <w:rFonts w:ascii="Arial" w:hAnsi="Arial"/>
                <w:sz w:val="14"/>
              </w:rPr>
              <w:t>8</w:t>
            </w:r>
          </w:p>
        </w:tc>
      </w:tr>
      <w:tr w:rsidR="0081610A" w:rsidRPr="002E0C7E" w:rsidTr="00DB0773">
        <w:trPr>
          <w:cantSplit/>
          <w:jc w:val="center"/>
        </w:trPr>
        <w:tc>
          <w:tcPr>
            <w:tcW w:w="469" w:type="dxa"/>
            <w:tcBorders>
              <w:top w:val="single" w:sz="8" w:space="0" w:color="000000"/>
              <w:left w:val="double" w:sz="6"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27</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28</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29</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30</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tc>
        <w:tc>
          <w:tcPr>
            <w:tcW w:w="469" w:type="dxa"/>
            <w:tcBorders>
              <w:top w:val="single" w:sz="8" w:space="0" w:color="000000"/>
              <w:left w:val="single" w:sz="8" w:space="0" w:color="000000"/>
              <w:bottom w:val="double" w:sz="6" w:space="0" w:color="000000"/>
              <w:right w:val="double" w:sz="6"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tc>
        <w:tc>
          <w:tcPr>
            <w:tcW w:w="470"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tc>
        <w:tc>
          <w:tcPr>
            <w:tcW w:w="469" w:type="dxa"/>
            <w:tcBorders>
              <w:top w:val="single" w:sz="8" w:space="0" w:color="000000"/>
              <w:left w:val="double" w:sz="6"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sidRPr="002E0C7E">
              <w:rPr>
                <w:rFonts w:ascii="Arial" w:hAnsi="Arial"/>
                <w:sz w:val="14"/>
              </w:rPr>
              <w:t>2</w:t>
            </w:r>
            <w:r>
              <w:rPr>
                <w:rFonts w:ascii="Arial" w:hAnsi="Arial"/>
                <w:sz w:val="14"/>
              </w:rPr>
              <w:t>5</w:t>
            </w:r>
          </w:p>
        </w:tc>
        <w:tc>
          <w:tcPr>
            <w:tcW w:w="469" w:type="dxa"/>
            <w:tcBorders>
              <w:top w:val="double" w:sz="6"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sidRPr="002E0C7E">
              <w:rPr>
                <w:rFonts w:ascii="Arial" w:hAnsi="Arial"/>
                <w:sz w:val="14"/>
              </w:rPr>
              <w:t>2</w:t>
            </w:r>
            <w:r>
              <w:rPr>
                <w:rFonts w:ascii="Arial" w:hAnsi="Arial"/>
                <w:sz w:val="14"/>
              </w:rPr>
              <w:t>6</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sidRPr="002E0C7E">
              <w:rPr>
                <w:rFonts w:ascii="Arial" w:hAnsi="Arial"/>
                <w:sz w:val="14"/>
              </w:rPr>
              <w:t>2</w:t>
            </w:r>
            <w:r>
              <w:rPr>
                <w:rFonts w:ascii="Arial" w:hAnsi="Arial"/>
                <w:sz w:val="14"/>
              </w:rPr>
              <w:t>7</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28</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29</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30</w:t>
            </w:r>
          </w:p>
        </w:tc>
        <w:tc>
          <w:tcPr>
            <w:tcW w:w="469" w:type="dxa"/>
            <w:tcBorders>
              <w:top w:val="single" w:sz="8" w:space="0" w:color="000000"/>
              <w:left w:val="single" w:sz="8" w:space="0" w:color="000000"/>
              <w:bottom w:val="double" w:sz="6" w:space="0" w:color="000000"/>
              <w:right w:val="double" w:sz="6"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31</w:t>
            </w:r>
          </w:p>
        </w:tc>
        <w:tc>
          <w:tcPr>
            <w:tcW w:w="470"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tc>
        <w:tc>
          <w:tcPr>
            <w:tcW w:w="469" w:type="dxa"/>
            <w:tcBorders>
              <w:top w:val="single" w:sz="8" w:space="0" w:color="000000"/>
              <w:left w:val="double" w:sz="6"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29</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r>
              <w:rPr>
                <w:rFonts w:ascii="Arial" w:hAnsi="Arial"/>
                <w:sz w:val="14"/>
              </w:rPr>
              <w:t>30</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p>
        </w:tc>
        <w:tc>
          <w:tcPr>
            <w:tcW w:w="470" w:type="dxa"/>
            <w:tcBorders>
              <w:top w:val="single" w:sz="8" w:space="0" w:color="000000"/>
              <w:left w:val="single" w:sz="8" w:space="0" w:color="000000"/>
              <w:bottom w:val="double" w:sz="6" w:space="0" w:color="000000"/>
              <w:right w:val="double" w:sz="6" w:space="0" w:color="000000"/>
            </w:tcBorders>
            <w:tcMar>
              <w:top w:w="72" w:type="dxa"/>
              <w:left w:w="0" w:type="dxa"/>
              <w:bottom w:w="43" w:type="dxa"/>
              <w:right w:w="0" w:type="dxa"/>
            </w:tcMar>
          </w:tcPr>
          <w:p w:rsidR="0081610A" w:rsidRPr="002E0C7E" w:rsidRDefault="0081610A" w:rsidP="00DB0773">
            <w:pPr>
              <w:widowControl w:val="0"/>
              <w:jc w:val="center"/>
              <w:rPr>
                <w:rFonts w:ascii="Arial" w:hAnsi="Arial"/>
                <w:sz w:val="14"/>
              </w:rPr>
            </w:pPr>
          </w:p>
          <w:p w:rsidR="0081610A" w:rsidRPr="002E0C7E" w:rsidRDefault="0081610A" w:rsidP="00DB0773">
            <w:pPr>
              <w:widowControl w:val="0"/>
              <w:jc w:val="center"/>
              <w:rPr>
                <w:rFonts w:ascii="Arial" w:hAnsi="Arial"/>
                <w:sz w:val="14"/>
              </w:rPr>
            </w:pPr>
          </w:p>
        </w:tc>
      </w:tr>
    </w:tbl>
    <w:p w:rsidR="0081610A" w:rsidRPr="002E0C7E" w:rsidRDefault="0081610A" w:rsidP="0081610A">
      <w:pPr>
        <w:widowControl w:val="0"/>
        <w:rPr>
          <w:rFonts w:ascii="Arial" w:hAnsi="Arial"/>
          <w:sz w:val="16"/>
        </w:rPr>
      </w:pPr>
    </w:p>
    <w:tbl>
      <w:tblPr>
        <w:tblW w:w="10620" w:type="dxa"/>
        <w:tblInd w:w="120"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1710"/>
        <w:gridCol w:w="540"/>
        <w:gridCol w:w="8370"/>
      </w:tblGrid>
      <w:tr w:rsidR="0081610A" w:rsidRPr="002E0C7E" w:rsidTr="00DB0773">
        <w:trPr>
          <w:cantSplit/>
        </w:trPr>
        <w:tc>
          <w:tcPr>
            <w:tcW w:w="1710" w:type="dxa"/>
            <w:tcBorders>
              <w:top w:val="nil"/>
              <w:left w:val="nil"/>
              <w:bottom w:val="nil"/>
              <w:right w:val="nil"/>
            </w:tcBorders>
            <w:tcMar>
              <w:top w:w="43" w:type="dxa"/>
              <w:left w:w="120" w:type="dxa"/>
              <w:bottom w:w="29" w:type="dxa"/>
              <w:right w:w="120" w:type="dxa"/>
            </w:tcMar>
          </w:tcPr>
          <w:p w:rsidR="0081610A" w:rsidRPr="002E0C7E" w:rsidRDefault="0081610A" w:rsidP="00DB0773">
            <w:pPr>
              <w:widowControl w:val="0"/>
              <w:rPr>
                <w:rFonts w:ascii="Arial" w:hAnsi="Arial"/>
                <w:sz w:val="16"/>
              </w:rPr>
            </w:pPr>
            <w:r w:rsidRPr="002E0C7E">
              <w:rPr>
                <w:rFonts w:ascii="Arial" w:hAnsi="Arial"/>
                <w:sz w:val="16"/>
              </w:rPr>
              <w:t>Sittings of the court:</w:t>
            </w:r>
          </w:p>
          <w:p w:rsidR="0081610A" w:rsidRPr="002E0C7E" w:rsidRDefault="0081610A" w:rsidP="00DB0773">
            <w:pPr>
              <w:widowControl w:val="0"/>
              <w:rPr>
                <w:rFonts w:ascii="Arial" w:hAnsi="Arial"/>
                <w:sz w:val="16"/>
              </w:rPr>
            </w:pPr>
            <w:r w:rsidRPr="002E0C7E">
              <w:rPr>
                <w:rFonts w:ascii="Arial" w:hAnsi="Arial"/>
                <w:sz w:val="16"/>
              </w:rPr>
              <w:t>Séances de la cour :</w:t>
            </w:r>
          </w:p>
        </w:tc>
        <w:tc>
          <w:tcPr>
            <w:tcW w:w="540" w:type="dxa"/>
            <w:tcBorders>
              <w:top w:val="nil"/>
              <w:left w:val="nil"/>
              <w:bottom w:val="double" w:sz="8" w:space="0" w:color="000000"/>
              <w:right w:val="nil"/>
            </w:tcBorders>
            <w:shd w:val="pct30" w:color="000000" w:fill="auto"/>
            <w:tcMar>
              <w:top w:w="43" w:type="dxa"/>
              <w:left w:w="178" w:type="dxa"/>
              <w:bottom w:w="29" w:type="dxa"/>
              <w:right w:w="178" w:type="dxa"/>
            </w:tcMar>
          </w:tcPr>
          <w:p w:rsidR="0081610A" w:rsidRPr="002E0C7E" w:rsidRDefault="0081610A" w:rsidP="00DB0773">
            <w:pPr>
              <w:widowControl w:val="0"/>
              <w:rPr>
                <w:rFonts w:ascii="Arial" w:hAnsi="Arial"/>
                <w:sz w:val="16"/>
              </w:rPr>
            </w:pPr>
          </w:p>
          <w:p w:rsidR="0081610A" w:rsidRPr="002E0C7E" w:rsidRDefault="0081610A" w:rsidP="00DB0773">
            <w:pPr>
              <w:widowControl w:val="0"/>
              <w:rPr>
                <w:rFonts w:ascii="Arial" w:hAnsi="Arial"/>
                <w:sz w:val="16"/>
              </w:rPr>
            </w:pPr>
          </w:p>
        </w:tc>
        <w:tc>
          <w:tcPr>
            <w:tcW w:w="8370" w:type="dxa"/>
            <w:vMerge w:val="restart"/>
            <w:tcBorders>
              <w:top w:val="nil"/>
              <w:left w:val="nil"/>
              <w:bottom w:val="nil"/>
              <w:right w:val="nil"/>
            </w:tcBorders>
            <w:tcMar>
              <w:top w:w="43" w:type="dxa"/>
              <w:left w:w="139" w:type="dxa"/>
              <w:bottom w:w="29" w:type="dxa"/>
              <w:right w:w="120" w:type="dxa"/>
            </w:tcMar>
          </w:tcPr>
          <w:p w:rsidR="0081610A" w:rsidRPr="00B058C3" w:rsidRDefault="0081610A" w:rsidP="00DB077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lang w:val="fr-CA"/>
              </w:rPr>
            </w:pPr>
            <w:r w:rsidRPr="002E0C7E">
              <w:rPr>
                <w:rFonts w:ascii="Arial" w:hAnsi="Arial"/>
                <w:b/>
                <w:sz w:val="16"/>
              </w:rPr>
              <w:tab/>
            </w:r>
            <w:r w:rsidRPr="00B058C3">
              <w:rPr>
                <w:rFonts w:ascii="Arial" w:hAnsi="Arial"/>
                <w:b/>
                <w:sz w:val="16"/>
                <w:lang w:val="fr-CA"/>
              </w:rPr>
              <w:t>18  sitting weeks</w:t>
            </w:r>
            <w:r>
              <w:rPr>
                <w:rFonts w:ascii="Arial" w:hAnsi="Arial"/>
                <w:b/>
                <w:sz w:val="16"/>
                <w:lang w:val="fr-CA"/>
              </w:rPr>
              <w:t xml:space="preserve"> </w:t>
            </w:r>
            <w:r w:rsidRPr="00B058C3">
              <w:rPr>
                <w:rFonts w:ascii="Arial" w:hAnsi="Arial"/>
                <w:b/>
                <w:sz w:val="16"/>
                <w:lang w:val="fr-CA"/>
              </w:rPr>
              <w:t>/</w:t>
            </w:r>
            <w:r>
              <w:rPr>
                <w:rFonts w:ascii="Arial" w:hAnsi="Arial"/>
                <w:b/>
                <w:sz w:val="16"/>
                <w:lang w:val="fr-CA"/>
              </w:rPr>
              <w:t xml:space="preserve"> </w:t>
            </w:r>
            <w:r w:rsidRPr="00B058C3">
              <w:rPr>
                <w:rFonts w:ascii="Arial" w:hAnsi="Arial"/>
                <w:b/>
                <w:sz w:val="16"/>
                <w:lang w:val="fr-CA"/>
              </w:rPr>
              <w:t>semaines séances de la cour</w:t>
            </w:r>
          </w:p>
          <w:p w:rsidR="0081610A" w:rsidRPr="00B058C3" w:rsidRDefault="0081610A" w:rsidP="00DB077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lang w:val="fr-CA"/>
              </w:rPr>
            </w:pPr>
            <w:r w:rsidRPr="00B058C3">
              <w:rPr>
                <w:rFonts w:ascii="Arial" w:hAnsi="Arial"/>
                <w:b/>
                <w:sz w:val="16"/>
                <w:lang w:val="fr-CA"/>
              </w:rPr>
              <w:tab/>
              <w:t>87  sitting days</w:t>
            </w:r>
            <w:r>
              <w:rPr>
                <w:rFonts w:ascii="Arial" w:hAnsi="Arial"/>
                <w:b/>
                <w:sz w:val="16"/>
                <w:lang w:val="fr-CA"/>
              </w:rPr>
              <w:t xml:space="preserve"> </w:t>
            </w:r>
            <w:r w:rsidRPr="00B058C3">
              <w:rPr>
                <w:rFonts w:ascii="Arial" w:hAnsi="Arial"/>
                <w:b/>
                <w:sz w:val="16"/>
                <w:lang w:val="fr-CA"/>
              </w:rPr>
              <w:t>/</w:t>
            </w:r>
            <w:r>
              <w:rPr>
                <w:rFonts w:ascii="Arial" w:hAnsi="Arial"/>
                <w:b/>
                <w:sz w:val="16"/>
                <w:lang w:val="fr-CA"/>
              </w:rPr>
              <w:t xml:space="preserve"> </w:t>
            </w:r>
            <w:r w:rsidRPr="00B058C3">
              <w:rPr>
                <w:rFonts w:ascii="Arial" w:hAnsi="Arial"/>
                <w:b/>
                <w:sz w:val="16"/>
                <w:lang w:val="fr-CA"/>
              </w:rPr>
              <w:t>journées séances de la cour</w:t>
            </w:r>
          </w:p>
          <w:p w:rsidR="0081610A" w:rsidRPr="00B058C3" w:rsidRDefault="0081610A" w:rsidP="00DB077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lang w:val="fr-CA"/>
              </w:rPr>
            </w:pPr>
            <w:r w:rsidRPr="00B058C3">
              <w:rPr>
                <w:rFonts w:ascii="Arial" w:hAnsi="Arial"/>
                <w:b/>
                <w:sz w:val="16"/>
                <w:lang w:val="fr-CA"/>
              </w:rPr>
              <w:tab/>
              <w:t>9    motion and conference days</w:t>
            </w:r>
            <w:r>
              <w:rPr>
                <w:rFonts w:ascii="Arial" w:hAnsi="Arial"/>
                <w:b/>
                <w:sz w:val="16"/>
                <w:lang w:val="fr-CA"/>
              </w:rPr>
              <w:t xml:space="preserve"> </w:t>
            </w:r>
            <w:r w:rsidRPr="00B058C3">
              <w:rPr>
                <w:rFonts w:ascii="Arial" w:hAnsi="Arial"/>
                <w:b/>
                <w:sz w:val="16"/>
                <w:lang w:val="fr-CA"/>
              </w:rPr>
              <w:t>/ journées des requêtes et des conférences</w:t>
            </w:r>
          </w:p>
          <w:p w:rsidR="0081610A" w:rsidRPr="002E0C7E" w:rsidRDefault="0081610A" w:rsidP="00DB077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r w:rsidRPr="00B058C3">
              <w:rPr>
                <w:rFonts w:ascii="Arial" w:hAnsi="Arial"/>
                <w:b/>
                <w:sz w:val="16"/>
                <w:lang w:val="fr-CA"/>
              </w:rPr>
              <w:tab/>
            </w:r>
            <w:r>
              <w:rPr>
                <w:rFonts w:ascii="Arial" w:hAnsi="Arial"/>
                <w:b/>
                <w:sz w:val="16"/>
                <w:lang w:val="fr-CA"/>
              </w:rPr>
              <w:t>5</w:t>
            </w:r>
            <w:r w:rsidRPr="002E0C7E">
              <w:rPr>
                <w:rFonts w:ascii="Arial" w:hAnsi="Arial"/>
                <w:b/>
                <w:sz w:val="16"/>
              </w:rPr>
              <w:t xml:space="preserve">    holidays during sitting days</w:t>
            </w:r>
            <w:r>
              <w:rPr>
                <w:rFonts w:ascii="Arial" w:hAnsi="Arial"/>
                <w:b/>
                <w:sz w:val="16"/>
              </w:rPr>
              <w:t xml:space="preserve"> </w:t>
            </w:r>
            <w:r w:rsidRPr="002E0C7E">
              <w:rPr>
                <w:rFonts w:ascii="Arial" w:hAnsi="Arial"/>
                <w:b/>
                <w:sz w:val="16"/>
              </w:rPr>
              <w:t>/ jours fériés durant les sessions</w:t>
            </w:r>
          </w:p>
          <w:p w:rsidR="0081610A" w:rsidRPr="002E0C7E" w:rsidRDefault="0081610A" w:rsidP="00DB077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p>
        </w:tc>
      </w:tr>
      <w:tr w:rsidR="0081610A" w:rsidRPr="002E0C7E" w:rsidTr="00DB0773">
        <w:trPr>
          <w:cantSplit/>
        </w:trPr>
        <w:tc>
          <w:tcPr>
            <w:tcW w:w="1710" w:type="dxa"/>
            <w:tcBorders>
              <w:top w:val="nil"/>
              <w:left w:val="nil"/>
              <w:bottom w:val="nil"/>
              <w:right w:val="double" w:sz="8" w:space="0" w:color="000000"/>
            </w:tcBorders>
            <w:tcMar>
              <w:top w:w="43" w:type="dxa"/>
              <w:left w:w="120" w:type="dxa"/>
              <w:bottom w:w="29" w:type="dxa"/>
              <w:right w:w="120" w:type="dxa"/>
            </w:tcMar>
          </w:tcPr>
          <w:p w:rsidR="0081610A" w:rsidRPr="002E0C7E" w:rsidRDefault="0081610A" w:rsidP="00DB077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r w:rsidRPr="002E0C7E">
              <w:rPr>
                <w:rFonts w:ascii="Arial" w:hAnsi="Arial"/>
                <w:sz w:val="16"/>
              </w:rPr>
              <w:t>Motions:</w:t>
            </w:r>
          </w:p>
          <w:p w:rsidR="0081610A" w:rsidRPr="002E0C7E" w:rsidRDefault="0081610A" w:rsidP="00DB077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r w:rsidRPr="002E0C7E">
              <w:rPr>
                <w:rFonts w:ascii="Arial" w:hAnsi="Arial"/>
                <w:sz w:val="16"/>
              </w:rPr>
              <w:t>Requêtes :</w:t>
            </w:r>
          </w:p>
        </w:tc>
        <w:tc>
          <w:tcPr>
            <w:tcW w:w="540" w:type="dxa"/>
            <w:tcBorders>
              <w:top w:val="double" w:sz="8" w:space="0" w:color="000000"/>
              <w:left w:val="double" w:sz="8" w:space="0" w:color="000000"/>
              <w:bottom w:val="double" w:sz="8" w:space="0" w:color="000000"/>
              <w:right w:val="double" w:sz="8" w:space="0" w:color="000000"/>
            </w:tcBorders>
            <w:shd w:val="pct30" w:color="000000" w:fill="auto"/>
            <w:tcMar>
              <w:top w:w="43" w:type="dxa"/>
              <w:left w:w="178" w:type="dxa"/>
              <w:bottom w:w="29" w:type="dxa"/>
              <w:right w:w="178" w:type="dxa"/>
            </w:tcMar>
            <w:vAlign w:val="center"/>
          </w:tcPr>
          <w:p w:rsidR="0081610A" w:rsidRPr="002E0C7E" w:rsidRDefault="0081610A" w:rsidP="00DB077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r w:rsidRPr="002E0C7E">
              <w:rPr>
                <w:rFonts w:ascii="Arial" w:hAnsi="Arial"/>
                <w:b/>
                <w:sz w:val="16"/>
              </w:rPr>
              <w:t>M</w:t>
            </w:r>
          </w:p>
        </w:tc>
        <w:tc>
          <w:tcPr>
            <w:tcW w:w="8370" w:type="dxa"/>
            <w:vMerge/>
            <w:tcBorders>
              <w:top w:val="nil"/>
              <w:left w:val="double" w:sz="8" w:space="0" w:color="000000"/>
              <w:bottom w:val="nil"/>
              <w:right w:val="nil"/>
            </w:tcBorders>
            <w:tcMar>
              <w:top w:w="43" w:type="dxa"/>
              <w:left w:w="139" w:type="dxa"/>
              <w:bottom w:w="29" w:type="dxa"/>
              <w:right w:w="120" w:type="dxa"/>
            </w:tcMar>
          </w:tcPr>
          <w:p w:rsidR="0081610A" w:rsidRPr="002E0C7E" w:rsidRDefault="0081610A" w:rsidP="00DB077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p>
        </w:tc>
      </w:tr>
      <w:tr w:rsidR="0081610A" w:rsidRPr="002E0C7E" w:rsidTr="00DB0773">
        <w:trPr>
          <w:cantSplit/>
        </w:trPr>
        <w:tc>
          <w:tcPr>
            <w:tcW w:w="1710" w:type="dxa"/>
            <w:tcBorders>
              <w:top w:val="nil"/>
              <w:left w:val="nil"/>
              <w:bottom w:val="nil"/>
              <w:right w:val="double" w:sz="8" w:space="0" w:color="000000"/>
            </w:tcBorders>
            <w:tcMar>
              <w:top w:w="43" w:type="dxa"/>
              <w:left w:w="120" w:type="dxa"/>
              <w:bottom w:w="29" w:type="dxa"/>
              <w:right w:w="120" w:type="dxa"/>
            </w:tcMar>
          </w:tcPr>
          <w:p w:rsidR="0081610A" w:rsidRPr="002E0C7E" w:rsidRDefault="0081610A" w:rsidP="00DB077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r w:rsidRPr="002E0C7E">
              <w:rPr>
                <w:rFonts w:ascii="Arial" w:hAnsi="Arial"/>
                <w:sz w:val="16"/>
              </w:rPr>
              <w:t>Holidays:</w:t>
            </w:r>
          </w:p>
          <w:p w:rsidR="0081610A" w:rsidRPr="002E0C7E" w:rsidRDefault="0081610A" w:rsidP="00DB077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lang w:val="fr-CA"/>
              </w:rPr>
            </w:pPr>
            <w:r w:rsidRPr="002E0C7E">
              <w:rPr>
                <w:rFonts w:ascii="Arial" w:hAnsi="Arial"/>
                <w:sz w:val="16"/>
                <w:lang w:val="fr-CA"/>
              </w:rPr>
              <w:t>Jours fériés :</w:t>
            </w:r>
          </w:p>
        </w:tc>
        <w:tc>
          <w:tcPr>
            <w:tcW w:w="540" w:type="dxa"/>
            <w:tcBorders>
              <w:top w:val="double" w:sz="8" w:space="0" w:color="000000"/>
              <w:left w:val="double" w:sz="8" w:space="0" w:color="000000"/>
              <w:bottom w:val="double" w:sz="8" w:space="0" w:color="000000"/>
              <w:right w:val="double" w:sz="8" w:space="0" w:color="000000"/>
            </w:tcBorders>
            <w:tcMar>
              <w:top w:w="43" w:type="dxa"/>
              <w:left w:w="178" w:type="dxa"/>
              <w:bottom w:w="29" w:type="dxa"/>
              <w:right w:w="178" w:type="dxa"/>
            </w:tcMar>
            <w:vAlign w:val="center"/>
          </w:tcPr>
          <w:p w:rsidR="0081610A" w:rsidRPr="002E0C7E" w:rsidRDefault="0081610A" w:rsidP="00DB0773">
            <w:pPr>
              <w:widowControl w:val="0"/>
              <w:tabs>
                <w:tab w:val="center" w:pos="150"/>
              </w:tabs>
              <w:rPr>
                <w:rFonts w:ascii="Arial" w:hAnsi="Arial"/>
                <w:sz w:val="16"/>
              </w:rPr>
            </w:pPr>
            <w:r w:rsidRPr="002E0C7E">
              <w:rPr>
                <w:rFonts w:ascii="Arial" w:hAnsi="Arial"/>
                <w:b/>
                <w:sz w:val="16"/>
              </w:rPr>
              <w:t>H</w:t>
            </w:r>
          </w:p>
        </w:tc>
        <w:tc>
          <w:tcPr>
            <w:tcW w:w="8370" w:type="dxa"/>
            <w:vMerge/>
            <w:tcBorders>
              <w:top w:val="nil"/>
              <w:left w:val="double" w:sz="8" w:space="0" w:color="000000"/>
              <w:bottom w:val="nil"/>
              <w:right w:val="nil"/>
            </w:tcBorders>
            <w:tcMar>
              <w:top w:w="43" w:type="dxa"/>
              <w:left w:w="139" w:type="dxa"/>
              <w:bottom w:w="29" w:type="dxa"/>
              <w:right w:w="120" w:type="dxa"/>
            </w:tcMar>
          </w:tcPr>
          <w:p w:rsidR="0081610A" w:rsidRPr="002E0C7E" w:rsidRDefault="0081610A" w:rsidP="00DB077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p>
        </w:tc>
      </w:tr>
    </w:tbl>
    <w:p w:rsidR="0081610A" w:rsidRPr="002E0C7E" w:rsidRDefault="0081610A" w:rsidP="0081610A">
      <w:pPr>
        <w:widowControl w:val="0"/>
        <w:rPr>
          <w:rFonts w:ascii="Arial" w:hAnsi="Arial"/>
          <w:sz w:val="16"/>
        </w:rPr>
      </w:pPr>
    </w:p>
    <w:bookmarkEnd w:id="0"/>
    <w:p w:rsidR="002410B8" w:rsidRPr="0022323B" w:rsidRDefault="002410B8" w:rsidP="0081610A">
      <w:pPr>
        <w:widowControl w:val="0"/>
        <w:spacing w:line="180" w:lineRule="auto"/>
        <w:jc w:val="center"/>
        <w:rPr>
          <w:lang w:val="fr-CA"/>
        </w:rPr>
      </w:pPr>
    </w:p>
    <w:sectPr w:rsidR="002410B8" w:rsidRPr="0022323B" w:rsidSect="00924065">
      <w:headerReference w:type="default" r:id="rId78"/>
      <w:footerReference w:type="default" r:id="rId79"/>
      <w:pgSz w:w="12240" w:h="15840" w:code="1"/>
      <w:pgMar w:top="720" w:right="720" w:bottom="1110" w:left="1080" w:header="144" w:footer="14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5CA" w:rsidRDefault="009755CA" w:rsidP="00A87207">
      <w:r>
        <w:separator/>
      </w:r>
    </w:p>
  </w:endnote>
  <w:endnote w:type="continuationSeparator" w:id="0">
    <w:p w:rsidR="009755CA" w:rsidRDefault="009755CA" w:rsidP="00A87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5CA" w:rsidRDefault="009755CA">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5CA" w:rsidRDefault="007368AD">
    <w:pPr>
      <w:pStyle w:val="Footer"/>
      <w:rPr>
        <w:lang w:val="fr-CA"/>
      </w:rPr>
    </w:pPr>
    <w:r>
      <w:rPr>
        <w:lang w:val="fr-CA"/>
      </w:rPr>
      <w:pict>
        <v:rect id="_x0000_i1047" style="width:480.95pt;height:1pt" o:hralign="center" o:hrstd="t" o:hrnoshade="t" o:hr="t" fillcolor="black [3213]" stroked="f"/>
      </w:pict>
    </w:r>
  </w:p>
  <w:p w:rsidR="009755CA" w:rsidRDefault="009755CA" w:rsidP="00245129">
    <w:pPr>
      <w:tabs>
        <w:tab w:val="center" w:pos="4680"/>
      </w:tabs>
    </w:pPr>
    <w:r>
      <w:tab/>
    </w:r>
    <w:r w:rsidRPr="0009648D">
      <w:t xml:space="preserve">- </w:t>
    </w:r>
    <w:r w:rsidR="007368AD">
      <w:fldChar w:fldCharType="begin"/>
    </w:r>
    <w:r w:rsidR="007368AD">
      <w:instrText xml:space="preserve"> PAGE   \* MERGEFORMAT </w:instrText>
    </w:r>
    <w:r w:rsidR="007368AD">
      <w:fldChar w:fldCharType="separate"/>
    </w:r>
    <w:r w:rsidR="007368AD">
      <w:rPr>
        <w:noProof/>
      </w:rPr>
      <w:t>1801</w:t>
    </w:r>
    <w:r w:rsidR="007368AD">
      <w:rPr>
        <w:noProof/>
      </w:rPr>
      <w:fldChar w:fldCharType="end"/>
    </w:r>
    <w:r w:rsidRPr="0009648D">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5CA" w:rsidRDefault="009755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9755CA" w:rsidRDefault="009755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9755CA" w:rsidRDefault="009755CA">
    <w:pPr>
      <w:tabs>
        <w:tab w:val="center" w:pos="4740"/>
      </w:tabs>
    </w:pPr>
    <w:r>
      <w:tab/>
      <w:t xml:space="preserve">- </w:t>
    </w:r>
    <w:r>
      <w:pgNum/>
    </w:r>
    <w: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5CA" w:rsidRDefault="007368AD" w:rsidP="00755F22">
    <w:pPr>
      <w:tabs>
        <w:tab w:val="left" w:pos="-1440"/>
        <w:tab w:val="left" w:pos="-720"/>
      </w:tabs>
    </w:pPr>
    <w:r>
      <w:pict>
        <v:rect id="_x0000_i1052" style="width:480.95pt;height:1pt" o:hralign="center" o:hrstd="t" o:hrnoshade="t" o:hr="t" fillcolor="black [3213]" stroked="f"/>
      </w:pict>
    </w:r>
  </w:p>
  <w:p w:rsidR="009755CA" w:rsidRDefault="009755CA" w:rsidP="00EB2B90">
    <w:pPr>
      <w:tabs>
        <w:tab w:val="center" w:pos="4680"/>
      </w:tabs>
    </w:pPr>
    <w:r>
      <w:tab/>
      <w:t xml:space="preserve">- </w:t>
    </w:r>
    <w:r w:rsidR="007368AD">
      <w:fldChar w:fldCharType="begin"/>
    </w:r>
    <w:r w:rsidR="007368AD">
      <w:instrText xml:space="preserve"> PAGE   \* MERGEFORMAT </w:instrText>
    </w:r>
    <w:r w:rsidR="007368AD">
      <w:fldChar w:fldCharType="separate"/>
    </w:r>
    <w:r w:rsidR="007368AD">
      <w:rPr>
        <w:noProof/>
      </w:rPr>
      <w:t>1814</w:t>
    </w:r>
    <w:r w:rsidR="007368AD">
      <w:rPr>
        <w:noProof/>
      </w:rPr>
      <w:fldChar w:fldCharType="end"/>
    </w:r>
    <w: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5CA" w:rsidRDefault="007368AD" w:rsidP="00EB2B90">
    <w:pPr>
      <w:tabs>
        <w:tab w:val="center" w:pos="4680"/>
      </w:tabs>
    </w:pPr>
    <w:r>
      <w:pict>
        <v:rect id="_x0000_i1053" style="width:480.95pt;height:1pt" o:hralign="center" o:hrstd="t" o:hrnoshade="t" o:hr="t" fillcolor="black [3213]" stroked="f"/>
      </w:pict>
    </w:r>
  </w:p>
  <w:p w:rsidR="009755CA" w:rsidRPr="0031432F" w:rsidRDefault="009755CA" w:rsidP="00EB2B90">
    <w:pPr>
      <w:tabs>
        <w:tab w:val="center" w:pos="4680"/>
      </w:tabs>
    </w:pPr>
    <w:r>
      <w:tab/>
      <w:t xml:space="preserve">- </w:t>
    </w:r>
    <w:r w:rsidR="007368AD">
      <w:fldChar w:fldCharType="begin"/>
    </w:r>
    <w:r w:rsidR="007368AD">
      <w:instrText xml:space="preserve"> PAGE   \* MERGEFORMAT </w:instrText>
    </w:r>
    <w:r w:rsidR="007368AD">
      <w:fldChar w:fldCharType="separate"/>
    </w:r>
    <w:r w:rsidR="007368AD">
      <w:rPr>
        <w:noProof/>
      </w:rPr>
      <w:t>1811</w:t>
    </w:r>
    <w:r w:rsidR="007368AD">
      <w:rPr>
        <w:noProof/>
      </w:rPr>
      <w:fldChar w:fldCharType="end"/>
    </w:r>
    <w: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5CA" w:rsidRDefault="009755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9755CA" w:rsidRDefault="009755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9755CA" w:rsidRDefault="009755CA">
    <w:pPr>
      <w:tabs>
        <w:tab w:val="center" w:pos="4740"/>
      </w:tabs>
    </w:pPr>
    <w:r>
      <w:tab/>
      <w:t xml:space="preserve">- </w:t>
    </w:r>
    <w:r>
      <w:pgNum/>
    </w:r>
    <w: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5CA" w:rsidRDefault="007368AD" w:rsidP="00732DB7">
    <w:r>
      <w:pict>
        <v:rect id="_x0000_i1057" style="width:480.95pt;height:1pt" o:hralign="center" o:hrstd="t" o:hrnoshade="t" o:hr="t" fillcolor="black" stroked="f"/>
      </w:pict>
    </w:r>
  </w:p>
  <w:p w:rsidR="009755CA" w:rsidRDefault="009755CA">
    <w:pPr>
      <w:tabs>
        <w:tab w:val="center" w:pos="4740"/>
      </w:tabs>
      <w:spacing w:line="0" w:lineRule="atLeast"/>
    </w:pPr>
    <w:r>
      <w:tab/>
      <w:t xml:space="preserve">- </w:t>
    </w:r>
    <w:r>
      <w:pgNum/>
    </w:r>
    <w: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5CA" w:rsidRDefault="007368AD">
    <w:pPr>
      <w:pStyle w:val="Footer"/>
    </w:pPr>
    <w:r>
      <w:pict>
        <v:rect id="_x0000_i1058" style="width:480.95pt;height:1pt" o:hralign="center" o:hrstd="t" o:hrnoshade="t" o:hr="t" fillcolor="black" stroked="f"/>
      </w:pict>
    </w:r>
  </w:p>
  <w:p w:rsidR="009755CA" w:rsidRPr="00283C52" w:rsidRDefault="009755CA">
    <w:pPr>
      <w:pStyle w:val="Footer"/>
    </w:pPr>
    <w:r>
      <w:tab/>
    </w:r>
    <w:r w:rsidRPr="00283C52">
      <w:t xml:space="preserve">- </w:t>
    </w:r>
    <w:r w:rsidRPr="00283C52">
      <w:pgNum/>
    </w:r>
    <w:r w:rsidRPr="00283C52">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5CA" w:rsidRDefault="009755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9755CA" w:rsidRDefault="009755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9755CA" w:rsidRDefault="009755CA">
    <w:pPr>
      <w:tabs>
        <w:tab w:val="center" w:pos="4740"/>
      </w:tabs>
      <w:rPr>
        <w:rFonts w:ascii="Times New" w:hAnsi="Times New"/>
      </w:rPr>
    </w:pPr>
    <w:r>
      <w:rPr>
        <w:rFonts w:ascii="Times New" w:hAnsi="Times New"/>
      </w:rPr>
      <w:tab/>
      <w:t xml:space="preserve">- </w:t>
    </w:r>
    <w:r>
      <w:rPr>
        <w:rFonts w:ascii="Times New" w:hAnsi="Times New"/>
      </w:rPr>
      <w:pgNum/>
    </w:r>
    <w:r>
      <w:rPr>
        <w:rFonts w:ascii="Times New" w:hAnsi="Times New"/>
      </w:rPr>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5CA" w:rsidRDefault="007368AD" w:rsidP="00732DB7">
    <w:r>
      <w:pict>
        <v:rect id="_x0000_i1061" style="width:480.95pt;height:1pt" o:hralign="center" o:hrstd="t" o:hrnoshade="t" o:hr="t" fillcolor="black" stroked="f"/>
      </w:pict>
    </w:r>
  </w:p>
  <w:p w:rsidR="009755CA" w:rsidRDefault="009755CA">
    <w:pPr>
      <w:tabs>
        <w:tab w:val="center" w:pos="4740"/>
      </w:tabs>
      <w:spacing w:line="0" w:lineRule="atLeast"/>
    </w:pPr>
    <w:r>
      <w:tab/>
      <w:t xml:space="preserve">- </w:t>
    </w:r>
    <w:r>
      <w:pgNum/>
    </w:r>
    <w:r>
      <w:t xml:space="preserve"> -</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5CA" w:rsidRDefault="007368AD">
    <w:pPr>
      <w:pStyle w:val="Footer"/>
    </w:pPr>
    <w:r>
      <w:pict>
        <v:rect id="_x0000_i1062" style="width:480.95pt;height:1pt" o:hralign="center" o:hrstd="t" o:hrnoshade="t" o:hr="t" fillcolor="black [3213]" stroked="f"/>
      </w:pict>
    </w:r>
  </w:p>
  <w:p w:rsidR="009755CA" w:rsidRPr="003C2C0F" w:rsidRDefault="009755CA" w:rsidP="00697C62">
    <w:pPr>
      <w:tabs>
        <w:tab w:val="center" w:pos="4680"/>
      </w:tabs>
    </w:pPr>
    <w:r>
      <w:tab/>
      <w:t xml:space="preserve">- </w:t>
    </w:r>
    <w:r w:rsidR="007368AD">
      <w:fldChar w:fldCharType="begin"/>
    </w:r>
    <w:r w:rsidR="007368AD">
      <w:instrText xml:space="preserve"> PAGE   \* MERGEFORMAT </w:instrText>
    </w:r>
    <w:r w:rsidR="007368AD">
      <w:fldChar w:fldCharType="separate"/>
    </w:r>
    <w:r w:rsidR="007368AD">
      <w:rPr>
        <w:noProof/>
      </w:rPr>
      <w:t>1820</w:t>
    </w:r>
    <w:r w:rsidR="007368AD">
      <w:rPr>
        <w:noProof/>
      </w:rP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5CA" w:rsidRDefault="009755CA">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5CA" w:rsidRDefault="009755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9755CA" w:rsidRDefault="009755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9755CA" w:rsidRDefault="009755CA">
    <w:pPr>
      <w:tabs>
        <w:tab w:val="center" w:pos="4740"/>
      </w:tabs>
    </w:pPr>
    <w:r>
      <w:tab/>
      <w:t xml:space="preserve">- </w:t>
    </w:r>
    <w:r>
      <w:pgNum/>
    </w:r>
    <w:r>
      <w:t xml:space="preserve"> -</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5CA" w:rsidRDefault="009755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9755CA" w:rsidRDefault="00736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pict>
        <v:rect id="_x0000_i1067" style="width:480.95pt;height:1pt" o:hralign="center" o:hrstd="t" o:hrnoshade="t" o:hr="t" fillcolor="black [3213]" stroked="f"/>
      </w:pict>
    </w:r>
  </w:p>
  <w:p w:rsidR="009755CA" w:rsidRDefault="009755CA" w:rsidP="00782AE4">
    <w:pPr>
      <w:tabs>
        <w:tab w:val="center" w:pos="4680"/>
      </w:tabs>
    </w:pPr>
    <w:r>
      <w:tab/>
      <w:t xml:space="preserve">- </w:t>
    </w:r>
    <w:r w:rsidRPr="001775C1">
      <w:rPr>
        <w:szCs w:val="24"/>
      </w:rPr>
      <w:fldChar w:fldCharType="begin"/>
    </w:r>
    <w:r w:rsidRPr="001775C1">
      <w:rPr>
        <w:szCs w:val="24"/>
      </w:rPr>
      <w:instrText xml:space="preserve"> PAGE   \* MERGEFORMAT </w:instrText>
    </w:r>
    <w:r w:rsidRPr="001775C1">
      <w:rPr>
        <w:szCs w:val="24"/>
      </w:rPr>
      <w:fldChar w:fldCharType="separate"/>
    </w:r>
    <w:r w:rsidR="007368AD">
      <w:rPr>
        <w:noProof/>
        <w:szCs w:val="24"/>
      </w:rPr>
      <w:t>1830</w:t>
    </w:r>
    <w:r w:rsidRPr="001775C1">
      <w:rPr>
        <w:szCs w:val="24"/>
      </w:rPr>
      <w:fldChar w:fldCharType="end"/>
    </w:r>
    <w:r>
      <w:t xml:space="preserve"> -</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5CA" w:rsidRDefault="007368AD" w:rsidP="00782AE4">
    <w:pPr>
      <w:tabs>
        <w:tab w:val="center" w:pos="4680"/>
      </w:tabs>
    </w:pPr>
    <w:r>
      <w:pict>
        <v:rect id="_x0000_i1068" style="width:480.95pt;height:1pt" o:hralign="center" o:hrstd="t" o:hrnoshade="t" o:hr="t" fillcolor="black [3213]" stroked="f"/>
      </w:pict>
    </w:r>
  </w:p>
  <w:p w:rsidR="009755CA" w:rsidRDefault="009755CA" w:rsidP="00782AE4">
    <w:pPr>
      <w:tabs>
        <w:tab w:val="center" w:pos="4680"/>
      </w:tabs>
    </w:pPr>
    <w:r>
      <w:tab/>
      <w:t xml:space="preserve">- </w:t>
    </w:r>
    <w:r w:rsidRPr="001775C1">
      <w:rPr>
        <w:szCs w:val="24"/>
      </w:rPr>
      <w:fldChar w:fldCharType="begin"/>
    </w:r>
    <w:r w:rsidRPr="001775C1">
      <w:rPr>
        <w:szCs w:val="24"/>
      </w:rPr>
      <w:instrText xml:space="preserve"> PAGE   \* MERGEFORMAT </w:instrText>
    </w:r>
    <w:r w:rsidRPr="001775C1">
      <w:rPr>
        <w:szCs w:val="24"/>
      </w:rPr>
      <w:fldChar w:fldCharType="separate"/>
    </w:r>
    <w:r w:rsidR="007368AD">
      <w:rPr>
        <w:noProof/>
        <w:szCs w:val="24"/>
      </w:rPr>
      <w:t>1821</w:t>
    </w:r>
    <w:r w:rsidRPr="001775C1">
      <w:rPr>
        <w:szCs w:val="24"/>
      </w:rPr>
      <w:fldChar w:fldCharType="end"/>
    </w:r>
    <w:r>
      <w:t xml:space="preserve"> -</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5CA" w:rsidRPr="00924065" w:rsidRDefault="009755CA" w:rsidP="00924065">
    <w:pPr>
      <w:pStyle w:val="Footer"/>
      <w:rPr>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5CA" w:rsidRDefault="009755C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5CA" w:rsidRDefault="007368AD" w:rsidP="00A87207">
    <w:pPr>
      <w:pStyle w:val="Footer"/>
    </w:pPr>
    <w:r>
      <w:pict>
        <v:rect id="_x0000_i1031" style="width:480.95pt;height:1pt" o:hralign="center" o:hrstd="t" o:hrnoshade="t" o:hr="t" fillcolor="black [3213]" stroked="f"/>
      </w:pict>
    </w:r>
  </w:p>
  <w:p w:rsidR="009755CA" w:rsidRPr="00B7374B" w:rsidRDefault="009755CA" w:rsidP="00B7374B">
    <w:pPr>
      <w:tabs>
        <w:tab w:val="center" w:pos="4680"/>
      </w:tabs>
      <w:rPr>
        <w:szCs w:val="24"/>
      </w:rPr>
    </w:pPr>
    <w:r w:rsidRPr="00954D22">
      <w:rPr>
        <w:szCs w:val="24"/>
      </w:rPr>
      <w:tab/>
      <w:t xml:space="preserve">- </w:t>
    </w:r>
    <w:r w:rsidRPr="00954D22">
      <w:rPr>
        <w:szCs w:val="24"/>
      </w:rPr>
      <w:fldChar w:fldCharType="begin"/>
    </w:r>
    <w:r w:rsidRPr="00954D22">
      <w:rPr>
        <w:szCs w:val="24"/>
      </w:rPr>
      <w:instrText xml:space="preserve"> PAGE   \* MERGEFORMAT </w:instrText>
    </w:r>
    <w:r w:rsidRPr="00954D22">
      <w:rPr>
        <w:szCs w:val="24"/>
      </w:rPr>
      <w:fldChar w:fldCharType="separate"/>
    </w:r>
    <w:r>
      <w:rPr>
        <w:noProof/>
        <w:szCs w:val="24"/>
      </w:rPr>
      <w:t>1800</w:t>
    </w:r>
    <w:r w:rsidRPr="00954D22">
      <w:rPr>
        <w:szCs w:val="24"/>
      </w:rPr>
      <w:fldChar w:fldCharType="end"/>
    </w:r>
    <w:r w:rsidRPr="00954D22">
      <w:rPr>
        <w:szCs w:val="24"/>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5CA" w:rsidRDefault="007368AD" w:rsidP="00755F22">
    <w:pPr>
      <w:tabs>
        <w:tab w:val="left" w:pos="-1440"/>
        <w:tab w:val="left" w:pos="-720"/>
      </w:tabs>
    </w:pPr>
    <w:r>
      <w:pict>
        <v:rect id="_x0000_i1032" style="width:480.95pt;height:1pt" o:hralign="center" o:hrstd="t" o:hrnoshade="t" o:hr="t" fillcolor="black [3213]" stroked="f"/>
      </w:pict>
    </w:r>
  </w:p>
  <w:p w:rsidR="009755CA" w:rsidRPr="00954D22" w:rsidRDefault="009755CA" w:rsidP="00B7374B">
    <w:pPr>
      <w:tabs>
        <w:tab w:val="center" w:pos="4680"/>
      </w:tabs>
      <w:rPr>
        <w:szCs w:val="24"/>
      </w:rPr>
    </w:pPr>
    <w:r w:rsidRPr="00954D22">
      <w:rPr>
        <w:szCs w:val="24"/>
      </w:rPr>
      <w:tab/>
      <w:t xml:space="preserve">- </w:t>
    </w:r>
    <w:r>
      <w:rPr>
        <w:szCs w:val="24"/>
      </w:rPr>
      <w:fldChar w:fldCharType="begin"/>
    </w:r>
    <w:r>
      <w:rPr>
        <w:szCs w:val="24"/>
      </w:rPr>
      <w:instrText xml:space="preserve"> PAGE   \* MERGEFORMAT </w:instrText>
    </w:r>
    <w:r>
      <w:rPr>
        <w:szCs w:val="24"/>
      </w:rPr>
      <w:fldChar w:fldCharType="separate"/>
    </w:r>
    <w:r w:rsidR="007368AD">
      <w:rPr>
        <w:noProof/>
        <w:szCs w:val="24"/>
      </w:rPr>
      <w:t>1799</w:t>
    </w:r>
    <w:r>
      <w:rPr>
        <w:szCs w:val="24"/>
      </w:rPr>
      <w:fldChar w:fldCharType="end"/>
    </w:r>
    <w:r w:rsidRPr="00954D22">
      <w:rPr>
        <w:szCs w:val="24"/>
      </w:rPr>
      <w:t xml:space="preserve"> -</w:t>
    </w:r>
  </w:p>
  <w:p w:rsidR="009755CA" w:rsidRDefault="009755C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5CA" w:rsidRDefault="007368AD" w:rsidP="00A87207">
    <w:pPr>
      <w:pStyle w:val="Footer"/>
    </w:pPr>
    <w:r>
      <w:pict>
        <v:rect id="_x0000_i1034" style="width:480.95pt;height:1pt" o:hralign="center" o:hrstd="t" o:hrnoshade="t" o:hr="t" fillcolor="black [3213]" stroked="f"/>
      </w:pict>
    </w:r>
  </w:p>
  <w:p w:rsidR="009755CA" w:rsidRPr="00B7374B" w:rsidRDefault="009755CA" w:rsidP="00B7374B">
    <w:pPr>
      <w:tabs>
        <w:tab w:val="center" w:pos="4680"/>
      </w:tabs>
      <w:rPr>
        <w:szCs w:val="24"/>
      </w:rPr>
    </w:pPr>
    <w:r w:rsidRPr="00954D22">
      <w:rPr>
        <w:szCs w:val="24"/>
      </w:rPr>
      <w:tab/>
      <w:t xml:space="preserve">- </w:t>
    </w:r>
    <w:r w:rsidRPr="00954D22">
      <w:rPr>
        <w:szCs w:val="24"/>
      </w:rPr>
      <w:fldChar w:fldCharType="begin"/>
    </w:r>
    <w:r w:rsidRPr="00954D22">
      <w:rPr>
        <w:szCs w:val="24"/>
      </w:rPr>
      <w:instrText xml:space="preserve"> PAGE   \* MERGEFORMAT </w:instrText>
    </w:r>
    <w:r w:rsidRPr="00954D22">
      <w:rPr>
        <w:szCs w:val="24"/>
      </w:rPr>
      <w:fldChar w:fldCharType="separate"/>
    </w:r>
    <w:r>
      <w:rPr>
        <w:noProof/>
        <w:szCs w:val="24"/>
      </w:rPr>
      <w:t>503</w:t>
    </w:r>
    <w:r w:rsidRPr="00954D22">
      <w:rPr>
        <w:szCs w:val="24"/>
      </w:rPr>
      <w:fldChar w:fldCharType="end"/>
    </w:r>
    <w:r>
      <w:rPr>
        <w:szCs w:val="24"/>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5CA" w:rsidRDefault="007368AD" w:rsidP="00B7374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pict>
        <v:rect id="_x0000_i1035" style="width:480.95pt;height:1pt" o:hralign="center" o:hrstd="t" o:hrnoshade="t" o:hr="t" fillcolor="black [3213]" stroked="f"/>
      </w:pict>
    </w:r>
  </w:p>
  <w:p w:rsidR="009755CA" w:rsidRPr="00954D22" w:rsidRDefault="009755CA" w:rsidP="00B7374B">
    <w:pPr>
      <w:tabs>
        <w:tab w:val="center" w:pos="4680"/>
      </w:tabs>
      <w:rPr>
        <w:szCs w:val="24"/>
      </w:rPr>
    </w:pPr>
    <w:r w:rsidRPr="00954D22">
      <w:rPr>
        <w:szCs w:val="24"/>
      </w:rPr>
      <w:tab/>
      <w:t xml:space="preserve">- </w:t>
    </w:r>
    <w:r w:rsidRPr="00954D22">
      <w:rPr>
        <w:szCs w:val="24"/>
      </w:rPr>
      <w:fldChar w:fldCharType="begin"/>
    </w:r>
    <w:r w:rsidRPr="00954D22">
      <w:rPr>
        <w:szCs w:val="24"/>
      </w:rPr>
      <w:instrText xml:space="preserve"> PAGE   \* MERGEFORMAT </w:instrText>
    </w:r>
    <w:r w:rsidRPr="00954D22">
      <w:rPr>
        <w:szCs w:val="24"/>
      </w:rPr>
      <w:fldChar w:fldCharType="separate"/>
    </w:r>
    <w:r w:rsidR="007368AD">
      <w:rPr>
        <w:noProof/>
        <w:szCs w:val="24"/>
      </w:rPr>
      <w:t>1800</w:t>
    </w:r>
    <w:r w:rsidRPr="00954D22">
      <w:rPr>
        <w:szCs w:val="24"/>
      </w:rPr>
      <w:fldChar w:fldCharType="end"/>
    </w:r>
    <w:r w:rsidRPr="00954D22">
      <w:rPr>
        <w:szCs w:val="24"/>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5CA" w:rsidRDefault="009755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 w:lineRule="auto"/>
    </w:pPr>
  </w:p>
  <w:p w:rsidR="009755CA" w:rsidRDefault="009755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9755CA" w:rsidRDefault="009755CA">
    <w:pPr>
      <w:tabs>
        <w:tab w:val="center" w:pos="4740"/>
      </w:tabs>
    </w:pPr>
    <w:r>
      <w:tab/>
      <w:t xml:space="preserve">- </w:t>
    </w:r>
    <w:r>
      <w:pgNum/>
    </w:r>
    <w: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5CA" w:rsidRDefault="00736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fr-CA"/>
      </w:rPr>
      <w:pict>
        <v:rect id="_x0000_i1046" style="width:480.95pt;height:1pt" o:hralign="center" o:hrstd="t" o:hrnoshade="t" o:hr="t" fillcolor="black [3213]" stroked="f"/>
      </w:pict>
    </w:r>
  </w:p>
  <w:p w:rsidR="009755CA" w:rsidRPr="0009648D" w:rsidRDefault="009755CA" w:rsidP="00ED7E83">
    <w:pPr>
      <w:tabs>
        <w:tab w:val="center" w:pos="4680"/>
      </w:tabs>
    </w:pPr>
    <w:r>
      <w:tab/>
    </w:r>
    <w:r w:rsidRPr="0009648D">
      <w:t xml:space="preserve">- </w:t>
    </w:r>
    <w:r w:rsidR="007368AD">
      <w:fldChar w:fldCharType="begin"/>
    </w:r>
    <w:r w:rsidR="007368AD">
      <w:instrText xml:space="preserve"> PAGE   \* MERGEFORMAT </w:instrText>
    </w:r>
    <w:r w:rsidR="007368AD">
      <w:fldChar w:fldCharType="separate"/>
    </w:r>
    <w:r w:rsidR="007368AD">
      <w:rPr>
        <w:noProof/>
      </w:rPr>
      <w:t>1810</w:t>
    </w:r>
    <w:r w:rsidR="007368AD">
      <w:rPr>
        <w:noProof/>
      </w:rPr>
      <w:fldChar w:fldCharType="end"/>
    </w:r>
    <w:r w:rsidRPr="0009648D">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5CA" w:rsidRDefault="009755CA" w:rsidP="00A87207">
      <w:r>
        <w:separator/>
      </w:r>
    </w:p>
  </w:footnote>
  <w:footnote w:type="continuationSeparator" w:id="0">
    <w:p w:rsidR="009755CA" w:rsidRDefault="009755CA" w:rsidP="00A872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5CA" w:rsidRDefault="009755CA">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5CA" w:rsidRDefault="009755CA">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30"/>
      <w:gridCol w:w="1170"/>
      <w:gridCol w:w="4080"/>
    </w:tblGrid>
    <w:tr w:rsidR="009755CA">
      <w:tc>
        <w:tcPr>
          <w:tcW w:w="4230" w:type="dxa"/>
          <w:tcMar>
            <w:left w:w="0" w:type="dxa"/>
            <w:right w:w="0" w:type="dxa"/>
          </w:tcMar>
        </w:tcPr>
        <w:p w:rsidR="009755CA" w:rsidRDefault="009755CA">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MOTIONS</w:t>
          </w:r>
        </w:p>
      </w:tc>
      <w:tc>
        <w:tcPr>
          <w:tcW w:w="1170" w:type="dxa"/>
          <w:tcMar>
            <w:left w:w="0" w:type="dxa"/>
            <w:right w:w="0" w:type="dxa"/>
          </w:tcMar>
        </w:tcPr>
        <w:p w:rsidR="009755CA" w:rsidRDefault="009755C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9755CA" w:rsidRDefault="009755C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t>REQUÊTES</w:t>
          </w:r>
        </w:p>
      </w:tc>
    </w:tr>
    <w:tr w:rsidR="009755CA">
      <w:trPr>
        <w:gridAfter w:val="2"/>
        <w:wAfter w:w="5250" w:type="dxa"/>
      </w:trPr>
      <w:tc>
        <w:tcPr>
          <w:tcW w:w="4230" w:type="dxa"/>
          <w:tcMar>
            <w:left w:w="0" w:type="dxa"/>
            <w:right w:w="0" w:type="dxa"/>
          </w:tcMar>
        </w:tcPr>
        <w:p w:rsidR="009755CA" w:rsidRDefault="009755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bl>
  <w:p w:rsidR="009755CA" w:rsidRDefault="009755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jc w:val="both"/>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30"/>
      <w:gridCol w:w="1170"/>
      <w:gridCol w:w="4080"/>
    </w:tblGrid>
    <w:tr w:rsidR="009755CA" w:rsidRPr="00755F22" w:rsidTr="00245129">
      <w:tc>
        <w:tcPr>
          <w:tcW w:w="4230" w:type="dxa"/>
          <w:tcMar>
            <w:left w:w="0" w:type="dxa"/>
            <w:right w:w="0" w:type="dxa"/>
          </w:tcMar>
        </w:tcPr>
        <w:p w:rsidR="009755CA" w:rsidRPr="00755F22" w:rsidRDefault="009755CA" w:rsidP="00831CA9">
          <w:pPr>
            <w:keepNext/>
            <w:keepLines/>
            <w:rPr>
              <w:sz w:val="20"/>
              <w:szCs w:val="20"/>
            </w:rPr>
          </w:pPr>
          <w:r w:rsidRPr="00755F22">
            <w:rPr>
              <w:sz w:val="20"/>
              <w:szCs w:val="20"/>
            </w:rPr>
            <w:t>MOTIONS</w:t>
          </w:r>
        </w:p>
      </w:tc>
      <w:tc>
        <w:tcPr>
          <w:tcW w:w="1170" w:type="dxa"/>
          <w:tcMar>
            <w:left w:w="0" w:type="dxa"/>
            <w:right w:w="0" w:type="dxa"/>
          </w:tcMar>
        </w:tcPr>
        <w:p w:rsidR="009755CA" w:rsidRPr="00755F22" w:rsidRDefault="009755CA" w:rsidP="00831CA9">
          <w:pPr>
            <w:keepLines/>
            <w:jc w:val="center"/>
            <w:rPr>
              <w:sz w:val="20"/>
              <w:szCs w:val="20"/>
            </w:rPr>
          </w:pPr>
        </w:p>
        <w:p w:rsidR="009755CA" w:rsidRPr="00755F22" w:rsidRDefault="009755CA" w:rsidP="00831CA9">
          <w:pPr>
            <w:keepLines/>
            <w:tabs>
              <w:tab w:val="left" w:pos="-1440"/>
              <w:tab w:val="left" w:pos="-720"/>
            </w:tabs>
            <w:jc w:val="center"/>
            <w:rPr>
              <w:sz w:val="20"/>
              <w:szCs w:val="20"/>
            </w:rPr>
          </w:pPr>
        </w:p>
      </w:tc>
      <w:tc>
        <w:tcPr>
          <w:tcW w:w="4080" w:type="dxa"/>
          <w:tcMar>
            <w:left w:w="0" w:type="dxa"/>
            <w:right w:w="0" w:type="dxa"/>
          </w:tcMar>
        </w:tcPr>
        <w:p w:rsidR="009755CA" w:rsidRPr="00BA6468" w:rsidRDefault="009755CA" w:rsidP="00BA6468">
          <w:pPr>
            <w:keepLines/>
            <w:rPr>
              <w:sz w:val="20"/>
              <w:szCs w:val="20"/>
              <w:lang w:val="fr-CA"/>
            </w:rPr>
          </w:pPr>
          <w:r w:rsidRPr="00BA6468">
            <w:rPr>
              <w:sz w:val="20"/>
              <w:szCs w:val="20"/>
              <w:lang w:val="fr-CA"/>
            </w:rPr>
            <w:t>REQUÊTES</w:t>
          </w:r>
        </w:p>
      </w:tc>
    </w:tr>
  </w:tbl>
  <w:p w:rsidR="009755CA" w:rsidRDefault="009755CA" w:rsidP="00831CA9">
    <w:pPr>
      <w:jc w:val="both"/>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5CA" w:rsidRDefault="009755CA">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00"/>
      <w:gridCol w:w="1200"/>
      <w:gridCol w:w="4080"/>
    </w:tblGrid>
    <w:tr w:rsidR="009755CA" w:rsidRPr="00E471B3">
      <w:tc>
        <w:tcPr>
          <w:tcW w:w="4200" w:type="dxa"/>
          <w:tcMar>
            <w:left w:w="0" w:type="dxa"/>
            <w:right w:w="0" w:type="dxa"/>
          </w:tcMar>
        </w:tcPr>
        <w:p w:rsidR="009755CA" w:rsidRDefault="009755CA">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APPEALS HEARD SINCE LAST ISSUE AND DISPOSITION</w:t>
          </w:r>
        </w:p>
      </w:tc>
      <w:tc>
        <w:tcPr>
          <w:tcW w:w="1200" w:type="dxa"/>
          <w:tcMar>
            <w:left w:w="0" w:type="dxa"/>
            <w:right w:w="0" w:type="dxa"/>
          </w:tcMar>
        </w:tcPr>
        <w:p w:rsidR="009755CA" w:rsidRDefault="009755CA">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9755CA" w:rsidRPr="00283C52" w:rsidRDefault="009755C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r w:rsidRPr="00283C52">
            <w:rPr>
              <w:lang w:val="fr-CA"/>
            </w:rPr>
            <w:t>APPELS ENTENDUS DEPUIS LA DERNIÈRE PARUTION ET RÉSULTAT</w:t>
          </w:r>
        </w:p>
        <w:p w:rsidR="009755CA" w:rsidRPr="00283C52" w:rsidRDefault="009755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tc>
    </w:tr>
  </w:tbl>
  <w:p w:rsidR="009755CA" w:rsidRPr="00283C52" w:rsidRDefault="009755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rPr>
        <w:lang w:val="fr-CA"/>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080"/>
    </w:tblGrid>
    <w:tr w:rsidR="009755CA" w:rsidRPr="00E471B3" w:rsidTr="00245129">
      <w:tc>
        <w:tcPr>
          <w:tcW w:w="4200" w:type="dxa"/>
          <w:tcMar>
            <w:left w:w="0" w:type="dxa"/>
            <w:right w:w="0" w:type="dxa"/>
          </w:tcMar>
        </w:tcPr>
        <w:p w:rsidR="009755CA" w:rsidRPr="00732DB7" w:rsidRDefault="009755CA" w:rsidP="00732DB7">
          <w:pPr>
            <w:keepNext/>
            <w:keepLines/>
            <w:tabs>
              <w:tab w:val="left" w:pos="-1440"/>
              <w:tab w:val="left" w:pos="-720"/>
            </w:tabs>
            <w:rPr>
              <w:sz w:val="20"/>
              <w:szCs w:val="20"/>
            </w:rPr>
          </w:pPr>
          <w:r w:rsidRPr="00732DB7">
            <w:rPr>
              <w:sz w:val="20"/>
              <w:szCs w:val="20"/>
            </w:rPr>
            <w:t>APPEALS HEARD SINCE LAST ISSUE AND DISPOSITION</w:t>
          </w:r>
        </w:p>
      </w:tc>
      <w:tc>
        <w:tcPr>
          <w:tcW w:w="1200" w:type="dxa"/>
          <w:tcMar>
            <w:left w:w="0" w:type="dxa"/>
            <w:right w:w="0" w:type="dxa"/>
          </w:tcMar>
        </w:tcPr>
        <w:p w:rsidR="009755CA" w:rsidRPr="00732DB7" w:rsidRDefault="009755CA" w:rsidP="00732DB7">
          <w:pPr>
            <w:keepNext/>
            <w:keepLines/>
            <w:tabs>
              <w:tab w:val="left" w:pos="-1440"/>
              <w:tab w:val="left" w:pos="-720"/>
            </w:tabs>
            <w:jc w:val="center"/>
            <w:rPr>
              <w:sz w:val="20"/>
              <w:szCs w:val="20"/>
            </w:rPr>
          </w:pPr>
        </w:p>
        <w:p w:rsidR="009755CA" w:rsidRPr="00732DB7" w:rsidRDefault="009755CA" w:rsidP="00732DB7">
          <w:pPr>
            <w:keepNext/>
            <w:keepLines/>
            <w:tabs>
              <w:tab w:val="left" w:pos="-1440"/>
              <w:tab w:val="left" w:pos="-720"/>
            </w:tabs>
            <w:jc w:val="center"/>
            <w:rPr>
              <w:sz w:val="20"/>
              <w:szCs w:val="20"/>
            </w:rPr>
          </w:pPr>
        </w:p>
        <w:p w:rsidR="009755CA" w:rsidRPr="00732DB7" w:rsidRDefault="009755CA" w:rsidP="00732DB7">
          <w:pPr>
            <w:keepNext/>
            <w:keepLines/>
            <w:tabs>
              <w:tab w:val="left" w:pos="-1440"/>
              <w:tab w:val="left" w:pos="-720"/>
            </w:tabs>
            <w:jc w:val="center"/>
            <w:rPr>
              <w:sz w:val="20"/>
              <w:szCs w:val="20"/>
            </w:rPr>
          </w:pPr>
        </w:p>
      </w:tc>
      <w:tc>
        <w:tcPr>
          <w:tcW w:w="4080" w:type="dxa"/>
          <w:tcMar>
            <w:left w:w="0" w:type="dxa"/>
            <w:right w:w="0" w:type="dxa"/>
          </w:tcMar>
        </w:tcPr>
        <w:p w:rsidR="009755CA" w:rsidRPr="00732DB7" w:rsidRDefault="009755CA" w:rsidP="00732DB7">
          <w:pPr>
            <w:keepLines/>
            <w:tabs>
              <w:tab w:val="left" w:pos="-1440"/>
              <w:tab w:val="left" w:pos="-720"/>
            </w:tabs>
            <w:rPr>
              <w:sz w:val="20"/>
              <w:szCs w:val="20"/>
              <w:lang w:val="fr-CA"/>
            </w:rPr>
          </w:pPr>
          <w:r w:rsidRPr="00732DB7">
            <w:rPr>
              <w:sz w:val="20"/>
              <w:szCs w:val="20"/>
              <w:lang w:val="fr-CA"/>
            </w:rPr>
            <w:t>APPELS ENTENDUS DEPUIS LA DERNIÈRE PARUTION ET RÉSULTAT</w:t>
          </w:r>
        </w:p>
      </w:tc>
    </w:tr>
  </w:tbl>
  <w:p w:rsidR="009755CA" w:rsidRPr="00283C52" w:rsidRDefault="009755CA" w:rsidP="00732D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5CA" w:rsidRDefault="009755CA">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00"/>
      <w:gridCol w:w="1200"/>
      <w:gridCol w:w="4080"/>
    </w:tblGrid>
    <w:tr w:rsidR="009755CA" w:rsidRPr="00E471B3">
      <w:tc>
        <w:tcPr>
          <w:tcW w:w="4200" w:type="dxa"/>
          <w:tcMar>
            <w:left w:w="0" w:type="dxa"/>
            <w:right w:w="0" w:type="dxa"/>
          </w:tcMar>
        </w:tcPr>
        <w:p w:rsidR="009755CA" w:rsidRDefault="009755CA">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w:hAnsi="Times New"/>
            </w:rPr>
          </w:pPr>
          <w:r>
            <w:rPr>
              <w:rFonts w:ascii="Times New" w:hAnsi="Times New"/>
            </w:rPr>
            <w:t>PRONOUNCEMENTS OF APPEALS RESERVED</w:t>
          </w:r>
        </w:p>
        <w:p w:rsidR="009755CA" w:rsidRDefault="009755CA">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w:hAnsi="Times New"/>
            </w:rPr>
          </w:pPr>
        </w:p>
      </w:tc>
      <w:tc>
        <w:tcPr>
          <w:tcW w:w="1200" w:type="dxa"/>
          <w:tcMar>
            <w:left w:w="0" w:type="dxa"/>
            <w:right w:w="0" w:type="dxa"/>
          </w:tcMar>
        </w:tcPr>
        <w:p w:rsidR="009755CA" w:rsidRDefault="009755CA">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w:hAnsi="Times New"/>
            </w:rPr>
          </w:pPr>
        </w:p>
      </w:tc>
      <w:tc>
        <w:tcPr>
          <w:tcW w:w="4080" w:type="dxa"/>
          <w:tcMar>
            <w:left w:w="0" w:type="dxa"/>
            <w:right w:w="0" w:type="dxa"/>
          </w:tcMar>
        </w:tcPr>
        <w:p w:rsidR="009755CA" w:rsidRPr="003C2C0F" w:rsidRDefault="009755C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w:hAnsi="Times New"/>
              <w:lang w:val="fr-CA"/>
            </w:rPr>
          </w:pPr>
          <w:r w:rsidRPr="003C2C0F">
            <w:rPr>
              <w:rFonts w:ascii="Times New" w:hAnsi="Times New"/>
              <w:lang w:val="fr-CA"/>
            </w:rPr>
            <w:t>JUGEMENTS RENDUS SUR LES APPELS EN DÉLIBÉRÉ</w:t>
          </w:r>
        </w:p>
        <w:p w:rsidR="009755CA" w:rsidRPr="003C2C0F" w:rsidRDefault="009755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w:hAnsi="Times New"/>
              <w:lang w:val="fr-CA"/>
            </w:rPr>
          </w:pPr>
        </w:p>
      </w:tc>
    </w:tr>
  </w:tbl>
  <w:p w:rsidR="009755CA" w:rsidRPr="003C2C0F" w:rsidRDefault="009755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rPr>
        <w:rFonts w:ascii="Times New" w:hAnsi="Times New"/>
        <w:lang w:val="fr-CA"/>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080"/>
    </w:tblGrid>
    <w:tr w:rsidR="009755CA" w:rsidRPr="00E471B3" w:rsidTr="00245129">
      <w:tc>
        <w:tcPr>
          <w:tcW w:w="4200" w:type="dxa"/>
          <w:tcMar>
            <w:left w:w="0" w:type="dxa"/>
            <w:right w:w="0" w:type="dxa"/>
          </w:tcMar>
        </w:tcPr>
        <w:p w:rsidR="009755CA" w:rsidRPr="00FF6EEC" w:rsidRDefault="009755CA" w:rsidP="00FF6EEC">
          <w:pPr>
            <w:rPr>
              <w:sz w:val="20"/>
              <w:szCs w:val="20"/>
            </w:rPr>
          </w:pPr>
          <w:r w:rsidRPr="00FF6EEC">
            <w:rPr>
              <w:sz w:val="20"/>
              <w:szCs w:val="20"/>
            </w:rPr>
            <w:t>PRONOUNCEMENTS OF APPEALS RESERVED</w:t>
          </w:r>
        </w:p>
      </w:tc>
      <w:tc>
        <w:tcPr>
          <w:tcW w:w="1200" w:type="dxa"/>
          <w:tcMar>
            <w:left w:w="0" w:type="dxa"/>
            <w:right w:w="0" w:type="dxa"/>
          </w:tcMar>
        </w:tcPr>
        <w:p w:rsidR="009755CA" w:rsidRPr="00FF6EEC" w:rsidRDefault="009755CA" w:rsidP="00FF6EEC">
          <w:pPr>
            <w:jc w:val="center"/>
            <w:rPr>
              <w:sz w:val="20"/>
              <w:szCs w:val="20"/>
            </w:rPr>
          </w:pPr>
        </w:p>
        <w:p w:rsidR="009755CA" w:rsidRPr="00FF6EEC" w:rsidRDefault="009755CA" w:rsidP="00FF6EEC">
          <w:pPr>
            <w:jc w:val="center"/>
            <w:rPr>
              <w:sz w:val="20"/>
              <w:szCs w:val="20"/>
            </w:rPr>
          </w:pPr>
        </w:p>
        <w:p w:rsidR="009755CA" w:rsidRPr="00FF6EEC" w:rsidRDefault="009755CA" w:rsidP="00FF6EEC">
          <w:pPr>
            <w:jc w:val="center"/>
            <w:rPr>
              <w:sz w:val="20"/>
              <w:szCs w:val="20"/>
            </w:rPr>
          </w:pPr>
        </w:p>
      </w:tc>
      <w:tc>
        <w:tcPr>
          <w:tcW w:w="4080" w:type="dxa"/>
          <w:tcMar>
            <w:left w:w="0" w:type="dxa"/>
            <w:right w:w="0" w:type="dxa"/>
          </w:tcMar>
        </w:tcPr>
        <w:p w:rsidR="009755CA" w:rsidRPr="00FF6EEC" w:rsidRDefault="009755CA" w:rsidP="00FF6EEC">
          <w:pPr>
            <w:rPr>
              <w:sz w:val="20"/>
              <w:szCs w:val="20"/>
              <w:lang w:val="fr-CA"/>
            </w:rPr>
          </w:pPr>
          <w:r w:rsidRPr="00FF6EEC">
            <w:rPr>
              <w:sz w:val="20"/>
              <w:szCs w:val="20"/>
              <w:lang w:val="fr-CA"/>
            </w:rPr>
            <w:t>JUGEMENTS RENDUS SUR LES APPELS EN DÉLIBÉRÉ</w:t>
          </w:r>
        </w:p>
      </w:tc>
    </w:tr>
  </w:tbl>
  <w:p w:rsidR="009755CA" w:rsidRPr="003C2C0F" w:rsidRDefault="009755CA" w:rsidP="00697C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w:hAnsi="Times New"/>
        <w:lang w:val="fr-CA"/>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5CA" w:rsidRDefault="009755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5CA" w:rsidRDefault="009755CA">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30"/>
      <w:gridCol w:w="1170"/>
      <w:gridCol w:w="4080"/>
    </w:tblGrid>
    <w:tr w:rsidR="009755CA">
      <w:tc>
        <w:tcPr>
          <w:tcW w:w="4230" w:type="dxa"/>
          <w:tcMar>
            <w:left w:w="0" w:type="dxa"/>
            <w:right w:w="0" w:type="dxa"/>
          </w:tcMar>
        </w:tcPr>
        <w:p w:rsidR="009755CA" w:rsidRDefault="009755CA">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HEADNOTES OF RECENT </w:t>
          </w:r>
        </w:p>
        <w:p w:rsidR="009755CA" w:rsidRDefault="009755CA">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JUDGMENTS</w:t>
          </w:r>
        </w:p>
        <w:p w:rsidR="009755CA" w:rsidRDefault="009755CA">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170" w:type="dxa"/>
          <w:tcMar>
            <w:left w:w="0" w:type="dxa"/>
            <w:right w:w="0" w:type="dxa"/>
          </w:tcMar>
        </w:tcPr>
        <w:p w:rsidR="009755CA" w:rsidRDefault="009755CA">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9755CA" w:rsidRDefault="009755CA">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SOMMAIRES DE JUGEMENTS </w:t>
          </w:r>
        </w:p>
        <w:p w:rsidR="009755CA" w:rsidRDefault="009755C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RÉCENTS</w:t>
          </w:r>
        </w:p>
        <w:p w:rsidR="009755CA" w:rsidRDefault="009755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bl>
  <w:p w:rsidR="009755CA" w:rsidRDefault="009755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96" w:lineRule="auto"/>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30"/>
      <w:gridCol w:w="1170"/>
      <w:gridCol w:w="4080"/>
    </w:tblGrid>
    <w:tr w:rsidR="009755CA" w:rsidRPr="00782AE4" w:rsidTr="00245129">
      <w:tc>
        <w:tcPr>
          <w:tcW w:w="4230" w:type="dxa"/>
          <w:tcMar>
            <w:left w:w="0" w:type="dxa"/>
            <w:right w:w="0" w:type="dxa"/>
          </w:tcMar>
        </w:tcPr>
        <w:p w:rsidR="009755CA" w:rsidRPr="00782AE4" w:rsidRDefault="009755CA" w:rsidP="00102926">
          <w:pPr>
            <w:keepNext/>
            <w:keepLines/>
            <w:tabs>
              <w:tab w:val="left" w:pos="-1440"/>
              <w:tab w:val="left" w:pos="-720"/>
            </w:tabs>
            <w:rPr>
              <w:sz w:val="20"/>
              <w:szCs w:val="20"/>
            </w:rPr>
          </w:pPr>
          <w:r w:rsidRPr="00782AE4">
            <w:rPr>
              <w:sz w:val="20"/>
              <w:szCs w:val="20"/>
            </w:rPr>
            <w:t xml:space="preserve">HEADNOTES OF RECENT </w:t>
          </w:r>
        </w:p>
        <w:p w:rsidR="009755CA" w:rsidRPr="00782AE4" w:rsidRDefault="009755CA">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782AE4">
            <w:rPr>
              <w:sz w:val="20"/>
              <w:szCs w:val="20"/>
            </w:rPr>
            <w:t>JUDGMENTS</w:t>
          </w:r>
        </w:p>
      </w:tc>
      <w:tc>
        <w:tcPr>
          <w:tcW w:w="1170" w:type="dxa"/>
          <w:tcMar>
            <w:left w:w="0" w:type="dxa"/>
            <w:right w:w="0" w:type="dxa"/>
          </w:tcMar>
        </w:tcPr>
        <w:p w:rsidR="009755CA" w:rsidRDefault="009755CA" w:rsidP="00102926">
          <w:pPr>
            <w:keepNext/>
            <w:keepLines/>
            <w:tabs>
              <w:tab w:val="left" w:pos="-1440"/>
              <w:tab w:val="left" w:pos="-720"/>
            </w:tabs>
            <w:jc w:val="center"/>
            <w:rPr>
              <w:sz w:val="20"/>
              <w:szCs w:val="20"/>
            </w:rPr>
          </w:pPr>
        </w:p>
        <w:p w:rsidR="009755CA" w:rsidRDefault="009755CA" w:rsidP="00102926">
          <w:pPr>
            <w:keepNext/>
            <w:keepLines/>
            <w:tabs>
              <w:tab w:val="left" w:pos="-1440"/>
              <w:tab w:val="left" w:pos="-720"/>
            </w:tabs>
            <w:jc w:val="center"/>
            <w:rPr>
              <w:sz w:val="20"/>
              <w:szCs w:val="20"/>
            </w:rPr>
          </w:pPr>
        </w:p>
        <w:p w:rsidR="009755CA" w:rsidRPr="00782AE4" w:rsidRDefault="009755CA" w:rsidP="00102926">
          <w:pPr>
            <w:keepNext/>
            <w:keepLines/>
            <w:tabs>
              <w:tab w:val="left" w:pos="-1440"/>
              <w:tab w:val="left" w:pos="-720"/>
            </w:tabs>
            <w:jc w:val="center"/>
            <w:rPr>
              <w:sz w:val="20"/>
              <w:szCs w:val="20"/>
            </w:rPr>
          </w:pPr>
        </w:p>
      </w:tc>
      <w:tc>
        <w:tcPr>
          <w:tcW w:w="4080" w:type="dxa"/>
          <w:tcMar>
            <w:left w:w="0" w:type="dxa"/>
            <w:right w:w="0" w:type="dxa"/>
          </w:tcMar>
        </w:tcPr>
        <w:p w:rsidR="009755CA" w:rsidRPr="00102926" w:rsidRDefault="009755CA">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lang w:val="fr-CA"/>
            </w:rPr>
          </w:pPr>
          <w:r w:rsidRPr="00102926">
            <w:rPr>
              <w:sz w:val="20"/>
              <w:szCs w:val="20"/>
              <w:lang w:val="fr-CA"/>
            </w:rPr>
            <w:t xml:space="preserve">SOMMAIRES DE JUGEMENTS </w:t>
          </w:r>
        </w:p>
        <w:p w:rsidR="009755CA" w:rsidRPr="00782AE4" w:rsidRDefault="009755CA" w:rsidP="00102926">
          <w:pPr>
            <w:keepLines/>
            <w:tabs>
              <w:tab w:val="left" w:pos="-1440"/>
              <w:tab w:val="left" w:pos="-720"/>
            </w:tabs>
            <w:rPr>
              <w:sz w:val="20"/>
              <w:szCs w:val="20"/>
            </w:rPr>
          </w:pPr>
          <w:r w:rsidRPr="00102926">
            <w:rPr>
              <w:sz w:val="20"/>
              <w:szCs w:val="20"/>
              <w:lang w:val="fr-CA"/>
            </w:rPr>
            <w:t>RÉCENTS</w:t>
          </w:r>
        </w:p>
      </w:tc>
    </w:tr>
  </w:tbl>
  <w:p w:rsidR="009755CA" w:rsidRDefault="009755CA" w:rsidP="00782A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5CA" w:rsidRDefault="009755CA">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5CA" w:rsidRDefault="009755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5CA" w:rsidRDefault="009755C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10" w:type="dxa"/>
      <w:tblInd w:w="-90" w:type="dxa"/>
      <w:tblBorders>
        <w:bottom w:val="single" w:sz="8" w:space="0" w:color="auto"/>
      </w:tblBorders>
      <w:tblLayout w:type="fixed"/>
      <w:tblCellMar>
        <w:left w:w="0" w:type="dxa"/>
        <w:right w:w="0" w:type="dxa"/>
      </w:tblCellMar>
      <w:tblLook w:val="0000" w:firstRow="0" w:lastRow="0" w:firstColumn="0" w:lastColumn="0" w:noHBand="0" w:noVBand="0"/>
    </w:tblPr>
    <w:tblGrid>
      <w:gridCol w:w="4290"/>
      <w:gridCol w:w="1200"/>
      <w:gridCol w:w="4320"/>
    </w:tblGrid>
    <w:tr w:rsidR="009755CA" w:rsidRPr="0044776A" w:rsidTr="00245129">
      <w:tc>
        <w:tcPr>
          <w:tcW w:w="4290" w:type="dxa"/>
          <w:tcMar>
            <w:left w:w="0" w:type="dxa"/>
            <w:right w:w="0" w:type="dxa"/>
          </w:tcMar>
        </w:tcPr>
        <w:p w:rsidR="009755CA" w:rsidRPr="0044776A" w:rsidRDefault="009755CA" w:rsidP="002E2327">
          <w:pPr>
            <w:keepNext/>
            <w:keepLines/>
            <w:rPr>
              <w:sz w:val="20"/>
              <w:szCs w:val="20"/>
            </w:rPr>
          </w:pPr>
          <w:r w:rsidRPr="0044776A">
            <w:rPr>
              <w:sz w:val="20"/>
              <w:szCs w:val="20"/>
            </w:rPr>
            <w:t>APPLICATIONS FOR LEAVE TO APPEAL FILED</w:t>
          </w:r>
        </w:p>
      </w:tc>
      <w:tc>
        <w:tcPr>
          <w:tcW w:w="1200" w:type="dxa"/>
          <w:tcMar>
            <w:left w:w="0" w:type="dxa"/>
            <w:right w:w="0" w:type="dxa"/>
          </w:tcMar>
        </w:tcPr>
        <w:p w:rsidR="009755CA" w:rsidRPr="0044776A" w:rsidRDefault="009755CA" w:rsidP="002E2327">
          <w:pPr>
            <w:keepNext/>
            <w:keepLines/>
            <w:tabs>
              <w:tab w:val="left" w:pos="-1440"/>
              <w:tab w:val="left" w:pos="-720"/>
            </w:tabs>
            <w:jc w:val="center"/>
            <w:rPr>
              <w:sz w:val="20"/>
              <w:szCs w:val="20"/>
            </w:rPr>
          </w:pPr>
        </w:p>
        <w:p w:rsidR="009755CA" w:rsidRPr="0044776A" w:rsidRDefault="009755CA" w:rsidP="002E2327">
          <w:pPr>
            <w:keepNext/>
            <w:keepLines/>
            <w:tabs>
              <w:tab w:val="left" w:pos="-1440"/>
              <w:tab w:val="left" w:pos="-720"/>
            </w:tabs>
            <w:jc w:val="center"/>
            <w:rPr>
              <w:sz w:val="20"/>
              <w:szCs w:val="20"/>
            </w:rPr>
          </w:pPr>
        </w:p>
        <w:p w:rsidR="009755CA" w:rsidRPr="0044776A" w:rsidRDefault="009755CA" w:rsidP="002E2327">
          <w:pPr>
            <w:keepNext/>
            <w:keepLines/>
            <w:tabs>
              <w:tab w:val="left" w:pos="-1440"/>
              <w:tab w:val="left" w:pos="-720"/>
            </w:tabs>
            <w:jc w:val="center"/>
            <w:rPr>
              <w:sz w:val="20"/>
              <w:szCs w:val="20"/>
            </w:rPr>
          </w:pPr>
        </w:p>
      </w:tc>
      <w:tc>
        <w:tcPr>
          <w:tcW w:w="4320" w:type="dxa"/>
          <w:tcMar>
            <w:left w:w="0" w:type="dxa"/>
            <w:right w:w="0" w:type="dxa"/>
          </w:tcMar>
        </w:tcPr>
        <w:p w:rsidR="009755CA" w:rsidRPr="0044776A" w:rsidRDefault="009755CA" w:rsidP="002E2327">
          <w:pPr>
            <w:keepLines/>
            <w:rPr>
              <w:sz w:val="20"/>
              <w:szCs w:val="20"/>
              <w:lang w:val="fr-CA"/>
            </w:rPr>
          </w:pPr>
          <w:r w:rsidRPr="0044776A">
            <w:rPr>
              <w:sz w:val="20"/>
              <w:szCs w:val="20"/>
              <w:lang w:val="fr-CA"/>
            </w:rPr>
            <w:t>DEMANDES D'AUTORISATION D'APPEL DÉPOSÉES</w:t>
          </w:r>
        </w:p>
      </w:tc>
    </w:tr>
  </w:tbl>
  <w:p w:rsidR="009755CA" w:rsidRDefault="009755C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5CA" w:rsidRDefault="009755C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080"/>
    </w:tblGrid>
    <w:tr w:rsidR="009755CA" w:rsidRPr="00E471B3" w:rsidTr="00245129">
      <w:tc>
        <w:tcPr>
          <w:tcW w:w="4200" w:type="dxa"/>
          <w:tcMar>
            <w:left w:w="0" w:type="dxa"/>
            <w:right w:w="0" w:type="dxa"/>
          </w:tcMar>
        </w:tcPr>
        <w:p w:rsidR="009755CA" w:rsidRPr="0044776A" w:rsidRDefault="009755CA" w:rsidP="0044776A">
          <w:pPr>
            <w:keepNext/>
            <w:keepLines/>
            <w:widowControl w:val="0"/>
            <w:rPr>
              <w:sz w:val="20"/>
              <w:szCs w:val="20"/>
            </w:rPr>
          </w:pPr>
          <w:r>
            <w:rPr>
              <w:sz w:val="20"/>
              <w:szCs w:val="20"/>
            </w:rPr>
            <w:t>APPLICATIONS FOR LEAVE</w:t>
          </w:r>
        </w:p>
        <w:p w:rsidR="009755CA" w:rsidRPr="0044776A" w:rsidRDefault="009755CA" w:rsidP="0044776A">
          <w:pPr>
            <w:keepNext/>
            <w:keepLines/>
            <w:widowControl w:val="0"/>
            <w:rPr>
              <w:sz w:val="20"/>
              <w:szCs w:val="20"/>
            </w:rPr>
          </w:pPr>
          <w:r w:rsidRPr="0044776A">
            <w:rPr>
              <w:sz w:val="20"/>
              <w:szCs w:val="20"/>
            </w:rPr>
            <w:t>SUBMITTED TO COURT SINCE LAST ISSUE</w:t>
          </w:r>
        </w:p>
      </w:tc>
      <w:tc>
        <w:tcPr>
          <w:tcW w:w="1200" w:type="dxa"/>
          <w:tcMar>
            <w:left w:w="0" w:type="dxa"/>
            <w:right w:w="0" w:type="dxa"/>
          </w:tcMar>
        </w:tcPr>
        <w:p w:rsidR="009755CA" w:rsidRPr="0044776A" w:rsidRDefault="009755CA" w:rsidP="0044776A">
          <w:pPr>
            <w:keepNext/>
            <w:keepLines/>
            <w:widowControl w:val="0"/>
            <w:jc w:val="center"/>
            <w:rPr>
              <w:sz w:val="20"/>
              <w:szCs w:val="20"/>
            </w:rPr>
          </w:pPr>
        </w:p>
        <w:p w:rsidR="009755CA" w:rsidRPr="0044776A" w:rsidRDefault="009755CA" w:rsidP="0044776A">
          <w:pPr>
            <w:keepNext/>
            <w:keepLines/>
            <w:widowControl w:val="0"/>
            <w:jc w:val="center"/>
            <w:rPr>
              <w:sz w:val="20"/>
              <w:szCs w:val="20"/>
            </w:rPr>
          </w:pPr>
        </w:p>
        <w:p w:rsidR="009755CA" w:rsidRPr="0044776A" w:rsidRDefault="009755CA" w:rsidP="0044776A">
          <w:pPr>
            <w:keepNext/>
            <w:keepLines/>
            <w:widowControl w:val="0"/>
            <w:jc w:val="center"/>
            <w:rPr>
              <w:sz w:val="20"/>
              <w:szCs w:val="20"/>
            </w:rPr>
          </w:pPr>
        </w:p>
      </w:tc>
      <w:tc>
        <w:tcPr>
          <w:tcW w:w="4080" w:type="dxa"/>
          <w:tcMar>
            <w:left w:w="0" w:type="dxa"/>
            <w:right w:w="0" w:type="dxa"/>
          </w:tcMar>
        </w:tcPr>
        <w:p w:rsidR="009755CA" w:rsidRPr="0044776A" w:rsidRDefault="009755CA" w:rsidP="0044776A">
          <w:pPr>
            <w:keepLines/>
            <w:widowControl w:val="0"/>
            <w:rPr>
              <w:sz w:val="20"/>
              <w:szCs w:val="20"/>
              <w:lang w:val="fr-CA"/>
            </w:rPr>
          </w:pPr>
          <w:r w:rsidRPr="0044776A">
            <w:rPr>
              <w:sz w:val="20"/>
              <w:szCs w:val="20"/>
              <w:lang w:val="fr-CA"/>
            </w:rPr>
            <w:t>DEMANDES SOUMISES À LA COUR DEPUIS LA DERNIÈRE PARUTION</w:t>
          </w:r>
        </w:p>
        <w:p w:rsidR="009755CA" w:rsidRPr="0044776A" w:rsidRDefault="009755CA" w:rsidP="0044776A">
          <w:pPr>
            <w:widowControl w:val="0"/>
            <w:rPr>
              <w:sz w:val="20"/>
              <w:szCs w:val="20"/>
              <w:lang w:val="fr-CA"/>
            </w:rPr>
          </w:pPr>
        </w:p>
      </w:tc>
    </w:tr>
  </w:tbl>
  <w:p w:rsidR="009755CA" w:rsidRPr="002E2327" w:rsidRDefault="009755CA">
    <w:pPr>
      <w:pStyle w:val="Header"/>
      <w:rPr>
        <w:lang w:val="fr-C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5CA" w:rsidRDefault="009755C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00"/>
      <w:gridCol w:w="1200"/>
      <w:gridCol w:w="4080"/>
    </w:tblGrid>
    <w:tr w:rsidR="009755CA" w:rsidRPr="00E471B3">
      <w:tc>
        <w:tcPr>
          <w:tcW w:w="4200" w:type="dxa"/>
          <w:tcMar>
            <w:left w:w="0" w:type="dxa"/>
            <w:right w:w="0" w:type="dxa"/>
          </w:tcMar>
        </w:tcPr>
        <w:p w:rsidR="009755CA" w:rsidRDefault="009755CA">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JUDGMENTS ON APPLICATIONS</w:t>
          </w:r>
        </w:p>
        <w:p w:rsidR="009755CA" w:rsidRDefault="009755CA">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FOR LEAVE</w:t>
          </w:r>
        </w:p>
      </w:tc>
      <w:tc>
        <w:tcPr>
          <w:tcW w:w="1200" w:type="dxa"/>
          <w:tcMar>
            <w:left w:w="0" w:type="dxa"/>
            <w:right w:w="0" w:type="dxa"/>
          </w:tcMar>
        </w:tcPr>
        <w:p w:rsidR="009755CA" w:rsidRDefault="009755C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9755CA" w:rsidRPr="00FF6BA5" w:rsidRDefault="009755C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r w:rsidRPr="00FF6BA5">
            <w:rPr>
              <w:lang w:val="fr-CA"/>
            </w:rPr>
            <w:t>JUGEMENTS RENDUS SUR LES DEMANDES D'AUTORISATION</w:t>
          </w:r>
        </w:p>
      </w:tc>
    </w:tr>
  </w:tbl>
  <w:p w:rsidR="009755CA" w:rsidRPr="00FF6BA5" w:rsidRDefault="009755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p w:rsidR="009755CA" w:rsidRPr="00FF6BA5" w:rsidRDefault="009755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lang w:val="fr-CA"/>
      </w:rPr>
    </w:pPr>
  </w:p>
  <w:p w:rsidR="009755CA" w:rsidRPr="00FF6BA5" w:rsidRDefault="009755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080"/>
    </w:tblGrid>
    <w:tr w:rsidR="009755CA" w:rsidRPr="00E471B3" w:rsidTr="00245129">
      <w:tc>
        <w:tcPr>
          <w:tcW w:w="4200" w:type="dxa"/>
          <w:tcMar>
            <w:left w:w="0" w:type="dxa"/>
            <w:right w:w="0" w:type="dxa"/>
          </w:tcMar>
        </w:tcPr>
        <w:p w:rsidR="009755CA" w:rsidRPr="00755F22" w:rsidRDefault="009755CA">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755F22">
            <w:rPr>
              <w:sz w:val="20"/>
              <w:szCs w:val="20"/>
            </w:rPr>
            <w:t>JUDGMENTS ON APPLICATIONS</w:t>
          </w:r>
        </w:p>
        <w:p w:rsidR="009755CA" w:rsidRPr="00755F22" w:rsidRDefault="009755CA">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755F22">
            <w:rPr>
              <w:sz w:val="20"/>
              <w:szCs w:val="20"/>
            </w:rPr>
            <w:t>FOR LEAVE</w:t>
          </w:r>
        </w:p>
      </w:tc>
      <w:tc>
        <w:tcPr>
          <w:tcW w:w="1200" w:type="dxa"/>
          <w:tcMar>
            <w:left w:w="0" w:type="dxa"/>
            <w:right w:w="0" w:type="dxa"/>
          </w:tcMar>
        </w:tcPr>
        <w:p w:rsidR="009755CA" w:rsidRPr="00755F22" w:rsidRDefault="009755CA" w:rsidP="008D29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p>
        <w:p w:rsidR="009755CA" w:rsidRPr="00755F22" w:rsidRDefault="009755CA" w:rsidP="008D29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p>
        <w:p w:rsidR="009755CA" w:rsidRPr="00755F22" w:rsidRDefault="009755CA" w:rsidP="008D29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p>
      </w:tc>
      <w:tc>
        <w:tcPr>
          <w:tcW w:w="4080" w:type="dxa"/>
          <w:tcMar>
            <w:left w:w="0" w:type="dxa"/>
            <w:right w:w="0" w:type="dxa"/>
          </w:tcMar>
        </w:tcPr>
        <w:p w:rsidR="009755CA" w:rsidRPr="00755F22" w:rsidRDefault="009755C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lang w:val="fr-CA"/>
            </w:rPr>
          </w:pPr>
          <w:r w:rsidRPr="00755F22">
            <w:rPr>
              <w:sz w:val="20"/>
              <w:szCs w:val="20"/>
              <w:lang w:val="fr-CA"/>
            </w:rPr>
            <w:t>JUGEMENTS RENDUS SUR LES DEMANDES D'AUTORISATION</w:t>
          </w:r>
        </w:p>
      </w:tc>
    </w:tr>
  </w:tbl>
  <w:p w:rsidR="009755CA" w:rsidRPr="00FF6BA5" w:rsidRDefault="009755CA" w:rsidP="00755F22">
    <w:pPr>
      <w:tabs>
        <w:tab w:val="left" w:pos="-1440"/>
        <w:tab w:val="left" w:pos="-720"/>
      </w:tabs>
      <w:rPr>
        <w:lang w:val="fr-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961722"/>
    <w:multiLevelType w:val="hybridMultilevel"/>
    <w:tmpl w:val="13C60B4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54283EE8"/>
    <w:multiLevelType w:val="multilevel"/>
    <w:tmpl w:val="134EF918"/>
    <w:lvl w:ilvl="0">
      <w:start w:val="1"/>
      <w:numFmt w:val="decimal"/>
      <w:pStyle w:val="ParaNoNdepar-AltN"/>
      <w:lvlText w:val="[%1]"/>
      <w:lvlJc w:val="left"/>
      <w:pPr>
        <w:tabs>
          <w:tab w:val="num" w:pos="1152"/>
        </w:tabs>
        <w:ind w:left="0" w:firstLine="0"/>
      </w:pPr>
      <w:rPr>
        <w:rFonts w:ascii="Times New Roman" w:hAnsi="Times New Roman" w:hint="default"/>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5FFE6081"/>
    <w:multiLevelType w:val="hybridMultilevel"/>
    <w:tmpl w:val="DBCA876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7F7D3B5E"/>
    <w:multiLevelType w:val="hybridMultilevel"/>
    <w:tmpl w:val="72BCF1D0"/>
    <w:lvl w:ilvl="0" w:tplc="040C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20"/>
  <w:displayHorizontalDrawingGridEvery w:val="2"/>
  <w:characterSpacingControl w:val="doNotCompress"/>
  <w:hdrShapeDefaults>
    <o:shapedefaults v:ext="edit" spidmax="58383"/>
  </w:hdrShapeDefaults>
  <w:footnotePr>
    <w:footnote w:id="-1"/>
    <w:footnote w:id="0"/>
  </w:footnotePr>
  <w:endnotePr>
    <w:endnote w:id="-1"/>
    <w:endnote w:id="0"/>
  </w:endnotePr>
  <w:compat>
    <w:compatSetting w:name="compatibilityMode" w:uri="http://schemas.microsoft.com/office/word" w:val="12"/>
  </w:compat>
  <w:rsids>
    <w:rsidRoot w:val="00C72F17"/>
    <w:rsid w:val="0003223B"/>
    <w:rsid w:val="000327B2"/>
    <w:rsid w:val="00047631"/>
    <w:rsid w:val="00091FA6"/>
    <w:rsid w:val="00096BD9"/>
    <w:rsid w:val="000B3C9A"/>
    <w:rsid w:val="000B40A2"/>
    <w:rsid w:val="000B4624"/>
    <w:rsid w:val="000C0ACD"/>
    <w:rsid w:val="000C0D2A"/>
    <w:rsid w:val="000C5CE8"/>
    <w:rsid w:val="000E0883"/>
    <w:rsid w:val="000E2959"/>
    <w:rsid w:val="000F0B60"/>
    <w:rsid w:val="00102926"/>
    <w:rsid w:val="0010587F"/>
    <w:rsid w:val="00111C6B"/>
    <w:rsid w:val="0012102B"/>
    <w:rsid w:val="0013369E"/>
    <w:rsid w:val="001628CE"/>
    <w:rsid w:val="00164E6D"/>
    <w:rsid w:val="001B157C"/>
    <w:rsid w:val="001B5C23"/>
    <w:rsid w:val="001D0D5F"/>
    <w:rsid w:val="001D6B8C"/>
    <w:rsid w:val="001F1F83"/>
    <w:rsid w:val="001F40DF"/>
    <w:rsid w:val="00200C61"/>
    <w:rsid w:val="002021A9"/>
    <w:rsid w:val="002139A7"/>
    <w:rsid w:val="00215F7C"/>
    <w:rsid w:val="0022323B"/>
    <w:rsid w:val="002375F8"/>
    <w:rsid w:val="002410B8"/>
    <w:rsid w:val="00242AEE"/>
    <w:rsid w:val="00245129"/>
    <w:rsid w:val="00245879"/>
    <w:rsid w:val="00254909"/>
    <w:rsid w:val="00267AB0"/>
    <w:rsid w:val="00267FD5"/>
    <w:rsid w:val="00274D34"/>
    <w:rsid w:val="00283ED8"/>
    <w:rsid w:val="002868D0"/>
    <w:rsid w:val="002A008C"/>
    <w:rsid w:val="002A27D1"/>
    <w:rsid w:val="002A4AFA"/>
    <w:rsid w:val="002B516C"/>
    <w:rsid w:val="002D72EB"/>
    <w:rsid w:val="002E2327"/>
    <w:rsid w:val="002E3583"/>
    <w:rsid w:val="002E5576"/>
    <w:rsid w:val="00331B52"/>
    <w:rsid w:val="003359D3"/>
    <w:rsid w:val="00342E1F"/>
    <w:rsid w:val="00355967"/>
    <w:rsid w:val="00382C47"/>
    <w:rsid w:val="00384384"/>
    <w:rsid w:val="003866AE"/>
    <w:rsid w:val="003B3977"/>
    <w:rsid w:val="003E3739"/>
    <w:rsid w:val="00432989"/>
    <w:rsid w:val="00440E24"/>
    <w:rsid w:val="0044776A"/>
    <w:rsid w:val="00460AFC"/>
    <w:rsid w:val="0047471F"/>
    <w:rsid w:val="004B195E"/>
    <w:rsid w:val="004B66B4"/>
    <w:rsid w:val="004B7F60"/>
    <w:rsid w:val="004C1AAC"/>
    <w:rsid w:val="004D3F68"/>
    <w:rsid w:val="004E1E0A"/>
    <w:rsid w:val="004F090E"/>
    <w:rsid w:val="004F65BB"/>
    <w:rsid w:val="0051485E"/>
    <w:rsid w:val="00527CC7"/>
    <w:rsid w:val="00541229"/>
    <w:rsid w:val="00571CA4"/>
    <w:rsid w:val="00582136"/>
    <w:rsid w:val="005C6840"/>
    <w:rsid w:val="005C6FD7"/>
    <w:rsid w:val="005F263E"/>
    <w:rsid w:val="00600252"/>
    <w:rsid w:val="00612A40"/>
    <w:rsid w:val="00626D14"/>
    <w:rsid w:val="0062714A"/>
    <w:rsid w:val="00645E00"/>
    <w:rsid w:val="006638A6"/>
    <w:rsid w:val="00675479"/>
    <w:rsid w:val="00680709"/>
    <w:rsid w:val="00696BF9"/>
    <w:rsid w:val="00697C62"/>
    <w:rsid w:val="006A329B"/>
    <w:rsid w:val="006A7EB8"/>
    <w:rsid w:val="006B6926"/>
    <w:rsid w:val="006C3F47"/>
    <w:rsid w:val="006C5B6E"/>
    <w:rsid w:val="006C5F7A"/>
    <w:rsid w:val="006D4944"/>
    <w:rsid w:val="006E06AF"/>
    <w:rsid w:val="006F350F"/>
    <w:rsid w:val="00703FC8"/>
    <w:rsid w:val="00732DB7"/>
    <w:rsid w:val="00732FF1"/>
    <w:rsid w:val="007368AD"/>
    <w:rsid w:val="0074238B"/>
    <w:rsid w:val="00745990"/>
    <w:rsid w:val="00745EF7"/>
    <w:rsid w:val="00755F22"/>
    <w:rsid w:val="00766E4A"/>
    <w:rsid w:val="007820CE"/>
    <w:rsid w:val="00782AE4"/>
    <w:rsid w:val="0079724F"/>
    <w:rsid w:val="007A3EAE"/>
    <w:rsid w:val="007C04FC"/>
    <w:rsid w:val="007D3E0F"/>
    <w:rsid w:val="007E4282"/>
    <w:rsid w:val="007F387B"/>
    <w:rsid w:val="00802863"/>
    <w:rsid w:val="00806359"/>
    <w:rsid w:val="00815B3C"/>
    <w:rsid w:val="0081610A"/>
    <w:rsid w:val="00820D71"/>
    <w:rsid w:val="0082783A"/>
    <w:rsid w:val="00831CA9"/>
    <w:rsid w:val="00850BA7"/>
    <w:rsid w:val="00850E1F"/>
    <w:rsid w:val="0085476B"/>
    <w:rsid w:val="008720D6"/>
    <w:rsid w:val="00890FEB"/>
    <w:rsid w:val="008A5C1A"/>
    <w:rsid w:val="008B5DE3"/>
    <w:rsid w:val="008C335B"/>
    <w:rsid w:val="008C7270"/>
    <w:rsid w:val="008D292F"/>
    <w:rsid w:val="008E03DC"/>
    <w:rsid w:val="008F08EE"/>
    <w:rsid w:val="00902E51"/>
    <w:rsid w:val="00924065"/>
    <w:rsid w:val="00930D68"/>
    <w:rsid w:val="00932DB4"/>
    <w:rsid w:val="00941A4B"/>
    <w:rsid w:val="00946242"/>
    <w:rsid w:val="0095096B"/>
    <w:rsid w:val="00970CD3"/>
    <w:rsid w:val="009723FA"/>
    <w:rsid w:val="009755CA"/>
    <w:rsid w:val="00984546"/>
    <w:rsid w:val="00996510"/>
    <w:rsid w:val="009D1F15"/>
    <w:rsid w:val="009D555E"/>
    <w:rsid w:val="009F3024"/>
    <w:rsid w:val="00A0355E"/>
    <w:rsid w:val="00A375D1"/>
    <w:rsid w:val="00A51D10"/>
    <w:rsid w:val="00A52A83"/>
    <w:rsid w:val="00A6552C"/>
    <w:rsid w:val="00A6648A"/>
    <w:rsid w:val="00A87207"/>
    <w:rsid w:val="00A935AA"/>
    <w:rsid w:val="00AA2C9F"/>
    <w:rsid w:val="00AB2201"/>
    <w:rsid w:val="00AD3259"/>
    <w:rsid w:val="00AF1715"/>
    <w:rsid w:val="00AF3904"/>
    <w:rsid w:val="00B010C0"/>
    <w:rsid w:val="00B23FAB"/>
    <w:rsid w:val="00B43D7E"/>
    <w:rsid w:val="00B4740D"/>
    <w:rsid w:val="00B61629"/>
    <w:rsid w:val="00B7374B"/>
    <w:rsid w:val="00B90DC0"/>
    <w:rsid w:val="00BA116A"/>
    <w:rsid w:val="00BA5582"/>
    <w:rsid w:val="00BA6468"/>
    <w:rsid w:val="00BB1D44"/>
    <w:rsid w:val="00BD06DA"/>
    <w:rsid w:val="00BD4217"/>
    <w:rsid w:val="00BF25F3"/>
    <w:rsid w:val="00C1697B"/>
    <w:rsid w:val="00C21CB5"/>
    <w:rsid w:val="00C4491A"/>
    <w:rsid w:val="00C50A5C"/>
    <w:rsid w:val="00C50FDF"/>
    <w:rsid w:val="00C63381"/>
    <w:rsid w:val="00C72F17"/>
    <w:rsid w:val="00C73D06"/>
    <w:rsid w:val="00C73E1B"/>
    <w:rsid w:val="00C759B4"/>
    <w:rsid w:val="00C77713"/>
    <w:rsid w:val="00C85BB7"/>
    <w:rsid w:val="00CA2DEA"/>
    <w:rsid w:val="00CB43D5"/>
    <w:rsid w:val="00CC4D84"/>
    <w:rsid w:val="00CD0B9D"/>
    <w:rsid w:val="00CE198A"/>
    <w:rsid w:val="00CF08C8"/>
    <w:rsid w:val="00D004FC"/>
    <w:rsid w:val="00D34781"/>
    <w:rsid w:val="00D50EEE"/>
    <w:rsid w:val="00D64901"/>
    <w:rsid w:val="00D70BA0"/>
    <w:rsid w:val="00D76BDF"/>
    <w:rsid w:val="00D862C1"/>
    <w:rsid w:val="00D93B50"/>
    <w:rsid w:val="00D94028"/>
    <w:rsid w:val="00D94670"/>
    <w:rsid w:val="00DA46F6"/>
    <w:rsid w:val="00DB0773"/>
    <w:rsid w:val="00DD0B49"/>
    <w:rsid w:val="00DE0502"/>
    <w:rsid w:val="00DE349D"/>
    <w:rsid w:val="00DE585D"/>
    <w:rsid w:val="00E06DFA"/>
    <w:rsid w:val="00E20A0A"/>
    <w:rsid w:val="00E356C7"/>
    <w:rsid w:val="00E4451A"/>
    <w:rsid w:val="00E45FE4"/>
    <w:rsid w:val="00E471B3"/>
    <w:rsid w:val="00E57380"/>
    <w:rsid w:val="00E64FA7"/>
    <w:rsid w:val="00E770CB"/>
    <w:rsid w:val="00E83E47"/>
    <w:rsid w:val="00E903A1"/>
    <w:rsid w:val="00E940EB"/>
    <w:rsid w:val="00E9703F"/>
    <w:rsid w:val="00EB2B90"/>
    <w:rsid w:val="00ED7E83"/>
    <w:rsid w:val="00EE091F"/>
    <w:rsid w:val="00EF4B63"/>
    <w:rsid w:val="00F0068D"/>
    <w:rsid w:val="00F0576D"/>
    <w:rsid w:val="00F13DE6"/>
    <w:rsid w:val="00F14E6D"/>
    <w:rsid w:val="00F15EA8"/>
    <w:rsid w:val="00F16C8D"/>
    <w:rsid w:val="00F26C61"/>
    <w:rsid w:val="00F33CCE"/>
    <w:rsid w:val="00F40249"/>
    <w:rsid w:val="00F526C8"/>
    <w:rsid w:val="00F761A3"/>
    <w:rsid w:val="00F86F45"/>
    <w:rsid w:val="00F9029B"/>
    <w:rsid w:val="00F9272D"/>
    <w:rsid w:val="00F9518C"/>
    <w:rsid w:val="00FA316E"/>
    <w:rsid w:val="00FA371E"/>
    <w:rsid w:val="00FA59EF"/>
    <w:rsid w:val="00FB19A2"/>
    <w:rsid w:val="00FF6E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838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384"/>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25F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A87207"/>
    <w:pPr>
      <w:tabs>
        <w:tab w:val="center" w:pos="4680"/>
        <w:tab w:val="right" w:pos="9360"/>
      </w:tabs>
    </w:pPr>
  </w:style>
  <w:style w:type="character" w:customStyle="1" w:styleId="HeaderChar">
    <w:name w:val="Header Char"/>
    <w:basedOn w:val="DefaultParagraphFont"/>
    <w:link w:val="Header"/>
    <w:uiPriority w:val="99"/>
    <w:semiHidden/>
    <w:rsid w:val="00A87207"/>
  </w:style>
  <w:style w:type="paragraph" w:styleId="Footer">
    <w:name w:val="footer"/>
    <w:basedOn w:val="Normal"/>
    <w:link w:val="FooterChar"/>
    <w:uiPriority w:val="99"/>
    <w:unhideWhenUsed/>
    <w:rsid w:val="00A87207"/>
    <w:pPr>
      <w:tabs>
        <w:tab w:val="center" w:pos="4680"/>
        <w:tab w:val="right" w:pos="9360"/>
      </w:tabs>
    </w:pPr>
  </w:style>
  <w:style w:type="character" w:customStyle="1" w:styleId="FooterChar">
    <w:name w:val="Footer Char"/>
    <w:basedOn w:val="DefaultParagraphFont"/>
    <w:link w:val="Footer"/>
    <w:uiPriority w:val="99"/>
    <w:rsid w:val="00A87207"/>
  </w:style>
  <w:style w:type="paragraph" w:styleId="ListParagraph">
    <w:name w:val="List Paragraph"/>
    <w:basedOn w:val="Normal"/>
    <w:uiPriority w:val="34"/>
    <w:qFormat/>
    <w:rsid w:val="002E2327"/>
    <w:pPr>
      <w:ind w:left="720"/>
      <w:contextualSpacing/>
    </w:pPr>
  </w:style>
  <w:style w:type="character" w:customStyle="1" w:styleId="FootnoteTextChar">
    <w:name w:val="Footnote Text Char"/>
    <w:basedOn w:val="DefaultParagraphFont"/>
    <w:link w:val="FootnoteText"/>
    <w:semiHidden/>
    <w:rsid w:val="008D292F"/>
    <w:rPr>
      <w:rFonts w:eastAsia="Times New Roman" w:cs="Times New Roman"/>
      <w:sz w:val="20"/>
      <w:szCs w:val="20"/>
      <w:lang w:val="en-CA" w:eastAsia="en-CA"/>
    </w:rPr>
  </w:style>
  <w:style w:type="paragraph" w:styleId="FootnoteText">
    <w:name w:val="footnote text"/>
    <w:basedOn w:val="Normal"/>
    <w:link w:val="FootnoteTextChar"/>
    <w:semiHidden/>
    <w:rsid w:val="008D292F"/>
    <w:pPr>
      <w:widowControl w:val="0"/>
      <w:ind w:firstLine="720"/>
    </w:pPr>
    <w:rPr>
      <w:rFonts w:eastAsia="Times New Roman" w:cs="Times New Roman"/>
      <w:sz w:val="20"/>
      <w:szCs w:val="20"/>
      <w:lang w:eastAsia="en-CA"/>
    </w:rPr>
  </w:style>
  <w:style w:type="paragraph" w:customStyle="1" w:styleId="Header1StyleE">
    <w:name w:val="Header 1 Style E"/>
    <w:basedOn w:val="Normal"/>
    <w:next w:val="Normal"/>
    <w:autoRedefine/>
    <w:qFormat/>
    <w:rsid w:val="00755F22"/>
    <w:pPr>
      <w:widowControl w:val="0"/>
      <w:autoSpaceDE w:val="0"/>
      <w:autoSpaceDN w:val="0"/>
      <w:adjustRightInd w:val="0"/>
    </w:pPr>
    <w:rPr>
      <w:rFonts w:eastAsiaTheme="minorEastAsia" w:cs="Times New Roman"/>
      <w:b/>
      <w:szCs w:val="20"/>
      <w:lang w:eastAsia="en-CA"/>
    </w:rPr>
  </w:style>
  <w:style w:type="paragraph" w:customStyle="1" w:styleId="Header1StyleF">
    <w:name w:val="Header 1 Style F"/>
    <w:basedOn w:val="Header1StyleE"/>
    <w:autoRedefine/>
    <w:qFormat/>
    <w:rsid w:val="00755F22"/>
    <w:rPr>
      <w:lang w:val="fr-CA"/>
    </w:rPr>
  </w:style>
  <w:style w:type="paragraph" w:customStyle="1" w:styleId="Header2StyleE">
    <w:name w:val="Header 2 Style E"/>
    <w:basedOn w:val="Normal"/>
    <w:next w:val="Normal"/>
    <w:autoRedefine/>
    <w:rsid w:val="00755F22"/>
    <w:pPr>
      <w:keepLines/>
      <w:widowControl w:val="0"/>
      <w:autoSpaceDE w:val="0"/>
      <w:autoSpaceDN w:val="0"/>
      <w:adjustRightInd w:val="0"/>
      <w:ind w:left="-576"/>
    </w:pPr>
    <w:rPr>
      <w:rFonts w:eastAsiaTheme="minorEastAsia" w:cs="Times New"/>
      <w:caps/>
      <w:sz w:val="20"/>
      <w:szCs w:val="20"/>
      <w:lang w:eastAsia="en-CA"/>
    </w:rPr>
  </w:style>
  <w:style w:type="paragraph" w:customStyle="1" w:styleId="Header2StyleF">
    <w:name w:val="Header 2 Style F"/>
    <w:basedOn w:val="Header2StyleE"/>
    <w:autoRedefine/>
    <w:rsid w:val="00755F22"/>
    <w:rPr>
      <w:lang w:val="fr-CA"/>
    </w:rPr>
  </w:style>
  <w:style w:type="table" w:customStyle="1" w:styleId="Header2TableStyle">
    <w:name w:val="Header 2 Table Style"/>
    <w:basedOn w:val="TableNormal"/>
    <w:uiPriority w:val="99"/>
    <w:qFormat/>
    <w:rsid w:val="00755F22"/>
    <w:rPr>
      <w:rFonts w:eastAsiaTheme="minorEastAsia"/>
      <w:sz w:val="20"/>
      <w:lang w:val="en-CA" w:eastAsia="en-CA"/>
    </w:rPr>
    <w:tblPr>
      <w:tblCellMar>
        <w:left w:w="576" w:type="dxa"/>
        <w:right w:w="576" w:type="dxa"/>
      </w:tblCellMar>
    </w:tblPr>
  </w:style>
  <w:style w:type="table" w:customStyle="1" w:styleId="HeaderTableStyle">
    <w:name w:val="Header Table Style"/>
    <w:basedOn w:val="TableNormal"/>
    <w:uiPriority w:val="99"/>
    <w:rsid w:val="00755F22"/>
    <w:rPr>
      <w:rFonts w:eastAsiaTheme="minorEastAsia"/>
      <w:lang w:val="en-CA" w:eastAsia="en-CA"/>
    </w:rPr>
    <w:tblPr>
      <w:tblCellMar>
        <w:left w:w="576" w:type="dxa"/>
        <w:right w:w="576" w:type="dxa"/>
      </w:tblCellMar>
    </w:tblPr>
  </w:style>
  <w:style w:type="paragraph" w:customStyle="1" w:styleId="SCCRespondentForIndex">
    <w:name w:val="SCC.RespondentForIndex"/>
    <w:basedOn w:val="Normal"/>
    <w:next w:val="Normal"/>
    <w:link w:val="SCCRespondentForIndexChar"/>
    <w:rsid w:val="005C6840"/>
    <w:rPr>
      <w:rFonts w:eastAsia="Times New Roman" w:cs="Times New Roman"/>
      <w:b/>
      <w:szCs w:val="20"/>
      <w:lang w:eastAsia="en-CA"/>
    </w:rPr>
  </w:style>
  <w:style w:type="character" w:customStyle="1" w:styleId="SCCRespondentForIndexChar">
    <w:name w:val="SCC.RespondentForIndex Char"/>
    <w:basedOn w:val="DefaultParagraphFont"/>
    <w:link w:val="SCCRespondentForIndex"/>
    <w:rsid w:val="005C6840"/>
    <w:rPr>
      <w:rFonts w:eastAsia="Times New Roman" w:cs="Times New Roman"/>
      <w:b/>
      <w:szCs w:val="20"/>
      <w:lang w:val="en-CA" w:eastAsia="en-CA"/>
    </w:rPr>
  </w:style>
  <w:style w:type="paragraph" w:customStyle="1" w:styleId="SCCAppellantForIndex">
    <w:name w:val="SCC.AppellantForIndex"/>
    <w:basedOn w:val="Normal"/>
    <w:next w:val="Normal"/>
    <w:link w:val="SCCAppellantForIndexChar"/>
    <w:rsid w:val="005C6840"/>
    <w:rPr>
      <w:rFonts w:eastAsia="Times New Roman" w:cs="Times New Roman"/>
      <w:b/>
      <w:szCs w:val="20"/>
      <w:lang w:val="fr-CA" w:eastAsia="en-CA"/>
    </w:rPr>
  </w:style>
  <w:style w:type="character" w:customStyle="1" w:styleId="SCCAppellantForIndexChar">
    <w:name w:val="SCC.AppellantForIndex Char"/>
    <w:basedOn w:val="DefaultParagraphFont"/>
    <w:link w:val="SCCAppellantForIndex"/>
    <w:rsid w:val="005C6840"/>
    <w:rPr>
      <w:rFonts w:eastAsia="Times New Roman" w:cs="Times New Roman"/>
      <w:b/>
      <w:szCs w:val="20"/>
      <w:lang w:val="fr-CA" w:eastAsia="en-CA"/>
    </w:rPr>
  </w:style>
  <w:style w:type="paragraph" w:customStyle="1" w:styleId="SCCSystemYear">
    <w:name w:val="SCC.SystemYear"/>
    <w:basedOn w:val="Normal"/>
    <w:next w:val="Normal"/>
    <w:link w:val="SCCSystemYearChar"/>
    <w:rsid w:val="005C6840"/>
    <w:rPr>
      <w:rFonts w:eastAsia="Times New Roman" w:cs="Times New Roman"/>
      <w:b/>
      <w:szCs w:val="20"/>
      <w:lang w:val="fr-CA" w:eastAsia="en-CA"/>
    </w:rPr>
  </w:style>
  <w:style w:type="character" w:customStyle="1" w:styleId="SCCSystemYearChar">
    <w:name w:val="SCC.SystemYear Char"/>
    <w:basedOn w:val="DefaultParagraphFont"/>
    <w:link w:val="SCCSystemYear"/>
    <w:rsid w:val="005C6840"/>
    <w:rPr>
      <w:rFonts w:eastAsia="Times New Roman" w:cs="Times New Roman"/>
      <w:b/>
      <w:szCs w:val="20"/>
      <w:lang w:val="fr-CA" w:eastAsia="en-CA"/>
    </w:rPr>
  </w:style>
  <w:style w:type="paragraph" w:customStyle="1" w:styleId="SCCNormalDoubleSpacing">
    <w:name w:val="SCC.Normal.DoubleSpacing"/>
    <w:basedOn w:val="Normal"/>
    <w:link w:val="SCCNormalDoubleSpacingChar"/>
    <w:rsid w:val="005C6840"/>
    <w:pPr>
      <w:spacing w:line="480" w:lineRule="auto"/>
      <w:jc w:val="both"/>
    </w:pPr>
    <w:rPr>
      <w:rFonts w:eastAsia="Times New Roman" w:cs="Times New Roman"/>
      <w:szCs w:val="20"/>
      <w:lang w:eastAsia="en-CA"/>
    </w:rPr>
  </w:style>
  <w:style w:type="character" w:customStyle="1" w:styleId="SCCNormalDoubleSpacingChar">
    <w:name w:val="SCC.Normal.DoubleSpacing Char"/>
    <w:basedOn w:val="DefaultParagraphFont"/>
    <w:link w:val="SCCNormalDoubleSpacing"/>
    <w:rsid w:val="005C6840"/>
    <w:rPr>
      <w:rFonts w:eastAsia="Times New Roman" w:cs="Times New Roman"/>
      <w:szCs w:val="20"/>
      <w:lang w:val="en-CA" w:eastAsia="en-CA"/>
    </w:rPr>
  </w:style>
  <w:style w:type="paragraph" w:customStyle="1" w:styleId="SCCCounselName">
    <w:name w:val="SCC.CounselName"/>
    <w:basedOn w:val="SCCNormalDoubleSpacing"/>
    <w:next w:val="SCCNormalDoubleSpacing"/>
    <w:link w:val="SCCCounselNameChar"/>
    <w:rsid w:val="005C6840"/>
    <w:rPr>
      <w:i/>
    </w:rPr>
  </w:style>
  <w:style w:type="character" w:customStyle="1" w:styleId="SCCCounselNameChar">
    <w:name w:val="SCC.CounselName Char"/>
    <w:basedOn w:val="SCCNormalDoubleSpacingChar"/>
    <w:link w:val="SCCCounselName"/>
    <w:rsid w:val="005C6840"/>
    <w:rPr>
      <w:rFonts w:eastAsia="Times New Roman" w:cs="Times New Roman"/>
      <w:i/>
      <w:szCs w:val="20"/>
      <w:lang w:val="en-CA" w:eastAsia="en-CA"/>
    </w:rPr>
  </w:style>
  <w:style w:type="paragraph" w:customStyle="1" w:styleId="SCCLawFirm">
    <w:name w:val="SCC.LawFirm"/>
    <w:basedOn w:val="SCCNormalDoubleSpacing"/>
    <w:next w:val="SCCNormalDoubleSpacing"/>
    <w:link w:val="SCCLawFirmChar"/>
    <w:rsid w:val="005C6840"/>
    <w:rPr>
      <w:i/>
    </w:rPr>
  </w:style>
  <w:style w:type="character" w:customStyle="1" w:styleId="SCCLawFirmChar">
    <w:name w:val="SCC.LawFirm Char"/>
    <w:basedOn w:val="SCCNormalDoubleSpacingChar"/>
    <w:link w:val="SCCLawFirm"/>
    <w:rsid w:val="005C6840"/>
    <w:rPr>
      <w:rFonts w:eastAsia="Times New Roman" w:cs="Times New Roman"/>
      <w:i/>
      <w:szCs w:val="20"/>
      <w:lang w:val="en-CA" w:eastAsia="en-CA"/>
    </w:rPr>
  </w:style>
  <w:style w:type="paragraph" w:customStyle="1" w:styleId="SCCCounselPartyRole">
    <w:name w:val="SCC.CounselPartyRole"/>
    <w:basedOn w:val="SCCNormalDoubleSpacing"/>
    <w:next w:val="SCCNormalDoubleSpacing"/>
    <w:link w:val="SCCCounselPartyRoleChar"/>
    <w:rsid w:val="005C6840"/>
  </w:style>
  <w:style w:type="character" w:customStyle="1" w:styleId="SCCCounselPartyRoleChar">
    <w:name w:val="SCC.CounselPartyRole Char"/>
    <w:basedOn w:val="SCCNormalDoubleSpacingChar"/>
    <w:link w:val="SCCCounselPartyRole"/>
    <w:rsid w:val="005C6840"/>
    <w:rPr>
      <w:rFonts w:eastAsia="Times New Roman" w:cs="Times New Roman"/>
      <w:szCs w:val="20"/>
      <w:lang w:val="en-CA" w:eastAsia="en-CA"/>
    </w:rPr>
  </w:style>
  <w:style w:type="paragraph" w:customStyle="1" w:styleId="SCCCounselSeparator">
    <w:name w:val="SCC.CounselSeparator"/>
    <w:basedOn w:val="SCCNormalDoubleSpacing"/>
    <w:next w:val="SCCNormalDoubleSpacing"/>
    <w:link w:val="SCCCounselSeparatorChar"/>
    <w:rsid w:val="005C6840"/>
    <w:rPr>
      <w:lang w:val="fr-CA"/>
    </w:rPr>
  </w:style>
  <w:style w:type="character" w:customStyle="1" w:styleId="SCCCounselSeparatorChar">
    <w:name w:val="SCC.CounselSeparator Char"/>
    <w:basedOn w:val="SCCNormalDoubleSpacingChar"/>
    <w:link w:val="SCCCounselSeparator"/>
    <w:rsid w:val="005C6840"/>
    <w:rPr>
      <w:rFonts w:eastAsia="Times New Roman" w:cs="Times New Roman"/>
      <w:szCs w:val="20"/>
      <w:lang w:val="fr-CA" w:eastAsia="en-CA"/>
    </w:rPr>
  </w:style>
  <w:style w:type="paragraph" w:customStyle="1" w:styleId="SCCFileNumber">
    <w:name w:val="SCC.FileNumber"/>
    <w:basedOn w:val="Normal"/>
    <w:next w:val="Normal"/>
    <w:link w:val="SCCFileNumberChar"/>
    <w:rsid w:val="001B157C"/>
    <w:pPr>
      <w:jc w:val="both"/>
    </w:pPr>
    <w:rPr>
      <w:rFonts w:eastAsia="Calibri" w:cs="Times New Roman"/>
      <w:b/>
    </w:rPr>
  </w:style>
  <w:style w:type="character" w:customStyle="1" w:styleId="SCCFileNumberChar">
    <w:name w:val="SCC.FileNumber Char"/>
    <w:basedOn w:val="DefaultParagraphFont"/>
    <w:link w:val="SCCFileNumber"/>
    <w:rsid w:val="001B157C"/>
    <w:rPr>
      <w:rFonts w:eastAsia="Calibri" w:cs="Times New Roman"/>
      <w:b/>
      <w:lang w:val="en-CA"/>
    </w:rPr>
  </w:style>
  <w:style w:type="paragraph" w:customStyle="1" w:styleId="SCCLsoc">
    <w:name w:val="SCC.Lsoc"/>
    <w:basedOn w:val="Normal"/>
    <w:next w:val="Normal"/>
    <w:link w:val="SCCLsocChar"/>
    <w:rsid w:val="001B157C"/>
    <w:pPr>
      <w:jc w:val="center"/>
    </w:pPr>
    <w:rPr>
      <w:b/>
      <w:szCs w:val="24"/>
      <w:u w:val="single"/>
      <w:lang w:val="fr-CA"/>
    </w:rPr>
  </w:style>
  <w:style w:type="character" w:customStyle="1" w:styleId="SCCLsocChar">
    <w:name w:val="SCC.Lsoc Char"/>
    <w:basedOn w:val="DefaultParagraphFont"/>
    <w:link w:val="SCCLsoc"/>
    <w:rsid w:val="001B157C"/>
    <w:rPr>
      <w:b/>
      <w:szCs w:val="24"/>
      <w:u w:val="single"/>
      <w:lang w:val="fr-CA"/>
    </w:rPr>
  </w:style>
  <w:style w:type="paragraph" w:customStyle="1" w:styleId="SCCCoram">
    <w:name w:val="SCC.Coram"/>
    <w:basedOn w:val="Normal"/>
    <w:next w:val="Normal"/>
    <w:link w:val="SCCCoramChar"/>
    <w:rsid w:val="001B157C"/>
    <w:pPr>
      <w:jc w:val="center"/>
    </w:pPr>
    <w:rPr>
      <w:szCs w:val="24"/>
      <w:u w:val="single"/>
      <w:lang w:val="fr-CA"/>
    </w:rPr>
  </w:style>
  <w:style w:type="character" w:customStyle="1" w:styleId="SCCCoramChar">
    <w:name w:val="SCC.Coram Char"/>
    <w:basedOn w:val="DefaultParagraphFont"/>
    <w:link w:val="SCCCoram"/>
    <w:rsid w:val="001B157C"/>
    <w:rPr>
      <w:szCs w:val="24"/>
      <w:u w:val="single"/>
      <w:lang w:val="fr-CA"/>
    </w:rPr>
  </w:style>
  <w:style w:type="paragraph" w:customStyle="1" w:styleId="SCCShortJudgment">
    <w:name w:val="SCC.ShortJudgment"/>
    <w:basedOn w:val="Normal"/>
    <w:qFormat/>
    <w:rsid w:val="001B157C"/>
    <w:pPr>
      <w:ind w:firstLine="720"/>
      <w:jc w:val="both"/>
    </w:pPr>
    <w:rPr>
      <w:sz w:val="20"/>
      <w:szCs w:val="24"/>
    </w:rPr>
  </w:style>
  <w:style w:type="character" w:styleId="Hyperlink">
    <w:name w:val="Hyperlink"/>
    <w:basedOn w:val="DefaultParagraphFont"/>
    <w:uiPriority w:val="99"/>
    <w:unhideWhenUsed/>
    <w:rsid w:val="009F3024"/>
    <w:rPr>
      <w:color w:val="0000FF" w:themeColor="hyperlink"/>
      <w:u w:val="single"/>
    </w:rPr>
  </w:style>
  <w:style w:type="paragraph" w:customStyle="1" w:styleId="ParaNoNdepar-AltN">
    <w:name w:val="Para. No. / Nº de par. - Alt N"/>
    <w:qFormat/>
    <w:rsid w:val="001F40DF"/>
    <w:pPr>
      <w:numPr>
        <w:numId w:val="3"/>
      </w:numPr>
      <w:spacing w:before="480" w:after="480" w:line="480" w:lineRule="auto"/>
      <w:jc w:val="both"/>
    </w:pPr>
    <w:rPr>
      <w:rFonts w:eastAsiaTheme="minorEastAsia"/>
      <w:lang w:val="fr-CA"/>
    </w:rPr>
  </w:style>
  <w:style w:type="paragraph" w:customStyle="1" w:styleId="SCCLowerCourtNameLowercase">
    <w:name w:val="SCC.LowerCourtNameLowercase"/>
    <w:basedOn w:val="SCCNormalDoubleSpacing"/>
    <w:next w:val="SCCNormalDoubleSpacing"/>
    <w:rsid w:val="00902E51"/>
    <w:pPr>
      <w:tabs>
        <w:tab w:val="left" w:pos="1168"/>
      </w:tabs>
    </w:pPr>
    <w:rPr>
      <w:smallCaps/>
    </w:rPr>
  </w:style>
  <w:style w:type="character" w:styleId="FollowedHyperlink">
    <w:name w:val="FollowedHyperlink"/>
    <w:basedOn w:val="DefaultParagraphFont"/>
    <w:uiPriority w:val="99"/>
    <w:semiHidden/>
    <w:unhideWhenUsed/>
    <w:rsid w:val="00342E1F"/>
    <w:rPr>
      <w:color w:val="800080" w:themeColor="followedHyperlink"/>
      <w:u w:val="single"/>
    </w:rPr>
  </w:style>
  <w:style w:type="paragraph" w:customStyle="1" w:styleId="SCCLsocParty">
    <w:name w:val="SCC.Lsoc.Party"/>
    <w:basedOn w:val="Normal"/>
    <w:next w:val="Normal"/>
    <w:link w:val="SCCLsocPartyChar"/>
    <w:rsid w:val="00267AB0"/>
    <w:pPr>
      <w:jc w:val="center"/>
    </w:pPr>
    <w:rPr>
      <w:b/>
      <w:szCs w:val="24"/>
    </w:rPr>
  </w:style>
  <w:style w:type="character" w:customStyle="1" w:styleId="SCCLsocPartyChar">
    <w:name w:val="SCC.Lsoc.Party Char"/>
    <w:basedOn w:val="DefaultParagraphFont"/>
    <w:link w:val="SCCLsocParty"/>
    <w:rsid w:val="00267AB0"/>
    <w:rPr>
      <w:b/>
      <w:szCs w:val="24"/>
      <w:lang w:val="en-CA"/>
    </w:rPr>
  </w:style>
  <w:style w:type="table" w:customStyle="1" w:styleId="TableGrid1">
    <w:name w:val="Table Grid1"/>
    <w:basedOn w:val="TableNormal"/>
    <w:next w:val="TableGrid"/>
    <w:uiPriority w:val="59"/>
    <w:rsid w:val="000E0883"/>
    <w:rPr>
      <w:rFonts w:eastAsia="Times New Roman" w:cs="Times New Roman"/>
      <w:sz w:val="20"/>
      <w:szCs w:val="20"/>
      <w:lang w:val="en-CA" w:eastAsia="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DE585D"/>
    <w:rPr>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DE585D"/>
    <w:rPr>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rsid w:val="00DE585D"/>
    <w:rPr>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6C5B6E"/>
    <w:rPr>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59"/>
    <w:rsid w:val="006C5B6E"/>
    <w:rPr>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http://www.canlii.org/en/ca/tcc/doc/2012/2012tcc335/2012tcc335.html?searchUrlHash=AAAAAQAMMjAxMiBUQ0MgMzM1AAAAAAE" TargetMode="External"/><Relationship Id="rId39" Type="http://schemas.openxmlformats.org/officeDocument/2006/relationships/hyperlink" Target="http://canlii.ca/en/bc/bcsc/doc/2012/2012bcsc895/2012bcsc895.html?searchUrlHash=AAAAAQANMjAxMiBiY3NjIDg5NQAAAAAB" TargetMode="External"/><Relationship Id="rId21" Type="http://schemas.openxmlformats.org/officeDocument/2006/relationships/header" Target="header6.xml"/><Relationship Id="rId34" Type="http://schemas.openxmlformats.org/officeDocument/2006/relationships/hyperlink" Target="http://canlii.ca/t/fx4mh" TargetMode="External"/><Relationship Id="rId42" Type="http://schemas.openxmlformats.org/officeDocument/2006/relationships/hyperlink" Target="http://www.canlii.org/en/on/onca/doc/2012/2012onca830/2012onca830.html?searchUrlHash=AAAAAQAUamFtZXMgZWFybGUgYm91ZHJlYXUAAAAAAQ" TargetMode="External"/><Relationship Id="rId47" Type="http://schemas.openxmlformats.org/officeDocument/2006/relationships/header" Target="header10.xml"/><Relationship Id="rId50" Type="http://schemas.openxmlformats.org/officeDocument/2006/relationships/header" Target="header12.xml"/><Relationship Id="rId55" Type="http://schemas.openxmlformats.org/officeDocument/2006/relationships/hyperlink" Target="http://www.scc-csc.ca/case-dossier/info/sum-som-eng.aspx?cas=34819" TargetMode="External"/><Relationship Id="rId63" Type="http://schemas.openxmlformats.org/officeDocument/2006/relationships/footer" Target="footer16.xml"/><Relationship Id="rId68" Type="http://schemas.openxmlformats.org/officeDocument/2006/relationships/header" Target="header19.xml"/><Relationship Id="rId76" Type="http://schemas.openxmlformats.org/officeDocument/2006/relationships/header" Target="header22.xml"/><Relationship Id="rId7" Type="http://schemas.openxmlformats.org/officeDocument/2006/relationships/endnotes" Target="endnotes.xml"/><Relationship Id="rId71" Type="http://schemas.openxmlformats.org/officeDocument/2006/relationships/hyperlink" Target="http://www.scc-csc.ca/case-dossier/info/sum-som-eng.aspx?cas=33536" TargetMode="Externa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http://www.canlii.org/en/ca/tcc/doc/2012/2012tcc335/2012tcc335.html?searchUrlHash=AAAAAQAMMjAxMiBUQ0MgMzM1AAAAAAE" TargetMode="Externa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hyperlink" Target="http://canlii.ca/t/fx4mh" TargetMode="External"/><Relationship Id="rId37" Type="http://schemas.openxmlformats.org/officeDocument/2006/relationships/hyperlink" Target="http://canlii.ca/en/bc/bcsc/doc/2012/2012bcsc895/2012bcsc895.html?searchUrlHash=AAAAAQANMjAxMiBiY3NjIDg5NQAAAAAB" TargetMode="External"/><Relationship Id="rId40" Type="http://schemas.openxmlformats.org/officeDocument/2006/relationships/hyperlink" Target="http://canlii.ca/en/bc/bcca/doc/2013/2013bcca233/2013bcca233.html?searchUrlHash=AAAAAQANMjAxMyBCQ0NBIDIzMwAAAAAB" TargetMode="External"/><Relationship Id="rId45" Type="http://schemas.openxmlformats.org/officeDocument/2006/relationships/footer" Target="footer8.xml"/><Relationship Id="rId53" Type="http://schemas.openxmlformats.org/officeDocument/2006/relationships/header" Target="header13.xml"/><Relationship Id="rId58" Type="http://schemas.openxmlformats.org/officeDocument/2006/relationships/header" Target="header14.xml"/><Relationship Id="rId66" Type="http://schemas.openxmlformats.org/officeDocument/2006/relationships/footer" Target="footer17.xml"/><Relationship Id="rId74" Type="http://schemas.openxmlformats.org/officeDocument/2006/relationships/footer" Target="footer20.xml"/><Relationship Id="rId79" Type="http://schemas.openxmlformats.org/officeDocument/2006/relationships/footer" Target="footer23.xml"/><Relationship Id="rId5" Type="http://schemas.openxmlformats.org/officeDocument/2006/relationships/webSettings" Target="webSettings.xml"/><Relationship Id="rId61" Type="http://schemas.openxmlformats.org/officeDocument/2006/relationships/footer" Target="footer15.xml"/><Relationship Id="rId10" Type="http://schemas.openxmlformats.org/officeDocument/2006/relationships/hyperlink" Target="http://www.scc-csc.ca" TargetMode="External"/><Relationship Id="rId19" Type="http://schemas.openxmlformats.org/officeDocument/2006/relationships/header" Target="header5.xml"/><Relationship Id="rId31" Type="http://schemas.openxmlformats.org/officeDocument/2006/relationships/hyperlink" Target="http://canlii.ca/t/frdxq" TargetMode="External"/><Relationship Id="rId44" Type="http://schemas.openxmlformats.org/officeDocument/2006/relationships/header" Target="header9.xml"/><Relationship Id="rId52" Type="http://schemas.openxmlformats.org/officeDocument/2006/relationships/footer" Target="footer12.xml"/><Relationship Id="rId60" Type="http://schemas.openxmlformats.org/officeDocument/2006/relationships/footer" Target="footer14.xml"/><Relationship Id="rId65" Type="http://schemas.openxmlformats.org/officeDocument/2006/relationships/header" Target="header18.xml"/><Relationship Id="rId73" Type="http://schemas.openxmlformats.org/officeDocument/2006/relationships/header" Target="header21.xml"/><Relationship Id="rId78" Type="http://schemas.openxmlformats.org/officeDocument/2006/relationships/header" Target="header23.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cc-csc.ca"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yperlink" Target="http://www.canlii.org/en/ca/fca/doc/2013/2013fca67/2013fca67.html?searchUrlHash=AAAAAQALMjAxMyBGQ0EgNjcAAAAAAQ" TargetMode="External"/><Relationship Id="rId30" Type="http://schemas.openxmlformats.org/officeDocument/2006/relationships/hyperlink" Target="http://www.canlii.org/en/ca/fca/doc/2013/2013fca67/2013fca67.html?searchUrlHash=AAAAAQALMjAxMyBGQ0EgNjcAAAAAAQ" TargetMode="External"/><Relationship Id="rId35" Type="http://schemas.openxmlformats.org/officeDocument/2006/relationships/hyperlink" Target="http://www.canlii.org/en/nl/nlca/doc/2000/2000nfca41/2000nfca41.html?searchUrlHash=AAAAAQAMMjAwMCBORkNBIDQxAAAAAAE" TargetMode="External"/><Relationship Id="rId43" Type="http://schemas.openxmlformats.org/officeDocument/2006/relationships/header" Target="header8.xml"/><Relationship Id="rId48" Type="http://schemas.openxmlformats.org/officeDocument/2006/relationships/footer" Target="footer10.xml"/><Relationship Id="rId56" Type="http://schemas.openxmlformats.org/officeDocument/2006/relationships/hyperlink" Target="http://www.scc-csc.ca/case-dossier/info/sum-som-eng.aspx?cas=34828" TargetMode="External"/><Relationship Id="rId64" Type="http://schemas.openxmlformats.org/officeDocument/2006/relationships/header" Target="header17.xml"/><Relationship Id="rId69" Type="http://schemas.openxmlformats.org/officeDocument/2006/relationships/footer" Target="footer19.xml"/><Relationship Id="rId77" Type="http://schemas.openxmlformats.org/officeDocument/2006/relationships/footer" Target="footer22.xml"/><Relationship Id="rId8" Type="http://schemas.openxmlformats.org/officeDocument/2006/relationships/image" Target="media/image1.wmf"/><Relationship Id="rId51" Type="http://schemas.openxmlformats.org/officeDocument/2006/relationships/footer" Target="footer11.xml"/><Relationship Id="rId72" Type="http://schemas.openxmlformats.org/officeDocument/2006/relationships/header" Target="header20.xm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www.canlii.org/en/ca/tcc/doc/2010/2010tcc400/2010tcc400.html?searchUrlHash=AAAAAQAMMjAxMCB0Y2MgNDAwAAAAAAE" TargetMode="External"/><Relationship Id="rId33" Type="http://schemas.openxmlformats.org/officeDocument/2006/relationships/hyperlink" Target="http://canlii.ca/t/frdxq" TargetMode="External"/><Relationship Id="rId38" Type="http://schemas.openxmlformats.org/officeDocument/2006/relationships/hyperlink" Target="http://canlii.ca/en/bc/bcca/doc/2013/2013bcca233/2013bcca233.html?searchUrlHash=AAAAAQANMjAxMyBCQ0NBIDIzMwAAAAAB" TargetMode="External"/><Relationship Id="rId46" Type="http://schemas.openxmlformats.org/officeDocument/2006/relationships/footer" Target="footer9.xml"/><Relationship Id="rId59" Type="http://schemas.openxmlformats.org/officeDocument/2006/relationships/header" Target="header15.xml"/><Relationship Id="rId67" Type="http://schemas.openxmlformats.org/officeDocument/2006/relationships/footer" Target="footer18.xml"/><Relationship Id="rId20" Type="http://schemas.openxmlformats.org/officeDocument/2006/relationships/footer" Target="footer5.xml"/><Relationship Id="rId41" Type="http://schemas.openxmlformats.org/officeDocument/2006/relationships/hyperlink" Target="http://www.canlii.org/en/on/onca/doc/2012/2012onca830/2012onca830.html?searchUrlHash=AAAAAQAUamFtZXMgZWFybGUgYm91ZHJlYXUAAAAAAQ" TargetMode="External"/><Relationship Id="rId54" Type="http://schemas.openxmlformats.org/officeDocument/2006/relationships/footer" Target="footer13.xml"/><Relationship Id="rId62" Type="http://schemas.openxmlformats.org/officeDocument/2006/relationships/header" Target="header16.xml"/><Relationship Id="rId70" Type="http://schemas.openxmlformats.org/officeDocument/2006/relationships/hyperlink" Target="http://www.scc-csc.ca/case-dossier/info/sum-som-eng.aspx?cas=34687" TargetMode="External"/><Relationship Id="rId75" Type="http://schemas.openxmlformats.org/officeDocument/2006/relationships/footer" Target="footer2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yperlink" Target="http://www.canlii.org/en/ca/tcc/doc/2010/2010tcc400/2010tcc400.html?searchUrlHash=AAAAAQAMMjAxMCB0Y2MgNDAwAAAAAAE" TargetMode="External"/><Relationship Id="rId36" Type="http://schemas.openxmlformats.org/officeDocument/2006/relationships/hyperlink" Target="http://www.canlii.org/en/nl/nlca/doc/2000/2000nfca41/2000nfca41.html?searchUrlHash=AAAAAQAMMjAwMCBORkNBIDQxAAAAAAE" TargetMode="External"/><Relationship Id="rId49" Type="http://schemas.openxmlformats.org/officeDocument/2006/relationships/header" Target="header11.xml"/><Relationship Id="rId57" Type="http://schemas.openxmlformats.org/officeDocument/2006/relationships/hyperlink" Target="http://www.scc-csc.ca/case-dossier/info/sum-som-eng.aspx?cas=349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8CCD37-D412-4AF0-BD5B-1D8CC618F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15496</Words>
  <Characters>88328</Characters>
  <Application>Microsoft Office Word</Application>
  <DocSecurity>0</DocSecurity>
  <Lines>736</Lines>
  <Paragraphs>207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103617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2013-11-04T20:08:00Z</dcterms:created>
  <dcterms:modified xsi:type="dcterms:W3CDTF">2015-12-18T19:25:00Z</dcterms:modified>
</cp:coreProperties>
</file>