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4739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4739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47393"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A4739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47393" w:rsidTr="002E5576">
        <w:tc>
          <w:tcPr>
            <w:tcW w:w="4518" w:type="dxa"/>
          </w:tcPr>
          <w:p w:rsidR="00BF25F3" w:rsidRPr="002E2327" w:rsidRDefault="001C5DB7"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1C5DB7"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A47393"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A47393"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A47393">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A47393">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January</w:t>
      </w:r>
      <w:r w:rsidR="00440E24" w:rsidRPr="00675479">
        <w:rPr>
          <w:lang w:val="fr-CA"/>
        </w:rPr>
        <w:t xml:space="preserve"> </w:t>
      </w:r>
      <w:r w:rsidR="00501F3C">
        <w:rPr>
          <w:lang w:val="fr-CA"/>
        </w:rPr>
        <w:t>3</w:t>
      </w:r>
      <w:r w:rsidR="00440E24" w:rsidRPr="00675479">
        <w:rPr>
          <w:lang w:val="fr-CA"/>
        </w:rPr>
        <w:t>, 201</w:t>
      </w:r>
      <w:r w:rsidR="00501F3C">
        <w:rPr>
          <w:lang w:val="fr-CA"/>
        </w:rPr>
        <w:t>4</w:t>
      </w:r>
      <w:r w:rsidR="00F0068D" w:rsidRPr="00675479">
        <w:rPr>
          <w:lang w:val="fr-CA"/>
        </w:rPr>
        <w:tab/>
        <w:t xml:space="preserve">1 - </w:t>
      </w:r>
      <w:r w:rsidR="00CC37C5">
        <w:rPr>
          <w:lang w:val="fr-CA"/>
        </w:rPr>
        <w:t>36</w:t>
      </w:r>
      <w:r w:rsidR="00440E24" w:rsidRPr="00675479">
        <w:rPr>
          <w:lang w:val="fr-CA"/>
        </w:rPr>
        <w:tab/>
      </w:r>
      <w:r w:rsidR="00440E24" w:rsidRPr="002E2327">
        <w:rPr>
          <w:lang w:val="fr-CA"/>
        </w:rPr>
        <w:t>Le</w:t>
      </w:r>
      <w:r>
        <w:rPr>
          <w:lang w:val="fr-CA"/>
        </w:rPr>
        <w:t xml:space="preserve"> </w:t>
      </w:r>
      <w:r w:rsidR="00501F3C">
        <w:rPr>
          <w:lang w:val="fr-CA"/>
        </w:rPr>
        <w:t>3</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A47393"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to the Profession and </w:t>
            </w:r>
          </w:p>
          <w:p w:rsidR="0095096B" w:rsidRPr="002E2327" w:rsidRDefault="0095096B" w:rsidP="0095096B">
            <w:pPr>
              <w:tabs>
                <w:tab w:val="right" w:pos="9360"/>
              </w:tabs>
              <w:rPr>
                <w:rFonts w:cs="Times New Roman"/>
                <w:sz w:val="20"/>
                <w:szCs w:val="20"/>
              </w:rPr>
            </w:pPr>
            <w:r w:rsidRPr="002E2327">
              <w:rPr>
                <w:rFonts w:cs="Times New Roman"/>
                <w:sz w:val="20"/>
                <w:szCs w:val="20"/>
              </w:rPr>
              <w:t>Press Release</w:t>
            </w:r>
          </w:p>
          <w:p w:rsidR="00A87207" w:rsidRPr="002E2327" w:rsidRDefault="00A87207" w:rsidP="000C0F49">
            <w:pPr>
              <w:tabs>
                <w:tab w:val="right" w:pos="9360"/>
              </w:tabs>
              <w:rPr>
                <w:rFonts w:cs="Times New Roman"/>
                <w:sz w:val="20"/>
                <w:szCs w:val="20"/>
              </w:rPr>
            </w:pPr>
          </w:p>
        </w:tc>
        <w:tc>
          <w:tcPr>
            <w:tcW w:w="1980" w:type="dxa"/>
          </w:tcPr>
          <w:p w:rsidR="0095096B" w:rsidRPr="002E2327" w:rsidRDefault="000C0F49" w:rsidP="0095096B">
            <w:pPr>
              <w:jc w:val="center"/>
              <w:rPr>
                <w:rFonts w:cs="Times New Roman"/>
                <w:sz w:val="20"/>
                <w:szCs w:val="20"/>
              </w:rPr>
            </w:pPr>
            <w:r>
              <w:rPr>
                <w:rFonts w:cs="Times New Roman"/>
                <w:sz w:val="20"/>
                <w:szCs w:val="20"/>
              </w:rPr>
              <w:t>1</w:t>
            </w:r>
            <w:r w:rsidR="001C5DB7" w:rsidRPr="002E2327">
              <w:rPr>
                <w:rFonts w:cs="Times New Roman"/>
                <w:sz w:val="20"/>
                <w:szCs w:val="20"/>
              </w:rPr>
              <w:fldChar w:fldCharType="begin"/>
            </w:r>
            <w:r w:rsidR="0095096B" w:rsidRPr="002E2327">
              <w:rPr>
                <w:rFonts w:cs="Times New Roman"/>
                <w:sz w:val="20"/>
                <w:szCs w:val="20"/>
              </w:rPr>
              <w:instrText xml:space="preserve"> SEQ CHAPTER \h \r 1</w:instrText>
            </w:r>
            <w:r w:rsidR="001C5DB7"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C37C5" w:rsidP="0095096B">
            <w:pPr>
              <w:jc w:val="center"/>
              <w:rPr>
                <w:rFonts w:cs="Times New Roman"/>
                <w:sz w:val="20"/>
                <w:szCs w:val="20"/>
              </w:rPr>
            </w:pPr>
            <w:r>
              <w:rPr>
                <w:rFonts w:cs="Times New Roman"/>
                <w:sz w:val="20"/>
                <w:szCs w:val="20"/>
              </w:rPr>
              <w:t>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C37C5" w:rsidP="0095096B">
            <w:pPr>
              <w:jc w:val="center"/>
              <w:rPr>
                <w:rFonts w:cs="Times New Roman"/>
                <w:sz w:val="20"/>
                <w:szCs w:val="20"/>
              </w:rPr>
            </w:pPr>
            <w:r>
              <w:rPr>
                <w:rFonts w:cs="Times New Roman"/>
                <w:sz w:val="20"/>
                <w:szCs w:val="20"/>
              </w:rPr>
              <w:t xml:space="preserve">3 </w:t>
            </w:r>
            <w:r w:rsidR="0095096B" w:rsidRPr="002E2327">
              <w:rPr>
                <w:rFonts w:cs="Times New Roman"/>
                <w:sz w:val="20"/>
                <w:szCs w:val="20"/>
              </w:rPr>
              <w:t>-</w:t>
            </w:r>
            <w:r>
              <w:rPr>
                <w:rFonts w:cs="Times New Roman"/>
                <w:sz w:val="20"/>
                <w:szCs w:val="20"/>
              </w:rPr>
              <w:t xml:space="preserve"> 7</w:t>
            </w:r>
          </w:p>
          <w:p w:rsidR="0095096B" w:rsidRPr="002E2327" w:rsidRDefault="0095096B" w:rsidP="0095096B">
            <w:pPr>
              <w:jc w:val="center"/>
              <w:rPr>
                <w:rFonts w:cs="Times New Roman"/>
                <w:sz w:val="20"/>
                <w:szCs w:val="20"/>
              </w:rPr>
            </w:pPr>
          </w:p>
          <w:p w:rsidR="0095096B" w:rsidRPr="002E2327" w:rsidRDefault="00CC37C5" w:rsidP="0095096B">
            <w:pPr>
              <w:jc w:val="center"/>
              <w:rPr>
                <w:rFonts w:cs="Times New Roman"/>
                <w:sz w:val="20"/>
                <w:szCs w:val="20"/>
              </w:rPr>
            </w:pPr>
            <w:r>
              <w:rPr>
                <w:rFonts w:cs="Times New Roman"/>
                <w:sz w:val="20"/>
                <w:szCs w:val="20"/>
              </w:rPr>
              <w:t xml:space="preserve">8 </w:t>
            </w:r>
            <w:r w:rsidR="0095096B" w:rsidRPr="002E2327">
              <w:rPr>
                <w:rFonts w:cs="Times New Roman"/>
                <w:sz w:val="20"/>
                <w:szCs w:val="20"/>
              </w:rPr>
              <w:t>-</w:t>
            </w:r>
            <w:r>
              <w:rPr>
                <w:rFonts w:cs="Times New Roman"/>
                <w:sz w:val="20"/>
                <w:szCs w:val="20"/>
              </w:rPr>
              <w:t xml:space="preserve"> 9</w:t>
            </w:r>
          </w:p>
          <w:p w:rsidR="0095096B" w:rsidRPr="002E2327" w:rsidRDefault="0095096B" w:rsidP="0095096B">
            <w:pPr>
              <w:jc w:val="center"/>
              <w:rPr>
                <w:rFonts w:cs="Times New Roman"/>
                <w:sz w:val="20"/>
                <w:szCs w:val="20"/>
              </w:rPr>
            </w:pPr>
          </w:p>
          <w:p w:rsidR="0095096B" w:rsidRPr="002E2327" w:rsidRDefault="00CC37C5" w:rsidP="0095096B">
            <w:pPr>
              <w:jc w:val="center"/>
              <w:rPr>
                <w:rFonts w:cs="Times New Roman"/>
                <w:sz w:val="20"/>
                <w:szCs w:val="20"/>
              </w:rPr>
            </w:pPr>
            <w:r>
              <w:rPr>
                <w:rFonts w:cs="Times New Roman"/>
                <w:sz w:val="20"/>
                <w:szCs w:val="20"/>
              </w:rPr>
              <w:t xml:space="preserve">10 </w:t>
            </w:r>
            <w:r w:rsidR="0095096B" w:rsidRPr="002E2327">
              <w:rPr>
                <w:rFonts w:cs="Times New Roman"/>
                <w:sz w:val="20"/>
                <w:szCs w:val="20"/>
              </w:rPr>
              <w:t>-</w:t>
            </w:r>
            <w:r>
              <w:rPr>
                <w:rFonts w:cs="Times New Roman"/>
                <w:sz w:val="20"/>
                <w:szCs w:val="20"/>
              </w:rPr>
              <w:t xml:space="preserve"> 35</w:t>
            </w:r>
          </w:p>
          <w:p w:rsidR="0095096B" w:rsidRPr="002E2327" w:rsidRDefault="0095096B" w:rsidP="0095096B">
            <w:pPr>
              <w:jc w:val="center"/>
              <w:rPr>
                <w:rFonts w:cs="Times New Roman"/>
                <w:sz w:val="20"/>
                <w:szCs w:val="20"/>
              </w:rPr>
            </w:pPr>
          </w:p>
          <w:p w:rsidR="0095096B" w:rsidRDefault="00CC37C5" w:rsidP="0095096B">
            <w:pPr>
              <w:jc w:val="center"/>
              <w:rPr>
                <w:rFonts w:cs="Times New Roman"/>
                <w:sz w:val="20"/>
                <w:szCs w:val="20"/>
              </w:rPr>
            </w:pPr>
            <w:r>
              <w:rPr>
                <w:rFonts w:cs="Times New Roman"/>
                <w:sz w:val="20"/>
                <w:szCs w:val="20"/>
              </w:rPr>
              <w:t>36</w:t>
            </w:r>
          </w:p>
          <w:p w:rsidR="00CC37C5" w:rsidRPr="002E2327" w:rsidRDefault="00CC37C5" w:rsidP="0095096B">
            <w:pPr>
              <w:jc w:val="center"/>
              <w:rPr>
                <w:rFonts w:cs="Times New Roman"/>
                <w:sz w:val="20"/>
                <w:szCs w:val="20"/>
              </w:rPr>
            </w:pPr>
          </w:p>
          <w:p w:rsidR="00A87207" w:rsidRPr="002E2327" w:rsidRDefault="00A87207" w:rsidP="00CC37C5">
            <w:pPr>
              <w:tabs>
                <w:tab w:val="right" w:pos="9360"/>
              </w:tabs>
              <w:jc w:val="center"/>
              <w:rPr>
                <w:rFonts w:cs="Times New Roman"/>
                <w:sz w:val="20"/>
                <w:szCs w:val="20"/>
              </w:rPr>
            </w:pPr>
          </w:p>
        </w:tc>
        <w:tc>
          <w:tcPr>
            <w:tcW w:w="3888" w:type="dxa"/>
          </w:tcPr>
          <w:p w:rsidR="0095096B" w:rsidRPr="002E2327" w:rsidRDefault="001C5DB7"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aux avocats et communiqué </w:t>
            </w:r>
          </w:p>
          <w:p w:rsidR="0095096B" w:rsidRPr="002E2327" w:rsidRDefault="0095096B" w:rsidP="0095096B">
            <w:pPr>
              <w:rPr>
                <w:rFonts w:cs="Times New Roman"/>
                <w:sz w:val="20"/>
                <w:szCs w:val="20"/>
                <w:lang w:val="fr-CA"/>
              </w:rPr>
            </w:pPr>
            <w:r w:rsidRPr="002E2327">
              <w:rPr>
                <w:rFonts w:cs="Times New Roman"/>
                <w:sz w:val="20"/>
                <w:szCs w:val="20"/>
                <w:lang w:val="fr-CA"/>
              </w:rPr>
              <w:t>de presse</w:t>
            </w:r>
          </w:p>
          <w:p w:rsidR="00A87207" w:rsidRPr="002E2327" w:rsidRDefault="00A87207" w:rsidP="000C0F49">
            <w:pPr>
              <w:tabs>
                <w:tab w:val="right" w:pos="9360"/>
              </w:tabs>
              <w:rPr>
                <w:rFonts w:cs="Times New Roman"/>
                <w:sz w:val="20"/>
                <w:szCs w:val="20"/>
                <w:lang w:val="fr-CA"/>
              </w:rPr>
            </w:pPr>
          </w:p>
        </w:tc>
      </w:tr>
    </w:tbl>
    <w:p w:rsidR="0095096B" w:rsidRDefault="0095096B" w:rsidP="0095096B">
      <w:pPr>
        <w:tabs>
          <w:tab w:val="right" w:pos="9360"/>
        </w:tabs>
        <w:rPr>
          <w:lang w:val="fr-CA"/>
        </w:rPr>
      </w:pPr>
    </w:p>
    <w:p w:rsidR="00CC37C5" w:rsidRDefault="00CC37C5" w:rsidP="0095096B">
      <w:pPr>
        <w:tabs>
          <w:tab w:val="right" w:pos="9360"/>
        </w:tabs>
        <w:rPr>
          <w:lang w:val="fr-CA"/>
        </w:rPr>
      </w:pPr>
    </w:p>
    <w:p w:rsidR="00CC37C5" w:rsidRDefault="00CC37C5" w:rsidP="0095096B">
      <w:pPr>
        <w:tabs>
          <w:tab w:val="right" w:pos="9360"/>
        </w:tabs>
        <w:rPr>
          <w:lang w:val="fr-CA"/>
        </w:rPr>
      </w:pPr>
    </w:p>
    <w:p w:rsidR="00CC37C5" w:rsidRDefault="00CC37C5" w:rsidP="0095096B">
      <w:pPr>
        <w:tabs>
          <w:tab w:val="right" w:pos="9360"/>
        </w:tabs>
        <w:rPr>
          <w:lang w:val="fr-CA"/>
        </w:rPr>
      </w:pPr>
    </w:p>
    <w:p w:rsidR="00CC37C5" w:rsidRPr="003B41C6" w:rsidRDefault="00CC37C5"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A4739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42AEE" w:rsidRPr="00A47393" w:rsidTr="003B3977">
        <w:tc>
          <w:tcPr>
            <w:tcW w:w="4320" w:type="dxa"/>
            <w:shd w:val="clear" w:color="auto" w:fill="auto"/>
          </w:tcPr>
          <w:p w:rsidR="00242AEE" w:rsidRPr="00A935AA" w:rsidRDefault="00C54DDC" w:rsidP="003B3977">
            <w:pPr>
              <w:rPr>
                <w:b/>
                <w:sz w:val="20"/>
                <w:szCs w:val="20"/>
              </w:rPr>
            </w:pPr>
            <w:r>
              <w:rPr>
                <w:b/>
                <w:sz w:val="20"/>
                <w:szCs w:val="20"/>
              </w:rPr>
              <w:t>Stephen Dalla Lana</w:t>
            </w:r>
          </w:p>
          <w:p w:rsidR="00242AEE" w:rsidRPr="00A935AA" w:rsidRDefault="00242AEE" w:rsidP="003B3977">
            <w:pPr>
              <w:tabs>
                <w:tab w:val="left" w:pos="-1440"/>
                <w:tab w:val="left" w:pos="-720"/>
              </w:tabs>
              <w:rPr>
                <w:sz w:val="20"/>
                <w:szCs w:val="20"/>
              </w:rPr>
            </w:pPr>
            <w:r w:rsidRPr="00A935AA">
              <w:rPr>
                <w:sz w:val="20"/>
                <w:szCs w:val="20"/>
              </w:rPr>
              <w:tab/>
            </w:r>
            <w:r w:rsidR="00C54DDC">
              <w:rPr>
                <w:sz w:val="20"/>
                <w:szCs w:val="20"/>
              </w:rPr>
              <w:t>Simon Renouf, Q.C.</w:t>
            </w:r>
          </w:p>
          <w:p w:rsidR="00242AEE" w:rsidRPr="00A935AA" w:rsidRDefault="00242AEE" w:rsidP="003B3977">
            <w:pPr>
              <w:tabs>
                <w:tab w:val="left" w:pos="-1440"/>
                <w:tab w:val="left" w:pos="-720"/>
              </w:tabs>
              <w:rPr>
                <w:sz w:val="20"/>
                <w:szCs w:val="20"/>
              </w:rPr>
            </w:pPr>
            <w:r w:rsidRPr="00A935AA">
              <w:rPr>
                <w:sz w:val="20"/>
                <w:szCs w:val="20"/>
              </w:rPr>
              <w:tab/>
            </w:r>
            <w:r w:rsidR="00C54DDC">
              <w:rPr>
                <w:sz w:val="20"/>
                <w:szCs w:val="20"/>
              </w:rPr>
              <w:t>Simon Renouf Professional Corporation</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906464">
              <w:rPr>
                <w:sz w:val="20"/>
                <w:szCs w:val="20"/>
              </w:rPr>
              <w:t>5</w:t>
            </w:r>
            <w:r w:rsidR="00C54DDC">
              <w:rPr>
                <w:sz w:val="20"/>
                <w:szCs w:val="20"/>
              </w:rPr>
              <w:t>627</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C54DDC" w:rsidP="003B3977">
            <w:pPr>
              <w:tabs>
                <w:tab w:val="left" w:pos="-1440"/>
                <w:tab w:val="left" w:pos="-720"/>
              </w:tabs>
              <w:rPr>
                <w:b/>
                <w:sz w:val="20"/>
                <w:szCs w:val="20"/>
              </w:rPr>
            </w:pPr>
            <w:r>
              <w:rPr>
                <w:b/>
                <w:sz w:val="20"/>
                <w:szCs w:val="20"/>
              </w:rPr>
              <w:t xml:space="preserve">Governors of the University of Alberta and University Appeal Board </w:t>
            </w:r>
            <w:r w:rsidR="00242AEE" w:rsidRPr="00A935AA">
              <w:rPr>
                <w:b/>
                <w:sz w:val="20"/>
                <w:szCs w:val="20"/>
              </w:rPr>
              <w:t>(</w:t>
            </w:r>
            <w:r>
              <w:rPr>
                <w:b/>
                <w:sz w:val="20"/>
                <w:szCs w:val="20"/>
              </w:rPr>
              <w:t>Alta</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C54DDC">
              <w:rPr>
                <w:sz w:val="20"/>
                <w:szCs w:val="20"/>
              </w:rPr>
              <w:t>Gregory Harding, Q.C.</w:t>
            </w:r>
          </w:p>
          <w:p w:rsidR="00242AEE" w:rsidRPr="00A935AA" w:rsidRDefault="00242AEE" w:rsidP="003B3977">
            <w:pPr>
              <w:tabs>
                <w:tab w:val="left" w:pos="-1440"/>
                <w:tab w:val="left" w:pos="-720"/>
              </w:tabs>
              <w:rPr>
                <w:sz w:val="20"/>
                <w:szCs w:val="20"/>
              </w:rPr>
            </w:pPr>
            <w:r w:rsidRPr="00A935AA">
              <w:rPr>
                <w:sz w:val="20"/>
                <w:szCs w:val="20"/>
              </w:rPr>
              <w:tab/>
            </w:r>
            <w:r w:rsidR="00C54DDC">
              <w:rPr>
                <w:sz w:val="20"/>
                <w:szCs w:val="20"/>
              </w:rPr>
              <w:t>Field LLP</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 2</w:t>
            </w:r>
            <w:r w:rsidR="00C54DDC">
              <w:rPr>
                <w:sz w:val="20"/>
                <w:szCs w:val="20"/>
              </w:rPr>
              <w:t>2</w:t>
            </w:r>
            <w:r w:rsidRPr="00A935AA">
              <w:rPr>
                <w:sz w:val="20"/>
                <w:szCs w:val="20"/>
              </w:rPr>
              <w:t>.</w:t>
            </w:r>
            <w:r w:rsidR="00906464">
              <w:rPr>
                <w:sz w:val="20"/>
                <w:szCs w:val="20"/>
              </w:rPr>
              <w:t>1</w:t>
            </w:r>
            <w:r w:rsidR="00C54DDC">
              <w:rPr>
                <w:sz w:val="20"/>
                <w:szCs w:val="20"/>
              </w:rPr>
              <w:t>1</w:t>
            </w:r>
            <w:r w:rsidRPr="00A935AA">
              <w:rPr>
                <w:sz w:val="20"/>
                <w:szCs w:val="20"/>
              </w:rPr>
              <w:t>.201</w:t>
            </w:r>
            <w:r w:rsidR="00906464">
              <w:rPr>
                <w:sz w:val="20"/>
                <w:szCs w:val="20"/>
              </w:rPr>
              <w:t>3</w:t>
            </w:r>
          </w:p>
          <w:p w:rsidR="00242AEE" w:rsidRPr="00A935AA" w:rsidRDefault="00A47393" w:rsidP="003B3977">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C54DDC" w:rsidRDefault="00C54DDC" w:rsidP="003B3977">
            <w:pPr>
              <w:keepNext/>
              <w:keepLines/>
              <w:tabs>
                <w:tab w:val="left" w:pos="-1440"/>
                <w:tab w:val="left" w:pos="-720"/>
              </w:tabs>
              <w:rPr>
                <w:b/>
                <w:sz w:val="20"/>
                <w:szCs w:val="20"/>
                <w:lang w:val="fr-CA"/>
              </w:rPr>
            </w:pPr>
            <w:r w:rsidRPr="00C54DDC">
              <w:rPr>
                <w:b/>
                <w:sz w:val="20"/>
                <w:szCs w:val="20"/>
                <w:lang w:val="fr-CA"/>
              </w:rPr>
              <w:t>Camp Jardin</w:t>
            </w:r>
            <w:r>
              <w:rPr>
                <w:b/>
                <w:sz w:val="20"/>
                <w:szCs w:val="20"/>
                <w:lang w:val="fr-CA"/>
              </w:rPr>
              <w:t xml:space="preserve"> (Gan) d’Israël</w:t>
            </w:r>
          </w:p>
          <w:p w:rsidR="00242AEE" w:rsidRPr="00C54DDC" w:rsidRDefault="00242AEE" w:rsidP="003B3977">
            <w:pPr>
              <w:keepNext/>
              <w:keepLines/>
              <w:tabs>
                <w:tab w:val="left" w:pos="-1440"/>
                <w:tab w:val="left" w:pos="-720"/>
              </w:tabs>
              <w:rPr>
                <w:sz w:val="20"/>
                <w:szCs w:val="20"/>
                <w:lang w:val="fr-CA"/>
              </w:rPr>
            </w:pPr>
            <w:r w:rsidRPr="00C54DDC">
              <w:rPr>
                <w:sz w:val="20"/>
                <w:szCs w:val="20"/>
                <w:lang w:val="fr-CA"/>
              </w:rPr>
              <w:tab/>
            </w:r>
            <w:r w:rsidR="00C54DDC">
              <w:rPr>
                <w:sz w:val="20"/>
                <w:szCs w:val="20"/>
                <w:lang w:val="fr-CA"/>
              </w:rPr>
              <w:t>Sébastien Dorion</w:t>
            </w:r>
          </w:p>
          <w:p w:rsidR="00242AEE" w:rsidRPr="00C54DDC" w:rsidRDefault="00242AEE" w:rsidP="003B3977">
            <w:pPr>
              <w:keepNext/>
              <w:keepLines/>
              <w:tabs>
                <w:tab w:val="left" w:pos="-1440"/>
                <w:tab w:val="left" w:pos="-720"/>
              </w:tabs>
              <w:rPr>
                <w:sz w:val="20"/>
                <w:szCs w:val="20"/>
                <w:lang w:val="fr-CA"/>
              </w:rPr>
            </w:pPr>
            <w:r w:rsidRPr="00C54DDC">
              <w:rPr>
                <w:sz w:val="20"/>
                <w:szCs w:val="20"/>
                <w:lang w:val="fr-CA"/>
              </w:rPr>
              <w:tab/>
            </w:r>
            <w:r w:rsidR="00C54DDC">
              <w:rPr>
                <w:sz w:val="20"/>
                <w:szCs w:val="20"/>
                <w:lang w:val="fr-CA"/>
              </w:rPr>
              <w:t>Dunton Rainville</w:t>
            </w:r>
          </w:p>
          <w:p w:rsidR="00242AEE" w:rsidRPr="00C54DDC" w:rsidRDefault="00242AEE" w:rsidP="003B3977">
            <w:pPr>
              <w:keepNext/>
              <w:keepLines/>
              <w:tabs>
                <w:tab w:val="left" w:pos="-1440"/>
                <w:tab w:val="left" w:pos="-720"/>
              </w:tabs>
              <w:rPr>
                <w:sz w:val="20"/>
                <w:szCs w:val="20"/>
                <w:lang w:val="fr-CA"/>
              </w:rPr>
            </w:pPr>
          </w:p>
          <w:p w:rsidR="00242AEE" w:rsidRPr="00A935AA" w:rsidRDefault="00242AEE" w:rsidP="003B3977">
            <w:pPr>
              <w:keepNext/>
              <w:keepLines/>
              <w:tabs>
                <w:tab w:val="left" w:pos="-1440"/>
                <w:tab w:val="left" w:pos="-720"/>
              </w:tabs>
              <w:rPr>
                <w:sz w:val="20"/>
                <w:szCs w:val="20"/>
                <w:lang w:val="fr-CA"/>
              </w:rPr>
            </w:pPr>
            <w:r w:rsidRPr="00C54DDC">
              <w:rPr>
                <w:sz w:val="20"/>
                <w:szCs w:val="20"/>
                <w:lang w:val="fr-CA"/>
              </w:rPr>
              <w:tab/>
            </w:r>
            <w:r w:rsidR="00C54DDC">
              <w:rPr>
                <w:sz w:val="20"/>
                <w:szCs w:val="20"/>
                <w:lang w:val="fr-CA"/>
              </w:rPr>
              <w:t>c</w:t>
            </w:r>
            <w:r w:rsidRPr="00A935AA">
              <w:rPr>
                <w:sz w:val="20"/>
                <w:szCs w:val="20"/>
                <w:lang w:val="fr-CA"/>
              </w:rPr>
              <w:t>. (3</w:t>
            </w:r>
            <w:r w:rsidR="00906464">
              <w:rPr>
                <w:sz w:val="20"/>
                <w:szCs w:val="20"/>
                <w:lang w:val="fr-CA"/>
              </w:rPr>
              <w:t>5</w:t>
            </w:r>
            <w:r w:rsidR="00C54DDC">
              <w:rPr>
                <w:sz w:val="20"/>
                <w:szCs w:val="20"/>
                <w:lang w:val="fr-CA"/>
              </w:rPr>
              <w:t>637</w:t>
            </w:r>
            <w:r w:rsidRPr="00A935AA">
              <w:rPr>
                <w:sz w:val="20"/>
                <w:szCs w:val="20"/>
                <w:lang w:val="fr-CA"/>
              </w:rPr>
              <w:t>)</w:t>
            </w:r>
          </w:p>
          <w:p w:rsidR="00242AEE" w:rsidRPr="00A935AA" w:rsidRDefault="00242AEE" w:rsidP="003B3977">
            <w:pPr>
              <w:keepNext/>
              <w:keepLines/>
              <w:tabs>
                <w:tab w:val="left" w:pos="-1440"/>
                <w:tab w:val="left" w:pos="-720"/>
              </w:tabs>
              <w:rPr>
                <w:sz w:val="20"/>
                <w:szCs w:val="20"/>
                <w:lang w:val="fr-CA"/>
              </w:rPr>
            </w:pPr>
          </w:p>
          <w:p w:rsidR="00242AEE" w:rsidRPr="00A935AA" w:rsidRDefault="00C54DDC" w:rsidP="003B3977">
            <w:pPr>
              <w:keepNext/>
              <w:keepLines/>
              <w:tabs>
                <w:tab w:val="left" w:pos="-1440"/>
                <w:tab w:val="left" w:pos="-720"/>
              </w:tabs>
              <w:rPr>
                <w:b/>
                <w:sz w:val="20"/>
                <w:szCs w:val="20"/>
                <w:lang w:val="fr-CA"/>
              </w:rPr>
            </w:pPr>
            <w:r>
              <w:rPr>
                <w:b/>
                <w:sz w:val="20"/>
                <w:szCs w:val="20"/>
                <w:lang w:val="fr-CA"/>
              </w:rPr>
              <w:t xml:space="preserve">Municipalité de la Minerve </w:t>
            </w:r>
            <w:r w:rsidR="00242AEE" w:rsidRPr="00A935AA">
              <w:rPr>
                <w:b/>
                <w:sz w:val="20"/>
                <w:szCs w:val="20"/>
                <w:lang w:val="fr-CA"/>
              </w:rPr>
              <w:t>(</w:t>
            </w:r>
            <w:r>
              <w:rPr>
                <w:b/>
                <w:sz w:val="20"/>
                <w:szCs w:val="20"/>
                <w:lang w:val="fr-CA"/>
              </w:rPr>
              <w:t>Qc</w:t>
            </w:r>
            <w:r w:rsidR="00242AEE" w:rsidRPr="00A935AA">
              <w:rPr>
                <w:b/>
                <w:sz w:val="20"/>
                <w:szCs w:val="20"/>
                <w:lang w:val="fr-CA"/>
              </w:rPr>
              <w:t>)</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C54DDC">
              <w:rPr>
                <w:sz w:val="20"/>
                <w:szCs w:val="20"/>
                <w:lang w:val="fr-CA"/>
              </w:rPr>
              <w:t>Carole St-Jean</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C54DDC">
              <w:rPr>
                <w:sz w:val="20"/>
                <w:szCs w:val="20"/>
                <w:lang w:val="fr-CA"/>
              </w:rPr>
              <w:t>Godard, Bélisle, St-Jean &amp; Associés</w:t>
            </w:r>
          </w:p>
          <w:p w:rsidR="00242AEE" w:rsidRPr="00A935AA" w:rsidRDefault="00242AEE" w:rsidP="003B3977">
            <w:pPr>
              <w:keepNext/>
              <w:keepLines/>
              <w:tabs>
                <w:tab w:val="left" w:pos="-1440"/>
                <w:tab w:val="left" w:pos="-720"/>
              </w:tabs>
              <w:rPr>
                <w:sz w:val="20"/>
                <w:szCs w:val="20"/>
                <w:lang w:val="fr-CA"/>
              </w:rPr>
            </w:pPr>
          </w:p>
          <w:p w:rsidR="00242AEE" w:rsidRPr="00C54DDC" w:rsidRDefault="00242AEE" w:rsidP="00C54DDC">
            <w:pPr>
              <w:rPr>
                <w:sz w:val="20"/>
                <w:szCs w:val="20"/>
                <w:lang w:val="fr-CA"/>
              </w:rPr>
            </w:pPr>
            <w:r w:rsidRPr="00C54DDC">
              <w:rPr>
                <w:sz w:val="20"/>
                <w:szCs w:val="20"/>
                <w:lang w:val="fr-CA"/>
              </w:rPr>
              <w:t>DATE</w:t>
            </w:r>
            <w:r w:rsidR="00C54DDC" w:rsidRPr="00C54DDC">
              <w:rPr>
                <w:sz w:val="20"/>
                <w:szCs w:val="20"/>
                <w:lang w:val="fr-CA"/>
              </w:rPr>
              <w:t xml:space="preserve"> DE PRODUCTION </w:t>
            </w:r>
            <w:r w:rsidRPr="00C54DDC">
              <w:rPr>
                <w:sz w:val="20"/>
                <w:szCs w:val="20"/>
                <w:lang w:val="fr-CA"/>
              </w:rPr>
              <w:t xml:space="preserve">: </w:t>
            </w:r>
            <w:r w:rsidR="00C54DDC" w:rsidRPr="00C54DDC">
              <w:rPr>
                <w:sz w:val="20"/>
                <w:szCs w:val="20"/>
                <w:lang w:val="fr-CA"/>
              </w:rPr>
              <w:t>0</w:t>
            </w:r>
            <w:r w:rsidRPr="00C54DDC">
              <w:rPr>
                <w:sz w:val="20"/>
                <w:szCs w:val="20"/>
                <w:lang w:val="fr-CA"/>
              </w:rPr>
              <w:t>2.</w:t>
            </w:r>
            <w:r w:rsidR="00906464" w:rsidRPr="00C54DDC">
              <w:rPr>
                <w:sz w:val="20"/>
                <w:szCs w:val="20"/>
                <w:lang w:val="fr-CA"/>
              </w:rPr>
              <w:t>12</w:t>
            </w:r>
            <w:r w:rsidRPr="00C54DDC">
              <w:rPr>
                <w:sz w:val="20"/>
                <w:szCs w:val="20"/>
                <w:lang w:val="fr-CA"/>
              </w:rPr>
              <w:t>.201</w:t>
            </w:r>
            <w:r w:rsidR="00906464" w:rsidRPr="00C54DDC">
              <w:rPr>
                <w:sz w:val="20"/>
                <w:szCs w:val="20"/>
                <w:lang w:val="fr-CA"/>
              </w:rPr>
              <w:t>3</w:t>
            </w:r>
            <w:r w:rsidR="00A47393">
              <w:rPr>
                <w:sz w:val="20"/>
                <w:szCs w:val="20"/>
                <w:lang w:val="fr-CA"/>
              </w:rPr>
              <w:pict>
                <v:rect id="_x0000_i1026" style="width:108pt;height:1pt" o:hrpct="0" o:hralign="center" o:hrstd="t" o:hrnoshade="t" o:hr="t" fillcolor="black [3213]" stroked="f"/>
              </w:pict>
            </w:r>
          </w:p>
        </w:tc>
      </w:tr>
      <w:tr w:rsidR="00906464" w:rsidRPr="00A935AA" w:rsidTr="003B3977">
        <w:tc>
          <w:tcPr>
            <w:tcW w:w="4320" w:type="dxa"/>
            <w:shd w:val="clear" w:color="auto" w:fill="auto"/>
          </w:tcPr>
          <w:p w:rsidR="00C54DDC" w:rsidRDefault="00C54DDC" w:rsidP="00C54DDC">
            <w:pPr>
              <w:rPr>
                <w:b/>
                <w:sz w:val="20"/>
                <w:szCs w:val="20"/>
                <w:lang w:val="fr-CA"/>
              </w:rPr>
            </w:pPr>
          </w:p>
          <w:p w:rsidR="00906464" w:rsidRPr="00A935AA" w:rsidRDefault="00C54DDC" w:rsidP="00C54DDC">
            <w:pPr>
              <w:rPr>
                <w:b/>
                <w:sz w:val="20"/>
                <w:szCs w:val="20"/>
              </w:rPr>
            </w:pPr>
            <w:r>
              <w:rPr>
                <w:b/>
                <w:sz w:val="20"/>
                <w:szCs w:val="20"/>
              </w:rPr>
              <w:t>Joe Chan</w:t>
            </w:r>
          </w:p>
          <w:p w:rsidR="00906464" w:rsidRPr="00A935AA" w:rsidRDefault="00906464" w:rsidP="00C54DDC">
            <w:pPr>
              <w:tabs>
                <w:tab w:val="left" w:pos="-1440"/>
                <w:tab w:val="left" w:pos="-720"/>
              </w:tabs>
              <w:rPr>
                <w:sz w:val="20"/>
                <w:szCs w:val="20"/>
              </w:rPr>
            </w:pPr>
            <w:r w:rsidRPr="00A935AA">
              <w:rPr>
                <w:sz w:val="20"/>
                <w:szCs w:val="20"/>
              </w:rPr>
              <w:tab/>
            </w:r>
            <w:r w:rsidR="00C54DDC">
              <w:rPr>
                <w:sz w:val="20"/>
                <w:szCs w:val="20"/>
              </w:rPr>
              <w:t>David Matas</w:t>
            </w:r>
          </w:p>
          <w:p w:rsidR="00906464" w:rsidRPr="00A935AA" w:rsidRDefault="00906464" w:rsidP="00C54DDC">
            <w:pPr>
              <w:tabs>
                <w:tab w:val="left" w:pos="-1440"/>
                <w:tab w:val="left" w:pos="-720"/>
              </w:tabs>
              <w:rPr>
                <w:sz w:val="20"/>
                <w:szCs w:val="20"/>
              </w:rPr>
            </w:pPr>
          </w:p>
          <w:p w:rsidR="00906464" w:rsidRPr="00A935AA" w:rsidRDefault="00906464" w:rsidP="00C54DDC">
            <w:pPr>
              <w:tabs>
                <w:tab w:val="left" w:pos="-1440"/>
                <w:tab w:val="left" w:pos="-720"/>
              </w:tabs>
              <w:rPr>
                <w:sz w:val="20"/>
                <w:szCs w:val="20"/>
              </w:rPr>
            </w:pPr>
            <w:r w:rsidRPr="00A935AA">
              <w:rPr>
                <w:sz w:val="20"/>
                <w:szCs w:val="20"/>
              </w:rPr>
              <w:tab/>
              <w:t>v. (3</w:t>
            </w:r>
            <w:r>
              <w:rPr>
                <w:sz w:val="20"/>
                <w:szCs w:val="20"/>
              </w:rPr>
              <w:t>5</w:t>
            </w:r>
            <w:r w:rsidR="00C54DDC">
              <w:rPr>
                <w:sz w:val="20"/>
                <w:szCs w:val="20"/>
              </w:rPr>
              <w:t>636</w:t>
            </w:r>
            <w:r w:rsidRPr="00A935AA">
              <w:rPr>
                <w:sz w:val="20"/>
                <w:szCs w:val="20"/>
              </w:rPr>
              <w:t>)</w:t>
            </w:r>
          </w:p>
          <w:p w:rsidR="00906464" w:rsidRPr="00A935AA" w:rsidRDefault="00906464" w:rsidP="00C54DDC">
            <w:pPr>
              <w:tabs>
                <w:tab w:val="left" w:pos="-1440"/>
                <w:tab w:val="left" w:pos="-720"/>
              </w:tabs>
              <w:rPr>
                <w:sz w:val="20"/>
                <w:szCs w:val="20"/>
              </w:rPr>
            </w:pPr>
          </w:p>
          <w:p w:rsidR="00906464" w:rsidRPr="00A935AA" w:rsidRDefault="00C54DDC" w:rsidP="00C54DDC">
            <w:pPr>
              <w:tabs>
                <w:tab w:val="left" w:pos="-1440"/>
                <w:tab w:val="left" w:pos="-720"/>
              </w:tabs>
              <w:rPr>
                <w:b/>
                <w:sz w:val="20"/>
                <w:szCs w:val="20"/>
              </w:rPr>
            </w:pPr>
            <w:r>
              <w:rPr>
                <w:b/>
                <w:sz w:val="20"/>
                <w:szCs w:val="20"/>
              </w:rPr>
              <w:t xml:space="preserve">Samuel Michael Katz </w:t>
            </w:r>
            <w:r w:rsidR="00906464" w:rsidRPr="00A935AA">
              <w:rPr>
                <w:b/>
                <w:sz w:val="20"/>
                <w:szCs w:val="20"/>
              </w:rPr>
              <w:t>(</w:t>
            </w:r>
            <w:r>
              <w:rPr>
                <w:b/>
                <w:sz w:val="20"/>
                <w:szCs w:val="20"/>
              </w:rPr>
              <w:t>Man</w:t>
            </w:r>
            <w:r w:rsidR="00906464" w:rsidRPr="00A935AA">
              <w:rPr>
                <w:b/>
                <w:sz w:val="20"/>
                <w:szCs w:val="20"/>
              </w:rPr>
              <w:t>.)</w:t>
            </w:r>
          </w:p>
          <w:p w:rsidR="00906464" w:rsidRPr="00A935AA" w:rsidRDefault="00906464" w:rsidP="00C54DDC">
            <w:pPr>
              <w:tabs>
                <w:tab w:val="left" w:pos="-1440"/>
                <w:tab w:val="left" w:pos="-720"/>
              </w:tabs>
              <w:rPr>
                <w:sz w:val="20"/>
                <w:szCs w:val="20"/>
              </w:rPr>
            </w:pPr>
            <w:r w:rsidRPr="00A935AA">
              <w:rPr>
                <w:sz w:val="20"/>
                <w:szCs w:val="20"/>
              </w:rPr>
              <w:tab/>
            </w:r>
            <w:r w:rsidR="00C54DDC">
              <w:rPr>
                <w:sz w:val="20"/>
                <w:szCs w:val="20"/>
              </w:rPr>
              <w:t>Robert L. Tapper</w:t>
            </w:r>
          </w:p>
          <w:p w:rsidR="00906464" w:rsidRPr="00A935AA" w:rsidRDefault="00906464" w:rsidP="00C54DDC">
            <w:pPr>
              <w:tabs>
                <w:tab w:val="left" w:pos="-1440"/>
                <w:tab w:val="left" w:pos="-720"/>
              </w:tabs>
              <w:rPr>
                <w:sz w:val="20"/>
                <w:szCs w:val="20"/>
              </w:rPr>
            </w:pPr>
            <w:r w:rsidRPr="00A935AA">
              <w:rPr>
                <w:sz w:val="20"/>
                <w:szCs w:val="20"/>
              </w:rPr>
              <w:tab/>
            </w:r>
            <w:r w:rsidR="00C54DDC">
              <w:rPr>
                <w:sz w:val="20"/>
                <w:szCs w:val="20"/>
              </w:rPr>
              <w:t>Tapper Cuddy LLP</w:t>
            </w:r>
          </w:p>
          <w:p w:rsidR="00906464" w:rsidRPr="00A935AA" w:rsidRDefault="00906464" w:rsidP="00C54DDC">
            <w:pPr>
              <w:tabs>
                <w:tab w:val="left" w:pos="-1440"/>
                <w:tab w:val="left" w:pos="-720"/>
              </w:tabs>
              <w:rPr>
                <w:sz w:val="20"/>
                <w:szCs w:val="20"/>
              </w:rPr>
            </w:pPr>
          </w:p>
          <w:p w:rsidR="00906464" w:rsidRPr="00A935AA" w:rsidRDefault="00906464" w:rsidP="00C54DDC">
            <w:pPr>
              <w:rPr>
                <w:sz w:val="20"/>
                <w:szCs w:val="20"/>
              </w:rPr>
            </w:pPr>
            <w:r w:rsidRPr="00A935AA">
              <w:rPr>
                <w:sz w:val="20"/>
                <w:szCs w:val="20"/>
              </w:rPr>
              <w:t>FILING DATE: 2</w:t>
            </w:r>
            <w:r w:rsidR="00C54DDC">
              <w:rPr>
                <w:sz w:val="20"/>
                <w:szCs w:val="20"/>
              </w:rPr>
              <w:t>9</w:t>
            </w:r>
            <w:r w:rsidRPr="00A935AA">
              <w:rPr>
                <w:sz w:val="20"/>
                <w:szCs w:val="20"/>
              </w:rPr>
              <w:t>.</w:t>
            </w:r>
            <w:r>
              <w:rPr>
                <w:sz w:val="20"/>
                <w:szCs w:val="20"/>
              </w:rPr>
              <w:t>1</w:t>
            </w:r>
            <w:r w:rsidR="00C54DDC">
              <w:rPr>
                <w:sz w:val="20"/>
                <w:szCs w:val="20"/>
              </w:rPr>
              <w:t>1</w:t>
            </w:r>
            <w:r w:rsidRPr="00A935AA">
              <w:rPr>
                <w:sz w:val="20"/>
                <w:szCs w:val="20"/>
              </w:rPr>
              <w:t>.201</w:t>
            </w:r>
            <w:r>
              <w:rPr>
                <w:sz w:val="20"/>
                <w:szCs w:val="20"/>
              </w:rPr>
              <w:t>3</w:t>
            </w:r>
          </w:p>
          <w:p w:rsidR="00906464" w:rsidRPr="00A935AA" w:rsidRDefault="00A47393" w:rsidP="00C54DDC">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tc>
        <w:tc>
          <w:tcPr>
            <w:tcW w:w="4320" w:type="dxa"/>
            <w:shd w:val="clear" w:color="auto" w:fill="auto"/>
          </w:tcPr>
          <w:p w:rsidR="00906464" w:rsidRPr="00A935AA" w:rsidRDefault="00C54DDC" w:rsidP="00C54DDC">
            <w:pPr>
              <w:keepNext/>
              <w:keepLines/>
              <w:tabs>
                <w:tab w:val="left" w:pos="-1440"/>
                <w:tab w:val="left" w:pos="-720"/>
              </w:tabs>
              <w:rPr>
                <w:b/>
                <w:sz w:val="20"/>
                <w:szCs w:val="20"/>
              </w:rPr>
            </w:pPr>
            <w:r>
              <w:rPr>
                <w:b/>
                <w:sz w:val="20"/>
                <w:szCs w:val="20"/>
              </w:rPr>
              <w:t xml:space="preserve">Her Majesty the Queen </w:t>
            </w:r>
          </w:p>
          <w:p w:rsidR="00906464" w:rsidRPr="00A935AA" w:rsidRDefault="00906464" w:rsidP="00C54DDC">
            <w:pPr>
              <w:keepNext/>
              <w:keepLines/>
              <w:tabs>
                <w:tab w:val="left" w:pos="-1440"/>
                <w:tab w:val="left" w:pos="-720"/>
              </w:tabs>
              <w:rPr>
                <w:sz w:val="20"/>
                <w:szCs w:val="20"/>
              </w:rPr>
            </w:pPr>
            <w:r w:rsidRPr="00A935AA">
              <w:rPr>
                <w:sz w:val="20"/>
                <w:szCs w:val="20"/>
              </w:rPr>
              <w:tab/>
            </w:r>
            <w:r w:rsidR="00C54DDC">
              <w:rPr>
                <w:sz w:val="20"/>
                <w:szCs w:val="20"/>
              </w:rPr>
              <w:t>Susan J. Brown</w:t>
            </w:r>
          </w:p>
          <w:p w:rsidR="00906464" w:rsidRPr="00A935AA" w:rsidRDefault="00906464" w:rsidP="00C54DDC">
            <w:pPr>
              <w:keepNext/>
              <w:keepLines/>
              <w:tabs>
                <w:tab w:val="left" w:pos="-1440"/>
                <w:tab w:val="left" w:pos="-720"/>
              </w:tabs>
              <w:rPr>
                <w:sz w:val="20"/>
                <w:szCs w:val="20"/>
              </w:rPr>
            </w:pPr>
            <w:r w:rsidRPr="00A935AA">
              <w:rPr>
                <w:sz w:val="20"/>
                <w:szCs w:val="20"/>
              </w:rPr>
              <w:tab/>
            </w:r>
            <w:r w:rsidR="00C54DDC">
              <w:rPr>
                <w:sz w:val="20"/>
                <w:szCs w:val="20"/>
              </w:rPr>
              <w:t>A.G. of British Columbia</w:t>
            </w:r>
          </w:p>
          <w:p w:rsidR="00906464" w:rsidRPr="00A935AA" w:rsidRDefault="00906464" w:rsidP="00C54DDC">
            <w:pPr>
              <w:keepNext/>
              <w:keepLines/>
              <w:tabs>
                <w:tab w:val="left" w:pos="-1440"/>
                <w:tab w:val="left" w:pos="-720"/>
              </w:tabs>
              <w:rPr>
                <w:sz w:val="20"/>
                <w:szCs w:val="20"/>
              </w:rPr>
            </w:pPr>
          </w:p>
          <w:p w:rsidR="00906464" w:rsidRPr="00C54DDC" w:rsidRDefault="00906464" w:rsidP="00C54DDC">
            <w:pPr>
              <w:keepNext/>
              <w:keepLines/>
              <w:tabs>
                <w:tab w:val="left" w:pos="-1440"/>
                <w:tab w:val="left" w:pos="-720"/>
              </w:tabs>
              <w:rPr>
                <w:sz w:val="20"/>
                <w:szCs w:val="20"/>
              </w:rPr>
            </w:pPr>
            <w:r w:rsidRPr="00A935AA">
              <w:rPr>
                <w:sz w:val="20"/>
                <w:szCs w:val="20"/>
              </w:rPr>
              <w:tab/>
            </w:r>
            <w:r w:rsidRPr="00C54DDC">
              <w:rPr>
                <w:sz w:val="20"/>
                <w:szCs w:val="20"/>
              </w:rPr>
              <w:t>v. (35</w:t>
            </w:r>
            <w:r w:rsidR="00C54DDC">
              <w:rPr>
                <w:sz w:val="20"/>
                <w:szCs w:val="20"/>
              </w:rPr>
              <w:t>638</w:t>
            </w:r>
            <w:r w:rsidRPr="00C54DDC">
              <w:rPr>
                <w:sz w:val="20"/>
                <w:szCs w:val="20"/>
              </w:rPr>
              <w:t>)</w:t>
            </w:r>
          </w:p>
          <w:p w:rsidR="00906464" w:rsidRPr="00C54DDC" w:rsidRDefault="00906464" w:rsidP="00C54DDC">
            <w:pPr>
              <w:keepNext/>
              <w:keepLines/>
              <w:tabs>
                <w:tab w:val="left" w:pos="-1440"/>
                <w:tab w:val="left" w:pos="-720"/>
              </w:tabs>
              <w:rPr>
                <w:sz w:val="20"/>
                <w:szCs w:val="20"/>
              </w:rPr>
            </w:pPr>
          </w:p>
          <w:p w:rsidR="00906464" w:rsidRPr="00C54DDC" w:rsidRDefault="00C54DDC" w:rsidP="00C54DDC">
            <w:pPr>
              <w:keepNext/>
              <w:keepLines/>
              <w:tabs>
                <w:tab w:val="left" w:pos="-1440"/>
                <w:tab w:val="left" w:pos="-720"/>
              </w:tabs>
              <w:rPr>
                <w:b/>
                <w:sz w:val="20"/>
                <w:szCs w:val="20"/>
              </w:rPr>
            </w:pPr>
            <w:r>
              <w:rPr>
                <w:b/>
                <w:sz w:val="20"/>
                <w:szCs w:val="20"/>
              </w:rPr>
              <w:t xml:space="preserve">Davey Mato Butorac </w:t>
            </w:r>
            <w:r w:rsidR="00906464" w:rsidRPr="00C54DDC">
              <w:rPr>
                <w:b/>
                <w:sz w:val="20"/>
                <w:szCs w:val="20"/>
              </w:rPr>
              <w:t>(</w:t>
            </w:r>
            <w:r>
              <w:rPr>
                <w:b/>
                <w:sz w:val="20"/>
                <w:szCs w:val="20"/>
              </w:rPr>
              <w:t>B.C</w:t>
            </w:r>
            <w:r w:rsidR="00906464" w:rsidRPr="00C54DDC">
              <w:rPr>
                <w:b/>
                <w:sz w:val="20"/>
                <w:szCs w:val="20"/>
              </w:rPr>
              <w:t>.)</w:t>
            </w:r>
          </w:p>
          <w:p w:rsidR="00906464" w:rsidRPr="00C54DDC" w:rsidRDefault="00906464" w:rsidP="00C54DDC">
            <w:pPr>
              <w:keepNext/>
              <w:keepLines/>
              <w:tabs>
                <w:tab w:val="left" w:pos="-1440"/>
                <w:tab w:val="left" w:pos="-720"/>
              </w:tabs>
              <w:rPr>
                <w:sz w:val="20"/>
                <w:szCs w:val="20"/>
              </w:rPr>
            </w:pPr>
            <w:r w:rsidRPr="00C54DDC">
              <w:rPr>
                <w:sz w:val="20"/>
                <w:szCs w:val="20"/>
              </w:rPr>
              <w:tab/>
            </w:r>
            <w:r w:rsidR="00C54DDC">
              <w:rPr>
                <w:sz w:val="20"/>
                <w:szCs w:val="20"/>
              </w:rPr>
              <w:t>Eric Purtzki</w:t>
            </w:r>
          </w:p>
          <w:p w:rsidR="00906464" w:rsidRPr="00C54DDC" w:rsidRDefault="00906464" w:rsidP="00C54DDC">
            <w:pPr>
              <w:keepNext/>
              <w:keepLines/>
              <w:tabs>
                <w:tab w:val="left" w:pos="-1440"/>
                <w:tab w:val="left" w:pos="-720"/>
              </w:tabs>
              <w:rPr>
                <w:sz w:val="20"/>
                <w:szCs w:val="20"/>
              </w:rPr>
            </w:pPr>
          </w:p>
          <w:p w:rsidR="00906464" w:rsidRPr="00A935AA" w:rsidRDefault="00906464" w:rsidP="00C54DDC">
            <w:pPr>
              <w:rPr>
                <w:sz w:val="20"/>
                <w:szCs w:val="20"/>
              </w:rPr>
            </w:pPr>
            <w:r w:rsidRPr="00A935AA">
              <w:rPr>
                <w:sz w:val="20"/>
                <w:szCs w:val="20"/>
              </w:rPr>
              <w:t xml:space="preserve">FILING DATE: </w:t>
            </w:r>
            <w:r w:rsidR="00C54DDC">
              <w:rPr>
                <w:sz w:val="20"/>
                <w:szCs w:val="20"/>
              </w:rPr>
              <w:t>0</w:t>
            </w:r>
            <w:r w:rsidRPr="00A935AA">
              <w:rPr>
                <w:sz w:val="20"/>
                <w:szCs w:val="20"/>
              </w:rPr>
              <w:t>2.</w:t>
            </w:r>
            <w:r>
              <w:rPr>
                <w:sz w:val="20"/>
                <w:szCs w:val="20"/>
              </w:rPr>
              <w:t>12</w:t>
            </w:r>
            <w:r w:rsidRPr="00A935AA">
              <w:rPr>
                <w:sz w:val="20"/>
                <w:szCs w:val="20"/>
              </w:rPr>
              <w:t>.201</w:t>
            </w:r>
            <w:r>
              <w:rPr>
                <w:sz w:val="20"/>
                <w:szCs w:val="20"/>
              </w:rPr>
              <w:t>3</w:t>
            </w:r>
            <w:r w:rsidR="00A47393">
              <w:rPr>
                <w:sz w:val="20"/>
                <w:szCs w:val="20"/>
                <w:lang w:val="fr-CA"/>
              </w:rPr>
              <w:pict>
                <v:rect id="_x0000_i1028" style="width:108pt;height:1pt" o:hrpct="0" o:hralign="center" o:hrstd="t" o:hrnoshade="t" o:hr="t" fillcolor="black [3213]" stroked="f"/>
              </w:pict>
            </w:r>
          </w:p>
        </w:tc>
      </w:tr>
      <w:tr w:rsidR="00906464" w:rsidRPr="00A935AA" w:rsidTr="003B3977">
        <w:tc>
          <w:tcPr>
            <w:tcW w:w="4320" w:type="dxa"/>
            <w:shd w:val="clear" w:color="auto" w:fill="auto"/>
          </w:tcPr>
          <w:p w:rsidR="00906464" w:rsidRDefault="00906464" w:rsidP="00C54DDC">
            <w:pPr>
              <w:rPr>
                <w:b/>
                <w:sz w:val="20"/>
                <w:szCs w:val="20"/>
              </w:rPr>
            </w:pPr>
          </w:p>
          <w:p w:rsidR="00C54DDC" w:rsidRPr="00A935AA" w:rsidRDefault="00C54DDC" w:rsidP="00C54DDC">
            <w:pPr>
              <w:rPr>
                <w:b/>
                <w:sz w:val="20"/>
                <w:szCs w:val="20"/>
              </w:rPr>
            </w:pPr>
            <w:r>
              <w:rPr>
                <w:b/>
                <w:sz w:val="20"/>
                <w:szCs w:val="20"/>
              </w:rPr>
              <w:t>Boleslaw Tadeusz Szocik</w:t>
            </w:r>
          </w:p>
          <w:p w:rsidR="00906464" w:rsidRPr="00A935AA" w:rsidRDefault="00906464" w:rsidP="00C54DDC">
            <w:pPr>
              <w:tabs>
                <w:tab w:val="left" w:pos="-1440"/>
                <w:tab w:val="left" w:pos="-720"/>
              </w:tabs>
              <w:rPr>
                <w:sz w:val="20"/>
                <w:szCs w:val="20"/>
              </w:rPr>
            </w:pPr>
            <w:r w:rsidRPr="00A935AA">
              <w:rPr>
                <w:sz w:val="20"/>
                <w:szCs w:val="20"/>
              </w:rPr>
              <w:tab/>
            </w:r>
            <w:r w:rsidR="00C54DDC">
              <w:rPr>
                <w:sz w:val="20"/>
                <w:szCs w:val="20"/>
              </w:rPr>
              <w:t>Michael S. Menkes</w:t>
            </w:r>
          </w:p>
          <w:p w:rsidR="00906464" w:rsidRPr="00A935AA" w:rsidRDefault="00906464" w:rsidP="00C54DDC">
            <w:pPr>
              <w:tabs>
                <w:tab w:val="left" w:pos="-1440"/>
                <w:tab w:val="left" w:pos="-720"/>
              </w:tabs>
              <w:rPr>
                <w:sz w:val="20"/>
                <w:szCs w:val="20"/>
              </w:rPr>
            </w:pPr>
          </w:p>
          <w:p w:rsidR="00906464" w:rsidRPr="00A935AA" w:rsidRDefault="00906464" w:rsidP="00C54DDC">
            <w:pPr>
              <w:tabs>
                <w:tab w:val="left" w:pos="-1440"/>
                <w:tab w:val="left" w:pos="-720"/>
              </w:tabs>
              <w:rPr>
                <w:sz w:val="20"/>
                <w:szCs w:val="20"/>
              </w:rPr>
            </w:pPr>
            <w:r w:rsidRPr="00A935AA">
              <w:rPr>
                <w:sz w:val="20"/>
                <w:szCs w:val="20"/>
              </w:rPr>
              <w:tab/>
              <w:t>v. (3</w:t>
            </w:r>
            <w:r>
              <w:rPr>
                <w:sz w:val="20"/>
                <w:szCs w:val="20"/>
              </w:rPr>
              <w:t>5</w:t>
            </w:r>
            <w:r w:rsidR="00C54DDC">
              <w:rPr>
                <w:sz w:val="20"/>
                <w:szCs w:val="20"/>
              </w:rPr>
              <w:t>645</w:t>
            </w:r>
            <w:r w:rsidRPr="00A935AA">
              <w:rPr>
                <w:sz w:val="20"/>
                <w:szCs w:val="20"/>
              </w:rPr>
              <w:t>)</w:t>
            </w:r>
          </w:p>
          <w:p w:rsidR="00906464" w:rsidRPr="00A935AA" w:rsidRDefault="00906464" w:rsidP="00C54DDC">
            <w:pPr>
              <w:tabs>
                <w:tab w:val="left" w:pos="-1440"/>
                <w:tab w:val="left" w:pos="-720"/>
              </w:tabs>
              <w:rPr>
                <w:sz w:val="20"/>
                <w:szCs w:val="20"/>
              </w:rPr>
            </w:pPr>
          </w:p>
          <w:p w:rsidR="00906464" w:rsidRPr="00A935AA" w:rsidRDefault="00C54DDC" w:rsidP="00C54DDC">
            <w:pPr>
              <w:tabs>
                <w:tab w:val="left" w:pos="-1440"/>
                <w:tab w:val="left" w:pos="-720"/>
              </w:tabs>
              <w:rPr>
                <w:b/>
                <w:sz w:val="20"/>
                <w:szCs w:val="20"/>
              </w:rPr>
            </w:pPr>
            <w:r>
              <w:rPr>
                <w:b/>
                <w:sz w:val="20"/>
                <w:szCs w:val="20"/>
              </w:rPr>
              <w:t>Attorney General of England and Wales (</w:t>
            </w:r>
            <w:r w:rsidR="00906464" w:rsidRPr="00A935AA">
              <w:rPr>
                <w:b/>
                <w:sz w:val="20"/>
                <w:szCs w:val="20"/>
              </w:rPr>
              <w:t>B.C.)</w:t>
            </w:r>
          </w:p>
          <w:p w:rsidR="00906464" w:rsidRPr="00A935AA" w:rsidRDefault="00906464" w:rsidP="00C54DDC">
            <w:pPr>
              <w:tabs>
                <w:tab w:val="left" w:pos="-1440"/>
                <w:tab w:val="left" w:pos="-720"/>
              </w:tabs>
              <w:rPr>
                <w:sz w:val="20"/>
                <w:szCs w:val="20"/>
              </w:rPr>
            </w:pPr>
            <w:r w:rsidRPr="00A935AA">
              <w:rPr>
                <w:sz w:val="20"/>
                <w:szCs w:val="20"/>
              </w:rPr>
              <w:tab/>
            </w:r>
            <w:r w:rsidR="00C54DDC">
              <w:rPr>
                <w:sz w:val="20"/>
                <w:szCs w:val="20"/>
              </w:rPr>
              <w:t>H. Elizabeth Allard</w:t>
            </w:r>
          </w:p>
          <w:p w:rsidR="00906464" w:rsidRPr="00A935AA" w:rsidRDefault="00906464" w:rsidP="00C54DDC">
            <w:pPr>
              <w:tabs>
                <w:tab w:val="left" w:pos="-1440"/>
                <w:tab w:val="left" w:pos="-720"/>
              </w:tabs>
              <w:rPr>
                <w:sz w:val="20"/>
                <w:szCs w:val="20"/>
              </w:rPr>
            </w:pPr>
            <w:r w:rsidRPr="00A935AA">
              <w:rPr>
                <w:sz w:val="20"/>
                <w:szCs w:val="20"/>
              </w:rPr>
              <w:tab/>
            </w:r>
            <w:r w:rsidR="00C54DDC">
              <w:rPr>
                <w:sz w:val="20"/>
                <w:szCs w:val="20"/>
              </w:rPr>
              <w:t>Bull, Housser &amp; Tupper LLP</w:t>
            </w:r>
          </w:p>
          <w:p w:rsidR="00906464" w:rsidRPr="00A935AA" w:rsidRDefault="00906464" w:rsidP="00C54DDC">
            <w:pPr>
              <w:tabs>
                <w:tab w:val="left" w:pos="-1440"/>
                <w:tab w:val="left" w:pos="-720"/>
              </w:tabs>
              <w:rPr>
                <w:sz w:val="20"/>
                <w:szCs w:val="20"/>
              </w:rPr>
            </w:pPr>
          </w:p>
          <w:p w:rsidR="00906464" w:rsidRPr="00A935AA" w:rsidRDefault="00906464" w:rsidP="00C54DDC">
            <w:pPr>
              <w:rPr>
                <w:sz w:val="20"/>
                <w:szCs w:val="20"/>
              </w:rPr>
            </w:pPr>
            <w:r w:rsidRPr="00A935AA">
              <w:rPr>
                <w:sz w:val="20"/>
                <w:szCs w:val="20"/>
              </w:rPr>
              <w:t xml:space="preserve">FILING DATE: </w:t>
            </w:r>
            <w:r w:rsidR="00C54DDC">
              <w:rPr>
                <w:sz w:val="20"/>
                <w:szCs w:val="20"/>
              </w:rPr>
              <w:t>09</w:t>
            </w:r>
            <w:r w:rsidRPr="00A935AA">
              <w:rPr>
                <w:sz w:val="20"/>
                <w:szCs w:val="20"/>
              </w:rPr>
              <w:t>.</w:t>
            </w:r>
            <w:r>
              <w:rPr>
                <w:sz w:val="20"/>
                <w:szCs w:val="20"/>
              </w:rPr>
              <w:t>12</w:t>
            </w:r>
            <w:r w:rsidRPr="00A935AA">
              <w:rPr>
                <w:sz w:val="20"/>
                <w:szCs w:val="20"/>
              </w:rPr>
              <w:t>.201</w:t>
            </w:r>
            <w:r>
              <w:rPr>
                <w:sz w:val="20"/>
                <w:szCs w:val="20"/>
              </w:rPr>
              <w:t>3</w:t>
            </w:r>
          </w:p>
          <w:p w:rsidR="00906464" w:rsidRPr="00A935AA" w:rsidRDefault="00A47393" w:rsidP="00C54DDC">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Default="00906464" w:rsidP="00242AEE">
            <w:pPr>
              <w:jc w:val="center"/>
              <w:rPr>
                <w:sz w:val="20"/>
                <w:szCs w:val="20"/>
              </w:rPr>
            </w:pPr>
          </w:p>
          <w:p w:rsidR="00906464" w:rsidRDefault="00906464" w:rsidP="00242AEE">
            <w:pPr>
              <w:jc w:val="center"/>
              <w:rPr>
                <w:sz w:val="20"/>
                <w:szCs w:val="20"/>
              </w:rPr>
            </w:pPr>
          </w:p>
          <w:p w:rsidR="00906464" w:rsidRPr="00A935AA" w:rsidRDefault="00906464" w:rsidP="00242AEE">
            <w:pPr>
              <w:jc w:val="center"/>
              <w:rPr>
                <w:sz w:val="20"/>
                <w:szCs w:val="20"/>
              </w:rPr>
            </w:pPr>
          </w:p>
        </w:tc>
        <w:tc>
          <w:tcPr>
            <w:tcW w:w="4320" w:type="dxa"/>
            <w:shd w:val="clear" w:color="auto" w:fill="auto"/>
          </w:tcPr>
          <w:p w:rsidR="00906464" w:rsidRPr="00A935AA" w:rsidRDefault="00A93122" w:rsidP="00C54DDC">
            <w:pPr>
              <w:keepNext/>
              <w:keepLines/>
              <w:tabs>
                <w:tab w:val="left" w:pos="-1440"/>
                <w:tab w:val="left" w:pos="-720"/>
              </w:tabs>
              <w:rPr>
                <w:b/>
                <w:sz w:val="20"/>
                <w:szCs w:val="20"/>
              </w:rPr>
            </w:pPr>
            <w:r>
              <w:rPr>
                <w:b/>
                <w:sz w:val="20"/>
                <w:szCs w:val="20"/>
              </w:rPr>
              <w:t>Jim Gauthier Chevrolet Oldsmobile Cadillac Ltd.</w:t>
            </w:r>
          </w:p>
          <w:p w:rsidR="00906464" w:rsidRPr="00A935AA" w:rsidRDefault="00906464" w:rsidP="00C54DDC">
            <w:pPr>
              <w:keepNext/>
              <w:keepLines/>
              <w:tabs>
                <w:tab w:val="left" w:pos="-1440"/>
                <w:tab w:val="left" w:pos="-720"/>
              </w:tabs>
              <w:rPr>
                <w:sz w:val="20"/>
                <w:szCs w:val="20"/>
              </w:rPr>
            </w:pPr>
            <w:r w:rsidRPr="00A935AA">
              <w:rPr>
                <w:sz w:val="20"/>
                <w:szCs w:val="20"/>
              </w:rPr>
              <w:tab/>
            </w:r>
            <w:r w:rsidR="00A93122">
              <w:rPr>
                <w:sz w:val="20"/>
                <w:szCs w:val="20"/>
              </w:rPr>
              <w:t>Dave G. Hill</w:t>
            </w:r>
          </w:p>
          <w:p w:rsidR="00906464" w:rsidRPr="00A935AA" w:rsidRDefault="00906464" w:rsidP="00C54DDC">
            <w:pPr>
              <w:keepNext/>
              <w:keepLines/>
              <w:tabs>
                <w:tab w:val="left" w:pos="-1440"/>
                <w:tab w:val="left" w:pos="-720"/>
              </w:tabs>
              <w:rPr>
                <w:sz w:val="20"/>
                <w:szCs w:val="20"/>
              </w:rPr>
            </w:pPr>
            <w:r w:rsidRPr="00A935AA">
              <w:rPr>
                <w:sz w:val="20"/>
                <w:szCs w:val="20"/>
              </w:rPr>
              <w:tab/>
            </w:r>
            <w:r w:rsidR="00A93122">
              <w:rPr>
                <w:sz w:val="20"/>
                <w:szCs w:val="20"/>
              </w:rPr>
              <w:t>Hill Sokalski Walsh Trippier LLP</w:t>
            </w:r>
          </w:p>
          <w:p w:rsidR="00906464" w:rsidRPr="00A935AA" w:rsidRDefault="00906464" w:rsidP="00C54DDC">
            <w:pPr>
              <w:keepNext/>
              <w:keepLines/>
              <w:tabs>
                <w:tab w:val="left" w:pos="-1440"/>
                <w:tab w:val="left" w:pos="-720"/>
              </w:tabs>
              <w:rPr>
                <w:sz w:val="20"/>
                <w:szCs w:val="20"/>
              </w:rPr>
            </w:pPr>
          </w:p>
          <w:p w:rsidR="00906464" w:rsidRPr="00C54DDC" w:rsidRDefault="00906464" w:rsidP="00C54DDC">
            <w:pPr>
              <w:keepNext/>
              <w:keepLines/>
              <w:tabs>
                <w:tab w:val="left" w:pos="-1440"/>
                <w:tab w:val="left" w:pos="-720"/>
              </w:tabs>
              <w:rPr>
                <w:sz w:val="20"/>
                <w:szCs w:val="20"/>
              </w:rPr>
            </w:pPr>
            <w:r w:rsidRPr="00A935AA">
              <w:rPr>
                <w:sz w:val="20"/>
                <w:szCs w:val="20"/>
              </w:rPr>
              <w:tab/>
            </w:r>
            <w:r w:rsidRPr="00C54DDC">
              <w:rPr>
                <w:sz w:val="20"/>
                <w:szCs w:val="20"/>
              </w:rPr>
              <w:t>v. (35</w:t>
            </w:r>
            <w:r w:rsidR="00A93122">
              <w:rPr>
                <w:sz w:val="20"/>
                <w:szCs w:val="20"/>
              </w:rPr>
              <w:t>646</w:t>
            </w:r>
            <w:r w:rsidRPr="00C54DDC">
              <w:rPr>
                <w:sz w:val="20"/>
                <w:szCs w:val="20"/>
              </w:rPr>
              <w:t>)</w:t>
            </w:r>
          </w:p>
          <w:p w:rsidR="00906464" w:rsidRPr="00C54DDC" w:rsidRDefault="00906464" w:rsidP="00C54DDC">
            <w:pPr>
              <w:keepNext/>
              <w:keepLines/>
              <w:tabs>
                <w:tab w:val="left" w:pos="-1440"/>
                <w:tab w:val="left" w:pos="-720"/>
              </w:tabs>
              <w:rPr>
                <w:sz w:val="20"/>
                <w:szCs w:val="20"/>
              </w:rPr>
            </w:pPr>
          </w:p>
          <w:p w:rsidR="00906464" w:rsidRPr="00C54DDC" w:rsidRDefault="00A93122" w:rsidP="00C54DDC">
            <w:pPr>
              <w:keepNext/>
              <w:keepLines/>
              <w:tabs>
                <w:tab w:val="left" w:pos="-1440"/>
                <w:tab w:val="left" w:pos="-720"/>
              </w:tabs>
              <w:rPr>
                <w:b/>
                <w:sz w:val="20"/>
                <w:szCs w:val="20"/>
              </w:rPr>
            </w:pPr>
            <w:r>
              <w:rPr>
                <w:b/>
                <w:sz w:val="20"/>
                <w:szCs w:val="20"/>
              </w:rPr>
              <w:t xml:space="preserve">Kelly Irvine </w:t>
            </w:r>
            <w:r w:rsidR="00906464" w:rsidRPr="00C54DDC">
              <w:rPr>
                <w:b/>
                <w:sz w:val="20"/>
                <w:szCs w:val="20"/>
              </w:rPr>
              <w:t>(</w:t>
            </w:r>
            <w:r>
              <w:rPr>
                <w:b/>
                <w:sz w:val="20"/>
                <w:szCs w:val="20"/>
              </w:rPr>
              <w:t>Ma</w:t>
            </w:r>
            <w:r w:rsidR="00906464" w:rsidRPr="00C54DDC">
              <w:rPr>
                <w:b/>
                <w:sz w:val="20"/>
                <w:szCs w:val="20"/>
              </w:rPr>
              <w:t>n.)</w:t>
            </w:r>
          </w:p>
          <w:p w:rsidR="00906464" w:rsidRPr="00C54DDC" w:rsidRDefault="00906464" w:rsidP="00C54DDC">
            <w:pPr>
              <w:keepNext/>
              <w:keepLines/>
              <w:tabs>
                <w:tab w:val="left" w:pos="-1440"/>
                <w:tab w:val="left" w:pos="-720"/>
              </w:tabs>
              <w:rPr>
                <w:sz w:val="20"/>
                <w:szCs w:val="20"/>
              </w:rPr>
            </w:pPr>
            <w:r w:rsidRPr="00C54DDC">
              <w:rPr>
                <w:sz w:val="20"/>
                <w:szCs w:val="20"/>
              </w:rPr>
              <w:tab/>
            </w:r>
            <w:r w:rsidR="00A93122">
              <w:rPr>
                <w:sz w:val="20"/>
                <w:szCs w:val="20"/>
              </w:rPr>
              <w:t>Richard M. Beamish</w:t>
            </w:r>
          </w:p>
          <w:p w:rsidR="00906464" w:rsidRPr="00C54DDC" w:rsidRDefault="00906464" w:rsidP="00C54DDC">
            <w:pPr>
              <w:keepNext/>
              <w:keepLines/>
              <w:tabs>
                <w:tab w:val="left" w:pos="-1440"/>
                <w:tab w:val="left" w:pos="-720"/>
              </w:tabs>
              <w:rPr>
                <w:sz w:val="20"/>
                <w:szCs w:val="20"/>
              </w:rPr>
            </w:pPr>
            <w:r w:rsidRPr="00C54DDC">
              <w:rPr>
                <w:sz w:val="20"/>
                <w:szCs w:val="20"/>
              </w:rPr>
              <w:tab/>
            </w:r>
            <w:r w:rsidR="00A93122">
              <w:rPr>
                <w:sz w:val="20"/>
                <w:szCs w:val="20"/>
              </w:rPr>
              <w:t>Tapper Cuddy LLP</w:t>
            </w:r>
          </w:p>
          <w:p w:rsidR="00906464" w:rsidRPr="00C54DDC" w:rsidRDefault="00906464" w:rsidP="00C54DDC">
            <w:pPr>
              <w:keepNext/>
              <w:keepLines/>
              <w:tabs>
                <w:tab w:val="left" w:pos="-1440"/>
                <w:tab w:val="left" w:pos="-720"/>
              </w:tabs>
              <w:rPr>
                <w:sz w:val="20"/>
                <w:szCs w:val="20"/>
              </w:rPr>
            </w:pPr>
          </w:p>
          <w:p w:rsidR="00906464" w:rsidRPr="00A935AA" w:rsidRDefault="00906464" w:rsidP="00B21D0D">
            <w:pPr>
              <w:rPr>
                <w:sz w:val="20"/>
                <w:szCs w:val="20"/>
              </w:rPr>
            </w:pPr>
            <w:r w:rsidRPr="00A935AA">
              <w:rPr>
                <w:sz w:val="20"/>
                <w:szCs w:val="20"/>
              </w:rPr>
              <w:t xml:space="preserve">FILING DATE: </w:t>
            </w:r>
            <w:r w:rsidR="00B21D0D">
              <w:rPr>
                <w:sz w:val="20"/>
                <w:szCs w:val="20"/>
              </w:rPr>
              <w:t>09</w:t>
            </w:r>
            <w:r w:rsidRPr="00A935AA">
              <w:rPr>
                <w:sz w:val="20"/>
                <w:szCs w:val="20"/>
              </w:rPr>
              <w:t>.</w:t>
            </w:r>
            <w:r>
              <w:rPr>
                <w:sz w:val="20"/>
                <w:szCs w:val="20"/>
              </w:rPr>
              <w:t>12</w:t>
            </w:r>
            <w:r w:rsidRPr="00A935AA">
              <w:rPr>
                <w:sz w:val="20"/>
                <w:szCs w:val="20"/>
              </w:rPr>
              <w:t>.201</w:t>
            </w:r>
            <w:r>
              <w:rPr>
                <w:sz w:val="20"/>
                <w:szCs w:val="20"/>
              </w:rPr>
              <w:t>3</w:t>
            </w:r>
            <w:r w:rsidR="00A47393">
              <w:rPr>
                <w:sz w:val="20"/>
                <w:szCs w:val="20"/>
                <w:lang w:val="fr-CA"/>
              </w:rPr>
              <w:pict>
                <v:rect id="_x0000_i1030" style="width:108pt;height:1pt" o:hrpct="0" o:hralign="center" o:hrstd="t" o:hrnoshade="t" o:hr="t" fillcolor="black [3213]" stroked="f"/>
              </w:pict>
            </w:r>
          </w:p>
        </w:tc>
      </w:tr>
      <w:tr w:rsidR="00906464" w:rsidRPr="00A935AA" w:rsidTr="003B3977">
        <w:trPr>
          <w:cantSplit/>
        </w:trPr>
        <w:tc>
          <w:tcPr>
            <w:tcW w:w="4320" w:type="dxa"/>
            <w:shd w:val="clear" w:color="auto" w:fill="auto"/>
          </w:tcPr>
          <w:p w:rsidR="00906464" w:rsidRPr="00A935AA" w:rsidRDefault="00A93122" w:rsidP="00C54DDC">
            <w:pPr>
              <w:rPr>
                <w:b/>
                <w:sz w:val="20"/>
                <w:szCs w:val="20"/>
              </w:rPr>
            </w:pPr>
            <w:r>
              <w:rPr>
                <w:b/>
                <w:sz w:val="20"/>
                <w:szCs w:val="20"/>
              </w:rPr>
              <w:t>Springdale Pizza Depot Ltd. et al.</w:t>
            </w:r>
          </w:p>
          <w:p w:rsidR="00906464" w:rsidRPr="00A935AA" w:rsidRDefault="00906464" w:rsidP="00C54DDC">
            <w:pPr>
              <w:tabs>
                <w:tab w:val="left" w:pos="-1440"/>
                <w:tab w:val="left" w:pos="-720"/>
              </w:tabs>
              <w:rPr>
                <w:sz w:val="20"/>
                <w:szCs w:val="20"/>
              </w:rPr>
            </w:pPr>
            <w:r w:rsidRPr="00A935AA">
              <w:rPr>
                <w:sz w:val="20"/>
                <w:szCs w:val="20"/>
              </w:rPr>
              <w:tab/>
            </w:r>
            <w:r w:rsidR="00A93122">
              <w:rPr>
                <w:sz w:val="20"/>
                <w:szCs w:val="20"/>
              </w:rPr>
              <w:t xml:space="preserve">David S. Altshuller </w:t>
            </w:r>
          </w:p>
          <w:p w:rsidR="00906464" w:rsidRPr="00E95CE4" w:rsidRDefault="00906464" w:rsidP="00C54DDC">
            <w:pPr>
              <w:tabs>
                <w:tab w:val="left" w:pos="-1440"/>
                <w:tab w:val="left" w:pos="-720"/>
              </w:tabs>
              <w:rPr>
                <w:sz w:val="20"/>
                <w:szCs w:val="20"/>
                <w:lang w:val="fr-CA"/>
              </w:rPr>
            </w:pPr>
            <w:r w:rsidRPr="00A935AA">
              <w:rPr>
                <w:sz w:val="20"/>
                <w:szCs w:val="20"/>
              </w:rPr>
              <w:tab/>
            </w:r>
            <w:r w:rsidR="00A93122" w:rsidRPr="00E95CE4">
              <w:rPr>
                <w:sz w:val="20"/>
                <w:szCs w:val="20"/>
                <w:lang w:val="fr-CA"/>
              </w:rPr>
              <w:t>Teplitsky, Colson</w:t>
            </w:r>
          </w:p>
          <w:p w:rsidR="00906464" w:rsidRPr="00E95CE4" w:rsidRDefault="00906464" w:rsidP="00C54DDC">
            <w:pPr>
              <w:tabs>
                <w:tab w:val="left" w:pos="-1440"/>
                <w:tab w:val="left" w:pos="-720"/>
              </w:tabs>
              <w:rPr>
                <w:sz w:val="20"/>
                <w:szCs w:val="20"/>
                <w:lang w:val="fr-CA"/>
              </w:rPr>
            </w:pPr>
          </w:p>
          <w:p w:rsidR="00906464" w:rsidRPr="00E95CE4" w:rsidRDefault="00906464" w:rsidP="00C54DDC">
            <w:pPr>
              <w:tabs>
                <w:tab w:val="left" w:pos="-1440"/>
                <w:tab w:val="left" w:pos="-720"/>
              </w:tabs>
              <w:rPr>
                <w:sz w:val="20"/>
                <w:szCs w:val="20"/>
                <w:lang w:val="fr-CA"/>
              </w:rPr>
            </w:pPr>
            <w:r w:rsidRPr="00E95CE4">
              <w:rPr>
                <w:sz w:val="20"/>
                <w:szCs w:val="20"/>
                <w:lang w:val="fr-CA"/>
              </w:rPr>
              <w:tab/>
              <w:t>v. (35</w:t>
            </w:r>
            <w:r w:rsidR="00A93122" w:rsidRPr="00E95CE4">
              <w:rPr>
                <w:sz w:val="20"/>
                <w:szCs w:val="20"/>
                <w:lang w:val="fr-CA"/>
              </w:rPr>
              <w:t>648</w:t>
            </w:r>
            <w:r w:rsidRPr="00E95CE4">
              <w:rPr>
                <w:sz w:val="20"/>
                <w:szCs w:val="20"/>
                <w:lang w:val="fr-CA"/>
              </w:rPr>
              <w:t>)</w:t>
            </w:r>
          </w:p>
          <w:p w:rsidR="00906464" w:rsidRPr="00E95CE4" w:rsidRDefault="00906464" w:rsidP="00C54DDC">
            <w:pPr>
              <w:tabs>
                <w:tab w:val="left" w:pos="-1440"/>
                <w:tab w:val="left" w:pos="-720"/>
              </w:tabs>
              <w:rPr>
                <w:sz w:val="20"/>
                <w:szCs w:val="20"/>
                <w:lang w:val="fr-CA"/>
              </w:rPr>
            </w:pPr>
          </w:p>
          <w:p w:rsidR="00906464" w:rsidRPr="00A935AA" w:rsidRDefault="00A93122" w:rsidP="00C54DDC">
            <w:pPr>
              <w:tabs>
                <w:tab w:val="left" w:pos="-1440"/>
                <w:tab w:val="left" w:pos="-720"/>
              </w:tabs>
              <w:rPr>
                <w:b/>
                <w:sz w:val="20"/>
                <w:szCs w:val="20"/>
              </w:rPr>
            </w:pPr>
            <w:r w:rsidRPr="00E95CE4">
              <w:rPr>
                <w:b/>
                <w:sz w:val="20"/>
                <w:szCs w:val="20"/>
                <w:lang w:val="fr-CA"/>
              </w:rPr>
              <w:t>2189205 Ontario Inc. et al.</w:t>
            </w:r>
            <w:r w:rsidRPr="00E95CE4">
              <w:rPr>
                <w:sz w:val="20"/>
                <w:szCs w:val="20"/>
                <w:lang w:val="fr-CA"/>
              </w:rPr>
              <w:t xml:space="preserve"> </w:t>
            </w:r>
            <w:r w:rsidR="00906464" w:rsidRPr="00A935AA">
              <w:rPr>
                <w:b/>
                <w:sz w:val="20"/>
                <w:szCs w:val="20"/>
              </w:rPr>
              <w:t>(</w:t>
            </w:r>
            <w:r>
              <w:rPr>
                <w:b/>
                <w:sz w:val="20"/>
                <w:szCs w:val="20"/>
              </w:rPr>
              <w:t>Ont</w:t>
            </w:r>
            <w:r w:rsidR="00906464" w:rsidRPr="00A935AA">
              <w:rPr>
                <w:b/>
                <w:sz w:val="20"/>
                <w:szCs w:val="20"/>
              </w:rPr>
              <w:t>.)</w:t>
            </w:r>
          </w:p>
          <w:p w:rsidR="00906464" w:rsidRPr="00A935AA" w:rsidRDefault="00906464" w:rsidP="00C54DDC">
            <w:pPr>
              <w:tabs>
                <w:tab w:val="left" w:pos="-1440"/>
                <w:tab w:val="left" w:pos="-720"/>
              </w:tabs>
              <w:rPr>
                <w:sz w:val="20"/>
                <w:szCs w:val="20"/>
              </w:rPr>
            </w:pPr>
            <w:r w:rsidRPr="00A935AA">
              <w:rPr>
                <w:sz w:val="20"/>
                <w:szCs w:val="20"/>
              </w:rPr>
              <w:tab/>
            </w:r>
            <w:r w:rsidR="00A93122">
              <w:rPr>
                <w:sz w:val="20"/>
                <w:szCs w:val="20"/>
              </w:rPr>
              <w:t>Alan D.J. Dick</w:t>
            </w:r>
          </w:p>
          <w:p w:rsidR="00906464" w:rsidRPr="00A935AA" w:rsidRDefault="00906464" w:rsidP="00C54DDC">
            <w:pPr>
              <w:tabs>
                <w:tab w:val="left" w:pos="-1440"/>
                <w:tab w:val="left" w:pos="-720"/>
              </w:tabs>
              <w:rPr>
                <w:sz w:val="20"/>
                <w:szCs w:val="20"/>
              </w:rPr>
            </w:pPr>
            <w:r w:rsidRPr="00A935AA">
              <w:rPr>
                <w:sz w:val="20"/>
                <w:szCs w:val="20"/>
              </w:rPr>
              <w:tab/>
            </w:r>
            <w:r w:rsidR="00A93122">
              <w:rPr>
                <w:sz w:val="20"/>
                <w:szCs w:val="20"/>
              </w:rPr>
              <w:t>Sotos LLP</w:t>
            </w:r>
          </w:p>
          <w:p w:rsidR="00906464" w:rsidRPr="00A935AA" w:rsidRDefault="00906464" w:rsidP="00C54DDC">
            <w:pPr>
              <w:tabs>
                <w:tab w:val="left" w:pos="-1440"/>
                <w:tab w:val="left" w:pos="-720"/>
              </w:tabs>
              <w:rPr>
                <w:sz w:val="20"/>
                <w:szCs w:val="20"/>
              </w:rPr>
            </w:pPr>
          </w:p>
          <w:p w:rsidR="00906464" w:rsidRPr="00A935AA" w:rsidRDefault="00906464" w:rsidP="00C54DDC">
            <w:pPr>
              <w:rPr>
                <w:sz w:val="20"/>
                <w:szCs w:val="20"/>
              </w:rPr>
            </w:pPr>
            <w:r w:rsidRPr="00A935AA">
              <w:rPr>
                <w:sz w:val="20"/>
                <w:szCs w:val="20"/>
              </w:rPr>
              <w:t xml:space="preserve">FILING DATE: </w:t>
            </w:r>
            <w:r w:rsidR="00A93122">
              <w:rPr>
                <w:sz w:val="20"/>
                <w:szCs w:val="20"/>
              </w:rPr>
              <w:t>09</w:t>
            </w:r>
            <w:r w:rsidRPr="00A935AA">
              <w:rPr>
                <w:sz w:val="20"/>
                <w:szCs w:val="20"/>
              </w:rPr>
              <w:t>.</w:t>
            </w:r>
            <w:r>
              <w:rPr>
                <w:sz w:val="20"/>
                <w:szCs w:val="20"/>
              </w:rPr>
              <w:t>12</w:t>
            </w:r>
            <w:r w:rsidRPr="00A935AA">
              <w:rPr>
                <w:sz w:val="20"/>
                <w:szCs w:val="20"/>
              </w:rPr>
              <w:t>.201</w:t>
            </w:r>
            <w:r>
              <w:rPr>
                <w:sz w:val="20"/>
                <w:szCs w:val="20"/>
              </w:rPr>
              <w:t>3</w:t>
            </w:r>
          </w:p>
          <w:p w:rsidR="00906464" w:rsidRPr="00A935AA" w:rsidRDefault="00A47393" w:rsidP="00C54DDC">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p w:rsidR="00906464" w:rsidRPr="00A935AA" w:rsidRDefault="00906464" w:rsidP="00242AEE">
            <w:pPr>
              <w:jc w:val="center"/>
              <w:rPr>
                <w:sz w:val="20"/>
                <w:szCs w:val="20"/>
              </w:rPr>
            </w:pPr>
          </w:p>
        </w:tc>
        <w:tc>
          <w:tcPr>
            <w:tcW w:w="4320" w:type="dxa"/>
            <w:shd w:val="clear" w:color="auto" w:fill="auto"/>
          </w:tcPr>
          <w:p w:rsidR="00906464" w:rsidRPr="00A935AA" w:rsidRDefault="00906464" w:rsidP="00C54DDC">
            <w:pPr>
              <w:rPr>
                <w:sz w:val="20"/>
                <w:szCs w:val="20"/>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F4683F">
          <w:headerReference w:type="default" r:id="rId17"/>
          <w:footerReference w:type="default" r:id="rId18"/>
          <w:headerReference w:type="first" r:id="rId19"/>
          <w:footerReference w:type="first" r:id="rId20"/>
          <w:pgSz w:w="12240" w:h="15840"/>
          <w:pgMar w:top="720" w:right="965" w:bottom="1080" w:left="1656" w:header="706" w:footer="706" w:gutter="0"/>
          <w:pgNumType w:start="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A47393"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906464" w:rsidP="004B7F60">
      <w:pPr>
        <w:widowControl w:val="0"/>
        <w:rPr>
          <w:b/>
          <w:sz w:val="20"/>
          <w:szCs w:val="20"/>
        </w:rPr>
      </w:pPr>
      <w:r>
        <w:rPr>
          <w:b/>
          <w:sz w:val="20"/>
          <w:szCs w:val="20"/>
        </w:rPr>
        <w:t>D</w:t>
      </w:r>
      <w:r w:rsidR="00DE349D">
        <w:rPr>
          <w:b/>
          <w:sz w:val="20"/>
          <w:szCs w:val="20"/>
        </w:rPr>
        <w:t>E</w:t>
      </w:r>
      <w:r>
        <w:rPr>
          <w:b/>
          <w:sz w:val="20"/>
          <w:szCs w:val="20"/>
        </w:rPr>
        <w:t>C</w:t>
      </w:r>
      <w:r w:rsidR="00DE349D">
        <w:rPr>
          <w:b/>
          <w:sz w:val="20"/>
          <w:szCs w:val="20"/>
        </w:rPr>
        <w:t>EMBER</w:t>
      </w:r>
      <w:r w:rsidR="00F761A3">
        <w:rPr>
          <w:b/>
          <w:sz w:val="20"/>
          <w:szCs w:val="20"/>
        </w:rPr>
        <w:t xml:space="preserve"> </w:t>
      </w:r>
      <w:r>
        <w:rPr>
          <w:b/>
          <w:sz w:val="20"/>
          <w:szCs w:val="20"/>
        </w:rPr>
        <w:t>2</w:t>
      </w:r>
      <w:r w:rsidR="00DE349D">
        <w:rPr>
          <w:b/>
          <w:sz w:val="20"/>
          <w:szCs w:val="20"/>
        </w:rPr>
        <w:t>3</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23</w:t>
      </w:r>
      <w:r w:rsidR="004B7F60">
        <w:rPr>
          <w:b/>
          <w:sz w:val="20"/>
          <w:szCs w:val="20"/>
        </w:rPr>
        <w:t xml:space="preserve"> </w:t>
      </w:r>
      <w:r>
        <w:rPr>
          <w:b/>
          <w:sz w:val="20"/>
          <w:szCs w:val="20"/>
        </w:rPr>
        <w:t>DÉC</w:t>
      </w:r>
      <w:r w:rsidR="00F761A3">
        <w:rPr>
          <w:b/>
          <w:sz w:val="20"/>
          <w:szCs w:val="20"/>
        </w:rPr>
        <w:t>E</w:t>
      </w:r>
      <w:r w:rsidR="00DE349D">
        <w:rPr>
          <w:b/>
          <w:sz w:val="20"/>
          <w:szCs w:val="20"/>
        </w:rPr>
        <w:t>MB</w:t>
      </w:r>
      <w:r w:rsidR="004B7F60">
        <w:rPr>
          <w:b/>
          <w:sz w:val="20"/>
          <w:szCs w:val="20"/>
        </w:rPr>
        <w:t>R</w:t>
      </w:r>
      <w:r w:rsidR="00DE349D">
        <w:rPr>
          <w:b/>
          <w:sz w:val="20"/>
          <w:szCs w:val="20"/>
        </w:rPr>
        <w:t>E</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0C0F49" w:rsidP="004B7F60">
      <w:pPr>
        <w:pStyle w:val="ListParagraph"/>
        <w:widowControl w:val="0"/>
        <w:numPr>
          <w:ilvl w:val="0"/>
          <w:numId w:val="1"/>
        </w:numPr>
        <w:ind w:hanging="720"/>
        <w:jc w:val="both"/>
        <w:rPr>
          <w:sz w:val="20"/>
          <w:szCs w:val="20"/>
        </w:rPr>
      </w:pPr>
      <w:r w:rsidRPr="000C0F49">
        <w:rPr>
          <w:i/>
          <w:sz w:val="20"/>
          <w:szCs w:val="20"/>
        </w:rPr>
        <w:t>John Reginald Alcantara v. Her Majesty the Queen</w:t>
      </w:r>
      <w:r w:rsidRPr="000C0F49">
        <w:rPr>
          <w:sz w:val="20"/>
          <w:szCs w:val="20"/>
        </w:rPr>
        <w:t xml:space="preserve"> (Alta.) (Crim.) (By Leave)</w:t>
      </w:r>
      <w:r w:rsidRPr="00C50A5C">
        <w:rPr>
          <w:sz w:val="20"/>
          <w:szCs w:val="20"/>
        </w:rPr>
        <w:t xml:space="preserve"> </w:t>
      </w:r>
      <w:r w:rsidR="004B7F60" w:rsidRPr="00C50A5C">
        <w:rPr>
          <w:sz w:val="20"/>
          <w:szCs w:val="20"/>
        </w:rPr>
        <w:t>(3</w:t>
      </w:r>
      <w:r>
        <w:rPr>
          <w:sz w:val="20"/>
          <w:szCs w:val="20"/>
        </w:rPr>
        <w:t>5580</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0C0F49" w:rsidP="004B7F60">
      <w:pPr>
        <w:pStyle w:val="ListParagraph"/>
        <w:widowControl w:val="0"/>
        <w:numPr>
          <w:ilvl w:val="0"/>
          <w:numId w:val="1"/>
        </w:numPr>
        <w:ind w:hanging="720"/>
        <w:jc w:val="both"/>
        <w:rPr>
          <w:sz w:val="20"/>
          <w:szCs w:val="20"/>
        </w:rPr>
      </w:pPr>
      <w:r w:rsidRPr="000C0F49">
        <w:rPr>
          <w:i/>
          <w:sz w:val="20"/>
          <w:szCs w:val="20"/>
        </w:rPr>
        <w:t>J.S. v. D.Z.</w:t>
      </w:r>
      <w:r w:rsidRPr="000C0F49">
        <w:rPr>
          <w:sz w:val="20"/>
          <w:szCs w:val="20"/>
        </w:rPr>
        <w:t xml:space="preserve"> (Que.) (Civil) (By Leave)</w:t>
      </w:r>
      <w:r w:rsidRPr="00C612D0">
        <w:rPr>
          <w:sz w:val="20"/>
          <w:szCs w:val="20"/>
        </w:rPr>
        <w:t xml:space="preserve"> </w:t>
      </w:r>
      <w:r w:rsidR="004B7F60" w:rsidRPr="00C612D0">
        <w:rPr>
          <w:sz w:val="20"/>
          <w:szCs w:val="20"/>
        </w:rPr>
        <w:t>(3</w:t>
      </w:r>
      <w:r>
        <w:rPr>
          <w:sz w:val="20"/>
          <w:szCs w:val="20"/>
        </w:rPr>
        <w:t>552</w:t>
      </w:r>
      <w:r w:rsidR="004B7F60" w:rsidRPr="00C612D0">
        <w:rPr>
          <w:sz w:val="20"/>
          <w:szCs w:val="20"/>
        </w:rPr>
        <w:t>2)</w:t>
      </w:r>
    </w:p>
    <w:p w:rsidR="004B7F60" w:rsidRPr="00C612D0" w:rsidRDefault="004B7F60" w:rsidP="004B7F60">
      <w:pPr>
        <w:widowControl w:val="0"/>
        <w:jc w:val="both"/>
        <w:rPr>
          <w:sz w:val="20"/>
          <w:szCs w:val="20"/>
        </w:rPr>
      </w:pPr>
    </w:p>
    <w:p w:rsidR="004B7F60" w:rsidRPr="000C0F49" w:rsidRDefault="000C0F49" w:rsidP="004B7F60">
      <w:pPr>
        <w:pStyle w:val="ListParagraph"/>
        <w:widowControl w:val="0"/>
        <w:numPr>
          <w:ilvl w:val="0"/>
          <w:numId w:val="1"/>
        </w:numPr>
        <w:ind w:hanging="720"/>
        <w:jc w:val="both"/>
        <w:rPr>
          <w:sz w:val="20"/>
          <w:szCs w:val="20"/>
          <w:lang w:val="fr-CA"/>
        </w:rPr>
      </w:pPr>
      <w:r w:rsidRPr="000C0F49">
        <w:rPr>
          <w:i/>
          <w:sz w:val="20"/>
          <w:szCs w:val="20"/>
          <w:lang w:val="fr-CA"/>
        </w:rPr>
        <w:t>Sylvie Girard c. Procureur général du Québec</w:t>
      </w:r>
      <w:r w:rsidRPr="000C0F49">
        <w:rPr>
          <w:sz w:val="20"/>
          <w:szCs w:val="20"/>
          <w:lang w:val="fr-CA"/>
        </w:rPr>
        <w:t xml:space="preserve"> (Qc) (Civile) (Autorisation) </w:t>
      </w:r>
      <w:r w:rsidR="004B7F60" w:rsidRPr="000C0F49">
        <w:rPr>
          <w:sz w:val="20"/>
          <w:szCs w:val="20"/>
          <w:lang w:val="fr-CA"/>
        </w:rPr>
        <w:t>(3</w:t>
      </w:r>
      <w:r w:rsidRPr="000C0F49">
        <w:rPr>
          <w:sz w:val="20"/>
          <w:szCs w:val="20"/>
          <w:lang w:val="fr-CA"/>
        </w:rPr>
        <w:t>551</w:t>
      </w:r>
      <w:r w:rsidR="004B7F60" w:rsidRPr="000C0F49">
        <w:rPr>
          <w:sz w:val="20"/>
          <w:szCs w:val="20"/>
          <w:lang w:val="fr-CA"/>
        </w:rPr>
        <w:t>4)</w:t>
      </w:r>
    </w:p>
    <w:p w:rsidR="004B7F60" w:rsidRPr="000C0F49" w:rsidRDefault="004B7F60" w:rsidP="004B7F60">
      <w:pPr>
        <w:widowControl w:val="0"/>
        <w:rPr>
          <w:sz w:val="20"/>
          <w:szCs w:val="20"/>
          <w:lang w:val="fr-CA"/>
        </w:rPr>
      </w:pPr>
    </w:p>
    <w:p w:rsidR="000C0F49" w:rsidRPr="000C0F49" w:rsidRDefault="000C0F49" w:rsidP="004B7F60">
      <w:pPr>
        <w:widowControl w:val="0"/>
        <w:rPr>
          <w:sz w:val="20"/>
          <w:szCs w:val="20"/>
          <w:lang w:val="fr-CA"/>
        </w:rPr>
      </w:pPr>
    </w:p>
    <w:p w:rsidR="000C0F49" w:rsidRPr="00C50A5C" w:rsidRDefault="000C0F49" w:rsidP="000C0F49">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0C0F49" w:rsidRPr="00C50A5C" w:rsidRDefault="000C0F49" w:rsidP="000C0F49">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0C0F49" w:rsidRPr="000C0F49" w:rsidRDefault="000C0F49" w:rsidP="004B7F60">
      <w:pPr>
        <w:widowControl w:val="0"/>
        <w:rPr>
          <w:sz w:val="20"/>
          <w:szCs w:val="20"/>
          <w:lang w:val="fr-CA"/>
        </w:rPr>
      </w:pPr>
    </w:p>
    <w:p w:rsidR="004B7F60" w:rsidRPr="000C0F49" w:rsidRDefault="000C0F49" w:rsidP="004B7F60">
      <w:pPr>
        <w:pStyle w:val="ListParagraph"/>
        <w:widowControl w:val="0"/>
        <w:numPr>
          <w:ilvl w:val="0"/>
          <w:numId w:val="1"/>
        </w:numPr>
        <w:ind w:hanging="720"/>
        <w:jc w:val="both"/>
        <w:rPr>
          <w:sz w:val="20"/>
          <w:szCs w:val="20"/>
          <w:lang w:val="fr-CA"/>
        </w:rPr>
      </w:pPr>
      <w:r w:rsidRPr="000C0F49">
        <w:rPr>
          <w:i/>
          <w:sz w:val="20"/>
          <w:szCs w:val="20"/>
          <w:lang w:val="fr-CA"/>
        </w:rPr>
        <w:t>Claude Côté c. Sa Majesté la Reine</w:t>
      </w:r>
      <w:r w:rsidRPr="000C0F49">
        <w:rPr>
          <w:sz w:val="20"/>
          <w:szCs w:val="20"/>
          <w:lang w:val="fr-CA"/>
        </w:rPr>
        <w:t xml:space="preserve"> (Qc) (Crim.) (Autorisation) </w:t>
      </w:r>
      <w:r w:rsidR="004B7F60" w:rsidRPr="000C0F49">
        <w:rPr>
          <w:sz w:val="20"/>
          <w:szCs w:val="20"/>
          <w:lang w:val="fr-CA"/>
        </w:rPr>
        <w:t>(3</w:t>
      </w:r>
      <w:r w:rsidRPr="000C0F49">
        <w:rPr>
          <w:sz w:val="20"/>
          <w:szCs w:val="20"/>
          <w:lang w:val="fr-CA"/>
        </w:rPr>
        <w:t>559</w:t>
      </w:r>
      <w:r w:rsidR="004B7F60" w:rsidRPr="000C0F49">
        <w:rPr>
          <w:sz w:val="20"/>
          <w:szCs w:val="20"/>
          <w:lang w:val="fr-CA"/>
        </w:rPr>
        <w:t>3)</w:t>
      </w:r>
    </w:p>
    <w:p w:rsidR="004B7F60" w:rsidRPr="00C16CB3" w:rsidRDefault="004B7F60" w:rsidP="004B7F60">
      <w:pPr>
        <w:widowControl w:val="0"/>
        <w:jc w:val="both"/>
        <w:rPr>
          <w:sz w:val="20"/>
          <w:szCs w:val="20"/>
          <w:lang w:val="fr-CA"/>
        </w:rPr>
      </w:pPr>
    </w:p>
    <w:p w:rsidR="004B7F60" w:rsidRPr="00C612D0" w:rsidRDefault="000C0F49" w:rsidP="004B7F60">
      <w:pPr>
        <w:pStyle w:val="ListParagraph"/>
        <w:widowControl w:val="0"/>
        <w:numPr>
          <w:ilvl w:val="0"/>
          <w:numId w:val="1"/>
        </w:numPr>
        <w:ind w:hanging="720"/>
        <w:jc w:val="both"/>
        <w:rPr>
          <w:sz w:val="20"/>
          <w:szCs w:val="20"/>
          <w:lang w:val="fr-CA"/>
        </w:rPr>
      </w:pPr>
      <w:r w:rsidRPr="000C0F49">
        <w:rPr>
          <w:i/>
          <w:sz w:val="20"/>
          <w:szCs w:val="20"/>
          <w:lang w:val="fr-CA"/>
        </w:rPr>
        <w:t>Sylvain Paquette c. Nutrition Fitness cardio inc.</w:t>
      </w:r>
      <w:r w:rsidRPr="000C0F49">
        <w:rPr>
          <w:sz w:val="20"/>
          <w:szCs w:val="20"/>
          <w:lang w:val="fr-CA"/>
        </w:rPr>
        <w:t xml:space="preserve"> (Qc) (Civile) (Autorisation)</w:t>
      </w:r>
      <w:r w:rsidRPr="00C612D0">
        <w:rPr>
          <w:sz w:val="20"/>
          <w:szCs w:val="20"/>
          <w:lang w:val="fr-CA"/>
        </w:rPr>
        <w:t xml:space="preserve"> </w:t>
      </w:r>
      <w:r w:rsidR="004B7F60" w:rsidRPr="00C612D0">
        <w:rPr>
          <w:sz w:val="20"/>
          <w:szCs w:val="20"/>
          <w:lang w:val="fr-CA"/>
        </w:rPr>
        <w:t>(3</w:t>
      </w:r>
      <w:r>
        <w:rPr>
          <w:sz w:val="20"/>
          <w:szCs w:val="20"/>
          <w:lang w:val="fr-CA"/>
        </w:rPr>
        <w:t>5551</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115C9E" w:rsidRDefault="000C0F49" w:rsidP="004B7F60">
      <w:pPr>
        <w:pStyle w:val="ListParagraph"/>
        <w:widowControl w:val="0"/>
        <w:numPr>
          <w:ilvl w:val="0"/>
          <w:numId w:val="1"/>
        </w:numPr>
        <w:ind w:hanging="720"/>
        <w:jc w:val="both"/>
        <w:rPr>
          <w:sz w:val="20"/>
          <w:szCs w:val="20"/>
          <w:lang w:val="fr-CA"/>
        </w:rPr>
      </w:pPr>
      <w:r w:rsidRPr="000C0F49">
        <w:rPr>
          <w:i/>
          <w:sz w:val="20"/>
          <w:szCs w:val="20"/>
          <w:lang w:val="fr-CA"/>
        </w:rPr>
        <w:t>Georges Ghanotakis c. René Laporte et a</w:t>
      </w:r>
      <w:r w:rsidR="00B578BA">
        <w:rPr>
          <w:i/>
          <w:sz w:val="20"/>
          <w:szCs w:val="20"/>
          <w:lang w:val="fr-CA"/>
        </w:rPr>
        <w:t>utre</w:t>
      </w:r>
      <w:r w:rsidRPr="000C0F49">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(35</w:t>
      </w:r>
      <w:r>
        <w:rPr>
          <w:sz w:val="20"/>
          <w:szCs w:val="20"/>
          <w:lang w:val="fr-CA"/>
        </w:rPr>
        <w:t>520</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0C0F49" w:rsidRDefault="000C0F49" w:rsidP="004B7F60">
      <w:pPr>
        <w:pStyle w:val="ListParagraph"/>
        <w:widowControl w:val="0"/>
        <w:numPr>
          <w:ilvl w:val="0"/>
          <w:numId w:val="1"/>
        </w:numPr>
        <w:ind w:hanging="720"/>
        <w:jc w:val="both"/>
        <w:rPr>
          <w:sz w:val="20"/>
          <w:szCs w:val="20"/>
        </w:rPr>
      </w:pPr>
      <w:r w:rsidRPr="000C0F49">
        <w:rPr>
          <w:i/>
          <w:sz w:val="20"/>
          <w:szCs w:val="20"/>
          <w:lang w:val="fr-CA"/>
        </w:rPr>
        <w:t>Bahram Soltani v. Lyne Desnoyers</w:t>
      </w:r>
      <w:r w:rsidRPr="000C0F49">
        <w:rPr>
          <w:sz w:val="20"/>
          <w:szCs w:val="20"/>
          <w:lang w:val="fr-CA"/>
        </w:rPr>
        <w:t xml:space="preserve"> (Que.) </w:t>
      </w:r>
      <w:r w:rsidRPr="000C0F49">
        <w:rPr>
          <w:sz w:val="20"/>
          <w:szCs w:val="20"/>
        </w:rPr>
        <w:t xml:space="preserve">(Civil) (By Leave) </w:t>
      </w:r>
      <w:r w:rsidR="004B7F60" w:rsidRPr="000C0F49">
        <w:rPr>
          <w:sz w:val="20"/>
          <w:szCs w:val="20"/>
        </w:rPr>
        <w:t>(35</w:t>
      </w:r>
      <w:r w:rsidRPr="000C0F49">
        <w:rPr>
          <w:sz w:val="20"/>
          <w:szCs w:val="20"/>
        </w:rPr>
        <w:t>587</w:t>
      </w:r>
      <w:r w:rsidR="004B7F60" w:rsidRPr="000C0F49">
        <w:rPr>
          <w:sz w:val="20"/>
          <w:szCs w:val="20"/>
        </w:rPr>
        <w:t>)</w:t>
      </w:r>
    </w:p>
    <w:p w:rsidR="004B7F60" w:rsidRPr="000C0F49" w:rsidRDefault="004B7F60" w:rsidP="004B7F60">
      <w:pPr>
        <w:widowControl w:val="0"/>
        <w:jc w:val="both"/>
        <w:rPr>
          <w:sz w:val="20"/>
          <w:szCs w:val="20"/>
        </w:rPr>
      </w:pPr>
    </w:p>
    <w:p w:rsidR="000C0F49" w:rsidRPr="000C0F49" w:rsidRDefault="000C0F49" w:rsidP="004B7F60">
      <w:pPr>
        <w:widowControl w:val="0"/>
        <w:jc w:val="both"/>
        <w:rPr>
          <w:sz w:val="20"/>
          <w:szCs w:val="20"/>
        </w:rPr>
      </w:pPr>
    </w:p>
    <w:p w:rsidR="000C0F49" w:rsidRPr="00C50A5C" w:rsidRDefault="000C0F49" w:rsidP="000C0F49">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0C0F49" w:rsidRPr="00C50A5C" w:rsidRDefault="000C0F49" w:rsidP="000C0F49">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0C0F49" w:rsidRPr="00115C9E" w:rsidRDefault="000C0F49" w:rsidP="004B7F60">
      <w:pPr>
        <w:widowControl w:val="0"/>
        <w:jc w:val="both"/>
        <w:rPr>
          <w:sz w:val="20"/>
          <w:szCs w:val="20"/>
          <w:lang w:val="fr-CA"/>
        </w:rPr>
      </w:pPr>
    </w:p>
    <w:p w:rsidR="004B7F60" w:rsidRPr="000C0F49" w:rsidRDefault="000C0F49" w:rsidP="004B7F60">
      <w:pPr>
        <w:pStyle w:val="ListParagraph"/>
        <w:widowControl w:val="0"/>
        <w:numPr>
          <w:ilvl w:val="0"/>
          <w:numId w:val="1"/>
        </w:numPr>
        <w:ind w:hanging="720"/>
        <w:jc w:val="both"/>
        <w:rPr>
          <w:sz w:val="20"/>
          <w:szCs w:val="20"/>
        </w:rPr>
      </w:pPr>
      <w:r w:rsidRPr="000C0F49">
        <w:rPr>
          <w:i/>
          <w:sz w:val="20"/>
          <w:szCs w:val="20"/>
        </w:rPr>
        <w:t>Yuli Zhang et al. v. Stephen Shanfield</w:t>
      </w:r>
      <w:r w:rsidRPr="000C0F49">
        <w:rPr>
          <w:sz w:val="20"/>
          <w:szCs w:val="20"/>
        </w:rPr>
        <w:t xml:space="preserve"> (Ont.) (Civil) (By Leave) </w:t>
      </w:r>
      <w:r w:rsidR="004B7F60" w:rsidRPr="000C0F49">
        <w:rPr>
          <w:sz w:val="20"/>
          <w:szCs w:val="20"/>
        </w:rPr>
        <w:t>(3</w:t>
      </w:r>
      <w:r w:rsidRPr="000C0F49">
        <w:rPr>
          <w:sz w:val="20"/>
          <w:szCs w:val="20"/>
        </w:rPr>
        <w:t>5596</w:t>
      </w:r>
      <w:r w:rsidR="004B7F60" w:rsidRPr="000C0F49">
        <w:rPr>
          <w:sz w:val="20"/>
          <w:szCs w:val="20"/>
        </w:rPr>
        <w:t>)</w:t>
      </w:r>
    </w:p>
    <w:p w:rsidR="004B7F60" w:rsidRPr="000C0F49" w:rsidRDefault="004B7F60" w:rsidP="004B7F60">
      <w:pPr>
        <w:widowControl w:val="0"/>
        <w:rPr>
          <w:sz w:val="20"/>
          <w:szCs w:val="20"/>
        </w:rPr>
      </w:pPr>
    </w:p>
    <w:p w:rsidR="004B7F60" w:rsidRPr="000C0F49" w:rsidRDefault="000C0F49" w:rsidP="004B7F60">
      <w:pPr>
        <w:pStyle w:val="ListParagraph"/>
        <w:widowControl w:val="0"/>
        <w:numPr>
          <w:ilvl w:val="0"/>
          <w:numId w:val="1"/>
        </w:numPr>
        <w:ind w:hanging="720"/>
        <w:jc w:val="both"/>
        <w:rPr>
          <w:sz w:val="20"/>
          <w:szCs w:val="20"/>
        </w:rPr>
      </w:pPr>
      <w:r w:rsidRPr="000C0F49">
        <w:rPr>
          <w:i/>
          <w:sz w:val="20"/>
          <w:szCs w:val="20"/>
        </w:rPr>
        <w:t>Peter W. G. Carey v. Judith Laiken</w:t>
      </w:r>
      <w:r w:rsidRPr="000C0F49">
        <w:rPr>
          <w:sz w:val="20"/>
          <w:szCs w:val="20"/>
        </w:rPr>
        <w:t xml:space="preserve"> (Ont.) (Civil) (By Leave) </w:t>
      </w:r>
      <w:r w:rsidR="004B7F60" w:rsidRPr="000C0F49">
        <w:rPr>
          <w:sz w:val="20"/>
          <w:szCs w:val="20"/>
        </w:rPr>
        <w:t>(3</w:t>
      </w:r>
      <w:r w:rsidRPr="000C0F49">
        <w:rPr>
          <w:sz w:val="20"/>
          <w:szCs w:val="20"/>
        </w:rPr>
        <w:t>5597</w:t>
      </w:r>
      <w:r w:rsidR="004B7F60" w:rsidRPr="000C0F49">
        <w:rPr>
          <w:sz w:val="20"/>
          <w:szCs w:val="20"/>
        </w:rPr>
        <w:t>)</w:t>
      </w:r>
    </w:p>
    <w:p w:rsidR="004B7F60" w:rsidRPr="000C0F49" w:rsidRDefault="004B7F60" w:rsidP="004B7F60">
      <w:pPr>
        <w:widowControl w:val="0"/>
        <w:jc w:val="both"/>
        <w:rPr>
          <w:sz w:val="20"/>
          <w:szCs w:val="20"/>
        </w:rPr>
      </w:pPr>
    </w:p>
    <w:p w:rsidR="004B7F60" w:rsidRPr="00115C9E" w:rsidRDefault="000C0F49" w:rsidP="004B7F60">
      <w:pPr>
        <w:pStyle w:val="ListParagraph"/>
        <w:widowControl w:val="0"/>
        <w:numPr>
          <w:ilvl w:val="0"/>
          <w:numId w:val="1"/>
        </w:numPr>
        <w:ind w:hanging="720"/>
        <w:jc w:val="both"/>
        <w:rPr>
          <w:sz w:val="20"/>
          <w:szCs w:val="20"/>
        </w:rPr>
      </w:pPr>
      <w:r w:rsidRPr="000C0F49">
        <w:rPr>
          <w:i/>
          <w:sz w:val="20"/>
          <w:szCs w:val="20"/>
          <w:lang w:val="fr-CA"/>
        </w:rPr>
        <w:t>Dorothy Kirby v. Hope Place Centres</w:t>
      </w:r>
      <w:r w:rsidRPr="000C0F49">
        <w:rPr>
          <w:sz w:val="20"/>
          <w:szCs w:val="20"/>
          <w:lang w:val="fr-CA"/>
        </w:rPr>
        <w:t xml:space="preserve"> (Ont.) </w:t>
      </w:r>
      <w:r w:rsidRPr="000C0F49">
        <w:rPr>
          <w:sz w:val="20"/>
          <w:szCs w:val="20"/>
        </w:rPr>
        <w:t>(Civil) (By Leave)</w:t>
      </w:r>
      <w:r w:rsidRPr="00115C9E">
        <w:rPr>
          <w:sz w:val="20"/>
          <w:szCs w:val="20"/>
        </w:rPr>
        <w:t xml:space="preserve"> </w:t>
      </w:r>
      <w:r w:rsidR="004B7F60" w:rsidRPr="00115C9E">
        <w:rPr>
          <w:sz w:val="20"/>
          <w:szCs w:val="20"/>
        </w:rPr>
        <w:t>(3</w:t>
      </w:r>
      <w:r>
        <w:rPr>
          <w:sz w:val="20"/>
          <w:szCs w:val="20"/>
        </w:rPr>
        <w:t>5552</w:t>
      </w:r>
      <w:r w:rsidR="004B7F60" w:rsidRPr="00115C9E">
        <w:rPr>
          <w:sz w:val="20"/>
          <w:szCs w:val="20"/>
        </w:rPr>
        <w:t>)</w:t>
      </w:r>
    </w:p>
    <w:p w:rsidR="002E2327" w:rsidRPr="000C0F49" w:rsidRDefault="002E2327" w:rsidP="002E2327">
      <w:pPr>
        <w:widowControl w:val="0"/>
        <w:rPr>
          <w:sz w:val="20"/>
          <w:szCs w:val="20"/>
        </w:rPr>
      </w:pPr>
    </w:p>
    <w:p w:rsidR="002E2327" w:rsidRDefault="00A47393" w:rsidP="002E2327">
      <w:pPr>
        <w:widowControl w:val="0"/>
        <w:rPr>
          <w:sz w:val="20"/>
          <w:szCs w:val="20"/>
        </w:rPr>
      </w:pPr>
      <w:r>
        <w:rPr>
          <w:sz w:val="20"/>
          <w:szCs w:val="20"/>
        </w:rPr>
        <w:pict>
          <v:rect id="_x0000_i1034"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bookmarkStart w:id="1" w:name="QuickMark_1"/>
            <w:bookmarkEnd w:id="1"/>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012FDB" w:rsidRPr="00012FDB" w:rsidRDefault="00012FDB" w:rsidP="00012FDB">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13.12.2013</w:t>
      </w:r>
    </w:p>
    <w:p w:rsidR="00012FDB" w:rsidRPr="00012FDB" w:rsidRDefault="00012FDB" w:rsidP="00012FDB">
      <w:pPr>
        <w:tabs>
          <w:tab w:val="left" w:pos="-1440"/>
          <w:tab w:val="left" w:pos="-720"/>
        </w:tabs>
        <w:jc w:val="both"/>
        <w:rPr>
          <w:rFonts w:eastAsia="Times New Roman" w:cs="Times New Roman"/>
          <w:sz w:val="20"/>
          <w:szCs w:val="20"/>
          <w:lang w:val="fr-CA" w:eastAsia="en-CA"/>
        </w:rPr>
      </w:pPr>
    </w:p>
    <w:p w:rsidR="00012FDB" w:rsidRPr="00012FDB" w:rsidRDefault="00012FDB" w:rsidP="00012FDB">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Before / Devant :   ABELLA J. / LA JUGE ABELLA</w:t>
      </w:r>
    </w:p>
    <w:p w:rsidR="00012FDB" w:rsidRPr="00012FDB" w:rsidRDefault="00012FDB" w:rsidP="00012FD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012FDB" w:rsidRPr="00A47393" w:rsidTr="000D1062">
        <w:tc>
          <w:tcPr>
            <w:tcW w:w="4338" w:type="dxa"/>
            <w:gridSpan w:val="2"/>
          </w:tcPr>
          <w:p w:rsidR="00012FDB" w:rsidRPr="00012FDB" w:rsidRDefault="00012FDB" w:rsidP="00012FDB">
            <w:pPr>
              <w:jc w:val="both"/>
              <w:rPr>
                <w:b/>
              </w:rPr>
            </w:pPr>
            <w:r w:rsidRPr="00012FDB">
              <w:rPr>
                <w:b/>
                <w:lang w:val="en-US"/>
              </w:rPr>
              <w:t xml:space="preserve">Order on interventions with respect to oral argument </w:t>
            </w:r>
            <w:r w:rsidR="001C5DB7" w:rsidRPr="00012FDB">
              <w:rPr>
                <w:b/>
                <w:lang w:val="en-US"/>
              </w:rPr>
              <w:fldChar w:fldCharType="begin"/>
            </w:r>
            <w:r w:rsidRPr="00012FDB">
              <w:rPr>
                <w:b/>
              </w:rPr>
              <w:instrText xml:space="preserve"> SEQ CHAPTER \h \r 1</w:instrText>
            </w:r>
            <w:r w:rsidR="001C5DB7" w:rsidRPr="00012FDB">
              <w:rPr>
                <w:b/>
                <w:lang w:val="en-US"/>
              </w:rPr>
              <w:fldChar w:fldCharType="end"/>
            </w:r>
          </w:p>
        </w:tc>
        <w:tc>
          <w:tcPr>
            <w:tcW w:w="1170" w:type="dxa"/>
          </w:tcPr>
          <w:p w:rsidR="00012FDB" w:rsidRPr="00012FDB" w:rsidRDefault="00012FDB" w:rsidP="00012FDB"/>
          <w:p w:rsidR="00012FDB" w:rsidRPr="00012FDB" w:rsidRDefault="00012FDB" w:rsidP="00012FDB"/>
          <w:p w:rsidR="00012FDB" w:rsidRPr="00012FDB" w:rsidRDefault="00012FDB" w:rsidP="00012FDB"/>
        </w:tc>
        <w:tc>
          <w:tcPr>
            <w:tcW w:w="4327" w:type="dxa"/>
          </w:tcPr>
          <w:p w:rsidR="00012FDB" w:rsidRPr="00012FDB" w:rsidRDefault="00012FDB" w:rsidP="00012FDB">
            <w:pPr>
              <w:jc w:val="both"/>
              <w:rPr>
                <w:b/>
                <w:lang w:val="fr-CA"/>
              </w:rPr>
            </w:pPr>
            <w:r w:rsidRPr="00012FDB">
              <w:rPr>
                <w:b/>
                <w:lang w:val="fr-CA"/>
              </w:rPr>
              <w:t>Ordonnance relative à la présentation d’une plaidoirie orale par les intervenants</w:t>
            </w:r>
            <w:r w:rsidR="001C5DB7" w:rsidRPr="00012FDB">
              <w:rPr>
                <w:b/>
                <w:lang w:val="en-US"/>
              </w:rPr>
              <w:fldChar w:fldCharType="begin"/>
            </w:r>
            <w:r w:rsidRPr="00012FDB">
              <w:rPr>
                <w:b/>
                <w:lang w:val="fr-CA"/>
              </w:rPr>
              <w:instrText xml:space="preserve"> SEQ CHAPTER \h \r 1</w:instrText>
            </w:r>
            <w:r w:rsidR="001C5DB7" w:rsidRPr="00012FDB">
              <w:rPr>
                <w:b/>
                <w:lang w:val="en-US"/>
              </w:rPr>
              <w:fldChar w:fldCharType="end"/>
            </w:r>
          </w:p>
        </w:tc>
      </w:tr>
      <w:tr w:rsidR="00012FDB" w:rsidRPr="00012FDB" w:rsidTr="000D1062">
        <w:tc>
          <w:tcPr>
            <w:tcW w:w="1368" w:type="dxa"/>
          </w:tcPr>
          <w:p w:rsidR="00012FDB" w:rsidRPr="00012FDB" w:rsidRDefault="00012FDB" w:rsidP="00012FDB">
            <w:r w:rsidRPr="00012FDB">
              <w:t>RE:</w:t>
            </w:r>
          </w:p>
        </w:tc>
        <w:tc>
          <w:tcPr>
            <w:tcW w:w="2970" w:type="dxa"/>
          </w:tcPr>
          <w:p w:rsidR="00012FDB" w:rsidRPr="00012FDB" w:rsidRDefault="00012FDB" w:rsidP="00012FDB">
            <w:r w:rsidRPr="00012FDB">
              <w:rPr>
                <w:lang w:val="en-US"/>
              </w:rPr>
              <w:t>Canadian Lawyers for International Human Rights;</w:t>
            </w:r>
          </w:p>
        </w:tc>
        <w:tc>
          <w:tcPr>
            <w:tcW w:w="1170" w:type="dxa"/>
          </w:tcPr>
          <w:p w:rsidR="00012FDB" w:rsidRPr="00012FDB" w:rsidRDefault="00012FDB" w:rsidP="00012FDB"/>
        </w:tc>
        <w:tc>
          <w:tcPr>
            <w:tcW w:w="4327" w:type="dxa"/>
          </w:tcPr>
          <w:p w:rsidR="00012FDB" w:rsidRPr="00012FDB" w:rsidRDefault="00012FDB" w:rsidP="00012FDB"/>
        </w:tc>
      </w:tr>
      <w:tr w:rsidR="00012FDB" w:rsidRPr="00012FDB" w:rsidTr="000D1062">
        <w:tc>
          <w:tcPr>
            <w:tcW w:w="1368" w:type="dxa"/>
          </w:tcPr>
          <w:p w:rsidR="00012FDB" w:rsidRPr="00012FDB" w:rsidRDefault="00012FDB" w:rsidP="00012FDB"/>
        </w:tc>
        <w:tc>
          <w:tcPr>
            <w:tcW w:w="2970" w:type="dxa"/>
          </w:tcPr>
          <w:p w:rsidR="00012FDB" w:rsidRPr="00012FDB" w:rsidRDefault="00012FDB" w:rsidP="00012FDB">
            <w:pPr>
              <w:rPr>
                <w:lang w:val="en-US"/>
              </w:rPr>
            </w:pPr>
          </w:p>
        </w:tc>
        <w:tc>
          <w:tcPr>
            <w:tcW w:w="1170" w:type="dxa"/>
          </w:tcPr>
          <w:p w:rsidR="00012FDB" w:rsidRPr="00012FDB" w:rsidRDefault="00012FDB" w:rsidP="00012FDB"/>
        </w:tc>
        <w:tc>
          <w:tcPr>
            <w:tcW w:w="4327" w:type="dxa"/>
          </w:tcPr>
          <w:p w:rsidR="00012FDB" w:rsidRPr="00012FDB" w:rsidRDefault="00012FDB" w:rsidP="00012FDB"/>
        </w:tc>
      </w:tr>
      <w:tr w:rsidR="00012FDB" w:rsidRPr="00A47393" w:rsidTr="000D1062">
        <w:tc>
          <w:tcPr>
            <w:tcW w:w="1368" w:type="dxa"/>
          </w:tcPr>
          <w:p w:rsidR="00012FDB" w:rsidRPr="00012FDB" w:rsidRDefault="00012FDB" w:rsidP="00012FDB"/>
        </w:tc>
        <w:tc>
          <w:tcPr>
            <w:tcW w:w="2970" w:type="dxa"/>
          </w:tcPr>
          <w:p w:rsidR="00012FDB" w:rsidRPr="00012FDB" w:rsidRDefault="00012FDB" w:rsidP="00012FDB">
            <w:pPr>
              <w:rPr>
                <w:lang w:val="fr-CA"/>
              </w:rPr>
            </w:pPr>
            <w:r w:rsidRPr="00012FDB">
              <w:rPr>
                <w:lang w:val="fr-CA"/>
              </w:rPr>
              <w:t>Amnistie internationale, Section Canada francophone;</w:t>
            </w:r>
          </w:p>
        </w:tc>
        <w:tc>
          <w:tcPr>
            <w:tcW w:w="1170" w:type="dxa"/>
          </w:tcPr>
          <w:p w:rsidR="00012FDB" w:rsidRPr="00012FDB" w:rsidRDefault="00012FDB" w:rsidP="00012FDB">
            <w:pPr>
              <w:rPr>
                <w:lang w:val="fr-CA"/>
              </w:rPr>
            </w:pPr>
          </w:p>
        </w:tc>
        <w:tc>
          <w:tcPr>
            <w:tcW w:w="4327" w:type="dxa"/>
          </w:tcPr>
          <w:p w:rsidR="00012FDB" w:rsidRPr="00012FDB" w:rsidRDefault="00012FDB" w:rsidP="00012FDB">
            <w:pPr>
              <w:rPr>
                <w:lang w:val="fr-CA"/>
              </w:rPr>
            </w:pPr>
          </w:p>
        </w:tc>
      </w:tr>
      <w:tr w:rsidR="00012FDB" w:rsidRPr="00A47393" w:rsidTr="000D1062">
        <w:tc>
          <w:tcPr>
            <w:tcW w:w="1368" w:type="dxa"/>
          </w:tcPr>
          <w:p w:rsidR="00012FDB" w:rsidRPr="00012FDB" w:rsidRDefault="00012FDB" w:rsidP="00012FDB">
            <w:pPr>
              <w:rPr>
                <w:lang w:val="fr-CA"/>
              </w:rPr>
            </w:pPr>
          </w:p>
        </w:tc>
        <w:tc>
          <w:tcPr>
            <w:tcW w:w="2970" w:type="dxa"/>
          </w:tcPr>
          <w:p w:rsidR="00012FDB" w:rsidRPr="00012FDB" w:rsidRDefault="00012FDB" w:rsidP="00012FDB">
            <w:pPr>
              <w:rPr>
                <w:lang w:val="fr-CA"/>
              </w:rPr>
            </w:pPr>
          </w:p>
        </w:tc>
        <w:tc>
          <w:tcPr>
            <w:tcW w:w="1170" w:type="dxa"/>
          </w:tcPr>
          <w:p w:rsidR="00012FDB" w:rsidRPr="00012FDB" w:rsidRDefault="00012FDB" w:rsidP="00012FDB">
            <w:pPr>
              <w:rPr>
                <w:lang w:val="fr-CA"/>
              </w:rPr>
            </w:pPr>
          </w:p>
        </w:tc>
        <w:tc>
          <w:tcPr>
            <w:tcW w:w="4327" w:type="dxa"/>
          </w:tcPr>
          <w:p w:rsidR="00012FDB" w:rsidRPr="00012FDB" w:rsidRDefault="00012FDB" w:rsidP="00012FDB">
            <w:pPr>
              <w:rPr>
                <w:lang w:val="fr-CA"/>
              </w:rPr>
            </w:pPr>
          </w:p>
        </w:tc>
      </w:tr>
      <w:tr w:rsidR="00012FDB" w:rsidRPr="00012FDB" w:rsidTr="000D1062">
        <w:tc>
          <w:tcPr>
            <w:tcW w:w="1368" w:type="dxa"/>
          </w:tcPr>
          <w:p w:rsidR="00012FDB" w:rsidRPr="00012FDB" w:rsidRDefault="00012FDB" w:rsidP="00012FDB">
            <w:pPr>
              <w:rPr>
                <w:lang w:val="fr-CA"/>
              </w:rPr>
            </w:pPr>
          </w:p>
        </w:tc>
        <w:tc>
          <w:tcPr>
            <w:tcW w:w="2970" w:type="dxa"/>
          </w:tcPr>
          <w:p w:rsidR="00012FDB" w:rsidRPr="00012FDB" w:rsidRDefault="00012FDB" w:rsidP="00012FDB">
            <w:r w:rsidRPr="00012FDB">
              <w:rPr>
                <w:lang w:val="en-US"/>
              </w:rPr>
              <w:t>Redress Trust Ltd;</w:t>
            </w:r>
          </w:p>
        </w:tc>
        <w:tc>
          <w:tcPr>
            <w:tcW w:w="1170" w:type="dxa"/>
          </w:tcPr>
          <w:p w:rsidR="00012FDB" w:rsidRPr="00012FDB" w:rsidRDefault="00012FDB" w:rsidP="00012FDB"/>
        </w:tc>
        <w:tc>
          <w:tcPr>
            <w:tcW w:w="4327" w:type="dxa"/>
          </w:tcPr>
          <w:p w:rsidR="00012FDB" w:rsidRPr="00012FDB" w:rsidRDefault="00012FDB" w:rsidP="00012FDB"/>
        </w:tc>
      </w:tr>
      <w:tr w:rsidR="00012FDB" w:rsidRPr="00012FDB" w:rsidTr="000D1062">
        <w:tc>
          <w:tcPr>
            <w:tcW w:w="1368" w:type="dxa"/>
          </w:tcPr>
          <w:p w:rsidR="00012FDB" w:rsidRPr="00012FDB" w:rsidRDefault="00012FDB" w:rsidP="00012FDB">
            <w:pPr>
              <w:rPr>
                <w:lang w:val="fr-CA"/>
              </w:rPr>
            </w:pPr>
          </w:p>
        </w:tc>
        <w:tc>
          <w:tcPr>
            <w:tcW w:w="2970" w:type="dxa"/>
          </w:tcPr>
          <w:p w:rsidR="00012FDB" w:rsidRPr="00012FDB" w:rsidRDefault="00012FDB" w:rsidP="00012FDB">
            <w:pPr>
              <w:rPr>
                <w:lang w:val="en-US"/>
              </w:rPr>
            </w:pPr>
          </w:p>
        </w:tc>
        <w:tc>
          <w:tcPr>
            <w:tcW w:w="1170" w:type="dxa"/>
          </w:tcPr>
          <w:p w:rsidR="00012FDB" w:rsidRPr="00012FDB" w:rsidRDefault="00012FDB" w:rsidP="00012FDB"/>
        </w:tc>
        <w:tc>
          <w:tcPr>
            <w:tcW w:w="4327" w:type="dxa"/>
          </w:tcPr>
          <w:p w:rsidR="00012FDB" w:rsidRPr="00012FDB" w:rsidRDefault="00012FDB" w:rsidP="00012FDB"/>
        </w:tc>
      </w:tr>
      <w:tr w:rsidR="00012FDB" w:rsidRPr="00012FDB" w:rsidTr="000D1062">
        <w:tc>
          <w:tcPr>
            <w:tcW w:w="1368" w:type="dxa"/>
          </w:tcPr>
          <w:p w:rsidR="00012FDB" w:rsidRPr="00012FDB" w:rsidRDefault="00012FDB" w:rsidP="00012FDB"/>
        </w:tc>
        <w:tc>
          <w:tcPr>
            <w:tcW w:w="2970" w:type="dxa"/>
          </w:tcPr>
          <w:p w:rsidR="00012FDB" w:rsidRPr="00012FDB" w:rsidRDefault="00012FDB" w:rsidP="00012FDB">
            <w:pPr>
              <w:rPr>
                <w:lang w:val="en-US"/>
              </w:rPr>
            </w:pPr>
            <w:r w:rsidRPr="00012FDB">
              <w:rPr>
                <w:lang w:val="en-US"/>
              </w:rPr>
              <w:t>Canadian Association of Refugee Lawyers;</w:t>
            </w:r>
          </w:p>
        </w:tc>
        <w:tc>
          <w:tcPr>
            <w:tcW w:w="1170" w:type="dxa"/>
          </w:tcPr>
          <w:p w:rsidR="00012FDB" w:rsidRPr="00012FDB" w:rsidRDefault="00012FDB" w:rsidP="00012FDB"/>
        </w:tc>
        <w:tc>
          <w:tcPr>
            <w:tcW w:w="4327" w:type="dxa"/>
          </w:tcPr>
          <w:p w:rsidR="00012FDB" w:rsidRPr="00012FDB" w:rsidRDefault="00012FDB" w:rsidP="00012FDB"/>
        </w:tc>
      </w:tr>
      <w:tr w:rsidR="00012FDB" w:rsidRPr="00012FDB" w:rsidTr="000D1062">
        <w:tc>
          <w:tcPr>
            <w:tcW w:w="1368" w:type="dxa"/>
          </w:tcPr>
          <w:p w:rsidR="00012FDB" w:rsidRPr="00012FDB" w:rsidRDefault="00012FDB" w:rsidP="00012FDB"/>
        </w:tc>
        <w:tc>
          <w:tcPr>
            <w:tcW w:w="2970" w:type="dxa"/>
          </w:tcPr>
          <w:p w:rsidR="00012FDB" w:rsidRPr="00012FDB" w:rsidRDefault="00012FDB" w:rsidP="00012FDB">
            <w:pPr>
              <w:rPr>
                <w:lang w:val="en-US"/>
              </w:rPr>
            </w:pPr>
          </w:p>
        </w:tc>
        <w:tc>
          <w:tcPr>
            <w:tcW w:w="1170" w:type="dxa"/>
          </w:tcPr>
          <w:p w:rsidR="00012FDB" w:rsidRPr="00012FDB" w:rsidRDefault="00012FDB" w:rsidP="00012FDB"/>
        </w:tc>
        <w:tc>
          <w:tcPr>
            <w:tcW w:w="4327" w:type="dxa"/>
          </w:tcPr>
          <w:p w:rsidR="00012FDB" w:rsidRPr="00012FDB" w:rsidRDefault="00012FDB" w:rsidP="00012FDB"/>
        </w:tc>
      </w:tr>
      <w:tr w:rsidR="00012FDB" w:rsidRPr="00012FDB" w:rsidTr="000D1062">
        <w:tc>
          <w:tcPr>
            <w:tcW w:w="1368" w:type="dxa"/>
          </w:tcPr>
          <w:p w:rsidR="00012FDB" w:rsidRPr="00012FDB" w:rsidRDefault="00012FDB" w:rsidP="00012FDB"/>
        </w:tc>
        <w:tc>
          <w:tcPr>
            <w:tcW w:w="2970" w:type="dxa"/>
          </w:tcPr>
          <w:p w:rsidR="00012FDB" w:rsidRPr="00012FDB" w:rsidRDefault="00012FDB" w:rsidP="00012FDB">
            <w:pPr>
              <w:rPr>
                <w:lang w:val="en-US"/>
              </w:rPr>
            </w:pPr>
            <w:r w:rsidRPr="00012FDB">
              <w:rPr>
                <w:lang w:val="en-US"/>
              </w:rPr>
              <w:t>British Columbia Civil Liberties Association;</w:t>
            </w:r>
          </w:p>
        </w:tc>
        <w:tc>
          <w:tcPr>
            <w:tcW w:w="1170" w:type="dxa"/>
          </w:tcPr>
          <w:p w:rsidR="00012FDB" w:rsidRPr="00012FDB" w:rsidRDefault="00012FDB" w:rsidP="00012FDB"/>
        </w:tc>
        <w:tc>
          <w:tcPr>
            <w:tcW w:w="4327" w:type="dxa"/>
          </w:tcPr>
          <w:p w:rsidR="00012FDB" w:rsidRPr="00012FDB" w:rsidRDefault="00012FDB" w:rsidP="00012FDB"/>
        </w:tc>
      </w:tr>
      <w:tr w:rsidR="00012FDB" w:rsidRPr="00012FDB" w:rsidTr="000D1062">
        <w:tc>
          <w:tcPr>
            <w:tcW w:w="1368" w:type="dxa"/>
          </w:tcPr>
          <w:p w:rsidR="00012FDB" w:rsidRPr="00012FDB" w:rsidRDefault="00012FDB" w:rsidP="00012FDB"/>
        </w:tc>
        <w:tc>
          <w:tcPr>
            <w:tcW w:w="2970" w:type="dxa"/>
          </w:tcPr>
          <w:p w:rsidR="00012FDB" w:rsidRPr="00012FDB" w:rsidRDefault="00012FDB" w:rsidP="00012FDB">
            <w:pPr>
              <w:rPr>
                <w:lang w:val="en-US"/>
              </w:rPr>
            </w:pPr>
          </w:p>
        </w:tc>
        <w:tc>
          <w:tcPr>
            <w:tcW w:w="1170" w:type="dxa"/>
          </w:tcPr>
          <w:p w:rsidR="00012FDB" w:rsidRPr="00012FDB" w:rsidRDefault="00012FDB" w:rsidP="00012FDB"/>
        </w:tc>
        <w:tc>
          <w:tcPr>
            <w:tcW w:w="4327" w:type="dxa"/>
          </w:tcPr>
          <w:p w:rsidR="00012FDB" w:rsidRPr="00012FDB" w:rsidRDefault="00012FDB" w:rsidP="00012FDB"/>
        </w:tc>
      </w:tr>
      <w:tr w:rsidR="00012FDB" w:rsidRPr="00012FDB" w:rsidTr="000D1062">
        <w:tc>
          <w:tcPr>
            <w:tcW w:w="1368" w:type="dxa"/>
          </w:tcPr>
          <w:p w:rsidR="00012FDB" w:rsidRPr="00012FDB" w:rsidRDefault="00012FDB" w:rsidP="00012FDB"/>
        </w:tc>
        <w:tc>
          <w:tcPr>
            <w:tcW w:w="2970" w:type="dxa"/>
          </w:tcPr>
          <w:p w:rsidR="00012FDB" w:rsidRPr="00012FDB" w:rsidRDefault="00012FDB" w:rsidP="00012FDB">
            <w:pPr>
              <w:rPr>
                <w:lang w:val="en-US"/>
              </w:rPr>
            </w:pPr>
            <w:r w:rsidRPr="00012FDB">
              <w:rPr>
                <w:lang w:val="en-US"/>
              </w:rPr>
              <w:t>Canadian Bar Association;</w:t>
            </w:r>
          </w:p>
        </w:tc>
        <w:tc>
          <w:tcPr>
            <w:tcW w:w="1170" w:type="dxa"/>
          </w:tcPr>
          <w:p w:rsidR="00012FDB" w:rsidRPr="00012FDB" w:rsidRDefault="00012FDB" w:rsidP="00012FDB"/>
        </w:tc>
        <w:tc>
          <w:tcPr>
            <w:tcW w:w="4327" w:type="dxa"/>
          </w:tcPr>
          <w:p w:rsidR="00012FDB" w:rsidRPr="00012FDB" w:rsidRDefault="00012FDB" w:rsidP="00012FDB"/>
        </w:tc>
      </w:tr>
      <w:tr w:rsidR="00012FDB" w:rsidRPr="00012FDB" w:rsidTr="000D1062">
        <w:tc>
          <w:tcPr>
            <w:tcW w:w="1368" w:type="dxa"/>
          </w:tcPr>
          <w:p w:rsidR="00012FDB" w:rsidRPr="00012FDB" w:rsidRDefault="00012FDB" w:rsidP="00012FDB"/>
        </w:tc>
        <w:tc>
          <w:tcPr>
            <w:tcW w:w="2970" w:type="dxa"/>
          </w:tcPr>
          <w:p w:rsidR="00012FDB" w:rsidRPr="00012FDB" w:rsidRDefault="00012FDB" w:rsidP="00012FDB">
            <w:pPr>
              <w:rPr>
                <w:lang w:val="en-US"/>
              </w:rPr>
            </w:pPr>
          </w:p>
        </w:tc>
        <w:tc>
          <w:tcPr>
            <w:tcW w:w="1170" w:type="dxa"/>
          </w:tcPr>
          <w:p w:rsidR="00012FDB" w:rsidRPr="00012FDB" w:rsidRDefault="00012FDB" w:rsidP="00012FDB"/>
        </w:tc>
        <w:tc>
          <w:tcPr>
            <w:tcW w:w="4327" w:type="dxa"/>
          </w:tcPr>
          <w:p w:rsidR="00012FDB" w:rsidRPr="00012FDB" w:rsidRDefault="00012FDB" w:rsidP="00012FDB"/>
        </w:tc>
      </w:tr>
      <w:tr w:rsidR="00012FDB" w:rsidRPr="00012FDB" w:rsidTr="000D1062">
        <w:tc>
          <w:tcPr>
            <w:tcW w:w="1368" w:type="dxa"/>
          </w:tcPr>
          <w:p w:rsidR="00012FDB" w:rsidRPr="00012FDB" w:rsidRDefault="00012FDB" w:rsidP="00012FDB"/>
        </w:tc>
        <w:tc>
          <w:tcPr>
            <w:tcW w:w="2970" w:type="dxa"/>
          </w:tcPr>
          <w:p w:rsidR="00012FDB" w:rsidRPr="00012FDB" w:rsidRDefault="00012FDB" w:rsidP="00012FDB">
            <w:pPr>
              <w:rPr>
                <w:lang w:val="en-US"/>
              </w:rPr>
            </w:pPr>
            <w:r w:rsidRPr="00012FDB">
              <w:rPr>
                <w:lang w:val="en-US"/>
              </w:rPr>
              <w:t>Canadian Civil Liberties Association;</w:t>
            </w:r>
          </w:p>
        </w:tc>
        <w:tc>
          <w:tcPr>
            <w:tcW w:w="1170" w:type="dxa"/>
          </w:tcPr>
          <w:p w:rsidR="00012FDB" w:rsidRPr="00012FDB" w:rsidRDefault="00012FDB" w:rsidP="00012FDB"/>
        </w:tc>
        <w:tc>
          <w:tcPr>
            <w:tcW w:w="4327" w:type="dxa"/>
          </w:tcPr>
          <w:p w:rsidR="00012FDB" w:rsidRPr="00012FDB" w:rsidRDefault="00012FDB" w:rsidP="00012FDB"/>
        </w:tc>
      </w:tr>
      <w:tr w:rsidR="00012FDB" w:rsidRPr="00012FDB" w:rsidTr="000D1062">
        <w:tc>
          <w:tcPr>
            <w:tcW w:w="1368" w:type="dxa"/>
          </w:tcPr>
          <w:p w:rsidR="00012FDB" w:rsidRPr="00012FDB" w:rsidRDefault="00012FDB" w:rsidP="00012FDB"/>
        </w:tc>
        <w:tc>
          <w:tcPr>
            <w:tcW w:w="2970" w:type="dxa"/>
          </w:tcPr>
          <w:p w:rsidR="00012FDB" w:rsidRPr="00012FDB" w:rsidRDefault="00012FDB" w:rsidP="00012FDB">
            <w:pPr>
              <w:rPr>
                <w:lang w:val="en-US"/>
              </w:rPr>
            </w:pPr>
          </w:p>
        </w:tc>
        <w:tc>
          <w:tcPr>
            <w:tcW w:w="1170" w:type="dxa"/>
          </w:tcPr>
          <w:p w:rsidR="00012FDB" w:rsidRPr="00012FDB" w:rsidRDefault="00012FDB" w:rsidP="00012FDB"/>
        </w:tc>
        <w:tc>
          <w:tcPr>
            <w:tcW w:w="4327" w:type="dxa"/>
          </w:tcPr>
          <w:p w:rsidR="00012FDB" w:rsidRPr="00012FDB" w:rsidRDefault="00012FDB" w:rsidP="00012FDB"/>
        </w:tc>
      </w:tr>
      <w:tr w:rsidR="00012FDB" w:rsidRPr="00012FDB" w:rsidTr="000D1062">
        <w:tc>
          <w:tcPr>
            <w:tcW w:w="1368" w:type="dxa"/>
          </w:tcPr>
          <w:p w:rsidR="00012FDB" w:rsidRPr="00012FDB" w:rsidRDefault="00012FDB" w:rsidP="00012FDB"/>
        </w:tc>
        <w:tc>
          <w:tcPr>
            <w:tcW w:w="2970" w:type="dxa"/>
          </w:tcPr>
          <w:p w:rsidR="00012FDB" w:rsidRPr="00012FDB" w:rsidRDefault="00012FDB" w:rsidP="00012FDB">
            <w:pPr>
              <w:rPr>
                <w:lang w:val="en-US"/>
              </w:rPr>
            </w:pPr>
            <w:r w:rsidRPr="00012FDB">
              <w:rPr>
                <w:lang w:val="en-US"/>
              </w:rPr>
              <w:t>Canadian Centre for International Justice;</w:t>
            </w:r>
          </w:p>
        </w:tc>
        <w:tc>
          <w:tcPr>
            <w:tcW w:w="1170" w:type="dxa"/>
          </w:tcPr>
          <w:p w:rsidR="00012FDB" w:rsidRPr="00012FDB" w:rsidRDefault="00012FDB" w:rsidP="00012FDB"/>
        </w:tc>
        <w:tc>
          <w:tcPr>
            <w:tcW w:w="4327" w:type="dxa"/>
          </w:tcPr>
          <w:p w:rsidR="00012FDB" w:rsidRPr="00012FDB" w:rsidRDefault="00012FDB" w:rsidP="00012FDB"/>
        </w:tc>
      </w:tr>
      <w:tr w:rsidR="00012FDB" w:rsidRPr="00012FDB" w:rsidTr="000D1062">
        <w:tc>
          <w:tcPr>
            <w:tcW w:w="1368" w:type="dxa"/>
          </w:tcPr>
          <w:p w:rsidR="00012FDB" w:rsidRPr="00012FDB" w:rsidRDefault="00012FDB" w:rsidP="00012FDB"/>
        </w:tc>
        <w:tc>
          <w:tcPr>
            <w:tcW w:w="2970" w:type="dxa"/>
          </w:tcPr>
          <w:p w:rsidR="00012FDB" w:rsidRPr="00012FDB" w:rsidRDefault="00012FDB" w:rsidP="00012FDB">
            <w:pPr>
              <w:rPr>
                <w:lang w:val="en-US"/>
              </w:rPr>
            </w:pPr>
          </w:p>
        </w:tc>
        <w:tc>
          <w:tcPr>
            <w:tcW w:w="1170" w:type="dxa"/>
          </w:tcPr>
          <w:p w:rsidR="00012FDB" w:rsidRPr="00012FDB" w:rsidRDefault="00012FDB" w:rsidP="00012FDB"/>
        </w:tc>
        <w:tc>
          <w:tcPr>
            <w:tcW w:w="4327" w:type="dxa"/>
          </w:tcPr>
          <w:p w:rsidR="00012FDB" w:rsidRPr="00012FDB" w:rsidRDefault="00012FDB" w:rsidP="00012FDB"/>
        </w:tc>
      </w:tr>
      <w:tr w:rsidR="00012FDB" w:rsidRPr="00012FDB" w:rsidTr="000D1062">
        <w:tc>
          <w:tcPr>
            <w:tcW w:w="1368" w:type="dxa"/>
          </w:tcPr>
          <w:p w:rsidR="00012FDB" w:rsidRPr="00012FDB" w:rsidRDefault="00012FDB" w:rsidP="00012FDB"/>
        </w:tc>
        <w:tc>
          <w:tcPr>
            <w:tcW w:w="2970" w:type="dxa"/>
          </w:tcPr>
          <w:p w:rsidR="00012FDB" w:rsidRPr="00012FDB" w:rsidRDefault="00012FDB" w:rsidP="00012FDB">
            <w:r w:rsidRPr="00012FDB">
              <w:rPr>
                <w:lang w:val="en-US"/>
              </w:rPr>
              <w:t>David Asper Centre for Constitutional Rights and International Human Rights Program of the University of Toronto Faculty of Law;</w:t>
            </w:r>
          </w:p>
        </w:tc>
        <w:tc>
          <w:tcPr>
            <w:tcW w:w="1170" w:type="dxa"/>
          </w:tcPr>
          <w:p w:rsidR="00012FDB" w:rsidRPr="00012FDB" w:rsidRDefault="00012FDB" w:rsidP="00012FDB"/>
        </w:tc>
        <w:tc>
          <w:tcPr>
            <w:tcW w:w="4327" w:type="dxa"/>
          </w:tcPr>
          <w:p w:rsidR="00012FDB" w:rsidRPr="00012FDB" w:rsidRDefault="00012FDB" w:rsidP="00012FDB"/>
        </w:tc>
      </w:tr>
      <w:tr w:rsidR="00012FDB" w:rsidRPr="00012FDB" w:rsidTr="000D1062">
        <w:tc>
          <w:tcPr>
            <w:tcW w:w="1368" w:type="dxa"/>
          </w:tcPr>
          <w:p w:rsidR="00012FDB" w:rsidRPr="00012FDB" w:rsidRDefault="00012FDB" w:rsidP="00012FDB"/>
        </w:tc>
        <w:tc>
          <w:tcPr>
            <w:tcW w:w="2970" w:type="dxa"/>
          </w:tcPr>
          <w:p w:rsidR="00012FDB" w:rsidRPr="00012FDB" w:rsidRDefault="00012FDB" w:rsidP="00012FDB">
            <w:pPr>
              <w:rPr>
                <w:lang w:val="en-US"/>
              </w:rPr>
            </w:pPr>
          </w:p>
        </w:tc>
        <w:tc>
          <w:tcPr>
            <w:tcW w:w="1170" w:type="dxa"/>
          </w:tcPr>
          <w:p w:rsidR="00012FDB" w:rsidRPr="00012FDB" w:rsidRDefault="00012FDB" w:rsidP="00012FDB"/>
        </w:tc>
        <w:tc>
          <w:tcPr>
            <w:tcW w:w="4327" w:type="dxa"/>
          </w:tcPr>
          <w:p w:rsidR="00012FDB" w:rsidRPr="00012FDB" w:rsidRDefault="00012FDB" w:rsidP="00012FDB"/>
        </w:tc>
      </w:tr>
      <w:tr w:rsidR="00012FDB" w:rsidRPr="00012FDB" w:rsidTr="000D1062">
        <w:tc>
          <w:tcPr>
            <w:tcW w:w="1368" w:type="dxa"/>
          </w:tcPr>
          <w:p w:rsidR="00012FDB" w:rsidRPr="00012FDB" w:rsidRDefault="00012FDB" w:rsidP="00012FDB"/>
        </w:tc>
        <w:tc>
          <w:tcPr>
            <w:tcW w:w="2970" w:type="dxa"/>
          </w:tcPr>
          <w:p w:rsidR="00012FDB" w:rsidRPr="00012FDB" w:rsidRDefault="00012FDB" w:rsidP="00012FDB">
            <w:pPr>
              <w:rPr>
                <w:lang w:val="en-US"/>
              </w:rPr>
            </w:pPr>
            <w:r w:rsidRPr="00012FDB">
              <w:rPr>
                <w:lang w:val="en-US"/>
              </w:rPr>
              <w:t>Iran Human Rights Documentation Center</w:t>
            </w:r>
          </w:p>
        </w:tc>
        <w:tc>
          <w:tcPr>
            <w:tcW w:w="1170" w:type="dxa"/>
          </w:tcPr>
          <w:p w:rsidR="00012FDB" w:rsidRPr="00012FDB" w:rsidRDefault="00012FDB" w:rsidP="00012FDB"/>
        </w:tc>
        <w:tc>
          <w:tcPr>
            <w:tcW w:w="4327" w:type="dxa"/>
          </w:tcPr>
          <w:p w:rsidR="00012FDB" w:rsidRPr="00012FDB" w:rsidRDefault="00012FDB" w:rsidP="00012FDB"/>
        </w:tc>
      </w:tr>
      <w:tr w:rsidR="00012FDB" w:rsidRPr="00012FDB" w:rsidTr="000D1062">
        <w:tc>
          <w:tcPr>
            <w:tcW w:w="1368" w:type="dxa"/>
          </w:tcPr>
          <w:p w:rsidR="00012FDB" w:rsidRPr="00012FDB" w:rsidRDefault="00012FDB" w:rsidP="00012FDB"/>
        </w:tc>
        <w:tc>
          <w:tcPr>
            <w:tcW w:w="2970" w:type="dxa"/>
          </w:tcPr>
          <w:p w:rsidR="00012FDB" w:rsidRPr="00012FDB" w:rsidRDefault="00012FDB" w:rsidP="00012FDB"/>
        </w:tc>
        <w:tc>
          <w:tcPr>
            <w:tcW w:w="1170" w:type="dxa"/>
          </w:tcPr>
          <w:p w:rsidR="00012FDB" w:rsidRPr="00012FDB" w:rsidRDefault="00012FDB" w:rsidP="00012FDB"/>
        </w:tc>
        <w:tc>
          <w:tcPr>
            <w:tcW w:w="4327" w:type="dxa"/>
          </w:tcPr>
          <w:p w:rsidR="00012FDB" w:rsidRPr="00012FDB" w:rsidRDefault="00012FDB" w:rsidP="00012FDB"/>
        </w:tc>
      </w:tr>
      <w:tr w:rsidR="00012FDB" w:rsidRPr="00A47393" w:rsidTr="000D1062">
        <w:tc>
          <w:tcPr>
            <w:tcW w:w="1368" w:type="dxa"/>
          </w:tcPr>
          <w:p w:rsidR="00012FDB" w:rsidRPr="00012FDB" w:rsidRDefault="00012FDB" w:rsidP="00012FDB">
            <w:r w:rsidRPr="00012FDB">
              <w:t>IN / DANS :</w:t>
            </w:r>
          </w:p>
        </w:tc>
        <w:tc>
          <w:tcPr>
            <w:tcW w:w="2970" w:type="dxa"/>
          </w:tcPr>
          <w:p w:rsidR="00012FDB" w:rsidRPr="00012FDB" w:rsidRDefault="00012FDB" w:rsidP="00012FDB">
            <w:r w:rsidRPr="00012FDB">
              <w:t>Estate of the Late Zahra (Ziba) Kazemi et al.</w:t>
            </w:r>
          </w:p>
          <w:p w:rsidR="00012FDB" w:rsidRPr="00012FDB" w:rsidRDefault="00012FDB" w:rsidP="00012FDB"/>
          <w:p w:rsidR="00012FDB" w:rsidRPr="00012FDB" w:rsidRDefault="00012FDB" w:rsidP="00012FDB">
            <w:pPr>
              <w:rPr>
                <w:lang w:val="fr-CA"/>
              </w:rPr>
            </w:pPr>
            <w:r w:rsidRPr="00012FDB">
              <w:tab/>
            </w:r>
            <w:r w:rsidRPr="00012FDB">
              <w:rPr>
                <w:lang w:val="fr-CA"/>
              </w:rPr>
              <w:t>v. (35034)</w:t>
            </w:r>
          </w:p>
          <w:p w:rsidR="00012FDB" w:rsidRPr="00012FDB" w:rsidRDefault="00012FDB" w:rsidP="00012FDB">
            <w:pPr>
              <w:rPr>
                <w:lang w:val="fr-CA"/>
              </w:rPr>
            </w:pPr>
          </w:p>
          <w:p w:rsidR="00012FDB" w:rsidRPr="00012FDB" w:rsidRDefault="00012FDB" w:rsidP="00012FDB">
            <w:pPr>
              <w:rPr>
                <w:lang w:val="fr-CA"/>
              </w:rPr>
            </w:pPr>
            <w:r w:rsidRPr="00012FDB">
              <w:rPr>
                <w:lang w:val="fr-CA"/>
              </w:rPr>
              <w:t>Islamic Republic of Iran et al. (Que.)</w:t>
            </w:r>
          </w:p>
        </w:tc>
        <w:tc>
          <w:tcPr>
            <w:tcW w:w="1170" w:type="dxa"/>
          </w:tcPr>
          <w:p w:rsidR="00012FDB" w:rsidRPr="00012FDB" w:rsidRDefault="00012FDB" w:rsidP="00012FDB">
            <w:pPr>
              <w:rPr>
                <w:lang w:val="fr-CA"/>
              </w:rPr>
            </w:pPr>
          </w:p>
        </w:tc>
        <w:tc>
          <w:tcPr>
            <w:tcW w:w="4327" w:type="dxa"/>
          </w:tcPr>
          <w:p w:rsidR="00012FDB" w:rsidRPr="00012FDB" w:rsidRDefault="00012FDB" w:rsidP="00012FDB">
            <w:pPr>
              <w:rPr>
                <w:lang w:val="fr-CA"/>
              </w:rPr>
            </w:pPr>
          </w:p>
        </w:tc>
      </w:tr>
    </w:tbl>
    <w:p w:rsidR="00012FDB" w:rsidRPr="00012FDB" w:rsidRDefault="00012FDB" w:rsidP="00012FDB">
      <w:pPr>
        <w:tabs>
          <w:tab w:val="left" w:pos="-1440"/>
          <w:tab w:val="left" w:pos="-720"/>
        </w:tabs>
        <w:jc w:val="both"/>
        <w:rPr>
          <w:rFonts w:eastAsia="Times New Roman" w:cs="Times New Roman"/>
          <w:sz w:val="20"/>
          <w:szCs w:val="20"/>
          <w:lang w:val="fr-CA" w:eastAsia="en-CA"/>
        </w:rPr>
      </w:pPr>
    </w:p>
    <w:p w:rsidR="00012FDB" w:rsidRPr="00012FDB" w:rsidRDefault="00012FDB" w:rsidP="00012FDB">
      <w:pPr>
        <w:spacing w:line="230" w:lineRule="auto"/>
        <w:jc w:val="both"/>
        <w:rPr>
          <w:rFonts w:eastAsia="Times New Roman" w:cs="Times New Roman"/>
          <w:sz w:val="20"/>
          <w:szCs w:val="20"/>
          <w:lang w:val="en-US" w:eastAsia="en-CA"/>
        </w:rPr>
      </w:pPr>
      <w:r w:rsidRPr="00012FDB">
        <w:rPr>
          <w:rFonts w:eastAsia="Times New Roman" w:cs="Times New Roman"/>
          <w:b/>
          <w:bCs/>
          <w:sz w:val="20"/>
          <w:szCs w:val="20"/>
          <w:lang w:val="en-US" w:eastAsia="en-CA"/>
        </w:rPr>
        <w:t>FURTHER TO THE ORDER</w:t>
      </w:r>
      <w:r w:rsidRPr="00012FDB">
        <w:rPr>
          <w:rFonts w:eastAsia="Times New Roman" w:cs="Times New Roman"/>
          <w:sz w:val="20"/>
          <w:szCs w:val="20"/>
          <w:lang w:val="en-US" w:eastAsia="en-CA"/>
        </w:rPr>
        <w:t xml:space="preserve"> dated September 23, 2013, granting leave to intervene to </w:t>
      </w:r>
      <w:r w:rsidRPr="00012FDB">
        <w:rPr>
          <w:rFonts w:eastAsia="Times New Roman" w:cs="Times New Roman"/>
          <w:sz w:val="20"/>
          <w:szCs w:val="20"/>
          <w:lang w:eastAsia="en-CA"/>
        </w:rPr>
        <w:t>the</w:t>
      </w:r>
      <w:r w:rsidRPr="00012FDB">
        <w:rPr>
          <w:rFonts w:eastAsia="Times New Roman" w:cs="Times New Roman"/>
          <w:sz w:val="20"/>
          <w:szCs w:val="20"/>
          <w:lang w:val="en-US" w:eastAsia="en-CA"/>
        </w:rPr>
        <w:t xml:space="preserve"> Canadian Lawyers for International Human Rights, Amnistie internationale, Section Canada francophone, the Redress Trust Ltd., the Canadian Association of Refugee Lawyers, the British Columbia Civil Liberties Association, the Canadian Bar Association, the Canadian Civil Liberties Association, the Canadian Centre for International Justice, the David Asper Centre for Constitutional Rights and International Human Rights Program of the University of Toronto Faculty of Law and the Iran Human Rights Documentation Center and deferring the request of the Attorney General of Canada for leave to file a reply factum of 5 pages to each intervener;</w:t>
      </w:r>
    </w:p>
    <w:p w:rsidR="00012FDB" w:rsidRPr="00012FDB" w:rsidRDefault="00012FDB" w:rsidP="00012FDB">
      <w:pPr>
        <w:spacing w:line="230" w:lineRule="auto"/>
        <w:jc w:val="both"/>
        <w:rPr>
          <w:rFonts w:eastAsia="Times New Roman" w:cs="Times New Roman"/>
          <w:sz w:val="20"/>
          <w:szCs w:val="20"/>
          <w:lang w:val="en-US" w:eastAsia="en-CA"/>
        </w:rPr>
      </w:pPr>
    </w:p>
    <w:p w:rsidR="00012FDB" w:rsidRPr="00012FDB" w:rsidRDefault="00012FDB" w:rsidP="00012FDB">
      <w:pPr>
        <w:spacing w:line="245" w:lineRule="auto"/>
        <w:jc w:val="both"/>
        <w:rPr>
          <w:rFonts w:eastAsia="Times New Roman" w:cs="Times New Roman"/>
          <w:sz w:val="20"/>
          <w:szCs w:val="20"/>
          <w:lang w:eastAsia="en-CA"/>
        </w:rPr>
      </w:pPr>
      <w:r w:rsidRPr="00012FDB">
        <w:rPr>
          <w:rFonts w:eastAsia="Times New Roman" w:cs="Times New Roman"/>
          <w:b/>
          <w:bCs/>
          <w:sz w:val="20"/>
          <w:szCs w:val="20"/>
          <w:lang w:eastAsia="en-CA"/>
        </w:rPr>
        <w:lastRenderedPageBreak/>
        <w:t>AND UPON APPLICATION</w:t>
      </w:r>
      <w:r w:rsidRPr="00012FDB">
        <w:rPr>
          <w:rFonts w:eastAsia="Times New Roman" w:cs="Times New Roman"/>
          <w:sz w:val="20"/>
          <w:szCs w:val="20"/>
          <w:lang w:eastAsia="en-CA"/>
        </w:rPr>
        <w:t xml:space="preserve"> by the intervener, the Canadian Bar Association, for an order extending the time to serve and file its amended factum and book of authorities to November 25, 2013;</w:t>
      </w:r>
    </w:p>
    <w:p w:rsidR="00012FDB" w:rsidRPr="00012FDB" w:rsidRDefault="00012FDB" w:rsidP="00012FDB">
      <w:pPr>
        <w:spacing w:line="230" w:lineRule="auto"/>
        <w:rPr>
          <w:rFonts w:eastAsia="Times New Roman" w:cs="Times New Roman"/>
          <w:sz w:val="20"/>
          <w:szCs w:val="20"/>
          <w:lang w:val="en-US" w:eastAsia="en-CA"/>
        </w:rPr>
      </w:pPr>
    </w:p>
    <w:p w:rsidR="00012FDB" w:rsidRPr="00012FDB" w:rsidRDefault="00012FDB" w:rsidP="00012FDB">
      <w:pPr>
        <w:spacing w:line="230" w:lineRule="auto"/>
        <w:rPr>
          <w:rFonts w:eastAsia="Times New Roman" w:cs="Times New Roman"/>
          <w:b/>
          <w:bCs/>
          <w:sz w:val="20"/>
          <w:szCs w:val="20"/>
          <w:lang w:val="en-US" w:eastAsia="en-CA"/>
        </w:rPr>
      </w:pPr>
      <w:r w:rsidRPr="00012FDB">
        <w:rPr>
          <w:rFonts w:eastAsia="Times New Roman" w:cs="Times New Roman"/>
          <w:b/>
          <w:bCs/>
          <w:sz w:val="20"/>
          <w:szCs w:val="20"/>
          <w:lang w:val="en-US" w:eastAsia="en-CA"/>
        </w:rPr>
        <w:t>IT IS HEREBY FURTHER ORDERED THAT:</w:t>
      </w:r>
    </w:p>
    <w:p w:rsidR="00012FDB" w:rsidRPr="00012FDB" w:rsidRDefault="00012FDB" w:rsidP="00012FDB">
      <w:pPr>
        <w:spacing w:line="230" w:lineRule="auto"/>
        <w:rPr>
          <w:rFonts w:eastAsia="Times New Roman" w:cs="Times New Roman"/>
          <w:b/>
          <w:bCs/>
          <w:sz w:val="20"/>
          <w:szCs w:val="20"/>
          <w:lang w:val="en-US" w:eastAsia="en-CA"/>
        </w:rPr>
      </w:pPr>
    </w:p>
    <w:p w:rsidR="00012FDB" w:rsidRPr="00012FDB" w:rsidRDefault="00012FDB" w:rsidP="00012FDB">
      <w:pPr>
        <w:widowControl w:val="0"/>
        <w:numPr>
          <w:ilvl w:val="0"/>
          <w:numId w:val="8"/>
        </w:numPr>
        <w:autoSpaceDE w:val="0"/>
        <w:autoSpaceDN w:val="0"/>
        <w:adjustRightInd w:val="0"/>
        <w:spacing w:line="230" w:lineRule="auto"/>
        <w:contextualSpacing/>
        <w:jc w:val="both"/>
        <w:rPr>
          <w:rFonts w:cs="Times New Roman"/>
          <w:sz w:val="20"/>
          <w:szCs w:val="20"/>
        </w:rPr>
      </w:pPr>
      <w:r w:rsidRPr="00012FDB">
        <w:rPr>
          <w:rFonts w:cs="Times New Roman"/>
          <w:sz w:val="20"/>
          <w:szCs w:val="20"/>
        </w:rPr>
        <w:t>The interveners Amnistie internationale, Section Canada francophone, the Canadian Centre for International Justice, the Canadian Civil Liberties Association, the Canadian Lawyers for International Human Rights, the Iran Human Rights Documentation Center and the David Asper Centre for Constitutional Rights, International Human Rights Program and University of Toronto Faculty of Law are each granted permission to present oral argument not exceeding 10 minutes at the hearing of the appeal;</w:t>
      </w:r>
    </w:p>
    <w:p w:rsidR="00012FDB" w:rsidRPr="00012FDB" w:rsidRDefault="00012FDB" w:rsidP="00012FDB">
      <w:pPr>
        <w:spacing w:line="230" w:lineRule="auto"/>
        <w:ind w:left="720"/>
        <w:contextualSpacing/>
        <w:rPr>
          <w:rFonts w:cs="Times New Roman"/>
          <w:sz w:val="20"/>
          <w:szCs w:val="20"/>
        </w:rPr>
      </w:pPr>
    </w:p>
    <w:p w:rsidR="00012FDB" w:rsidRPr="00012FDB" w:rsidRDefault="00012FDB" w:rsidP="00012FDB">
      <w:pPr>
        <w:widowControl w:val="0"/>
        <w:numPr>
          <w:ilvl w:val="0"/>
          <w:numId w:val="8"/>
        </w:numPr>
        <w:autoSpaceDE w:val="0"/>
        <w:autoSpaceDN w:val="0"/>
        <w:adjustRightInd w:val="0"/>
        <w:spacing w:line="230" w:lineRule="auto"/>
        <w:contextualSpacing/>
        <w:jc w:val="both"/>
        <w:rPr>
          <w:rFonts w:cs="Times New Roman"/>
          <w:sz w:val="20"/>
          <w:szCs w:val="20"/>
        </w:rPr>
      </w:pPr>
      <w:r w:rsidRPr="00012FDB">
        <w:rPr>
          <w:rFonts w:cs="Times New Roman"/>
          <w:sz w:val="20"/>
          <w:szCs w:val="20"/>
        </w:rPr>
        <w:t>The motion for an extension of time to serve and file the amended factum and book of authorities of the intervener, the Canadian Bar Association, to November 25, 2013, is granted;</w:t>
      </w:r>
    </w:p>
    <w:p w:rsidR="00012FDB" w:rsidRPr="00012FDB" w:rsidRDefault="00012FDB" w:rsidP="00012FDB">
      <w:pPr>
        <w:spacing w:line="230" w:lineRule="auto"/>
        <w:rPr>
          <w:rFonts w:eastAsia="Times New Roman" w:cs="Times New Roman"/>
          <w:sz w:val="20"/>
          <w:szCs w:val="20"/>
          <w:lang w:val="en-US" w:eastAsia="en-CA"/>
        </w:rPr>
      </w:pPr>
    </w:p>
    <w:p w:rsidR="00012FDB" w:rsidRPr="00012FDB" w:rsidRDefault="00012FDB" w:rsidP="00012FDB">
      <w:pPr>
        <w:widowControl w:val="0"/>
        <w:numPr>
          <w:ilvl w:val="0"/>
          <w:numId w:val="8"/>
        </w:numPr>
        <w:autoSpaceDE w:val="0"/>
        <w:autoSpaceDN w:val="0"/>
        <w:adjustRightInd w:val="0"/>
        <w:spacing w:line="230" w:lineRule="auto"/>
        <w:contextualSpacing/>
        <w:jc w:val="both"/>
        <w:rPr>
          <w:rFonts w:cs="Times New Roman"/>
          <w:sz w:val="20"/>
          <w:szCs w:val="20"/>
        </w:rPr>
      </w:pPr>
      <w:r w:rsidRPr="00012FDB">
        <w:rPr>
          <w:rFonts w:cs="Times New Roman"/>
          <w:sz w:val="20"/>
          <w:szCs w:val="20"/>
        </w:rPr>
        <w:t>The factums of the interveners, the Canadian Bar Association, the Canadian Association of Refugee Lawyers, the British Columbia Civil Liberties Association and the Redress Trust Ltd. will be considered without the need for oral argument;</w:t>
      </w:r>
    </w:p>
    <w:p w:rsidR="00012FDB" w:rsidRPr="00012FDB" w:rsidRDefault="00012FDB" w:rsidP="00012FDB">
      <w:pPr>
        <w:rPr>
          <w:rFonts w:eastAsia="Times New Roman" w:cs="Times New Roman"/>
          <w:sz w:val="20"/>
          <w:szCs w:val="20"/>
          <w:lang w:val="en-US" w:eastAsia="en-CA"/>
        </w:rPr>
      </w:pPr>
    </w:p>
    <w:p w:rsidR="00012FDB" w:rsidRPr="00012FDB" w:rsidRDefault="00012FDB" w:rsidP="00012FDB">
      <w:pPr>
        <w:widowControl w:val="0"/>
        <w:numPr>
          <w:ilvl w:val="0"/>
          <w:numId w:val="8"/>
        </w:numPr>
        <w:autoSpaceDE w:val="0"/>
        <w:autoSpaceDN w:val="0"/>
        <w:adjustRightInd w:val="0"/>
        <w:spacing w:line="230" w:lineRule="auto"/>
        <w:contextualSpacing/>
        <w:jc w:val="both"/>
        <w:rPr>
          <w:rFonts w:cs="Times New Roman"/>
          <w:sz w:val="20"/>
          <w:szCs w:val="20"/>
        </w:rPr>
      </w:pPr>
      <w:r w:rsidRPr="00012FDB">
        <w:rPr>
          <w:rFonts w:cs="Times New Roman"/>
          <w:sz w:val="20"/>
          <w:szCs w:val="20"/>
        </w:rPr>
        <w:t>The respondent, the Attorney General of Canada, is permitted to serve and file a single factum of no more than 10 pages in reply to all interveners on or before January 31, 2014.</w:t>
      </w:r>
    </w:p>
    <w:p w:rsidR="00012FDB" w:rsidRPr="00012FDB" w:rsidRDefault="00012FDB" w:rsidP="00012FDB">
      <w:pPr>
        <w:spacing w:line="230" w:lineRule="auto"/>
        <w:rPr>
          <w:rFonts w:eastAsia="Times New Roman" w:cs="Times New Roman"/>
          <w:sz w:val="20"/>
          <w:szCs w:val="20"/>
          <w:lang w:val="en-US" w:eastAsia="en-CA"/>
        </w:rPr>
      </w:pPr>
    </w:p>
    <w:p w:rsidR="00012FDB" w:rsidRPr="00012FDB" w:rsidRDefault="00012FDB" w:rsidP="00012FDB">
      <w:pPr>
        <w:spacing w:line="230" w:lineRule="auto"/>
        <w:rPr>
          <w:rFonts w:eastAsia="Times New Roman" w:cs="Times New Roman"/>
          <w:sz w:val="20"/>
          <w:szCs w:val="20"/>
          <w:lang w:val="en-US" w:eastAsia="en-CA"/>
        </w:rPr>
      </w:pPr>
    </w:p>
    <w:p w:rsidR="00012FDB" w:rsidRPr="00012FDB" w:rsidRDefault="00012FDB" w:rsidP="00012FDB">
      <w:pPr>
        <w:spacing w:line="230" w:lineRule="auto"/>
        <w:rPr>
          <w:rFonts w:eastAsia="Times New Roman" w:cs="Times New Roman"/>
          <w:sz w:val="20"/>
          <w:szCs w:val="20"/>
          <w:lang w:val="en-US" w:eastAsia="en-CA"/>
        </w:rPr>
      </w:pPr>
    </w:p>
    <w:p w:rsidR="00012FDB" w:rsidRPr="00012FDB" w:rsidRDefault="00012FDB" w:rsidP="00012FDB">
      <w:pPr>
        <w:spacing w:line="230" w:lineRule="auto"/>
        <w:jc w:val="both"/>
        <w:rPr>
          <w:rFonts w:eastAsia="Times New Roman" w:cs="Times New Roman"/>
          <w:sz w:val="20"/>
          <w:szCs w:val="20"/>
          <w:lang w:val="fr-CA" w:eastAsia="en-CA"/>
        </w:rPr>
      </w:pPr>
      <w:r w:rsidRPr="00012FDB">
        <w:rPr>
          <w:rFonts w:eastAsia="Times New Roman" w:cs="Times New Roman"/>
          <w:b/>
          <w:sz w:val="20"/>
          <w:szCs w:val="20"/>
          <w:lang w:val="fr-CA" w:eastAsia="en-CA"/>
        </w:rPr>
        <w:t>À LA SUITE DE L’ORDONNANCE</w:t>
      </w:r>
      <w:r w:rsidRPr="00012FDB">
        <w:rPr>
          <w:rFonts w:eastAsia="Times New Roman" w:cs="Times New Roman"/>
          <w:sz w:val="20"/>
          <w:szCs w:val="20"/>
          <w:lang w:val="fr-CA" w:eastAsia="en-CA"/>
        </w:rPr>
        <w:t xml:space="preserve"> datée du 23 septembre 2013 autorisant la Canadian Lawyers for International Human Rights, Amnistie internationale, Section Canada francophone, le Redress Trust Ltd., l’Association canadienne des avocats et avocates en droit des réfugiés, la British Columbia Civil Liberties Association, l’Association du Barreau canadien, l’Association canadienne des libertés civiles, le Centre canadien pour la justice internationale, le David Asper Centre for Constitutional Rights et International Human Rights Program of the University of Toronto Faculty of Law et la Iran Human Rights Documentation Center à intervenir et reportant la décision sur la requête du Procureur général du Canada en vue d’obtenir la permission de déposer un seul mémoire de 5 pages en réplique à chacun des intervenants;</w:t>
      </w:r>
    </w:p>
    <w:p w:rsidR="00012FDB" w:rsidRPr="00012FDB" w:rsidRDefault="00012FDB" w:rsidP="00012FDB">
      <w:pPr>
        <w:spacing w:line="230" w:lineRule="auto"/>
        <w:rPr>
          <w:rFonts w:eastAsia="Times New Roman" w:cs="Times New Roman"/>
          <w:sz w:val="20"/>
          <w:szCs w:val="20"/>
          <w:lang w:val="fr-CA" w:eastAsia="en-CA"/>
        </w:rPr>
      </w:pPr>
    </w:p>
    <w:p w:rsidR="00012FDB" w:rsidRPr="00012FDB" w:rsidRDefault="00012FDB" w:rsidP="00012FDB">
      <w:pPr>
        <w:spacing w:line="230" w:lineRule="auto"/>
        <w:jc w:val="both"/>
        <w:rPr>
          <w:rFonts w:eastAsia="Times New Roman" w:cs="Times New Roman"/>
          <w:sz w:val="20"/>
          <w:szCs w:val="20"/>
          <w:lang w:val="fr-CA" w:eastAsia="en-CA"/>
        </w:rPr>
      </w:pPr>
      <w:r w:rsidRPr="00012FDB">
        <w:rPr>
          <w:rFonts w:eastAsia="Times New Roman" w:cs="Times New Roman"/>
          <w:b/>
          <w:sz w:val="20"/>
          <w:szCs w:val="20"/>
          <w:lang w:val="fr-CA" w:eastAsia="en-CA"/>
        </w:rPr>
        <w:t xml:space="preserve">ET À LA SUITE DE LA DEMANDE </w:t>
      </w:r>
      <w:r w:rsidRPr="00012FDB">
        <w:rPr>
          <w:rFonts w:eastAsia="Times New Roman" w:cs="Times New Roman"/>
          <w:sz w:val="20"/>
          <w:szCs w:val="20"/>
          <w:lang w:val="fr-CA" w:eastAsia="en-CA"/>
        </w:rPr>
        <w:t xml:space="preserve">présentée par l’Association du Barreau canadien en vue d’obtenir la prorogation du délai de signification et de dépôt de son mémoire amendé et de son recueil de sources jusqu’au 25 novembre 2013;  </w:t>
      </w:r>
    </w:p>
    <w:p w:rsidR="00012FDB" w:rsidRPr="00012FDB" w:rsidRDefault="00012FDB" w:rsidP="00012FDB">
      <w:pPr>
        <w:spacing w:line="230" w:lineRule="auto"/>
        <w:rPr>
          <w:rFonts w:eastAsia="Times New Roman" w:cs="Times New Roman"/>
          <w:sz w:val="20"/>
          <w:szCs w:val="20"/>
          <w:lang w:val="fr-CA" w:eastAsia="en-CA"/>
        </w:rPr>
      </w:pPr>
    </w:p>
    <w:p w:rsidR="00012FDB" w:rsidRPr="00012FDB" w:rsidRDefault="00012FDB" w:rsidP="00012FDB">
      <w:pPr>
        <w:spacing w:line="230" w:lineRule="auto"/>
        <w:rPr>
          <w:rFonts w:eastAsia="Times New Roman" w:cs="Times New Roman"/>
          <w:sz w:val="20"/>
          <w:szCs w:val="20"/>
          <w:lang w:val="fr-CA" w:eastAsia="en-CA"/>
        </w:rPr>
      </w:pPr>
      <w:r w:rsidRPr="00012FDB">
        <w:rPr>
          <w:rFonts w:eastAsia="Times New Roman" w:cs="Times New Roman"/>
          <w:b/>
          <w:sz w:val="20"/>
          <w:szCs w:val="20"/>
          <w:lang w:val="fr-CA" w:eastAsia="en-CA"/>
        </w:rPr>
        <w:t>IL EST EN OUTRE ORDONNÉ CE QUI SUIT</w:t>
      </w:r>
      <w:r w:rsidRPr="00012FDB">
        <w:rPr>
          <w:rFonts w:eastAsia="Times New Roman" w:cs="Times New Roman"/>
          <w:sz w:val="20"/>
          <w:szCs w:val="20"/>
          <w:lang w:val="fr-CA" w:eastAsia="en-CA"/>
        </w:rPr>
        <w:t xml:space="preserve">: </w:t>
      </w:r>
    </w:p>
    <w:p w:rsidR="00012FDB" w:rsidRPr="00012FDB" w:rsidRDefault="00012FDB" w:rsidP="00012FDB">
      <w:pPr>
        <w:spacing w:line="230" w:lineRule="auto"/>
        <w:rPr>
          <w:rFonts w:eastAsia="Times New Roman" w:cs="Times New Roman"/>
          <w:sz w:val="20"/>
          <w:szCs w:val="20"/>
          <w:lang w:val="fr-CA" w:eastAsia="en-CA"/>
        </w:rPr>
      </w:pPr>
    </w:p>
    <w:p w:rsidR="00012FDB" w:rsidRPr="00012FDB" w:rsidRDefault="00012FDB" w:rsidP="00012FDB">
      <w:pPr>
        <w:widowControl w:val="0"/>
        <w:numPr>
          <w:ilvl w:val="0"/>
          <w:numId w:val="9"/>
        </w:numPr>
        <w:autoSpaceDE w:val="0"/>
        <w:autoSpaceDN w:val="0"/>
        <w:adjustRightInd w:val="0"/>
        <w:spacing w:line="230" w:lineRule="auto"/>
        <w:contextualSpacing/>
        <w:jc w:val="both"/>
        <w:rPr>
          <w:rFonts w:cs="Times New Roman"/>
          <w:sz w:val="20"/>
          <w:szCs w:val="20"/>
          <w:lang w:val="fr-CA"/>
        </w:rPr>
      </w:pPr>
      <w:r w:rsidRPr="00012FDB">
        <w:rPr>
          <w:rFonts w:cs="Times New Roman"/>
          <w:sz w:val="20"/>
          <w:szCs w:val="20"/>
          <w:lang w:val="fr-CA"/>
        </w:rPr>
        <w:t>Les intervenants Amnistie internationale, Section Canada francophone, le Centre canadien pour la justice internationale, l’Association canadienne des libertés civiles, la Canadian Lawyers for International Human Rights, la Iran Human Rights Documentation Center et le David Asper Centre for Constitutional Rights et International Human Rights Program of the University of Toronto Faculty of Law sont autorisés à présenter une plaidoirie orale d’au plus 10 minutes lors de l’audition de l’appel;</w:t>
      </w:r>
    </w:p>
    <w:p w:rsidR="00012FDB" w:rsidRPr="00012FDB" w:rsidRDefault="00012FDB" w:rsidP="00012FDB">
      <w:pPr>
        <w:spacing w:line="230" w:lineRule="auto"/>
        <w:ind w:left="720"/>
        <w:contextualSpacing/>
        <w:rPr>
          <w:rFonts w:cs="Times New Roman"/>
          <w:sz w:val="20"/>
          <w:szCs w:val="20"/>
          <w:lang w:val="fr-CA"/>
        </w:rPr>
      </w:pPr>
    </w:p>
    <w:p w:rsidR="00012FDB" w:rsidRPr="00012FDB" w:rsidRDefault="00012FDB" w:rsidP="00012FDB">
      <w:pPr>
        <w:widowControl w:val="0"/>
        <w:numPr>
          <w:ilvl w:val="0"/>
          <w:numId w:val="9"/>
        </w:numPr>
        <w:autoSpaceDE w:val="0"/>
        <w:autoSpaceDN w:val="0"/>
        <w:adjustRightInd w:val="0"/>
        <w:spacing w:line="230" w:lineRule="auto"/>
        <w:contextualSpacing/>
        <w:jc w:val="both"/>
        <w:rPr>
          <w:rFonts w:cs="Times New Roman"/>
          <w:sz w:val="20"/>
          <w:szCs w:val="20"/>
          <w:lang w:val="fr-CA"/>
        </w:rPr>
      </w:pPr>
      <w:r w:rsidRPr="00012FDB">
        <w:rPr>
          <w:rFonts w:cs="Times New Roman"/>
          <w:sz w:val="20"/>
          <w:szCs w:val="20"/>
          <w:lang w:val="fr-CA"/>
        </w:rPr>
        <w:t>La prorogation du délai de la signification et de dépôt du mémoire amendé et du recueil de sources de l’intervenant, l’Association du barreau canadien, jusqu’au 25 novembre 2013, est accueillie;</w:t>
      </w:r>
    </w:p>
    <w:p w:rsidR="00012FDB" w:rsidRPr="00012FDB" w:rsidRDefault="00012FDB" w:rsidP="00012FDB">
      <w:pPr>
        <w:ind w:left="720"/>
        <w:contextualSpacing/>
        <w:rPr>
          <w:rFonts w:cs="Times New Roman"/>
          <w:sz w:val="20"/>
          <w:szCs w:val="20"/>
          <w:lang w:val="fr-CA"/>
        </w:rPr>
      </w:pPr>
    </w:p>
    <w:p w:rsidR="00012FDB" w:rsidRPr="00012FDB" w:rsidRDefault="00012FDB" w:rsidP="00012FDB">
      <w:pPr>
        <w:widowControl w:val="0"/>
        <w:numPr>
          <w:ilvl w:val="0"/>
          <w:numId w:val="9"/>
        </w:numPr>
        <w:autoSpaceDE w:val="0"/>
        <w:autoSpaceDN w:val="0"/>
        <w:adjustRightInd w:val="0"/>
        <w:spacing w:line="230" w:lineRule="auto"/>
        <w:contextualSpacing/>
        <w:jc w:val="both"/>
        <w:rPr>
          <w:rFonts w:cs="Times New Roman"/>
          <w:sz w:val="20"/>
          <w:szCs w:val="20"/>
          <w:lang w:val="fr-CA"/>
        </w:rPr>
      </w:pPr>
      <w:r w:rsidRPr="00012FDB">
        <w:rPr>
          <w:rFonts w:cs="Times New Roman"/>
          <w:sz w:val="20"/>
          <w:szCs w:val="20"/>
          <w:lang w:val="fr-CA"/>
        </w:rPr>
        <w:t>Les mémoires de l’Association du Barreau canadien, de l’Association canadienne des avocats et avocates en droit des réfugiés, de la British Columbia Civil Liberties Association et de la Redress Trust Ltd. seront examinés sans qu’il soit nécessaire que ces intervenantes présentent des plaidoiries orales;</w:t>
      </w:r>
    </w:p>
    <w:p w:rsidR="00012FDB" w:rsidRPr="00012FDB" w:rsidRDefault="00012FDB" w:rsidP="00012FDB">
      <w:pPr>
        <w:ind w:left="720"/>
        <w:contextualSpacing/>
        <w:rPr>
          <w:rFonts w:cs="Times New Roman"/>
          <w:sz w:val="20"/>
          <w:szCs w:val="20"/>
          <w:lang w:val="fr-CA"/>
        </w:rPr>
      </w:pPr>
    </w:p>
    <w:p w:rsidR="00012FDB" w:rsidRPr="00012FDB" w:rsidRDefault="00012FDB" w:rsidP="00012FDB">
      <w:pPr>
        <w:widowControl w:val="0"/>
        <w:numPr>
          <w:ilvl w:val="0"/>
          <w:numId w:val="9"/>
        </w:numPr>
        <w:autoSpaceDE w:val="0"/>
        <w:autoSpaceDN w:val="0"/>
        <w:adjustRightInd w:val="0"/>
        <w:spacing w:line="230" w:lineRule="auto"/>
        <w:contextualSpacing/>
        <w:jc w:val="both"/>
        <w:rPr>
          <w:rFonts w:cs="Times New Roman"/>
          <w:sz w:val="20"/>
          <w:szCs w:val="20"/>
          <w:lang w:val="fr-CA"/>
        </w:rPr>
      </w:pPr>
      <w:r w:rsidRPr="00012FDB">
        <w:rPr>
          <w:rFonts w:cs="Times New Roman"/>
          <w:sz w:val="20"/>
          <w:szCs w:val="20"/>
          <w:lang w:val="fr-CA"/>
        </w:rPr>
        <w:t>L’intimé, Procureur général du Canada, est autorisé à déposer un seul mémoire de 10 pages en réplique à tous les intervenants au plus tard le 31 janvier 2014.</w:t>
      </w:r>
    </w:p>
    <w:p w:rsidR="00012FDB" w:rsidRPr="00012FDB" w:rsidRDefault="00012FDB" w:rsidP="00012FDB">
      <w:pPr>
        <w:spacing w:line="225" w:lineRule="auto"/>
        <w:jc w:val="both"/>
        <w:rPr>
          <w:rFonts w:eastAsia="Times New Roman" w:cs="Times New Roman"/>
          <w:sz w:val="20"/>
          <w:szCs w:val="20"/>
          <w:lang w:val="fr-CA" w:eastAsia="en-CA"/>
        </w:rPr>
      </w:pPr>
    </w:p>
    <w:p w:rsidR="00012FDB" w:rsidRPr="00012FDB" w:rsidRDefault="00A47393" w:rsidP="00012FD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37" style="width:2in;height:1pt" o:hrpct="0" o:hralign="center" o:hrstd="t" o:hrnoshade="t" o:hr="t" fillcolor="black [3213]" stroked="f"/>
        </w:pict>
      </w:r>
    </w:p>
    <w:p w:rsidR="00012FDB" w:rsidRPr="00012FDB" w:rsidRDefault="00012FDB" w:rsidP="00012FDB">
      <w:pPr>
        <w:tabs>
          <w:tab w:val="left" w:pos="-1440"/>
          <w:tab w:val="left" w:pos="-720"/>
        </w:tabs>
        <w:jc w:val="both"/>
        <w:rPr>
          <w:rFonts w:eastAsia="Times New Roman" w:cs="Times New Roman"/>
          <w:sz w:val="20"/>
          <w:szCs w:val="20"/>
          <w:lang w:val="fr-CA" w:eastAsia="en-CA"/>
        </w:rPr>
      </w:pPr>
    </w:p>
    <w:p w:rsidR="00012FDB" w:rsidRPr="00012FDB" w:rsidRDefault="00012FDB" w:rsidP="00012FDB">
      <w:pPr>
        <w:rPr>
          <w:rFonts w:eastAsia="Times New Roman" w:cs="Times New Roman"/>
          <w:sz w:val="20"/>
          <w:szCs w:val="20"/>
          <w:lang w:val="fr-CA" w:eastAsia="en-CA"/>
        </w:rPr>
      </w:pPr>
      <w:r w:rsidRPr="00012FDB">
        <w:rPr>
          <w:rFonts w:eastAsia="Times New Roman" w:cs="Times New Roman"/>
          <w:sz w:val="20"/>
          <w:szCs w:val="20"/>
          <w:lang w:val="fr-CA" w:eastAsia="en-CA"/>
        </w:rPr>
        <w:br w:type="page"/>
      </w:r>
    </w:p>
    <w:p w:rsidR="00012FDB" w:rsidRPr="00012FDB" w:rsidRDefault="00012FDB" w:rsidP="00012FDB">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lastRenderedPageBreak/>
        <w:t>13.12.2013</w:t>
      </w:r>
    </w:p>
    <w:p w:rsidR="00012FDB" w:rsidRPr="00012FDB" w:rsidRDefault="00012FDB" w:rsidP="00012FDB">
      <w:pPr>
        <w:tabs>
          <w:tab w:val="left" w:pos="-1440"/>
          <w:tab w:val="left" w:pos="-720"/>
        </w:tabs>
        <w:jc w:val="both"/>
        <w:rPr>
          <w:rFonts w:eastAsia="Times New Roman" w:cs="Times New Roman"/>
          <w:sz w:val="20"/>
          <w:szCs w:val="20"/>
          <w:lang w:val="fr-CA" w:eastAsia="en-CA"/>
        </w:rPr>
      </w:pPr>
    </w:p>
    <w:p w:rsidR="00012FDB" w:rsidRPr="00012FDB" w:rsidRDefault="00012FDB" w:rsidP="00012FDB">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Before / Devant :   THE CHIEF JUSTICE / LA JUGE EN CHEF</w:t>
      </w:r>
    </w:p>
    <w:p w:rsidR="00012FDB" w:rsidRPr="00012FDB" w:rsidRDefault="00012FDB" w:rsidP="00012FD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12FDB" w:rsidRPr="00012FDB" w:rsidTr="000D1062">
        <w:tc>
          <w:tcPr>
            <w:tcW w:w="4338" w:type="dxa"/>
          </w:tcPr>
          <w:p w:rsidR="00012FDB" w:rsidRPr="00012FDB" w:rsidRDefault="001C5DB7" w:rsidP="00012FDB">
            <w:pPr>
              <w:tabs>
                <w:tab w:val="left" w:pos="-1440"/>
                <w:tab w:val="left" w:pos="-720"/>
              </w:tabs>
              <w:jc w:val="both"/>
              <w:rPr>
                <w:b/>
              </w:rPr>
            </w:pPr>
            <w:r w:rsidRPr="00012FDB">
              <w:rPr>
                <w:szCs w:val="24"/>
                <w:lang w:val="en-US"/>
              </w:rPr>
              <w:fldChar w:fldCharType="begin"/>
            </w:r>
            <w:r w:rsidR="00012FDB" w:rsidRPr="00012FDB">
              <w:rPr>
                <w:szCs w:val="24"/>
                <w:lang w:val="en-US"/>
              </w:rPr>
              <w:instrText xml:space="preserve"> SEQ CHAPTER \h \r 1</w:instrText>
            </w:r>
            <w:r w:rsidRPr="00012FDB">
              <w:rPr>
                <w:szCs w:val="24"/>
                <w:lang w:val="en-US"/>
              </w:rPr>
              <w:fldChar w:fldCharType="end"/>
            </w:r>
            <w:r w:rsidR="00012FDB" w:rsidRPr="00012FDB">
              <w:rPr>
                <w:b/>
                <w:bCs/>
                <w:lang w:val="en-US"/>
              </w:rPr>
              <w:t>Order</w:t>
            </w:r>
          </w:p>
        </w:tc>
        <w:tc>
          <w:tcPr>
            <w:tcW w:w="1170" w:type="dxa"/>
          </w:tcPr>
          <w:p w:rsidR="00012FDB" w:rsidRPr="00012FDB" w:rsidRDefault="00012FDB" w:rsidP="00012FDB">
            <w:pPr>
              <w:tabs>
                <w:tab w:val="left" w:pos="-1440"/>
                <w:tab w:val="left" w:pos="-720"/>
              </w:tabs>
              <w:jc w:val="both"/>
            </w:pPr>
          </w:p>
          <w:p w:rsidR="00012FDB" w:rsidRPr="00012FDB" w:rsidRDefault="00012FDB" w:rsidP="00012FDB">
            <w:pPr>
              <w:tabs>
                <w:tab w:val="left" w:pos="-1440"/>
                <w:tab w:val="left" w:pos="-720"/>
              </w:tabs>
              <w:jc w:val="both"/>
            </w:pPr>
          </w:p>
        </w:tc>
        <w:tc>
          <w:tcPr>
            <w:tcW w:w="4327" w:type="dxa"/>
          </w:tcPr>
          <w:p w:rsidR="00012FDB" w:rsidRPr="00012FDB" w:rsidRDefault="001C5DB7" w:rsidP="00012FDB">
            <w:pPr>
              <w:tabs>
                <w:tab w:val="left" w:pos="-1440"/>
                <w:tab w:val="left" w:pos="-720"/>
              </w:tabs>
              <w:jc w:val="both"/>
              <w:rPr>
                <w:lang w:val="fr-CA"/>
              </w:rPr>
            </w:pPr>
            <w:r w:rsidRPr="00012FDB">
              <w:rPr>
                <w:szCs w:val="24"/>
                <w:lang w:val="en-US"/>
              </w:rPr>
              <w:fldChar w:fldCharType="begin"/>
            </w:r>
            <w:r w:rsidR="00012FDB" w:rsidRPr="00012FDB">
              <w:rPr>
                <w:szCs w:val="24"/>
                <w:lang w:val="fr-CA"/>
              </w:rPr>
              <w:instrText xml:space="preserve"> SEQ CHAPTER \h \r 1</w:instrText>
            </w:r>
            <w:r w:rsidRPr="00012FDB">
              <w:rPr>
                <w:szCs w:val="24"/>
                <w:lang w:val="en-US"/>
              </w:rPr>
              <w:fldChar w:fldCharType="end"/>
            </w:r>
            <w:r w:rsidR="00012FDB" w:rsidRPr="00012FDB">
              <w:rPr>
                <w:b/>
                <w:bCs/>
                <w:lang w:val="fr-CA"/>
              </w:rPr>
              <w:t>Ordonnance</w:t>
            </w:r>
            <w:r w:rsidRPr="00012FDB">
              <w:rPr>
                <w:lang w:val="en-US"/>
              </w:rPr>
              <w:fldChar w:fldCharType="begin"/>
            </w:r>
            <w:r w:rsidR="00012FDB" w:rsidRPr="00012FDB">
              <w:rPr>
                <w:lang w:val="fr-CA"/>
              </w:rPr>
              <w:instrText xml:space="preserve"> SEQ CHAPTER \h \r 1</w:instrText>
            </w:r>
            <w:r w:rsidRPr="00012FDB">
              <w:rPr>
                <w:lang w:val="en-US"/>
              </w:rPr>
              <w:fldChar w:fldCharType="end"/>
            </w:r>
            <w:r w:rsidRPr="00012FDB">
              <w:rPr>
                <w:lang w:val="en-US"/>
              </w:rPr>
              <w:fldChar w:fldCharType="begin"/>
            </w:r>
            <w:r w:rsidR="00012FDB" w:rsidRPr="00012FDB">
              <w:rPr>
                <w:lang w:val="fr-CA"/>
              </w:rPr>
              <w:instrText xml:space="preserve"> SEQ CHAPTER \h \r 1</w:instrText>
            </w:r>
            <w:r w:rsidRPr="00012FDB">
              <w:rPr>
                <w:lang w:val="en-US"/>
              </w:rPr>
              <w:fldChar w:fldCharType="end"/>
            </w:r>
            <w:r w:rsidRPr="00012FDB">
              <w:rPr>
                <w:lang w:val="en-US"/>
              </w:rPr>
              <w:fldChar w:fldCharType="begin"/>
            </w:r>
            <w:r w:rsidR="00012FDB" w:rsidRPr="00012FDB">
              <w:rPr>
                <w:lang w:val="fr-CA"/>
              </w:rPr>
              <w:instrText xml:space="preserve"> SEQ CHAPTER \h \r 1</w:instrText>
            </w:r>
            <w:r w:rsidRPr="00012FDB">
              <w:rPr>
                <w:lang w:val="en-US"/>
              </w:rPr>
              <w:fldChar w:fldCharType="end"/>
            </w:r>
            <w:r w:rsidRPr="00012FDB">
              <w:rPr>
                <w:lang w:val="en-US"/>
              </w:rPr>
              <w:fldChar w:fldCharType="begin"/>
            </w:r>
            <w:r w:rsidR="00012FDB" w:rsidRPr="00012FDB">
              <w:rPr>
                <w:lang w:val="fr-CA"/>
              </w:rPr>
              <w:instrText xml:space="preserve"> SEQ CHAPTER \h \r 1</w:instrText>
            </w:r>
            <w:r w:rsidRPr="00012FDB">
              <w:rPr>
                <w:lang w:val="en-US"/>
              </w:rPr>
              <w:fldChar w:fldCharType="end"/>
            </w:r>
          </w:p>
        </w:tc>
      </w:tr>
      <w:tr w:rsidR="00012FDB" w:rsidRPr="00012FDB" w:rsidTr="000D1062">
        <w:tc>
          <w:tcPr>
            <w:tcW w:w="4338" w:type="dxa"/>
          </w:tcPr>
          <w:p w:rsidR="00012FDB" w:rsidRPr="00012FDB" w:rsidRDefault="00012FDB" w:rsidP="00012FDB">
            <w:pPr>
              <w:tabs>
                <w:tab w:val="left" w:pos="-1440"/>
                <w:tab w:val="left" w:pos="-720"/>
              </w:tabs>
              <w:jc w:val="both"/>
            </w:pPr>
            <w:r w:rsidRPr="00012FDB">
              <w:t>Her Majesty the Queen</w:t>
            </w:r>
          </w:p>
          <w:p w:rsidR="00012FDB" w:rsidRPr="00012FDB" w:rsidRDefault="00012FDB" w:rsidP="00012FDB">
            <w:pPr>
              <w:tabs>
                <w:tab w:val="left" w:pos="-1440"/>
                <w:tab w:val="left" w:pos="-720"/>
              </w:tabs>
              <w:jc w:val="both"/>
            </w:pPr>
          </w:p>
          <w:p w:rsidR="00012FDB" w:rsidRPr="00012FDB" w:rsidRDefault="00012FDB" w:rsidP="00012FDB">
            <w:pPr>
              <w:tabs>
                <w:tab w:val="left" w:pos="-1440"/>
                <w:tab w:val="left" w:pos="-720"/>
              </w:tabs>
              <w:jc w:val="both"/>
            </w:pPr>
            <w:r w:rsidRPr="00012FDB">
              <w:tab/>
              <w:t>v. (35609)</w:t>
            </w:r>
          </w:p>
          <w:p w:rsidR="00012FDB" w:rsidRPr="00012FDB" w:rsidRDefault="00012FDB" w:rsidP="00012FDB">
            <w:pPr>
              <w:tabs>
                <w:tab w:val="left" w:pos="-1440"/>
                <w:tab w:val="left" w:pos="-720"/>
              </w:tabs>
              <w:jc w:val="both"/>
            </w:pPr>
          </w:p>
          <w:p w:rsidR="00012FDB" w:rsidRPr="00012FDB" w:rsidRDefault="00012FDB" w:rsidP="00012FDB">
            <w:pPr>
              <w:tabs>
                <w:tab w:val="left" w:pos="-1440"/>
                <w:tab w:val="left" w:pos="-720"/>
              </w:tabs>
              <w:jc w:val="both"/>
            </w:pPr>
            <w:r w:rsidRPr="00012FDB">
              <w:t>Jamie Kenneth Taylor (Crim.) (Alta.)</w:t>
            </w:r>
          </w:p>
        </w:tc>
        <w:tc>
          <w:tcPr>
            <w:tcW w:w="1170" w:type="dxa"/>
          </w:tcPr>
          <w:p w:rsidR="00012FDB" w:rsidRPr="00012FDB" w:rsidRDefault="00012FDB" w:rsidP="00012FDB">
            <w:pPr>
              <w:tabs>
                <w:tab w:val="left" w:pos="-1440"/>
                <w:tab w:val="left" w:pos="-720"/>
              </w:tabs>
              <w:jc w:val="both"/>
            </w:pPr>
          </w:p>
        </w:tc>
        <w:tc>
          <w:tcPr>
            <w:tcW w:w="4327" w:type="dxa"/>
          </w:tcPr>
          <w:p w:rsidR="00012FDB" w:rsidRPr="00012FDB" w:rsidRDefault="00012FDB" w:rsidP="00012FDB">
            <w:pPr>
              <w:tabs>
                <w:tab w:val="left" w:pos="-1440"/>
                <w:tab w:val="left" w:pos="-720"/>
              </w:tabs>
              <w:jc w:val="both"/>
            </w:pPr>
          </w:p>
        </w:tc>
      </w:tr>
    </w:tbl>
    <w:p w:rsidR="00012FDB" w:rsidRPr="00012FDB" w:rsidRDefault="00012FDB" w:rsidP="00012FDB">
      <w:pPr>
        <w:tabs>
          <w:tab w:val="left" w:pos="-1440"/>
          <w:tab w:val="left" w:pos="-720"/>
        </w:tabs>
        <w:jc w:val="both"/>
        <w:rPr>
          <w:rFonts w:eastAsia="Times New Roman" w:cs="Times New Roman"/>
          <w:sz w:val="20"/>
          <w:szCs w:val="20"/>
          <w:lang w:eastAsia="en-CA"/>
        </w:rPr>
      </w:pPr>
    </w:p>
    <w:p w:rsidR="00012FDB" w:rsidRPr="00012FDB" w:rsidRDefault="00012FDB" w:rsidP="00012FDB">
      <w:pPr>
        <w:rPr>
          <w:rFonts w:eastAsia="Times New Roman" w:cs="Times New Roman"/>
          <w:b/>
          <w:bCs/>
          <w:sz w:val="20"/>
          <w:szCs w:val="20"/>
          <w:lang w:val="en-US" w:eastAsia="en-CA"/>
        </w:rPr>
      </w:pPr>
      <w:r w:rsidRPr="00012FDB">
        <w:rPr>
          <w:rFonts w:eastAsia="Times New Roman" w:cs="Times New Roman"/>
          <w:b/>
          <w:bCs/>
          <w:sz w:val="20"/>
          <w:szCs w:val="20"/>
          <w:lang w:val="en-US" w:eastAsia="en-CA"/>
        </w:rPr>
        <w:t>IT IS HEREBY ORDERED THAT:</w:t>
      </w:r>
    </w:p>
    <w:p w:rsidR="00012FDB" w:rsidRPr="00012FDB" w:rsidRDefault="00012FDB" w:rsidP="00012FDB">
      <w:pPr>
        <w:rPr>
          <w:rFonts w:eastAsia="Times New Roman" w:cs="Times New Roman"/>
          <w:b/>
          <w:bCs/>
          <w:sz w:val="20"/>
          <w:szCs w:val="20"/>
          <w:lang w:val="en-US" w:eastAsia="en-CA"/>
        </w:rPr>
      </w:pPr>
    </w:p>
    <w:p w:rsidR="00012FDB" w:rsidRPr="00012FDB" w:rsidRDefault="00012FDB" w:rsidP="00012FDB">
      <w:pPr>
        <w:numPr>
          <w:ilvl w:val="0"/>
          <w:numId w:val="7"/>
        </w:numPr>
        <w:autoSpaceDE w:val="0"/>
        <w:autoSpaceDN w:val="0"/>
        <w:adjustRightInd w:val="0"/>
        <w:contextualSpacing/>
        <w:jc w:val="both"/>
        <w:rPr>
          <w:rFonts w:cs="Times New Roman"/>
          <w:bCs/>
          <w:sz w:val="20"/>
          <w:szCs w:val="20"/>
        </w:rPr>
      </w:pPr>
      <w:r w:rsidRPr="00012FDB">
        <w:rPr>
          <w:rFonts w:cs="Times New Roman"/>
          <w:sz w:val="20"/>
          <w:szCs w:val="20"/>
        </w:rPr>
        <w:t>The appellant’s record, factum and book of authorities shall be served and filed on or before January 29, 2014.</w:t>
      </w:r>
    </w:p>
    <w:p w:rsidR="00012FDB" w:rsidRPr="00012FDB" w:rsidRDefault="00012FDB" w:rsidP="00012FDB">
      <w:pPr>
        <w:ind w:left="720"/>
        <w:contextualSpacing/>
        <w:rPr>
          <w:rFonts w:cs="Times New Roman"/>
          <w:bCs/>
          <w:sz w:val="20"/>
          <w:szCs w:val="20"/>
        </w:rPr>
      </w:pPr>
    </w:p>
    <w:p w:rsidR="00012FDB" w:rsidRPr="00012FDB" w:rsidRDefault="00012FDB" w:rsidP="00012FDB">
      <w:pPr>
        <w:numPr>
          <w:ilvl w:val="0"/>
          <w:numId w:val="7"/>
        </w:numPr>
        <w:autoSpaceDE w:val="0"/>
        <w:autoSpaceDN w:val="0"/>
        <w:adjustRightInd w:val="0"/>
        <w:contextualSpacing/>
        <w:jc w:val="both"/>
        <w:rPr>
          <w:rFonts w:cs="Times New Roman"/>
          <w:bCs/>
          <w:sz w:val="20"/>
          <w:szCs w:val="20"/>
        </w:rPr>
      </w:pPr>
      <w:r w:rsidRPr="00012FDB">
        <w:rPr>
          <w:rFonts w:cs="Times New Roman"/>
          <w:bCs/>
          <w:sz w:val="20"/>
          <w:szCs w:val="20"/>
        </w:rPr>
        <w:t xml:space="preserve">Any person wishing to intervene in this appeal under Rule 55 of the </w:t>
      </w:r>
      <w:r w:rsidRPr="00012FDB">
        <w:rPr>
          <w:rFonts w:cs="Times New Roman"/>
          <w:bCs/>
          <w:i/>
          <w:sz w:val="20"/>
          <w:szCs w:val="20"/>
        </w:rPr>
        <w:t>Rules of the Supreme Court of Canada</w:t>
      </w:r>
      <w:r w:rsidRPr="00012FDB">
        <w:rPr>
          <w:rFonts w:cs="Times New Roman"/>
          <w:bCs/>
          <w:sz w:val="20"/>
          <w:szCs w:val="20"/>
        </w:rPr>
        <w:t xml:space="preserve"> shall serve and file a motion for leave to intervene on or before February 19, 2014. </w:t>
      </w:r>
    </w:p>
    <w:p w:rsidR="00012FDB" w:rsidRPr="00012FDB" w:rsidRDefault="00012FDB" w:rsidP="00012FDB">
      <w:pPr>
        <w:ind w:left="720"/>
        <w:contextualSpacing/>
        <w:rPr>
          <w:rFonts w:cs="Times New Roman"/>
          <w:bCs/>
          <w:sz w:val="20"/>
          <w:szCs w:val="20"/>
        </w:rPr>
      </w:pPr>
    </w:p>
    <w:p w:rsidR="00012FDB" w:rsidRPr="00012FDB" w:rsidRDefault="00012FDB" w:rsidP="00012FDB">
      <w:pPr>
        <w:numPr>
          <w:ilvl w:val="0"/>
          <w:numId w:val="7"/>
        </w:numPr>
        <w:autoSpaceDE w:val="0"/>
        <w:autoSpaceDN w:val="0"/>
        <w:adjustRightInd w:val="0"/>
        <w:contextualSpacing/>
        <w:jc w:val="both"/>
        <w:rPr>
          <w:rFonts w:cs="Times New Roman"/>
          <w:bCs/>
          <w:sz w:val="20"/>
          <w:szCs w:val="20"/>
        </w:rPr>
      </w:pPr>
      <w:r w:rsidRPr="00012FDB">
        <w:rPr>
          <w:rFonts w:cs="Times New Roman"/>
          <w:bCs/>
          <w:sz w:val="20"/>
          <w:szCs w:val="20"/>
        </w:rPr>
        <w:t>The appellant and respondent shall serve and file their responses, if any, to the motions for leave to intervene on or before February 26, 2014.</w:t>
      </w:r>
    </w:p>
    <w:p w:rsidR="00012FDB" w:rsidRPr="00012FDB" w:rsidRDefault="00012FDB" w:rsidP="00012FDB">
      <w:pPr>
        <w:ind w:left="720"/>
        <w:contextualSpacing/>
        <w:rPr>
          <w:rFonts w:cs="Times New Roman"/>
          <w:bCs/>
          <w:sz w:val="20"/>
          <w:szCs w:val="20"/>
        </w:rPr>
      </w:pPr>
    </w:p>
    <w:p w:rsidR="00012FDB" w:rsidRPr="00012FDB" w:rsidRDefault="00012FDB" w:rsidP="00012FDB">
      <w:pPr>
        <w:numPr>
          <w:ilvl w:val="0"/>
          <w:numId w:val="7"/>
        </w:numPr>
        <w:autoSpaceDE w:val="0"/>
        <w:autoSpaceDN w:val="0"/>
        <w:adjustRightInd w:val="0"/>
        <w:contextualSpacing/>
        <w:jc w:val="both"/>
        <w:rPr>
          <w:rFonts w:cs="Times New Roman"/>
          <w:bCs/>
          <w:sz w:val="20"/>
          <w:szCs w:val="20"/>
        </w:rPr>
      </w:pPr>
      <w:r w:rsidRPr="00012FDB">
        <w:rPr>
          <w:rFonts w:cs="Times New Roman"/>
          <w:bCs/>
          <w:sz w:val="20"/>
          <w:szCs w:val="20"/>
        </w:rPr>
        <w:t xml:space="preserve">Replies to the responses, if any, to the motions for leave to intervene shall be served and filed on or before March 3, 2014. </w:t>
      </w:r>
    </w:p>
    <w:p w:rsidR="00012FDB" w:rsidRPr="00012FDB" w:rsidRDefault="00012FDB" w:rsidP="00012FDB">
      <w:pPr>
        <w:ind w:left="720"/>
        <w:contextualSpacing/>
        <w:rPr>
          <w:rFonts w:cs="Times New Roman"/>
          <w:bCs/>
          <w:sz w:val="20"/>
          <w:szCs w:val="20"/>
        </w:rPr>
      </w:pPr>
    </w:p>
    <w:p w:rsidR="00012FDB" w:rsidRPr="00012FDB" w:rsidRDefault="00012FDB" w:rsidP="00012FDB">
      <w:pPr>
        <w:numPr>
          <w:ilvl w:val="0"/>
          <w:numId w:val="7"/>
        </w:numPr>
        <w:autoSpaceDE w:val="0"/>
        <w:autoSpaceDN w:val="0"/>
        <w:adjustRightInd w:val="0"/>
        <w:contextualSpacing/>
        <w:jc w:val="both"/>
        <w:rPr>
          <w:rFonts w:cs="Times New Roman"/>
          <w:bCs/>
          <w:sz w:val="20"/>
          <w:szCs w:val="20"/>
        </w:rPr>
      </w:pPr>
      <w:r w:rsidRPr="00012FDB">
        <w:rPr>
          <w:rFonts w:cs="Times New Roman"/>
          <w:sz w:val="20"/>
          <w:szCs w:val="20"/>
        </w:rPr>
        <w:t>The respondent’s record, factum and book of authorities shall be served and filed no later than eight (8) weeks after the service of the appellant’s materials.</w:t>
      </w:r>
    </w:p>
    <w:p w:rsidR="00012FDB" w:rsidRPr="00012FDB" w:rsidRDefault="00012FDB" w:rsidP="00012FDB">
      <w:pPr>
        <w:rPr>
          <w:rFonts w:eastAsia="Times New Roman" w:cs="Times New Roman"/>
          <w:bCs/>
          <w:sz w:val="20"/>
          <w:szCs w:val="20"/>
          <w:lang w:val="en-US" w:eastAsia="en-CA"/>
        </w:rPr>
      </w:pPr>
    </w:p>
    <w:p w:rsidR="00012FDB" w:rsidRPr="00012FDB" w:rsidRDefault="00012FDB" w:rsidP="00012FDB">
      <w:pPr>
        <w:rPr>
          <w:rFonts w:eastAsia="Times New Roman" w:cs="Times New Roman"/>
          <w:bCs/>
          <w:sz w:val="20"/>
          <w:szCs w:val="20"/>
          <w:lang w:val="en-US" w:eastAsia="en-CA"/>
        </w:rPr>
      </w:pPr>
    </w:p>
    <w:p w:rsidR="00012FDB" w:rsidRPr="00012FDB" w:rsidRDefault="00012FDB" w:rsidP="00012FDB">
      <w:pPr>
        <w:ind w:left="720"/>
        <w:contextualSpacing/>
        <w:rPr>
          <w:rFonts w:cs="Times New Roman"/>
          <w:sz w:val="20"/>
          <w:szCs w:val="20"/>
        </w:rPr>
      </w:pPr>
    </w:p>
    <w:p w:rsidR="00012FDB" w:rsidRPr="00012FDB" w:rsidRDefault="00012FDB" w:rsidP="00012FDB">
      <w:pPr>
        <w:rPr>
          <w:rFonts w:eastAsia="Times New Roman" w:cs="Times New Roman"/>
          <w:b/>
          <w:bCs/>
          <w:sz w:val="20"/>
          <w:szCs w:val="20"/>
          <w:lang w:val="fr-CA" w:eastAsia="en-CA"/>
        </w:rPr>
      </w:pPr>
      <w:r w:rsidRPr="00012FDB">
        <w:rPr>
          <w:rFonts w:eastAsia="Times New Roman" w:cs="Times New Roman"/>
          <w:b/>
          <w:bCs/>
          <w:sz w:val="20"/>
          <w:szCs w:val="20"/>
          <w:lang w:val="fr-CA" w:eastAsia="en-CA"/>
        </w:rPr>
        <w:t>IL EST ORDONNÉ CE QUI SUIT :</w:t>
      </w:r>
    </w:p>
    <w:p w:rsidR="00012FDB" w:rsidRPr="00012FDB" w:rsidRDefault="00012FDB" w:rsidP="00012FDB">
      <w:pPr>
        <w:ind w:left="720"/>
        <w:contextualSpacing/>
        <w:rPr>
          <w:rFonts w:cs="Times New Roman"/>
          <w:sz w:val="20"/>
          <w:szCs w:val="20"/>
          <w:lang w:val="fr-CA"/>
        </w:rPr>
      </w:pPr>
    </w:p>
    <w:p w:rsidR="00012FDB" w:rsidRPr="00012FDB" w:rsidRDefault="00012FDB" w:rsidP="00012FDB">
      <w:pPr>
        <w:numPr>
          <w:ilvl w:val="0"/>
          <w:numId w:val="10"/>
        </w:numPr>
        <w:autoSpaceDE w:val="0"/>
        <w:autoSpaceDN w:val="0"/>
        <w:adjustRightInd w:val="0"/>
        <w:contextualSpacing/>
        <w:jc w:val="both"/>
        <w:rPr>
          <w:rFonts w:cs="Times New Roman"/>
          <w:bCs/>
          <w:sz w:val="20"/>
          <w:szCs w:val="20"/>
          <w:lang w:val="fr-CA"/>
        </w:rPr>
      </w:pPr>
      <w:r w:rsidRPr="00012FDB">
        <w:rPr>
          <w:rFonts w:cs="Times New Roman"/>
          <w:sz w:val="20"/>
          <w:szCs w:val="20"/>
          <w:lang w:val="fr-CA"/>
        </w:rPr>
        <w:t>Les dossier, mémoire et recueil de sources de l’appelante doivent être signifiés et déposés au plus tard le 29 janvier 2014.</w:t>
      </w:r>
    </w:p>
    <w:p w:rsidR="00012FDB" w:rsidRPr="00012FDB" w:rsidRDefault="00012FDB" w:rsidP="00012FDB">
      <w:pPr>
        <w:ind w:left="720"/>
        <w:contextualSpacing/>
        <w:rPr>
          <w:rFonts w:cs="Times New Roman"/>
          <w:bCs/>
          <w:sz w:val="20"/>
          <w:szCs w:val="20"/>
          <w:lang w:val="fr-CA"/>
        </w:rPr>
      </w:pPr>
    </w:p>
    <w:p w:rsidR="00012FDB" w:rsidRPr="00012FDB" w:rsidRDefault="00012FDB" w:rsidP="00012FDB">
      <w:pPr>
        <w:numPr>
          <w:ilvl w:val="0"/>
          <w:numId w:val="10"/>
        </w:numPr>
        <w:autoSpaceDE w:val="0"/>
        <w:autoSpaceDN w:val="0"/>
        <w:adjustRightInd w:val="0"/>
        <w:contextualSpacing/>
        <w:jc w:val="both"/>
        <w:rPr>
          <w:rFonts w:cs="Times New Roman"/>
          <w:bCs/>
          <w:sz w:val="20"/>
          <w:szCs w:val="20"/>
          <w:lang w:val="fr-CA"/>
        </w:rPr>
      </w:pPr>
      <w:r w:rsidRPr="00012FDB">
        <w:rPr>
          <w:rFonts w:cs="Times New Roman"/>
          <w:bCs/>
          <w:sz w:val="20"/>
          <w:szCs w:val="20"/>
          <w:lang w:val="fr-CA"/>
        </w:rPr>
        <w:t xml:space="preserve">Toute personne qui souhaite intervenir dans le présent appel en vertu de l’article 55 des </w:t>
      </w:r>
      <w:r w:rsidRPr="00012FDB">
        <w:rPr>
          <w:rFonts w:cs="Times New Roman"/>
          <w:bCs/>
          <w:i/>
          <w:sz w:val="20"/>
          <w:szCs w:val="20"/>
          <w:lang w:val="fr-CA"/>
        </w:rPr>
        <w:t>Règles de la Cour suprême du Canada</w:t>
      </w:r>
      <w:r w:rsidRPr="00012FDB">
        <w:rPr>
          <w:rFonts w:cs="Times New Roman"/>
          <w:bCs/>
          <w:sz w:val="20"/>
          <w:szCs w:val="20"/>
          <w:lang w:val="fr-CA"/>
        </w:rPr>
        <w:t xml:space="preserve"> doit signifier et déposer une requête en autorisation d’intervenir au plus tard le 19 février 2014. </w:t>
      </w:r>
    </w:p>
    <w:p w:rsidR="00012FDB" w:rsidRPr="00012FDB" w:rsidRDefault="00012FDB" w:rsidP="00012FDB">
      <w:pPr>
        <w:ind w:left="720"/>
        <w:contextualSpacing/>
        <w:rPr>
          <w:rFonts w:cs="Times New Roman"/>
          <w:bCs/>
          <w:sz w:val="20"/>
          <w:szCs w:val="20"/>
          <w:lang w:val="fr-CA"/>
        </w:rPr>
      </w:pPr>
    </w:p>
    <w:p w:rsidR="00012FDB" w:rsidRPr="00012FDB" w:rsidRDefault="00012FDB" w:rsidP="00012FDB">
      <w:pPr>
        <w:numPr>
          <w:ilvl w:val="0"/>
          <w:numId w:val="10"/>
        </w:numPr>
        <w:autoSpaceDE w:val="0"/>
        <w:autoSpaceDN w:val="0"/>
        <w:adjustRightInd w:val="0"/>
        <w:contextualSpacing/>
        <w:jc w:val="both"/>
        <w:rPr>
          <w:rFonts w:cs="Times New Roman"/>
          <w:bCs/>
          <w:sz w:val="20"/>
          <w:szCs w:val="20"/>
          <w:lang w:val="fr-CA"/>
        </w:rPr>
      </w:pPr>
      <w:r w:rsidRPr="00012FDB">
        <w:rPr>
          <w:rFonts w:cs="Times New Roman"/>
          <w:bCs/>
          <w:sz w:val="20"/>
          <w:szCs w:val="20"/>
          <w:lang w:val="fr-CA"/>
        </w:rPr>
        <w:t>L’appelante et l’intimé doivent signifier et déposer, le cas échéant, leurs réponses aux requêtes en autorisation d’intervenir au plus tard le 26 février 2014.</w:t>
      </w:r>
    </w:p>
    <w:p w:rsidR="00012FDB" w:rsidRPr="00012FDB" w:rsidRDefault="00012FDB" w:rsidP="00012FDB">
      <w:pPr>
        <w:ind w:left="720"/>
        <w:contextualSpacing/>
        <w:rPr>
          <w:rFonts w:cs="Times New Roman"/>
          <w:bCs/>
          <w:sz w:val="20"/>
          <w:szCs w:val="20"/>
          <w:lang w:val="fr-CA"/>
        </w:rPr>
      </w:pPr>
    </w:p>
    <w:p w:rsidR="00012FDB" w:rsidRPr="00012FDB" w:rsidRDefault="00012FDB" w:rsidP="00012FDB">
      <w:pPr>
        <w:numPr>
          <w:ilvl w:val="0"/>
          <w:numId w:val="10"/>
        </w:numPr>
        <w:autoSpaceDE w:val="0"/>
        <w:autoSpaceDN w:val="0"/>
        <w:adjustRightInd w:val="0"/>
        <w:contextualSpacing/>
        <w:jc w:val="both"/>
        <w:rPr>
          <w:rFonts w:cs="Times New Roman"/>
          <w:bCs/>
          <w:sz w:val="20"/>
          <w:szCs w:val="20"/>
          <w:lang w:val="fr-CA"/>
        </w:rPr>
      </w:pPr>
      <w:r w:rsidRPr="00012FDB">
        <w:rPr>
          <w:rFonts w:cs="Times New Roman"/>
          <w:bCs/>
          <w:sz w:val="20"/>
          <w:szCs w:val="20"/>
          <w:lang w:val="fr-CA"/>
        </w:rPr>
        <w:t xml:space="preserve">Les répliques, le cas échéant, aux réponses aux demandes d’autorisation d’intervenir doivent être signifiées et déposées au plus tard le 3 mars 2014. </w:t>
      </w:r>
    </w:p>
    <w:p w:rsidR="00012FDB" w:rsidRPr="00012FDB" w:rsidRDefault="00012FDB" w:rsidP="00012FDB">
      <w:pPr>
        <w:ind w:left="720"/>
        <w:contextualSpacing/>
        <w:rPr>
          <w:rFonts w:cs="Times New Roman"/>
          <w:bCs/>
          <w:sz w:val="20"/>
          <w:szCs w:val="20"/>
          <w:lang w:val="fr-CA"/>
        </w:rPr>
      </w:pPr>
    </w:p>
    <w:p w:rsidR="00012FDB" w:rsidRPr="00012FDB" w:rsidRDefault="00012FDB" w:rsidP="00012FDB">
      <w:pPr>
        <w:numPr>
          <w:ilvl w:val="0"/>
          <w:numId w:val="10"/>
        </w:numPr>
        <w:autoSpaceDE w:val="0"/>
        <w:autoSpaceDN w:val="0"/>
        <w:adjustRightInd w:val="0"/>
        <w:contextualSpacing/>
        <w:jc w:val="both"/>
        <w:rPr>
          <w:rFonts w:cs="Times New Roman"/>
          <w:bCs/>
          <w:sz w:val="20"/>
          <w:szCs w:val="20"/>
          <w:lang w:val="fr-CA"/>
        </w:rPr>
      </w:pPr>
      <w:r w:rsidRPr="00012FDB">
        <w:rPr>
          <w:rFonts w:cs="Times New Roman"/>
          <w:sz w:val="20"/>
          <w:szCs w:val="20"/>
          <w:lang w:val="fr-CA"/>
        </w:rPr>
        <w:t>Les dossier, mémoire et recueil de sources de l’intimé doivent être signifiés et déposés au plus tard huit (8) semaines suivant la signification des documents de l’appelante.</w:t>
      </w:r>
    </w:p>
    <w:p w:rsidR="00012FDB" w:rsidRPr="00012FDB" w:rsidRDefault="00012FDB" w:rsidP="00012FDB">
      <w:pPr>
        <w:tabs>
          <w:tab w:val="left" w:pos="-1440"/>
          <w:tab w:val="left" w:pos="-720"/>
        </w:tabs>
        <w:jc w:val="both"/>
        <w:rPr>
          <w:rFonts w:eastAsia="Times New Roman" w:cs="Times New Roman"/>
          <w:sz w:val="20"/>
          <w:szCs w:val="20"/>
          <w:lang w:val="fr-CA" w:eastAsia="en-CA"/>
        </w:rPr>
      </w:pPr>
    </w:p>
    <w:p w:rsidR="00012FDB" w:rsidRPr="00012FDB" w:rsidRDefault="00A47393" w:rsidP="00012FDB">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38" style="width:2in;height:1pt" o:hrpct="0" o:hralign="center" o:hrstd="t" o:hrnoshade="t" o:hr="t" fillcolor="black [3213]" stroked="f"/>
        </w:pict>
      </w:r>
    </w:p>
    <w:p w:rsidR="00012FDB" w:rsidRPr="00012FDB" w:rsidRDefault="00012FDB" w:rsidP="00012FDB">
      <w:pPr>
        <w:rPr>
          <w:rFonts w:eastAsia="Times New Roman" w:cs="Times New Roman"/>
          <w:sz w:val="20"/>
          <w:szCs w:val="20"/>
          <w:lang w:eastAsia="en-CA"/>
        </w:rPr>
      </w:pPr>
      <w:r w:rsidRPr="00012FDB">
        <w:rPr>
          <w:rFonts w:eastAsia="Times New Roman" w:cs="Times New Roman"/>
          <w:sz w:val="20"/>
          <w:szCs w:val="20"/>
          <w:lang w:eastAsia="en-CA"/>
        </w:rPr>
        <w:br w:type="page"/>
      </w:r>
    </w:p>
    <w:p w:rsidR="00012FDB" w:rsidRPr="00012FDB" w:rsidRDefault="00012FDB" w:rsidP="00012FDB">
      <w:pPr>
        <w:tabs>
          <w:tab w:val="left" w:pos="-1440"/>
          <w:tab w:val="left" w:pos="-720"/>
        </w:tabs>
        <w:jc w:val="both"/>
        <w:rPr>
          <w:rFonts w:eastAsia="Times New Roman" w:cs="Times New Roman"/>
          <w:sz w:val="20"/>
          <w:szCs w:val="20"/>
          <w:lang w:eastAsia="en-CA"/>
        </w:rPr>
      </w:pPr>
      <w:r w:rsidRPr="00012FDB">
        <w:rPr>
          <w:rFonts w:eastAsia="Times New Roman" w:cs="Times New Roman"/>
          <w:sz w:val="20"/>
          <w:szCs w:val="20"/>
          <w:lang w:eastAsia="en-CA"/>
        </w:rPr>
        <w:lastRenderedPageBreak/>
        <w:t>16.12.2013</w:t>
      </w:r>
    </w:p>
    <w:p w:rsidR="00012FDB" w:rsidRPr="00012FDB" w:rsidRDefault="00012FDB" w:rsidP="00012FDB">
      <w:pPr>
        <w:tabs>
          <w:tab w:val="left" w:pos="-1440"/>
          <w:tab w:val="left" w:pos="-720"/>
        </w:tabs>
        <w:jc w:val="both"/>
        <w:rPr>
          <w:rFonts w:eastAsia="Times New Roman" w:cs="Times New Roman"/>
          <w:sz w:val="20"/>
          <w:szCs w:val="20"/>
          <w:lang w:eastAsia="en-CA"/>
        </w:rPr>
      </w:pPr>
    </w:p>
    <w:p w:rsidR="00012FDB" w:rsidRPr="00012FDB" w:rsidRDefault="00012FDB" w:rsidP="00012FDB">
      <w:pPr>
        <w:tabs>
          <w:tab w:val="left" w:pos="-1440"/>
          <w:tab w:val="left" w:pos="-720"/>
        </w:tabs>
        <w:jc w:val="both"/>
        <w:rPr>
          <w:rFonts w:eastAsia="Times New Roman" w:cs="Times New Roman"/>
          <w:sz w:val="20"/>
          <w:szCs w:val="20"/>
          <w:lang w:eastAsia="en-CA"/>
        </w:rPr>
      </w:pPr>
      <w:r w:rsidRPr="00012FDB">
        <w:rPr>
          <w:rFonts w:eastAsia="Times New Roman" w:cs="Times New Roman"/>
          <w:sz w:val="20"/>
          <w:szCs w:val="20"/>
          <w:lang w:eastAsia="en-CA"/>
        </w:rPr>
        <w:t>Before / Devant:   THE COURT / LA COUR</w:t>
      </w:r>
    </w:p>
    <w:p w:rsidR="00012FDB" w:rsidRPr="00012FDB" w:rsidRDefault="00012FDB" w:rsidP="00012FDB">
      <w:pPr>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12FDB" w:rsidRPr="00012FDB" w:rsidTr="000D1062">
        <w:trPr>
          <w:trHeight w:val="151"/>
        </w:trPr>
        <w:tc>
          <w:tcPr>
            <w:tcW w:w="4338" w:type="dxa"/>
          </w:tcPr>
          <w:p w:rsidR="00012FDB" w:rsidRPr="00012FDB" w:rsidRDefault="001C5DB7" w:rsidP="00012FDB">
            <w:pPr>
              <w:tabs>
                <w:tab w:val="left" w:pos="-1440"/>
                <w:tab w:val="left" w:pos="-720"/>
              </w:tabs>
              <w:jc w:val="both"/>
              <w:rPr>
                <w:lang w:val="fr-CA"/>
              </w:rPr>
            </w:pPr>
            <w:r w:rsidRPr="00012FDB">
              <w:rPr>
                <w:lang w:val="en-US"/>
              </w:rPr>
              <w:fldChar w:fldCharType="begin"/>
            </w:r>
            <w:r w:rsidR="00012FDB" w:rsidRPr="00012FDB">
              <w:rPr>
                <w:lang w:val="fr-CA"/>
              </w:rPr>
              <w:instrText xml:space="preserve"> SEQ CHAPTER \h \r 1</w:instrText>
            </w:r>
            <w:r w:rsidRPr="00012FDB">
              <w:rPr>
                <w:lang w:val="en-US"/>
              </w:rPr>
              <w:fldChar w:fldCharType="end"/>
            </w:r>
            <w:r w:rsidR="00012FDB" w:rsidRPr="00012FDB">
              <w:rPr>
                <w:b/>
                <w:bCs/>
                <w:lang w:val="fr-CA"/>
              </w:rPr>
              <w:t>Miscellaneous motion</w:t>
            </w:r>
          </w:p>
          <w:p w:rsidR="00012FDB" w:rsidRPr="00012FDB" w:rsidRDefault="001C5DB7" w:rsidP="00012FDB">
            <w:pPr>
              <w:tabs>
                <w:tab w:val="left" w:pos="-1440"/>
                <w:tab w:val="left" w:pos="-720"/>
              </w:tabs>
              <w:jc w:val="both"/>
              <w:rPr>
                <w:lang w:val="fr-CA"/>
              </w:rPr>
            </w:pPr>
            <w:r w:rsidRPr="00012FDB">
              <w:rPr>
                <w:lang w:val="en-US"/>
              </w:rPr>
              <w:fldChar w:fldCharType="begin"/>
            </w:r>
            <w:r w:rsidR="00012FDB" w:rsidRPr="00012FDB">
              <w:rPr>
                <w:lang w:val="fr-CA"/>
              </w:rPr>
              <w:instrText xml:space="preserve"> SEQ CHAPTER \h \r 1</w:instrText>
            </w:r>
            <w:r w:rsidRPr="00012FDB">
              <w:rPr>
                <w:lang w:val="en-US"/>
              </w:rPr>
              <w:fldChar w:fldCharType="end"/>
            </w:r>
          </w:p>
        </w:tc>
        <w:tc>
          <w:tcPr>
            <w:tcW w:w="1170" w:type="dxa"/>
          </w:tcPr>
          <w:p w:rsidR="00012FDB" w:rsidRPr="00012FDB" w:rsidRDefault="00012FDB" w:rsidP="00012FDB">
            <w:pPr>
              <w:jc w:val="both"/>
              <w:rPr>
                <w:lang w:val="fr-CA"/>
              </w:rPr>
            </w:pPr>
          </w:p>
          <w:p w:rsidR="00012FDB" w:rsidRPr="00012FDB" w:rsidRDefault="00012FDB" w:rsidP="00012FDB">
            <w:pPr>
              <w:jc w:val="both"/>
              <w:rPr>
                <w:lang w:val="fr-CA"/>
              </w:rPr>
            </w:pPr>
          </w:p>
        </w:tc>
        <w:tc>
          <w:tcPr>
            <w:tcW w:w="4327" w:type="dxa"/>
          </w:tcPr>
          <w:p w:rsidR="00012FDB" w:rsidRPr="00012FDB" w:rsidRDefault="001C5DB7" w:rsidP="00012FDB">
            <w:pPr>
              <w:jc w:val="both"/>
              <w:rPr>
                <w:b/>
                <w:lang w:val="fr-CA"/>
              </w:rPr>
            </w:pPr>
            <w:r w:rsidRPr="00012FDB">
              <w:rPr>
                <w:lang w:val="en-US"/>
              </w:rPr>
              <w:fldChar w:fldCharType="begin"/>
            </w:r>
            <w:r w:rsidR="00012FDB" w:rsidRPr="00012FDB">
              <w:rPr>
                <w:lang w:val="fr-CA"/>
              </w:rPr>
              <w:instrText xml:space="preserve"> SEQ CHAPTER \h \r 1</w:instrText>
            </w:r>
            <w:r w:rsidRPr="00012FDB">
              <w:rPr>
                <w:lang w:val="en-US"/>
              </w:rPr>
              <w:fldChar w:fldCharType="end"/>
            </w:r>
            <w:r w:rsidR="00012FDB" w:rsidRPr="00012FDB">
              <w:rPr>
                <w:b/>
                <w:bCs/>
                <w:lang w:val="fr-CA"/>
              </w:rPr>
              <w:t>Requête diverse</w:t>
            </w:r>
          </w:p>
          <w:p w:rsidR="00012FDB" w:rsidRPr="00012FDB" w:rsidRDefault="001C5DB7" w:rsidP="00012FDB">
            <w:pPr>
              <w:jc w:val="both"/>
              <w:rPr>
                <w:b/>
                <w:lang w:val="fr-CA"/>
              </w:rPr>
            </w:pPr>
            <w:r w:rsidRPr="00012FDB">
              <w:rPr>
                <w:b/>
                <w:lang w:val="en-US"/>
              </w:rPr>
              <w:fldChar w:fldCharType="begin"/>
            </w:r>
            <w:r w:rsidR="00012FDB" w:rsidRPr="00012FDB">
              <w:rPr>
                <w:b/>
                <w:lang w:val="fr-CA"/>
              </w:rPr>
              <w:instrText xml:space="preserve"> SEQ CHAPTER \h \r 1</w:instrText>
            </w:r>
            <w:r w:rsidRPr="00012FDB">
              <w:rPr>
                <w:b/>
                <w:lang w:val="en-US"/>
              </w:rPr>
              <w:fldChar w:fldCharType="end"/>
            </w:r>
            <w:r w:rsidRPr="00012FDB">
              <w:rPr>
                <w:b/>
                <w:lang w:val="en-US"/>
              </w:rPr>
              <w:fldChar w:fldCharType="begin"/>
            </w:r>
            <w:r w:rsidR="00012FDB" w:rsidRPr="00012FDB">
              <w:rPr>
                <w:b/>
                <w:lang w:val="fr-CA"/>
              </w:rPr>
              <w:instrText xml:space="preserve"> SEQ CHAPTER \h \r 1</w:instrText>
            </w:r>
            <w:r w:rsidRPr="00012FDB">
              <w:rPr>
                <w:b/>
                <w:lang w:val="en-US"/>
              </w:rPr>
              <w:fldChar w:fldCharType="end"/>
            </w:r>
          </w:p>
        </w:tc>
      </w:tr>
      <w:tr w:rsidR="00012FDB" w:rsidRPr="00012FDB" w:rsidTr="000D1062">
        <w:trPr>
          <w:trHeight w:val="150"/>
        </w:trPr>
        <w:tc>
          <w:tcPr>
            <w:tcW w:w="4338" w:type="dxa"/>
          </w:tcPr>
          <w:p w:rsidR="00012FDB" w:rsidRPr="00012FDB" w:rsidRDefault="00012FDB" w:rsidP="00012FDB">
            <w:pPr>
              <w:tabs>
                <w:tab w:val="left" w:pos="-1440"/>
                <w:tab w:val="left" w:pos="-720"/>
              </w:tabs>
              <w:jc w:val="both"/>
              <w:rPr>
                <w:lang w:val="fr-CA"/>
              </w:rPr>
            </w:pPr>
            <w:r w:rsidRPr="00012FDB">
              <w:rPr>
                <w:lang w:val="fr-CA"/>
              </w:rPr>
              <w:t>Andrew Keewatin Jr. et al.</w:t>
            </w:r>
          </w:p>
          <w:p w:rsidR="00012FDB" w:rsidRPr="00012FDB" w:rsidRDefault="00012FDB" w:rsidP="00012FDB">
            <w:pPr>
              <w:tabs>
                <w:tab w:val="left" w:pos="-1440"/>
                <w:tab w:val="left" w:pos="-720"/>
              </w:tabs>
              <w:jc w:val="both"/>
              <w:rPr>
                <w:lang w:val="fr-CA"/>
              </w:rPr>
            </w:pPr>
          </w:p>
          <w:p w:rsidR="00012FDB" w:rsidRPr="00012FDB" w:rsidRDefault="00012FDB" w:rsidP="00012FDB">
            <w:pPr>
              <w:tabs>
                <w:tab w:val="left" w:pos="-1440"/>
                <w:tab w:val="left" w:pos="-720"/>
              </w:tabs>
              <w:jc w:val="both"/>
              <w:rPr>
                <w:lang w:val="fr-CA"/>
              </w:rPr>
            </w:pPr>
            <w:r w:rsidRPr="00012FDB">
              <w:rPr>
                <w:lang w:val="fr-CA"/>
              </w:rPr>
              <w:tab/>
              <w:t>v. (35379)</w:t>
            </w:r>
          </w:p>
          <w:p w:rsidR="00012FDB" w:rsidRPr="00012FDB" w:rsidRDefault="00012FDB" w:rsidP="00012FDB">
            <w:pPr>
              <w:tabs>
                <w:tab w:val="left" w:pos="-1440"/>
                <w:tab w:val="left" w:pos="-720"/>
              </w:tabs>
              <w:jc w:val="both"/>
              <w:rPr>
                <w:lang w:val="fr-CA"/>
              </w:rPr>
            </w:pPr>
          </w:p>
          <w:p w:rsidR="00012FDB" w:rsidRPr="00012FDB" w:rsidRDefault="00012FDB" w:rsidP="00012FDB">
            <w:pPr>
              <w:tabs>
                <w:tab w:val="left" w:pos="-1440"/>
                <w:tab w:val="left" w:pos="-720"/>
              </w:tabs>
              <w:jc w:val="both"/>
              <w:rPr>
                <w:lang w:val="fr-CA"/>
              </w:rPr>
            </w:pPr>
            <w:r w:rsidRPr="00012FDB">
              <w:rPr>
                <w:lang w:val="fr-CA"/>
              </w:rPr>
              <w:t>Minister of Natural Resources et al. (Ont.)</w:t>
            </w:r>
          </w:p>
        </w:tc>
        <w:tc>
          <w:tcPr>
            <w:tcW w:w="1170" w:type="dxa"/>
          </w:tcPr>
          <w:p w:rsidR="00012FDB" w:rsidRPr="00012FDB" w:rsidRDefault="00012FDB" w:rsidP="00012FDB">
            <w:pPr>
              <w:jc w:val="both"/>
              <w:rPr>
                <w:lang w:val="fr-CA"/>
              </w:rPr>
            </w:pPr>
          </w:p>
        </w:tc>
        <w:tc>
          <w:tcPr>
            <w:tcW w:w="4327" w:type="dxa"/>
          </w:tcPr>
          <w:p w:rsidR="00012FDB" w:rsidRPr="00012FDB" w:rsidRDefault="00012FDB" w:rsidP="00012FDB">
            <w:pPr>
              <w:jc w:val="both"/>
              <w:rPr>
                <w:lang w:val="fr-CA"/>
              </w:rPr>
            </w:pPr>
          </w:p>
        </w:tc>
      </w:tr>
    </w:tbl>
    <w:p w:rsidR="00012FDB" w:rsidRPr="00012FDB" w:rsidRDefault="00012FDB" w:rsidP="00012FDB">
      <w:pPr>
        <w:tabs>
          <w:tab w:val="left" w:pos="-1440"/>
          <w:tab w:val="left" w:pos="-720"/>
        </w:tabs>
        <w:jc w:val="both"/>
        <w:rPr>
          <w:rFonts w:eastAsia="Times New Roman" w:cs="Times New Roman"/>
          <w:sz w:val="20"/>
          <w:szCs w:val="20"/>
          <w:lang w:val="fr-CA" w:eastAsia="en-CA"/>
        </w:rPr>
      </w:pPr>
    </w:p>
    <w:p w:rsidR="00012FDB" w:rsidRPr="00012FDB" w:rsidRDefault="00012FDB" w:rsidP="00012FDB">
      <w:pPr>
        <w:tabs>
          <w:tab w:val="left" w:pos="-1440"/>
          <w:tab w:val="left" w:pos="-720"/>
        </w:tabs>
        <w:jc w:val="both"/>
        <w:rPr>
          <w:rFonts w:eastAsia="Times New Roman" w:cs="Times New Roman"/>
          <w:sz w:val="20"/>
          <w:szCs w:val="20"/>
          <w:lang w:val="fr-CA" w:eastAsia="en-CA"/>
        </w:rPr>
      </w:pPr>
      <w:r w:rsidRPr="00012FDB">
        <w:rPr>
          <w:rFonts w:eastAsia="Times New Roman" w:cs="Times New Roman"/>
          <w:b/>
          <w:sz w:val="20"/>
          <w:szCs w:val="20"/>
          <w:lang w:val="fr-CA" w:eastAsia="en-CA"/>
        </w:rPr>
        <w:t>GRANTED / ACCORDÉE</w:t>
      </w:r>
    </w:p>
    <w:p w:rsidR="00012FDB" w:rsidRPr="00012FDB" w:rsidRDefault="00012FDB" w:rsidP="00012FDB">
      <w:pPr>
        <w:tabs>
          <w:tab w:val="left" w:pos="-1440"/>
          <w:tab w:val="left" w:pos="-720"/>
        </w:tabs>
        <w:jc w:val="both"/>
        <w:rPr>
          <w:rFonts w:eastAsia="Times New Roman" w:cs="Times New Roman"/>
          <w:sz w:val="20"/>
          <w:szCs w:val="20"/>
          <w:lang w:val="fr-CA" w:eastAsia="en-CA"/>
        </w:rPr>
      </w:pPr>
    </w:p>
    <w:p w:rsidR="00012FDB" w:rsidRPr="00012FDB" w:rsidRDefault="00012FDB" w:rsidP="00012FDB">
      <w:pPr>
        <w:jc w:val="both"/>
        <w:rPr>
          <w:rFonts w:eastAsia="Times New Roman" w:cs="Times New Roman"/>
          <w:sz w:val="20"/>
          <w:szCs w:val="20"/>
          <w:lang w:val="en-US" w:eastAsia="en-CA"/>
        </w:rPr>
      </w:pPr>
      <w:r w:rsidRPr="00012FDB">
        <w:rPr>
          <w:rFonts w:eastAsia="Times New Roman" w:cs="Times New Roman"/>
          <w:b/>
          <w:sz w:val="20"/>
          <w:szCs w:val="20"/>
          <w:lang w:val="en-US" w:eastAsia="en-CA"/>
        </w:rPr>
        <w:t>UPON APPLICATION</w:t>
      </w:r>
      <w:r w:rsidRPr="00012FDB">
        <w:rPr>
          <w:rFonts w:eastAsia="Times New Roman" w:cs="Times New Roman"/>
          <w:sz w:val="20"/>
          <w:szCs w:val="20"/>
          <w:lang w:val="en-US" w:eastAsia="en-CA"/>
        </w:rPr>
        <w:t xml:space="preserve"> by the moving parties Andrew Keewatin Jr. and Joseph William Fobister, on their own behalf and on behalf of all other members of Grassy Narrows First Nation, for an order for advanced costs in this appeal;</w:t>
      </w:r>
    </w:p>
    <w:p w:rsidR="00012FDB" w:rsidRPr="00012FDB" w:rsidRDefault="00012FDB" w:rsidP="00012FDB">
      <w:pPr>
        <w:rPr>
          <w:rFonts w:eastAsia="Times New Roman" w:cs="Times New Roman"/>
          <w:b/>
          <w:sz w:val="20"/>
          <w:szCs w:val="20"/>
          <w:lang w:val="en-US" w:eastAsia="en-CA"/>
        </w:rPr>
      </w:pPr>
    </w:p>
    <w:p w:rsidR="00012FDB" w:rsidRPr="00012FDB" w:rsidRDefault="00012FDB" w:rsidP="00012FDB">
      <w:pPr>
        <w:jc w:val="both"/>
        <w:rPr>
          <w:rFonts w:eastAsia="Times New Roman" w:cs="Times New Roman"/>
          <w:sz w:val="20"/>
          <w:szCs w:val="20"/>
          <w:lang w:val="en-US" w:eastAsia="en-CA"/>
        </w:rPr>
      </w:pPr>
      <w:r w:rsidRPr="00012FDB">
        <w:rPr>
          <w:rFonts w:eastAsia="Times New Roman" w:cs="Times New Roman"/>
          <w:b/>
          <w:sz w:val="20"/>
          <w:szCs w:val="20"/>
          <w:lang w:val="en-US" w:eastAsia="en-CA"/>
        </w:rPr>
        <w:t>AND THE MATERIAL FILED</w:t>
      </w:r>
      <w:r w:rsidRPr="00012FDB">
        <w:rPr>
          <w:rFonts w:eastAsia="Times New Roman" w:cs="Times New Roman"/>
          <w:sz w:val="20"/>
          <w:szCs w:val="20"/>
          <w:lang w:val="en-US" w:eastAsia="en-CA"/>
        </w:rPr>
        <w:t xml:space="preserve"> having been read;</w:t>
      </w:r>
    </w:p>
    <w:p w:rsidR="00012FDB" w:rsidRPr="00012FDB" w:rsidRDefault="00012FDB" w:rsidP="00012FDB">
      <w:pPr>
        <w:rPr>
          <w:rFonts w:eastAsia="Times New Roman" w:cs="Times New Roman"/>
          <w:sz w:val="20"/>
          <w:szCs w:val="20"/>
          <w:lang w:val="en-US" w:eastAsia="en-CA"/>
        </w:rPr>
      </w:pPr>
    </w:p>
    <w:p w:rsidR="00012FDB" w:rsidRPr="00012FDB" w:rsidRDefault="00012FDB" w:rsidP="00012FDB">
      <w:pPr>
        <w:rPr>
          <w:rFonts w:eastAsia="Times New Roman" w:cs="Times New Roman"/>
          <w:sz w:val="20"/>
          <w:szCs w:val="20"/>
          <w:lang w:val="en-US" w:eastAsia="en-CA"/>
        </w:rPr>
      </w:pPr>
      <w:r w:rsidRPr="00012FDB">
        <w:rPr>
          <w:rFonts w:eastAsia="Times New Roman" w:cs="Times New Roman"/>
          <w:b/>
          <w:sz w:val="20"/>
          <w:szCs w:val="20"/>
          <w:lang w:val="en-US" w:eastAsia="en-CA"/>
        </w:rPr>
        <w:t>IT IS HEREBY ORDERED THAT</w:t>
      </w:r>
      <w:r w:rsidRPr="00012FDB">
        <w:rPr>
          <w:rFonts w:eastAsia="Times New Roman" w:cs="Times New Roman"/>
          <w:sz w:val="20"/>
          <w:szCs w:val="20"/>
          <w:lang w:val="en-US" w:eastAsia="en-CA"/>
        </w:rPr>
        <w:t>:</w:t>
      </w:r>
    </w:p>
    <w:p w:rsidR="00012FDB" w:rsidRPr="00012FDB" w:rsidRDefault="00012FDB" w:rsidP="00012FDB">
      <w:pPr>
        <w:rPr>
          <w:rFonts w:eastAsia="Times New Roman" w:cs="Times New Roman"/>
          <w:sz w:val="20"/>
          <w:szCs w:val="20"/>
          <w:lang w:val="en-US" w:eastAsia="en-CA"/>
        </w:rPr>
      </w:pPr>
    </w:p>
    <w:p w:rsidR="00012FDB" w:rsidRPr="00012FDB" w:rsidRDefault="00012FDB" w:rsidP="00012FDB">
      <w:pPr>
        <w:jc w:val="both"/>
        <w:rPr>
          <w:rFonts w:eastAsia="Times New Roman" w:cs="Times New Roman"/>
          <w:sz w:val="20"/>
          <w:szCs w:val="20"/>
          <w:lang w:val="en-US" w:eastAsia="en-CA"/>
        </w:rPr>
      </w:pPr>
      <w:r w:rsidRPr="00012FDB">
        <w:rPr>
          <w:rFonts w:eastAsia="Times New Roman" w:cs="Times New Roman"/>
          <w:sz w:val="20"/>
          <w:szCs w:val="20"/>
          <w:lang w:val="en-US" w:eastAsia="en-CA"/>
        </w:rPr>
        <w:t xml:space="preserve">The motion for advanced costs is granted with costs to </w:t>
      </w:r>
      <w:r w:rsidRPr="00012FDB">
        <w:rPr>
          <w:rFonts w:eastAsia="Times New Roman" w:cs="Times New Roman"/>
          <w:color w:val="000000" w:themeColor="text1"/>
          <w:sz w:val="20"/>
          <w:szCs w:val="20"/>
          <w:lang w:val="en-US" w:eastAsia="en-CA"/>
        </w:rPr>
        <w:t>the moving parties</w:t>
      </w:r>
      <w:r w:rsidRPr="00012FDB">
        <w:rPr>
          <w:rFonts w:eastAsia="Times New Roman" w:cs="Times New Roman"/>
          <w:sz w:val="20"/>
          <w:szCs w:val="20"/>
          <w:lang w:val="en-US" w:eastAsia="en-CA"/>
        </w:rPr>
        <w:t xml:space="preserve">. The Minister of Natural Resources and the Attorney General of Canada shall pay to </w:t>
      </w:r>
      <w:r w:rsidRPr="00012FDB">
        <w:rPr>
          <w:rFonts w:eastAsia="Times New Roman" w:cs="Times New Roman"/>
          <w:color w:val="000000" w:themeColor="text1"/>
          <w:sz w:val="20"/>
          <w:szCs w:val="20"/>
          <w:lang w:val="en-US" w:eastAsia="en-CA"/>
        </w:rPr>
        <w:t>the moving parties</w:t>
      </w:r>
      <w:r w:rsidRPr="00012FDB">
        <w:rPr>
          <w:rFonts w:eastAsia="Times New Roman" w:cs="Times New Roman"/>
          <w:sz w:val="20"/>
          <w:szCs w:val="20"/>
          <w:lang w:val="en-US" w:eastAsia="en-CA"/>
        </w:rPr>
        <w:t xml:space="preserve"> the costs of this appeal, on a partial indemnity basis, in advance and in any event of the cause.</w:t>
      </w:r>
    </w:p>
    <w:p w:rsidR="00012FDB" w:rsidRPr="00012FDB" w:rsidRDefault="00012FDB" w:rsidP="00012FDB">
      <w:pPr>
        <w:jc w:val="both"/>
        <w:rPr>
          <w:rFonts w:eastAsia="Times New Roman" w:cs="Times New Roman"/>
          <w:sz w:val="20"/>
          <w:szCs w:val="20"/>
          <w:lang w:val="en-US" w:eastAsia="en-CA"/>
        </w:rPr>
      </w:pPr>
    </w:p>
    <w:p w:rsidR="00012FDB" w:rsidRPr="00012FDB" w:rsidRDefault="00012FDB" w:rsidP="00012FDB">
      <w:pPr>
        <w:jc w:val="both"/>
        <w:rPr>
          <w:rFonts w:eastAsia="Times New Roman" w:cs="Times New Roman"/>
          <w:sz w:val="20"/>
          <w:szCs w:val="20"/>
          <w:lang w:val="en-US" w:eastAsia="en-CA"/>
        </w:rPr>
      </w:pPr>
    </w:p>
    <w:p w:rsidR="00012FDB" w:rsidRPr="00012FDB" w:rsidRDefault="00012FDB" w:rsidP="00012FDB">
      <w:pPr>
        <w:jc w:val="both"/>
        <w:rPr>
          <w:rFonts w:eastAsia="Times New Roman" w:cs="Times New Roman"/>
          <w:sz w:val="20"/>
          <w:szCs w:val="20"/>
          <w:lang w:val="en-US" w:eastAsia="en-CA"/>
        </w:rPr>
      </w:pPr>
    </w:p>
    <w:p w:rsidR="00012FDB" w:rsidRPr="00012FDB" w:rsidRDefault="00012FDB" w:rsidP="00012FDB">
      <w:pPr>
        <w:jc w:val="both"/>
        <w:rPr>
          <w:rFonts w:eastAsia="Times New Roman" w:cs="Times New Roman"/>
          <w:sz w:val="20"/>
          <w:szCs w:val="20"/>
          <w:lang w:val="fr-CA" w:eastAsia="en-CA"/>
        </w:rPr>
      </w:pPr>
      <w:r w:rsidRPr="00012FDB">
        <w:rPr>
          <w:rFonts w:eastAsia="Times New Roman" w:cs="Times New Roman"/>
          <w:b/>
          <w:sz w:val="20"/>
          <w:szCs w:val="20"/>
          <w:lang w:val="fr-CA" w:eastAsia="en-CA"/>
        </w:rPr>
        <w:t xml:space="preserve">À LA SUITE DE LA DEMANDE </w:t>
      </w:r>
      <w:r w:rsidRPr="00012FDB">
        <w:rPr>
          <w:rFonts w:eastAsia="Times New Roman" w:cs="Times New Roman"/>
          <w:sz w:val="20"/>
          <w:szCs w:val="20"/>
          <w:lang w:val="fr-CA" w:eastAsia="en-CA"/>
        </w:rPr>
        <w:t>de provision pour frais présentée en l’espèce par les parties requérantes Andrew Keewatin fils et Joseph William Fobister, en leur propre nom et au nom de tous les autres membres de la Première Nation Grassy Narrows;</w:t>
      </w:r>
    </w:p>
    <w:p w:rsidR="00012FDB" w:rsidRPr="00012FDB" w:rsidRDefault="00012FDB" w:rsidP="00012FDB">
      <w:pPr>
        <w:rPr>
          <w:rFonts w:eastAsia="Times New Roman" w:cs="Times New Roman"/>
          <w:b/>
          <w:sz w:val="20"/>
          <w:szCs w:val="20"/>
          <w:lang w:val="fr-CA" w:eastAsia="en-CA"/>
        </w:rPr>
      </w:pPr>
    </w:p>
    <w:p w:rsidR="00012FDB" w:rsidRPr="00012FDB" w:rsidRDefault="00012FDB" w:rsidP="00012FDB">
      <w:pPr>
        <w:jc w:val="both"/>
        <w:rPr>
          <w:rFonts w:eastAsia="Times New Roman" w:cs="Times New Roman"/>
          <w:sz w:val="20"/>
          <w:szCs w:val="20"/>
          <w:lang w:val="fr-CA" w:eastAsia="en-CA"/>
        </w:rPr>
      </w:pPr>
      <w:r w:rsidRPr="00012FDB">
        <w:rPr>
          <w:rFonts w:eastAsia="Times New Roman" w:cs="Times New Roman"/>
          <w:b/>
          <w:sz w:val="20"/>
          <w:szCs w:val="20"/>
          <w:lang w:val="fr-CA" w:eastAsia="en-CA"/>
        </w:rPr>
        <w:t xml:space="preserve">ET APRÈS EXAMEN </w:t>
      </w:r>
      <w:r w:rsidRPr="00012FDB">
        <w:rPr>
          <w:rFonts w:eastAsia="Times New Roman" w:cs="Times New Roman"/>
          <w:sz w:val="20"/>
          <w:szCs w:val="20"/>
          <w:lang w:val="fr-CA" w:eastAsia="en-CA"/>
        </w:rPr>
        <w:t>des documents déposés;</w:t>
      </w:r>
    </w:p>
    <w:p w:rsidR="00012FDB" w:rsidRPr="00012FDB" w:rsidRDefault="00012FDB" w:rsidP="00012FDB">
      <w:pPr>
        <w:rPr>
          <w:rFonts w:eastAsia="Times New Roman" w:cs="Times New Roman"/>
          <w:sz w:val="20"/>
          <w:szCs w:val="20"/>
          <w:lang w:val="fr-CA" w:eastAsia="en-CA"/>
        </w:rPr>
      </w:pPr>
    </w:p>
    <w:p w:rsidR="00012FDB" w:rsidRPr="00012FDB" w:rsidRDefault="00012FDB" w:rsidP="00012FDB">
      <w:pPr>
        <w:rPr>
          <w:rFonts w:eastAsia="Times New Roman" w:cs="Times New Roman"/>
          <w:sz w:val="20"/>
          <w:szCs w:val="20"/>
          <w:lang w:val="fr-CA" w:eastAsia="en-CA"/>
        </w:rPr>
      </w:pPr>
      <w:r w:rsidRPr="00012FDB">
        <w:rPr>
          <w:rFonts w:eastAsia="Times New Roman" w:cs="Times New Roman"/>
          <w:b/>
          <w:sz w:val="20"/>
          <w:szCs w:val="20"/>
          <w:lang w:val="fr-CA" w:eastAsia="en-CA"/>
        </w:rPr>
        <w:t xml:space="preserve">IL EST ORDONNÉ CE QUI SUIT </w:t>
      </w:r>
      <w:r w:rsidRPr="00012FDB">
        <w:rPr>
          <w:rFonts w:eastAsia="Times New Roman" w:cs="Times New Roman"/>
          <w:sz w:val="20"/>
          <w:szCs w:val="20"/>
          <w:lang w:val="fr-CA" w:eastAsia="en-CA"/>
        </w:rPr>
        <w:t>:</w:t>
      </w:r>
    </w:p>
    <w:p w:rsidR="00012FDB" w:rsidRPr="00012FDB" w:rsidRDefault="00012FDB" w:rsidP="00012FDB">
      <w:pPr>
        <w:rPr>
          <w:rFonts w:eastAsia="Times New Roman" w:cs="Times New Roman"/>
          <w:sz w:val="20"/>
          <w:szCs w:val="20"/>
          <w:lang w:val="fr-CA" w:eastAsia="en-CA"/>
        </w:rPr>
      </w:pPr>
    </w:p>
    <w:p w:rsidR="00012FDB" w:rsidRPr="00012FDB" w:rsidRDefault="00012FDB" w:rsidP="00012FDB">
      <w:pPr>
        <w:jc w:val="both"/>
        <w:rPr>
          <w:rFonts w:eastAsia="Times New Roman" w:cs="Times New Roman"/>
          <w:sz w:val="20"/>
          <w:szCs w:val="20"/>
          <w:lang w:val="fr-CA" w:eastAsia="en-CA"/>
        </w:rPr>
      </w:pPr>
      <w:r w:rsidRPr="00012FDB">
        <w:rPr>
          <w:rFonts w:eastAsia="Times New Roman" w:cs="Times New Roman"/>
          <w:sz w:val="20"/>
          <w:szCs w:val="20"/>
          <w:lang w:val="fr-CA" w:eastAsia="en-CA"/>
        </w:rPr>
        <w:t>La requête en provision pour frais est accueillie avec dépens en faveur des parties requérantes. Le ministre des Ressources naturelles et le procureur général du Canada paieront à l’avance aux parties requérantes les dépens du présent pourvoi sur la base d’une indemnisation partielle, quelle que soit l’issue de la cause.</w:t>
      </w:r>
    </w:p>
    <w:p w:rsidR="00012FDB" w:rsidRPr="00012FDB" w:rsidRDefault="00012FDB" w:rsidP="00012FDB">
      <w:pPr>
        <w:jc w:val="both"/>
        <w:rPr>
          <w:rFonts w:eastAsia="Times New Roman" w:cs="Times New Roman"/>
          <w:sz w:val="20"/>
          <w:szCs w:val="20"/>
          <w:lang w:val="fr-CA" w:eastAsia="en-CA"/>
        </w:rPr>
      </w:pPr>
    </w:p>
    <w:p w:rsidR="00012FDB" w:rsidRPr="00012FDB" w:rsidRDefault="00A47393" w:rsidP="00012FDB">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39" style="width:2in;height:1pt" o:hrpct="0" o:hralign="center" o:hrstd="t" o:hrnoshade="t" o:hr="t" fillcolor="black [3213]" stroked="f"/>
        </w:pict>
      </w:r>
    </w:p>
    <w:p w:rsidR="00012FDB" w:rsidRPr="00012FDB" w:rsidRDefault="00012FDB" w:rsidP="00012FDB">
      <w:pPr>
        <w:tabs>
          <w:tab w:val="left" w:pos="-1440"/>
          <w:tab w:val="left" w:pos="-720"/>
        </w:tabs>
        <w:jc w:val="both"/>
        <w:rPr>
          <w:rFonts w:eastAsia="Times New Roman" w:cs="Times New Roman"/>
          <w:sz w:val="20"/>
          <w:szCs w:val="20"/>
          <w:lang w:eastAsia="en-CA"/>
        </w:rPr>
      </w:pPr>
    </w:p>
    <w:p w:rsidR="00012FDB" w:rsidRPr="00012FDB" w:rsidRDefault="00012FDB" w:rsidP="00012FDB">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19.12.2013</w:t>
      </w:r>
    </w:p>
    <w:p w:rsidR="00012FDB" w:rsidRPr="00012FDB" w:rsidRDefault="00012FDB" w:rsidP="00012FDB">
      <w:pPr>
        <w:tabs>
          <w:tab w:val="left" w:pos="-1440"/>
          <w:tab w:val="left" w:pos="-720"/>
        </w:tabs>
        <w:jc w:val="both"/>
        <w:rPr>
          <w:rFonts w:eastAsia="Times New Roman" w:cs="Times New Roman"/>
          <w:sz w:val="20"/>
          <w:szCs w:val="20"/>
          <w:lang w:val="fr-CA" w:eastAsia="en-CA"/>
        </w:rPr>
      </w:pPr>
    </w:p>
    <w:p w:rsidR="00012FDB" w:rsidRPr="00012FDB" w:rsidRDefault="00012FDB" w:rsidP="00012FDB">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Before / Devant :   LEBEL J. / LE JUGE LEBEL</w:t>
      </w:r>
    </w:p>
    <w:p w:rsidR="00012FDB" w:rsidRPr="00012FDB" w:rsidRDefault="00012FDB" w:rsidP="00012FD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12FDB" w:rsidRPr="00012FDB" w:rsidTr="000D1062">
        <w:tc>
          <w:tcPr>
            <w:tcW w:w="4338" w:type="dxa"/>
          </w:tcPr>
          <w:p w:rsidR="00012FDB" w:rsidRPr="00012FDB" w:rsidRDefault="00012FDB" w:rsidP="00012FDB">
            <w:pPr>
              <w:tabs>
                <w:tab w:val="left" w:pos="-1440"/>
                <w:tab w:val="left" w:pos="-720"/>
              </w:tabs>
              <w:jc w:val="both"/>
              <w:rPr>
                <w:b/>
              </w:rPr>
            </w:pPr>
            <w:r w:rsidRPr="00012FDB">
              <w:rPr>
                <w:b/>
                <w:bCs/>
                <w:lang w:val="en-GB"/>
              </w:rPr>
              <w:t>Taxation of costs</w:t>
            </w:r>
          </w:p>
        </w:tc>
        <w:tc>
          <w:tcPr>
            <w:tcW w:w="1170" w:type="dxa"/>
          </w:tcPr>
          <w:p w:rsidR="00012FDB" w:rsidRPr="00012FDB" w:rsidRDefault="00012FDB" w:rsidP="00012FDB">
            <w:pPr>
              <w:tabs>
                <w:tab w:val="left" w:pos="-1440"/>
                <w:tab w:val="left" w:pos="-720"/>
              </w:tabs>
              <w:jc w:val="both"/>
            </w:pPr>
          </w:p>
          <w:p w:rsidR="00012FDB" w:rsidRPr="00012FDB" w:rsidRDefault="00012FDB" w:rsidP="00012FDB">
            <w:pPr>
              <w:tabs>
                <w:tab w:val="left" w:pos="-1440"/>
                <w:tab w:val="left" w:pos="-720"/>
              </w:tabs>
              <w:jc w:val="both"/>
            </w:pPr>
          </w:p>
        </w:tc>
        <w:tc>
          <w:tcPr>
            <w:tcW w:w="4327" w:type="dxa"/>
          </w:tcPr>
          <w:p w:rsidR="00012FDB" w:rsidRPr="00012FDB" w:rsidRDefault="00012FDB" w:rsidP="00012FDB">
            <w:pPr>
              <w:tabs>
                <w:tab w:val="left" w:pos="-1440"/>
                <w:tab w:val="left" w:pos="-720"/>
              </w:tabs>
              <w:jc w:val="both"/>
              <w:rPr>
                <w:lang w:val="fr-CA"/>
              </w:rPr>
            </w:pPr>
            <w:r w:rsidRPr="00012FDB">
              <w:rPr>
                <w:b/>
                <w:bCs/>
                <w:lang w:val="en-GB"/>
              </w:rPr>
              <w:t>Taxation des dépens</w:t>
            </w:r>
            <w:r w:rsidRPr="00012FDB">
              <w:rPr>
                <w:szCs w:val="24"/>
                <w:lang w:val="en-US"/>
              </w:rPr>
              <w:t xml:space="preserve"> </w:t>
            </w:r>
            <w:r w:rsidR="001C5DB7" w:rsidRPr="00012FDB">
              <w:rPr>
                <w:szCs w:val="24"/>
                <w:lang w:val="en-US"/>
              </w:rPr>
              <w:fldChar w:fldCharType="begin"/>
            </w:r>
            <w:r w:rsidRPr="00012FDB">
              <w:rPr>
                <w:szCs w:val="24"/>
                <w:lang w:val="fr-CA"/>
              </w:rPr>
              <w:instrText xml:space="preserve"> SEQ CHAPTER \h \r 1</w:instrText>
            </w:r>
            <w:r w:rsidR="001C5DB7" w:rsidRPr="00012FDB">
              <w:rPr>
                <w:szCs w:val="24"/>
                <w:lang w:val="en-US"/>
              </w:rPr>
              <w:fldChar w:fldCharType="end"/>
            </w:r>
            <w:r w:rsidR="001C5DB7" w:rsidRPr="00012FDB">
              <w:rPr>
                <w:szCs w:val="24"/>
                <w:lang w:val="en-US"/>
              </w:rPr>
              <w:fldChar w:fldCharType="begin"/>
            </w:r>
            <w:r w:rsidRPr="00012FDB">
              <w:rPr>
                <w:szCs w:val="24"/>
                <w:lang w:val="fr-CA"/>
              </w:rPr>
              <w:instrText xml:space="preserve"> SEQ CHAPTER \h \r 1</w:instrText>
            </w:r>
            <w:r w:rsidR="001C5DB7" w:rsidRPr="00012FDB">
              <w:rPr>
                <w:szCs w:val="24"/>
                <w:lang w:val="en-US"/>
              </w:rPr>
              <w:fldChar w:fldCharType="end"/>
            </w:r>
          </w:p>
        </w:tc>
      </w:tr>
      <w:tr w:rsidR="00012FDB" w:rsidRPr="00A47393" w:rsidTr="000D1062">
        <w:tc>
          <w:tcPr>
            <w:tcW w:w="4338" w:type="dxa"/>
          </w:tcPr>
          <w:p w:rsidR="00012FDB" w:rsidRPr="00012FDB" w:rsidRDefault="00012FDB" w:rsidP="00012FDB">
            <w:pPr>
              <w:tabs>
                <w:tab w:val="left" w:pos="-1440"/>
                <w:tab w:val="left" w:pos="-720"/>
              </w:tabs>
              <w:jc w:val="both"/>
              <w:rPr>
                <w:lang w:val="fr-CA"/>
              </w:rPr>
            </w:pPr>
            <w:r w:rsidRPr="00012FDB">
              <w:rPr>
                <w:lang w:val="fr-CA"/>
              </w:rPr>
              <w:t>G.F.</w:t>
            </w:r>
          </w:p>
          <w:p w:rsidR="00012FDB" w:rsidRPr="00012FDB" w:rsidRDefault="00012FDB" w:rsidP="00012FDB">
            <w:pPr>
              <w:tabs>
                <w:tab w:val="left" w:pos="-1440"/>
                <w:tab w:val="left" w:pos="-720"/>
              </w:tabs>
              <w:jc w:val="both"/>
              <w:rPr>
                <w:lang w:val="fr-CA"/>
              </w:rPr>
            </w:pPr>
          </w:p>
          <w:p w:rsidR="00012FDB" w:rsidRPr="00012FDB" w:rsidRDefault="00012FDB" w:rsidP="00012FDB">
            <w:pPr>
              <w:tabs>
                <w:tab w:val="left" w:pos="-1440"/>
                <w:tab w:val="left" w:pos="-720"/>
              </w:tabs>
              <w:jc w:val="both"/>
              <w:rPr>
                <w:lang w:val="fr-CA"/>
              </w:rPr>
            </w:pPr>
            <w:r w:rsidRPr="00012FDB">
              <w:rPr>
                <w:lang w:val="fr-CA"/>
              </w:rPr>
              <w:tab/>
              <w:t>c. (35065)</w:t>
            </w:r>
          </w:p>
          <w:p w:rsidR="00012FDB" w:rsidRPr="00012FDB" w:rsidRDefault="00012FDB" w:rsidP="00012FDB">
            <w:pPr>
              <w:tabs>
                <w:tab w:val="left" w:pos="-1440"/>
                <w:tab w:val="left" w:pos="-720"/>
              </w:tabs>
              <w:jc w:val="both"/>
              <w:rPr>
                <w:lang w:val="fr-CA"/>
              </w:rPr>
            </w:pPr>
          </w:p>
          <w:p w:rsidR="00012FDB" w:rsidRPr="00012FDB" w:rsidRDefault="00012FDB" w:rsidP="00012FDB">
            <w:pPr>
              <w:tabs>
                <w:tab w:val="left" w:pos="-1440"/>
                <w:tab w:val="left" w:pos="-720"/>
              </w:tabs>
              <w:jc w:val="both"/>
              <w:rPr>
                <w:lang w:val="fr-CA"/>
              </w:rPr>
            </w:pPr>
            <w:r w:rsidRPr="00012FDB">
              <w:rPr>
                <w:lang w:val="fr-CA"/>
              </w:rPr>
              <w:t>K.G., en sa qualité de personne autorisée par le Directeur de la protection de la jeunesse du centre jeunesse des Laurentides (Qc)</w:t>
            </w:r>
          </w:p>
        </w:tc>
        <w:tc>
          <w:tcPr>
            <w:tcW w:w="1170" w:type="dxa"/>
          </w:tcPr>
          <w:p w:rsidR="00012FDB" w:rsidRPr="00012FDB" w:rsidRDefault="00012FDB" w:rsidP="00012FDB">
            <w:pPr>
              <w:tabs>
                <w:tab w:val="left" w:pos="-1440"/>
                <w:tab w:val="left" w:pos="-720"/>
              </w:tabs>
              <w:jc w:val="both"/>
              <w:rPr>
                <w:lang w:val="fr-CA"/>
              </w:rPr>
            </w:pPr>
          </w:p>
        </w:tc>
        <w:tc>
          <w:tcPr>
            <w:tcW w:w="4327" w:type="dxa"/>
          </w:tcPr>
          <w:p w:rsidR="00012FDB" w:rsidRPr="00012FDB" w:rsidRDefault="00012FDB" w:rsidP="00012FDB">
            <w:pPr>
              <w:tabs>
                <w:tab w:val="left" w:pos="-1440"/>
                <w:tab w:val="left" w:pos="-720"/>
              </w:tabs>
              <w:jc w:val="both"/>
              <w:rPr>
                <w:lang w:val="fr-CA"/>
              </w:rPr>
            </w:pPr>
          </w:p>
        </w:tc>
      </w:tr>
    </w:tbl>
    <w:p w:rsidR="00012FDB" w:rsidRPr="00012FDB" w:rsidRDefault="00012FDB" w:rsidP="00012FDB">
      <w:pPr>
        <w:tabs>
          <w:tab w:val="left" w:pos="-1440"/>
          <w:tab w:val="left" w:pos="-720"/>
        </w:tabs>
        <w:jc w:val="both"/>
        <w:rPr>
          <w:rFonts w:eastAsia="Times New Roman" w:cs="Times New Roman"/>
          <w:sz w:val="20"/>
          <w:szCs w:val="20"/>
          <w:lang w:val="fr-CA" w:eastAsia="en-CA"/>
        </w:rPr>
      </w:pPr>
    </w:p>
    <w:p w:rsidR="00012FDB" w:rsidRPr="00012FDB" w:rsidRDefault="00012FDB" w:rsidP="00012FDB">
      <w:pPr>
        <w:tabs>
          <w:tab w:val="left" w:pos="-1440"/>
          <w:tab w:val="left" w:pos="-720"/>
        </w:tabs>
        <w:jc w:val="both"/>
        <w:rPr>
          <w:rFonts w:eastAsia="Times New Roman" w:cs="Times New Roman"/>
          <w:b/>
          <w:sz w:val="20"/>
          <w:szCs w:val="20"/>
          <w:lang w:val="fr-CA" w:eastAsia="en-CA"/>
        </w:rPr>
      </w:pPr>
      <w:r w:rsidRPr="00012FDB">
        <w:rPr>
          <w:rFonts w:eastAsia="Times New Roman" w:cs="Times New Roman"/>
          <w:b/>
          <w:sz w:val="20"/>
          <w:szCs w:val="20"/>
          <w:lang w:val="fr-CA" w:eastAsia="en-CA"/>
        </w:rPr>
        <w:lastRenderedPageBreak/>
        <w:t>DISMISSED / REJETÉE</w:t>
      </w:r>
    </w:p>
    <w:p w:rsidR="00012FDB" w:rsidRPr="00012FDB" w:rsidRDefault="00012FDB" w:rsidP="00012FDB">
      <w:pPr>
        <w:tabs>
          <w:tab w:val="left" w:pos="-1440"/>
          <w:tab w:val="left" w:pos="-720"/>
        </w:tabs>
        <w:jc w:val="both"/>
        <w:rPr>
          <w:rFonts w:eastAsia="Times New Roman" w:cs="Times New Roman"/>
          <w:sz w:val="20"/>
          <w:szCs w:val="20"/>
          <w:lang w:val="fr-CA" w:eastAsia="en-CA"/>
        </w:rPr>
      </w:pPr>
    </w:p>
    <w:p w:rsidR="00012FDB" w:rsidRPr="00012FDB" w:rsidRDefault="00012FDB" w:rsidP="00012FDB">
      <w:pPr>
        <w:spacing w:line="233" w:lineRule="auto"/>
        <w:jc w:val="both"/>
        <w:rPr>
          <w:rFonts w:eastAsia="Times New Roman" w:cs="Times New Roman"/>
          <w:sz w:val="20"/>
          <w:szCs w:val="20"/>
          <w:lang w:val="fr-CA" w:eastAsia="en-CA"/>
        </w:rPr>
      </w:pPr>
      <w:r w:rsidRPr="00012FDB">
        <w:rPr>
          <w:rFonts w:eastAsia="Times New Roman" w:cs="Times New Roman"/>
          <w:b/>
          <w:sz w:val="20"/>
          <w:szCs w:val="20"/>
          <w:lang w:val="fr-CA" w:eastAsia="en-CA"/>
        </w:rPr>
        <w:t>À LA SUITE DE LA DEMANDE</w:t>
      </w:r>
      <w:r w:rsidRPr="00012FDB">
        <w:rPr>
          <w:rFonts w:eastAsia="Times New Roman" w:cs="Times New Roman"/>
          <w:sz w:val="20"/>
          <w:szCs w:val="20"/>
          <w:lang w:val="fr-CA" w:eastAsia="en-CA"/>
        </w:rPr>
        <w:t xml:space="preserve"> présentée par la demanderesse pour une ordonnance en révision de la taxation des dépens; </w:t>
      </w:r>
    </w:p>
    <w:p w:rsidR="00012FDB" w:rsidRPr="00012FDB" w:rsidRDefault="00012FDB" w:rsidP="00012FDB">
      <w:pPr>
        <w:spacing w:line="233" w:lineRule="auto"/>
        <w:jc w:val="both"/>
        <w:rPr>
          <w:rFonts w:eastAsia="Times New Roman" w:cs="Times New Roman"/>
          <w:b/>
          <w:sz w:val="20"/>
          <w:szCs w:val="20"/>
          <w:lang w:val="fr-CA" w:eastAsia="en-CA"/>
        </w:rPr>
      </w:pPr>
    </w:p>
    <w:p w:rsidR="00012FDB" w:rsidRPr="00012FDB" w:rsidRDefault="00012FDB" w:rsidP="00012FDB">
      <w:pPr>
        <w:spacing w:line="233" w:lineRule="auto"/>
        <w:jc w:val="both"/>
        <w:rPr>
          <w:rFonts w:eastAsia="Times New Roman" w:cs="Times New Roman"/>
          <w:sz w:val="20"/>
          <w:szCs w:val="20"/>
          <w:lang w:val="fr-CA" w:eastAsia="en-CA"/>
        </w:rPr>
      </w:pPr>
      <w:r w:rsidRPr="00012FDB">
        <w:rPr>
          <w:rFonts w:eastAsia="Times New Roman" w:cs="Times New Roman"/>
          <w:b/>
          <w:sz w:val="20"/>
          <w:szCs w:val="20"/>
          <w:lang w:val="fr-CA" w:eastAsia="en-CA"/>
        </w:rPr>
        <w:t>ET APRÈS EXAMEN</w:t>
      </w:r>
      <w:r w:rsidRPr="00012FDB">
        <w:rPr>
          <w:rFonts w:eastAsia="Times New Roman" w:cs="Times New Roman"/>
          <w:sz w:val="20"/>
          <w:szCs w:val="20"/>
          <w:lang w:val="fr-CA" w:eastAsia="en-CA"/>
        </w:rPr>
        <w:t xml:space="preserve"> des documents déposés;</w:t>
      </w:r>
    </w:p>
    <w:p w:rsidR="00012FDB" w:rsidRPr="00012FDB" w:rsidRDefault="00012FDB" w:rsidP="00012FDB">
      <w:pPr>
        <w:spacing w:line="233" w:lineRule="auto"/>
        <w:jc w:val="both"/>
        <w:rPr>
          <w:rFonts w:eastAsia="Times New Roman" w:cs="Times New Roman"/>
          <w:b/>
          <w:sz w:val="20"/>
          <w:szCs w:val="20"/>
          <w:lang w:val="fr-CA" w:eastAsia="en-CA"/>
        </w:rPr>
      </w:pPr>
    </w:p>
    <w:p w:rsidR="00012FDB" w:rsidRPr="00012FDB" w:rsidRDefault="00012FDB" w:rsidP="00012FDB">
      <w:pPr>
        <w:spacing w:line="233" w:lineRule="auto"/>
        <w:jc w:val="both"/>
        <w:rPr>
          <w:rFonts w:eastAsia="Times New Roman" w:cs="Times New Roman"/>
          <w:sz w:val="20"/>
          <w:szCs w:val="20"/>
          <w:lang w:val="fr-CA" w:eastAsia="en-CA"/>
        </w:rPr>
      </w:pPr>
      <w:r w:rsidRPr="00012FDB">
        <w:rPr>
          <w:rFonts w:eastAsia="Times New Roman" w:cs="Times New Roman"/>
          <w:b/>
          <w:sz w:val="20"/>
          <w:szCs w:val="20"/>
          <w:lang w:val="fr-CA" w:eastAsia="en-CA"/>
        </w:rPr>
        <w:t>IL EST PAR LA PRÉSENTE ORDONNÉ CE QUI SUIT</w:t>
      </w:r>
      <w:r w:rsidRPr="00012FDB">
        <w:rPr>
          <w:rFonts w:eastAsia="Times New Roman" w:cs="Times New Roman"/>
          <w:sz w:val="20"/>
          <w:szCs w:val="20"/>
          <w:lang w:val="fr-CA" w:eastAsia="en-CA"/>
        </w:rPr>
        <w:t xml:space="preserve"> :</w:t>
      </w:r>
    </w:p>
    <w:p w:rsidR="00012FDB" w:rsidRPr="00012FDB" w:rsidRDefault="00012FDB" w:rsidP="00012FDB">
      <w:pPr>
        <w:spacing w:line="233" w:lineRule="auto"/>
        <w:jc w:val="both"/>
        <w:rPr>
          <w:rFonts w:eastAsia="Times New Roman" w:cs="Times New Roman"/>
          <w:sz w:val="20"/>
          <w:szCs w:val="20"/>
          <w:lang w:val="fr-CA" w:eastAsia="en-CA"/>
        </w:rPr>
      </w:pPr>
    </w:p>
    <w:p w:rsidR="00012FDB" w:rsidRPr="003B41C6" w:rsidRDefault="00012FDB" w:rsidP="00012FDB">
      <w:pPr>
        <w:spacing w:line="233" w:lineRule="auto"/>
        <w:ind w:firstLine="720"/>
        <w:jc w:val="both"/>
        <w:rPr>
          <w:rFonts w:eastAsia="Times New Roman" w:cs="Times New Roman"/>
          <w:sz w:val="20"/>
          <w:szCs w:val="20"/>
          <w:lang w:eastAsia="en-CA"/>
        </w:rPr>
      </w:pPr>
      <w:r w:rsidRPr="003B41C6">
        <w:rPr>
          <w:rFonts w:eastAsia="Times New Roman" w:cs="Times New Roman"/>
          <w:sz w:val="20"/>
          <w:szCs w:val="20"/>
          <w:lang w:eastAsia="en-CA"/>
        </w:rPr>
        <w:t>La requête est rejetée.</w:t>
      </w:r>
    </w:p>
    <w:p w:rsidR="00012FDB" w:rsidRPr="00012FDB" w:rsidRDefault="00012FDB" w:rsidP="00012FDB">
      <w:pPr>
        <w:tabs>
          <w:tab w:val="left" w:pos="-1440"/>
          <w:tab w:val="left" w:pos="-720"/>
        </w:tabs>
        <w:jc w:val="both"/>
        <w:rPr>
          <w:rFonts w:eastAsia="Times New Roman" w:cs="Times New Roman"/>
          <w:sz w:val="20"/>
          <w:szCs w:val="20"/>
          <w:lang w:val="en-US" w:eastAsia="en-CA"/>
        </w:rPr>
      </w:pPr>
    </w:p>
    <w:p w:rsidR="00012FDB" w:rsidRPr="00012FDB" w:rsidRDefault="00012FDB" w:rsidP="00012FDB">
      <w:pPr>
        <w:tabs>
          <w:tab w:val="left" w:pos="-1440"/>
          <w:tab w:val="left" w:pos="-720"/>
        </w:tabs>
        <w:jc w:val="both"/>
        <w:rPr>
          <w:rFonts w:eastAsia="Times New Roman" w:cs="Times New Roman"/>
          <w:sz w:val="20"/>
          <w:szCs w:val="20"/>
          <w:lang w:val="en-US" w:eastAsia="en-CA"/>
        </w:rPr>
      </w:pPr>
    </w:p>
    <w:p w:rsidR="00012FDB" w:rsidRPr="00012FDB" w:rsidRDefault="00012FDB" w:rsidP="00012FDB">
      <w:pPr>
        <w:tabs>
          <w:tab w:val="left" w:pos="-1440"/>
          <w:tab w:val="left" w:pos="-720"/>
        </w:tabs>
        <w:jc w:val="both"/>
        <w:rPr>
          <w:rFonts w:eastAsia="Times New Roman" w:cs="Times New Roman"/>
          <w:sz w:val="20"/>
          <w:szCs w:val="20"/>
          <w:lang w:val="en-US" w:eastAsia="en-CA"/>
        </w:rPr>
      </w:pPr>
    </w:p>
    <w:p w:rsidR="00012FDB" w:rsidRPr="00012FDB" w:rsidRDefault="00012FDB" w:rsidP="00012FDB">
      <w:pPr>
        <w:spacing w:line="233" w:lineRule="auto"/>
        <w:jc w:val="both"/>
        <w:rPr>
          <w:rFonts w:eastAsia="Times New Roman" w:cs="Times New Roman"/>
          <w:sz w:val="20"/>
          <w:szCs w:val="20"/>
          <w:lang w:eastAsia="en-CA"/>
        </w:rPr>
      </w:pPr>
      <w:r w:rsidRPr="00012FDB">
        <w:rPr>
          <w:rFonts w:eastAsia="Times New Roman" w:cs="Times New Roman"/>
          <w:b/>
          <w:sz w:val="20"/>
          <w:szCs w:val="20"/>
          <w:lang w:eastAsia="en-CA"/>
        </w:rPr>
        <w:t>UPON APPLICATION</w:t>
      </w:r>
      <w:r w:rsidRPr="00012FDB">
        <w:rPr>
          <w:rFonts w:eastAsia="Times New Roman" w:cs="Times New Roman"/>
          <w:sz w:val="20"/>
          <w:szCs w:val="20"/>
          <w:lang w:eastAsia="en-CA"/>
        </w:rPr>
        <w:t xml:space="preserve"> by the applicant for an order on a review of a taxation of costs; </w:t>
      </w:r>
    </w:p>
    <w:p w:rsidR="00012FDB" w:rsidRPr="00012FDB" w:rsidRDefault="00012FDB" w:rsidP="00012FDB">
      <w:pPr>
        <w:spacing w:line="233" w:lineRule="auto"/>
        <w:jc w:val="both"/>
        <w:rPr>
          <w:rFonts w:eastAsia="Times New Roman" w:cs="Times New Roman"/>
          <w:b/>
          <w:sz w:val="20"/>
          <w:szCs w:val="20"/>
          <w:lang w:eastAsia="en-CA"/>
        </w:rPr>
      </w:pPr>
    </w:p>
    <w:p w:rsidR="00012FDB" w:rsidRPr="00012FDB" w:rsidRDefault="00012FDB" w:rsidP="00012FDB">
      <w:pPr>
        <w:spacing w:line="233" w:lineRule="auto"/>
        <w:jc w:val="both"/>
        <w:rPr>
          <w:rFonts w:eastAsia="Times New Roman" w:cs="Times New Roman"/>
          <w:sz w:val="20"/>
          <w:szCs w:val="20"/>
          <w:lang w:eastAsia="en-CA"/>
        </w:rPr>
      </w:pPr>
      <w:r w:rsidRPr="00012FDB">
        <w:rPr>
          <w:rFonts w:eastAsia="Times New Roman" w:cs="Times New Roman"/>
          <w:b/>
          <w:sz w:val="20"/>
          <w:szCs w:val="20"/>
          <w:lang w:eastAsia="en-CA"/>
        </w:rPr>
        <w:t>AND THE MATERIAL FILED</w:t>
      </w:r>
      <w:r w:rsidRPr="00012FDB">
        <w:rPr>
          <w:rFonts w:eastAsia="Times New Roman" w:cs="Times New Roman"/>
          <w:sz w:val="20"/>
          <w:szCs w:val="20"/>
          <w:lang w:eastAsia="en-CA"/>
        </w:rPr>
        <w:t xml:space="preserve"> having been read;</w:t>
      </w:r>
    </w:p>
    <w:p w:rsidR="00012FDB" w:rsidRPr="00012FDB" w:rsidRDefault="00012FDB" w:rsidP="00012FDB">
      <w:pPr>
        <w:spacing w:line="233" w:lineRule="auto"/>
        <w:jc w:val="both"/>
        <w:rPr>
          <w:rFonts w:eastAsia="Times New Roman" w:cs="Times New Roman"/>
          <w:b/>
          <w:sz w:val="20"/>
          <w:szCs w:val="20"/>
          <w:lang w:eastAsia="en-CA"/>
        </w:rPr>
      </w:pPr>
    </w:p>
    <w:p w:rsidR="00012FDB" w:rsidRPr="00012FDB" w:rsidRDefault="00012FDB" w:rsidP="00012FDB">
      <w:pPr>
        <w:spacing w:line="233" w:lineRule="auto"/>
        <w:jc w:val="both"/>
        <w:rPr>
          <w:rFonts w:eastAsia="Times New Roman" w:cs="Times New Roman"/>
          <w:sz w:val="20"/>
          <w:szCs w:val="20"/>
          <w:lang w:eastAsia="en-CA"/>
        </w:rPr>
      </w:pPr>
      <w:r w:rsidRPr="00012FDB">
        <w:rPr>
          <w:rFonts w:eastAsia="Times New Roman" w:cs="Times New Roman"/>
          <w:b/>
          <w:sz w:val="20"/>
          <w:szCs w:val="20"/>
          <w:lang w:eastAsia="en-CA"/>
        </w:rPr>
        <w:t>IT IS HEREBY ORDERED THAT</w:t>
      </w:r>
      <w:r w:rsidRPr="00012FDB">
        <w:rPr>
          <w:rFonts w:eastAsia="Times New Roman" w:cs="Times New Roman"/>
          <w:sz w:val="20"/>
          <w:szCs w:val="20"/>
          <w:lang w:eastAsia="en-CA"/>
        </w:rPr>
        <w:t>:</w:t>
      </w:r>
    </w:p>
    <w:p w:rsidR="00012FDB" w:rsidRPr="00012FDB" w:rsidRDefault="00012FDB" w:rsidP="00012FDB">
      <w:pPr>
        <w:spacing w:line="233" w:lineRule="auto"/>
        <w:jc w:val="both"/>
        <w:rPr>
          <w:rFonts w:eastAsia="Times New Roman" w:cs="Times New Roman"/>
          <w:sz w:val="20"/>
          <w:szCs w:val="20"/>
          <w:lang w:eastAsia="en-CA"/>
        </w:rPr>
      </w:pPr>
    </w:p>
    <w:p w:rsidR="00012FDB" w:rsidRPr="00012FDB" w:rsidRDefault="00012FDB" w:rsidP="00012FDB">
      <w:pPr>
        <w:spacing w:line="233" w:lineRule="auto"/>
        <w:ind w:firstLine="720"/>
        <w:jc w:val="both"/>
        <w:rPr>
          <w:rFonts w:eastAsia="Times New Roman" w:cs="Times New Roman"/>
          <w:sz w:val="20"/>
          <w:szCs w:val="20"/>
          <w:lang w:eastAsia="en-CA"/>
        </w:rPr>
      </w:pPr>
      <w:r w:rsidRPr="00012FDB">
        <w:rPr>
          <w:rFonts w:eastAsia="Times New Roman" w:cs="Times New Roman"/>
          <w:sz w:val="20"/>
          <w:szCs w:val="20"/>
          <w:lang w:eastAsia="en-CA"/>
        </w:rPr>
        <w:t>The motion is dismissed.</w:t>
      </w:r>
    </w:p>
    <w:p w:rsidR="00012FDB" w:rsidRPr="00012FDB" w:rsidRDefault="00012FDB" w:rsidP="00012FDB">
      <w:pPr>
        <w:tabs>
          <w:tab w:val="left" w:pos="-1440"/>
          <w:tab w:val="left" w:pos="-720"/>
        </w:tabs>
        <w:jc w:val="both"/>
        <w:rPr>
          <w:rFonts w:eastAsia="Times New Roman" w:cs="Times New Roman"/>
          <w:sz w:val="20"/>
          <w:szCs w:val="20"/>
          <w:lang w:val="en-US" w:eastAsia="en-CA"/>
        </w:rPr>
      </w:pPr>
    </w:p>
    <w:p w:rsidR="00012FDB" w:rsidRPr="00012FDB" w:rsidRDefault="00A47393" w:rsidP="00012FDB">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40" style="width:2in;height:1pt" o:hrpct="0" o:hralign="center" o:hrstd="t" o:hrnoshade="t" o:hr="t" fillcolor="black [3213]" stroked="f"/>
        </w:pict>
      </w:r>
    </w:p>
    <w:p w:rsidR="00012FDB" w:rsidRPr="00012FDB" w:rsidRDefault="00012FDB" w:rsidP="00012FDB">
      <w:pPr>
        <w:tabs>
          <w:tab w:val="left" w:pos="-1440"/>
          <w:tab w:val="left" w:pos="-720"/>
        </w:tabs>
        <w:jc w:val="both"/>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976CD6">
            <w:pPr>
              <w:keepNext/>
              <w:keepLines/>
              <w:rPr>
                <w:b/>
                <w:szCs w:val="24"/>
              </w:rPr>
            </w:pPr>
            <w:r w:rsidRPr="00C50A5C">
              <w:rPr>
                <w:b/>
                <w:szCs w:val="24"/>
              </w:rPr>
              <w:lastRenderedPageBreak/>
              <w:t xml:space="preserve">AGENDA FOR </w:t>
            </w:r>
            <w:r w:rsidR="00976CD6">
              <w:rPr>
                <w:b/>
                <w:szCs w:val="24"/>
              </w:rPr>
              <w:t>JA</w:t>
            </w:r>
            <w:r w:rsidRPr="00C50A5C">
              <w:rPr>
                <w:b/>
                <w:szCs w:val="24"/>
              </w:rPr>
              <w:t>N</w:t>
            </w:r>
            <w:r w:rsidR="00976CD6">
              <w:rPr>
                <w:b/>
                <w:szCs w:val="24"/>
              </w:rPr>
              <w:t>UA</w:t>
            </w:r>
            <w:r w:rsidRPr="00C50A5C">
              <w:rPr>
                <w:b/>
                <w:szCs w:val="24"/>
              </w:rPr>
              <w:t>R</w:t>
            </w:r>
            <w:r w:rsidR="00976CD6">
              <w:rPr>
                <w:b/>
                <w:szCs w:val="24"/>
              </w:rPr>
              <w:t>Y 2014</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976CD6">
            <w:pPr>
              <w:keepNext/>
              <w:keepLines/>
              <w:rPr>
                <w:b/>
                <w:szCs w:val="24"/>
                <w:lang w:val="fr-CA"/>
              </w:rPr>
            </w:pPr>
            <w:r w:rsidRPr="00C50A5C">
              <w:rPr>
                <w:b/>
                <w:szCs w:val="24"/>
                <w:lang w:val="fr-CA"/>
              </w:rPr>
              <w:t xml:space="preserve">CALENDRIER DE </w:t>
            </w:r>
            <w:r w:rsidR="00976CD6">
              <w:rPr>
                <w:b/>
                <w:szCs w:val="24"/>
                <w:lang w:val="fr-CA"/>
              </w:rPr>
              <w:t>JA</w:t>
            </w:r>
            <w:r w:rsidRPr="00C50A5C">
              <w:rPr>
                <w:b/>
                <w:szCs w:val="24"/>
                <w:lang w:val="fr-CA"/>
              </w:rPr>
              <w:t>N</w:t>
            </w:r>
            <w:r w:rsidR="00976CD6">
              <w:rPr>
                <w:b/>
                <w:szCs w:val="24"/>
                <w:lang w:val="fr-CA"/>
              </w:rPr>
              <w:t>VI</w:t>
            </w:r>
            <w:r w:rsidRPr="00C50A5C">
              <w:rPr>
                <w:b/>
                <w:szCs w:val="24"/>
                <w:lang w:val="fr-CA"/>
              </w:rPr>
              <w:t>ER</w:t>
            </w:r>
            <w:r w:rsidR="00976CD6">
              <w:rPr>
                <w:b/>
                <w:szCs w:val="24"/>
                <w:lang w:val="fr-CA"/>
              </w:rPr>
              <w:t xml:space="preserve"> 2014</w:t>
            </w:r>
          </w:p>
        </w:tc>
      </w:tr>
    </w:tbl>
    <w:p w:rsidR="004B66B4" w:rsidRPr="00DD0B49" w:rsidRDefault="004B66B4" w:rsidP="004B66B4">
      <w:pPr>
        <w:rPr>
          <w:b/>
          <w:sz w:val="20"/>
          <w:szCs w:val="20"/>
        </w:rPr>
      </w:pPr>
    </w:p>
    <w:p w:rsidR="004B66B4" w:rsidRPr="00DD0B49" w:rsidRDefault="004B66B4" w:rsidP="004B66B4">
      <w:pPr>
        <w:rPr>
          <w:b/>
          <w:sz w:val="20"/>
          <w:szCs w:val="20"/>
        </w:rPr>
      </w:pPr>
      <w:r w:rsidRPr="00DD0B49">
        <w:rPr>
          <w:b/>
          <w:sz w:val="20"/>
          <w:szCs w:val="20"/>
        </w:rPr>
        <w:t xml:space="preserve">AGENDA for the weeks of </w:t>
      </w:r>
      <w:r w:rsidR="00976CD6">
        <w:rPr>
          <w:b/>
          <w:sz w:val="20"/>
          <w:szCs w:val="20"/>
        </w:rPr>
        <w:t>January 1</w:t>
      </w:r>
      <w:r w:rsidR="0038745F">
        <w:rPr>
          <w:b/>
          <w:sz w:val="20"/>
          <w:szCs w:val="20"/>
        </w:rPr>
        <w:t>3</w:t>
      </w:r>
      <w:r w:rsidRPr="00DD0B49">
        <w:rPr>
          <w:b/>
          <w:sz w:val="20"/>
          <w:szCs w:val="20"/>
        </w:rPr>
        <w:t xml:space="preserve"> and </w:t>
      </w:r>
      <w:r w:rsidR="0038745F">
        <w:rPr>
          <w:b/>
          <w:sz w:val="20"/>
          <w:szCs w:val="20"/>
        </w:rPr>
        <w:t>20</w:t>
      </w:r>
      <w:r w:rsidRPr="00DD0B49">
        <w:rPr>
          <w:b/>
          <w:sz w:val="20"/>
          <w:szCs w:val="20"/>
        </w:rPr>
        <w:t>, 201</w:t>
      </w:r>
      <w:r w:rsidR="00976CD6">
        <w:rPr>
          <w:b/>
          <w:sz w:val="20"/>
          <w:szCs w:val="20"/>
        </w:rPr>
        <w:t>4</w:t>
      </w:r>
      <w:r w:rsidRPr="00DD0B49">
        <w:rPr>
          <w:b/>
          <w:sz w:val="20"/>
          <w:szCs w:val="20"/>
        </w:rPr>
        <w:t>.</w:t>
      </w:r>
    </w:p>
    <w:p w:rsidR="004B66B4" w:rsidRPr="00DD0B49" w:rsidRDefault="004B66B4" w:rsidP="004B66B4">
      <w:pPr>
        <w:rPr>
          <w:sz w:val="20"/>
          <w:szCs w:val="20"/>
          <w:lang w:val="fr-CA"/>
        </w:rPr>
      </w:pPr>
      <w:r w:rsidRPr="00DD0B49">
        <w:rPr>
          <w:b/>
          <w:sz w:val="20"/>
          <w:szCs w:val="20"/>
          <w:lang w:val="fr-CA"/>
        </w:rPr>
        <w:t>CALENDRIER de la semaine du 1</w:t>
      </w:r>
      <w:r w:rsidR="0038745F">
        <w:rPr>
          <w:b/>
          <w:sz w:val="20"/>
          <w:szCs w:val="20"/>
          <w:lang w:val="fr-CA"/>
        </w:rPr>
        <w:t>3</w:t>
      </w:r>
      <w:r w:rsidR="00976CD6">
        <w:rPr>
          <w:b/>
          <w:sz w:val="20"/>
          <w:szCs w:val="20"/>
          <w:lang w:val="fr-CA"/>
        </w:rPr>
        <w:t xml:space="preserve"> jan</w:t>
      </w:r>
      <w:r w:rsidRPr="00DD0B49">
        <w:rPr>
          <w:b/>
          <w:sz w:val="20"/>
          <w:szCs w:val="20"/>
          <w:lang w:val="fr-CA"/>
        </w:rPr>
        <w:t>v</w:t>
      </w:r>
      <w:r w:rsidR="00976CD6">
        <w:rPr>
          <w:b/>
          <w:sz w:val="20"/>
          <w:szCs w:val="20"/>
          <w:lang w:val="fr-CA"/>
        </w:rPr>
        <w:t>i</w:t>
      </w:r>
      <w:r w:rsidRPr="00DD0B49">
        <w:rPr>
          <w:b/>
          <w:sz w:val="20"/>
          <w:szCs w:val="20"/>
          <w:lang w:val="fr-CA"/>
        </w:rPr>
        <w:t xml:space="preserve">er et celle du </w:t>
      </w:r>
      <w:r w:rsidR="0038745F">
        <w:rPr>
          <w:b/>
          <w:sz w:val="20"/>
          <w:szCs w:val="20"/>
          <w:lang w:val="fr-CA"/>
        </w:rPr>
        <w:t>20</w:t>
      </w:r>
      <w:r w:rsidR="00976CD6">
        <w:rPr>
          <w:b/>
          <w:sz w:val="20"/>
          <w:szCs w:val="20"/>
          <w:lang w:val="fr-CA"/>
        </w:rPr>
        <w:t xml:space="preserve"> ja</w:t>
      </w:r>
      <w:r w:rsidRPr="00DD0B49">
        <w:rPr>
          <w:b/>
          <w:sz w:val="20"/>
          <w:szCs w:val="20"/>
          <w:lang w:val="fr-CA"/>
        </w:rPr>
        <w:t>nv</w:t>
      </w:r>
      <w:r w:rsidR="00976CD6">
        <w:rPr>
          <w:b/>
          <w:sz w:val="20"/>
          <w:szCs w:val="20"/>
          <w:lang w:val="fr-CA"/>
        </w:rPr>
        <w:t>i</w:t>
      </w:r>
      <w:r w:rsidRPr="00DD0B49">
        <w:rPr>
          <w:b/>
          <w:sz w:val="20"/>
          <w:szCs w:val="20"/>
          <w:lang w:val="fr-CA"/>
        </w:rPr>
        <w:t>e</w:t>
      </w:r>
      <w:r w:rsidR="00976CD6">
        <w:rPr>
          <w:b/>
          <w:sz w:val="20"/>
          <w:szCs w:val="20"/>
          <w:lang w:val="fr-CA"/>
        </w:rPr>
        <w:t>r</w:t>
      </w:r>
      <w:r w:rsidRPr="00DD0B49">
        <w:rPr>
          <w:b/>
          <w:sz w:val="20"/>
          <w:szCs w:val="20"/>
          <w:lang w:val="fr-CA"/>
        </w:rPr>
        <w:t xml:space="preserve"> 201</w:t>
      </w:r>
      <w:r w:rsidR="00976CD6">
        <w:rPr>
          <w:b/>
          <w:sz w:val="20"/>
          <w:szCs w:val="20"/>
          <w:lang w:val="fr-CA"/>
        </w:rPr>
        <w:t>4</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38745F">
        <w:rPr>
          <w:sz w:val="20"/>
          <w:szCs w:val="20"/>
        </w:rPr>
        <w:t>Janua</w:t>
      </w:r>
      <w:r w:rsidRPr="00DD0B49">
        <w:rPr>
          <w:sz w:val="20"/>
          <w:szCs w:val="20"/>
        </w:rPr>
        <w:t>r</w:t>
      </w:r>
      <w:r w:rsidR="0038745F">
        <w:rPr>
          <w:sz w:val="20"/>
          <w:szCs w:val="20"/>
        </w:rPr>
        <w:t>y</w:t>
      </w:r>
      <w:r w:rsidRPr="00DD0B49">
        <w:rPr>
          <w:sz w:val="20"/>
          <w:szCs w:val="20"/>
        </w:rPr>
        <w:t xml:space="preserve"> </w:t>
      </w:r>
      <w:r w:rsidR="0038745F">
        <w:rPr>
          <w:sz w:val="20"/>
          <w:szCs w:val="20"/>
        </w:rPr>
        <w:t>6</w:t>
      </w:r>
      <w:r w:rsidRPr="00DD0B49">
        <w:rPr>
          <w:sz w:val="20"/>
          <w:szCs w:val="20"/>
        </w:rPr>
        <w:t xml:space="preserve"> and 2</w:t>
      </w:r>
      <w:r w:rsidR="0038745F">
        <w:rPr>
          <w:sz w:val="20"/>
          <w:szCs w:val="20"/>
        </w:rPr>
        <w:t>7</w:t>
      </w:r>
      <w:r w:rsidRPr="00DD0B49">
        <w:rPr>
          <w:sz w:val="20"/>
          <w:szCs w:val="20"/>
        </w:rPr>
        <w:t>, 201</w:t>
      </w:r>
      <w:r w:rsidR="0038745F">
        <w:rPr>
          <w:sz w:val="20"/>
          <w:szCs w:val="20"/>
        </w:rPr>
        <w:t>4</w:t>
      </w:r>
      <w:r w:rsidRPr="00DD0B49">
        <w:rPr>
          <w:sz w:val="20"/>
          <w:szCs w:val="20"/>
        </w:rPr>
        <w:t>.</w:t>
      </w:r>
    </w:p>
    <w:p w:rsidR="004B66B4" w:rsidRPr="00DD0B49" w:rsidRDefault="004B66B4" w:rsidP="004B66B4">
      <w:pPr>
        <w:rPr>
          <w:sz w:val="20"/>
          <w:szCs w:val="20"/>
          <w:lang w:val="fr-CA"/>
        </w:rPr>
      </w:pPr>
      <w:r w:rsidRPr="00DD0B49">
        <w:rPr>
          <w:sz w:val="20"/>
          <w:szCs w:val="20"/>
          <w:lang w:val="fr-CA"/>
        </w:rPr>
        <w:t xml:space="preserve">La Cour ne siègera pas pendant les semaines du </w:t>
      </w:r>
      <w:r w:rsidR="0038745F">
        <w:rPr>
          <w:sz w:val="20"/>
          <w:szCs w:val="20"/>
          <w:lang w:val="fr-CA"/>
        </w:rPr>
        <w:t>6</w:t>
      </w:r>
      <w:r w:rsidRPr="00DD0B49">
        <w:rPr>
          <w:sz w:val="20"/>
          <w:szCs w:val="20"/>
          <w:lang w:val="fr-CA"/>
        </w:rPr>
        <w:t xml:space="preserve"> et du 2</w:t>
      </w:r>
      <w:r w:rsidR="0038745F">
        <w:rPr>
          <w:sz w:val="20"/>
          <w:szCs w:val="20"/>
          <w:lang w:val="fr-CA"/>
        </w:rPr>
        <w:t>7 ja</w:t>
      </w:r>
      <w:r w:rsidRPr="00DD0B49">
        <w:rPr>
          <w:sz w:val="20"/>
          <w:szCs w:val="20"/>
          <w:lang w:val="fr-CA"/>
        </w:rPr>
        <w:t>nv</w:t>
      </w:r>
      <w:r w:rsidR="0038745F">
        <w:rPr>
          <w:sz w:val="20"/>
          <w:szCs w:val="20"/>
          <w:lang w:val="fr-CA"/>
        </w:rPr>
        <w:t>i</w:t>
      </w:r>
      <w:r w:rsidRPr="00DD0B49">
        <w:rPr>
          <w:sz w:val="20"/>
          <w:szCs w:val="20"/>
          <w:lang w:val="fr-CA"/>
        </w:rPr>
        <w:t>er 201</w:t>
      </w:r>
      <w:r w:rsidR="0038745F">
        <w:rPr>
          <w:sz w:val="20"/>
          <w:szCs w:val="20"/>
          <w:lang w:val="fr-CA"/>
        </w:rPr>
        <w:t>4</w:t>
      </w:r>
      <w:r w:rsidRPr="00DD0B49">
        <w:rPr>
          <w:sz w:val="20"/>
          <w:szCs w:val="20"/>
          <w:lang w:val="fr-CA"/>
        </w:rPr>
        <w:t>.</w:t>
      </w:r>
    </w:p>
    <w:p w:rsidR="004B66B4" w:rsidRPr="00DD0B49" w:rsidRDefault="00A47393" w:rsidP="004B66B4">
      <w:pPr>
        <w:rPr>
          <w:sz w:val="20"/>
          <w:szCs w:val="20"/>
        </w:rPr>
      </w:pPr>
      <w:r>
        <w:rPr>
          <w:sz w:val="20"/>
          <w:szCs w:val="20"/>
        </w:rPr>
        <w:pict>
          <v:rect id="_x0000_i1043"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4E1E0A" w:rsidRPr="00A47393" w:rsidTr="007A6D33">
        <w:trPr>
          <w:cantSplit/>
        </w:trPr>
        <w:tc>
          <w:tcPr>
            <w:tcW w:w="2398" w:type="dxa"/>
          </w:tcPr>
          <w:p w:rsidR="004E1E0A" w:rsidRPr="003A74F5" w:rsidRDefault="004E1E0A" w:rsidP="007A6D33">
            <w:pPr>
              <w:rPr>
                <w:rFonts w:eastAsia="Calibri" w:cs="Times New Roman"/>
                <w:sz w:val="20"/>
                <w:szCs w:val="20"/>
              </w:rPr>
            </w:pPr>
            <w:r w:rsidRPr="003A74F5">
              <w:rPr>
                <w:rFonts w:eastAsia="Calibri" w:cs="Times New Roman"/>
                <w:sz w:val="20"/>
                <w:szCs w:val="20"/>
              </w:rPr>
              <w:t>DATE OF HEARING /</w:t>
            </w:r>
          </w:p>
          <w:p w:rsidR="004E1E0A" w:rsidRPr="003A74F5" w:rsidRDefault="004E1E0A" w:rsidP="007A6D33">
            <w:pPr>
              <w:rPr>
                <w:rFonts w:eastAsia="Calibri" w:cs="Times New Roman"/>
                <w:sz w:val="20"/>
                <w:szCs w:val="20"/>
              </w:rPr>
            </w:pPr>
            <w:r w:rsidRPr="003A74F5">
              <w:rPr>
                <w:rFonts w:eastAsia="Calibri" w:cs="Times New Roman"/>
                <w:sz w:val="20"/>
                <w:szCs w:val="20"/>
              </w:rPr>
              <w:t>DATE D’AUDITION</w:t>
            </w:r>
          </w:p>
        </w:tc>
        <w:tc>
          <w:tcPr>
            <w:tcW w:w="7178" w:type="dxa"/>
          </w:tcPr>
          <w:p w:rsidR="004E1E0A" w:rsidRPr="003A74F5" w:rsidRDefault="004E1E0A" w:rsidP="007A6D33">
            <w:pPr>
              <w:rPr>
                <w:rFonts w:eastAsia="Calibri" w:cs="Times New Roman"/>
                <w:sz w:val="20"/>
                <w:szCs w:val="20"/>
                <w:lang w:val="fr-CA"/>
              </w:rPr>
            </w:pPr>
            <w:r w:rsidRPr="003A74F5">
              <w:rPr>
                <w:rFonts w:eastAsia="Calibri" w:cs="Times New Roman"/>
                <w:sz w:val="20"/>
                <w:szCs w:val="20"/>
                <w:lang w:val="fr-CA"/>
              </w:rPr>
              <w:t>NAME AND CASE NUMBER /</w:t>
            </w:r>
          </w:p>
          <w:p w:rsidR="004E1E0A" w:rsidRDefault="004E1E0A" w:rsidP="007A6D33">
            <w:pPr>
              <w:rPr>
                <w:sz w:val="20"/>
                <w:szCs w:val="20"/>
                <w:lang w:val="fr-CA"/>
              </w:rPr>
            </w:pPr>
            <w:r w:rsidRPr="003A74F5">
              <w:rPr>
                <w:rFonts w:eastAsia="Calibri" w:cs="Times New Roman"/>
                <w:sz w:val="20"/>
                <w:szCs w:val="20"/>
                <w:lang w:val="fr-CA"/>
              </w:rPr>
              <w:t>NOM DE LA CAUSE ET NUMÉRO</w:t>
            </w:r>
          </w:p>
          <w:p w:rsidR="004E1E0A" w:rsidRPr="003A74F5" w:rsidRDefault="004E1E0A" w:rsidP="007A6D33">
            <w:pPr>
              <w:rPr>
                <w:rFonts w:eastAsia="Calibri" w:cs="Times New Roman"/>
                <w:sz w:val="20"/>
                <w:szCs w:val="20"/>
                <w:lang w:val="fr-CA"/>
              </w:rPr>
            </w:pPr>
          </w:p>
        </w:tc>
      </w:tr>
      <w:tr w:rsidR="004E1E0A" w:rsidRPr="00A47393" w:rsidTr="00DA0E43">
        <w:trPr>
          <w:cantSplit/>
          <w:trHeight w:val="576"/>
        </w:trPr>
        <w:tc>
          <w:tcPr>
            <w:tcW w:w="2398" w:type="dxa"/>
          </w:tcPr>
          <w:p w:rsidR="004E1E0A" w:rsidRPr="003A74F5" w:rsidRDefault="004E1E0A" w:rsidP="000D1062">
            <w:pPr>
              <w:rPr>
                <w:rFonts w:eastAsia="Calibri" w:cs="Times New Roman"/>
                <w:sz w:val="20"/>
                <w:szCs w:val="20"/>
              </w:rPr>
            </w:pPr>
            <w:r w:rsidRPr="003A74F5">
              <w:rPr>
                <w:rFonts w:eastAsia="Calibri" w:cs="Times New Roman"/>
                <w:sz w:val="20"/>
                <w:szCs w:val="20"/>
              </w:rPr>
              <w:t>201</w:t>
            </w:r>
            <w:r w:rsidR="000D1062">
              <w:rPr>
                <w:rFonts w:eastAsia="Calibri" w:cs="Times New Roman"/>
                <w:sz w:val="20"/>
                <w:szCs w:val="20"/>
              </w:rPr>
              <w:t>4</w:t>
            </w:r>
            <w:r w:rsidRPr="003A74F5">
              <w:rPr>
                <w:rFonts w:eastAsia="Calibri" w:cs="Times New Roman"/>
                <w:sz w:val="20"/>
                <w:szCs w:val="20"/>
              </w:rPr>
              <w:t>-</w:t>
            </w:r>
            <w:r w:rsidR="000D1062">
              <w:rPr>
                <w:rFonts w:eastAsia="Calibri" w:cs="Times New Roman"/>
                <w:sz w:val="20"/>
                <w:szCs w:val="20"/>
              </w:rPr>
              <w:t>0</w:t>
            </w:r>
            <w:r w:rsidRPr="003A74F5">
              <w:rPr>
                <w:rFonts w:eastAsia="Calibri" w:cs="Times New Roman"/>
                <w:sz w:val="20"/>
                <w:szCs w:val="20"/>
              </w:rPr>
              <w:t>1-</w:t>
            </w:r>
            <w:r w:rsidR="000D1062">
              <w:rPr>
                <w:rFonts w:eastAsia="Calibri" w:cs="Times New Roman"/>
                <w:sz w:val="20"/>
                <w:szCs w:val="20"/>
              </w:rPr>
              <w:t>13</w:t>
            </w:r>
          </w:p>
        </w:tc>
        <w:tc>
          <w:tcPr>
            <w:tcW w:w="7178" w:type="dxa"/>
          </w:tcPr>
          <w:p w:rsidR="004E1E0A" w:rsidRPr="00DA0E43" w:rsidRDefault="000D1062" w:rsidP="00FB4575">
            <w:pPr>
              <w:jc w:val="both"/>
              <w:rPr>
                <w:rFonts w:eastAsia="Calibri" w:cs="Times New Roman"/>
                <w:sz w:val="20"/>
                <w:szCs w:val="20"/>
                <w:lang w:val="fr-CA"/>
              </w:rPr>
            </w:pPr>
            <w:r w:rsidRPr="000D1062">
              <w:rPr>
                <w:rFonts w:eastAsia="Calibri" w:cs="Times New Roman"/>
                <w:i/>
                <w:sz w:val="20"/>
                <w:szCs w:val="20"/>
                <w:lang w:val="fr-CA"/>
              </w:rPr>
              <w:t>Marilyne Dionne c</w:t>
            </w:r>
            <w:r w:rsidR="004E1E0A" w:rsidRPr="000D1062">
              <w:rPr>
                <w:rFonts w:eastAsia="Calibri" w:cs="Times New Roman"/>
                <w:i/>
                <w:sz w:val="20"/>
                <w:szCs w:val="20"/>
                <w:lang w:val="fr-CA"/>
              </w:rPr>
              <w:t xml:space="preserve">. </w:t>
            </w:r>
            <w:r w:rsidRPr="000D1062">
              <w:rPr>
                <w:rFonts w:eastAsia="Calibri" w:cs="Times New Roman"/>
                <w:i/>
                <w:sz w:val="20"/>
                <w:szCs w:val="20"/>
                <w:lang w:val="fr-CA"/>
              </w:rPr>
              <w:t>Commissi</w:t>
            </w:r>
            <w:r w:rsidR="004E1E0A" w:rsidRPr="000D1062">
              <w:rPr>
                <w:rFonts w:eastAsia="Calibri" w:cs="Times New Roman"/>
                <w:i/>
                <w:sz w:val="20"/>
                <w:szCs w:val="20"/>
                <w:lang w:val="fr-CA"/>
              </w:rPr>
              <w:t>o</w:t>
            </w:r>
            <w:r w:rsidRPr="000D1062">
              <w:rPr>
                <w:rFonts w:eastAsia="Calibri" w:cs="Times New Roman"/>
                <w:i/>
                <w:sz w:val="20"/>
                <w:szCs w:val="20"/>
                <w:lang w:val="fr-CA"/>
              </w:rPr>
              <w:t>n scolai</w:t>
            </w:r>
            <w:r w:rsidR="004E1E0A" w:rsidRPr="000D1062">
              <w:rPr>
                <w:rFonts w:eastAsia="Calibri" w:cs="Times New Roman"/>
                <w:i/>
                <w:sz w:val="20"/>
                <w:szCs w:val="20"/>
                <w:lang w:val="fr-CA"/>
              </w:rPr>
              <w:t>r</w:t>
            </w:r>
            <w:r w:rsidRPr="000D1062">
              <w:rPr>
                <w:rFonts w:eastAsia="Calibri" w:cs="Times New Roman"/>
                <w:i/>
                <w:sz w:val="20"/>
                <w:szCs w:val="20"/>
                <w:lang w:val="fr-CA"/>
              </w:rPr>
              <w:t>e des P</w:t>
            </w:r>
            <w:r w:rsidR="004E1E0A" w:rsidRPr="000D1062">
              <w:rPr>
                <w:rFonts w:eastAsia="Calibri" w:cs="Times New Roman"/>
                <w:i/>
                <w:sz w:val="20"/>
                <w:szCs w:val="20"/>
                <w:lang w:val="fr-CA"/>
              </w:rPr>
              <w:t>a</w:t>
            </w:r>
            <w:r w:rsidRPr="000D1062">
              <w:rPr>
                <w:rFonts w:eastAsia="Calibri" w:cs="Times New Roman"/>
                <w:i/>
                <w:sz w:val="20"/>
                <w:szCs w:val="20"/>
                <w:lang w:val="fr-CA"/>
              </w:rPr>
              <w:t>triot</w:t>
            </w:r>
            <w:r w:rsidR="004E1E0A" w:rsidRPr="000D1062">
              <w:rPr>
                <w:rFonts w:eastAsia="Calibri" w:cs="Times New Roman"/>
                <w:i/>
                <w:sz w:val="20"/>
                <w:szCs w:val="20"/>
                <w:lang w:val="fr-CA"/>
              </w:rPr>
              <w:t>e</w:t>
            </w:r>
            <w:r w:rsidRPr="000D1062">
              <w:rPr>
                <w:rFonts w:eastAsia="Calibri" w:cs="Times New Roman"/>
                <w:i/>
                <w:sz w:val="20"/>
                <w:szCs w:val="20"/>
                <w:lang w:val="fr-CA"/>
              </w:rPr>
              <w:t>s</w:t>
            </w:r>
            <w:r>
              <w:rPr>
                <w:rFonts w:eastAsia="Calibri" w:cs="Times New Roman"/>
                <w:i/>
                <w:sz w:val="20"/>
                <w:szCs w:val="20"/>
                <w:lang w:val="fr-CA"/>
              </w:rPr>
              <w:t xml:space="preserve"> et autre</w:t>
            </w:r>
            <w:r w:rsidR="004E1E0A" w:rsidRPr="000D1062">
              <w:rPr>
                <w:rFonts w:eastAsia="Calibri" w:cs="Times New Roman"/>
                <w:i/>
                <w:sz w:val="20"/>
                <w:szCs w:val="20"/>
                <w:lang w:val="fr-CA"/>
              </w:rPr>
              <w:t xml:space="preserve"> </w:t>
            </w:r>
            <w:r w:rsidR="004E1E0A" w:rsidRPr="000D1062">
              <w:rPr>
                <w:rFonts w:eastAsia="Calibri" w:cs="Times New Roman"/>
                <w:sz w:val="20"/>
                <w:szCs w:val="20"/>
                <w:lang w:val="fr-CA"/>
              </w:rPr>
              <w:t>(</w:t>
            </w:r>
            <w:r>
              <w:rPr>
                <w:rFonts w:eastAsia="Calibri" w:cs="Times New Roman"/>
                <w:sz w:val="20"/>
                <w:szCs w:val="20"/>
                <w:lang w:val="fr-CA"/>
              </w:rPr>
              <w:t>Qc</w:t>
            </w:r>
            <w:r w:rsidR="004E1E0A" w:rsidRPr="000D1062">
              <w:rPr>
                <w:rFonts w:eastAsia="Calibri" w:cs="Times New Roman"/>
                <w:sz w:val="20"/>
                <w:szCs w:val="20"/>
                <w:lang w:val="fr-CA"/>
              </w:rPr>
              <w:t>) (Civil</w:t>
            </w:r>
            <w:r>
              <w:rPr>
                <w:rFonts w:eastAsia="Calibri" w:cs="Times New Roman"/>
                <w:sz w:val="20"/>
                <w:szCs w:val="20"/>
                <w:lang w:val="fr-CA"/>
              </w:rPr>
              <w:t>e</w:t>
            </w:r>
            <w:r w:rsidR="004E1E0A" w:rsidRPr="000D1062">
              <w:rPr>
                <w:rFonts w:eastAsia="Calibri" w:cs="Times New Roman"/>
                <w:sz w:val="20"/>
                <w:szCs w:val="20"/>
                <w:lang w:val="fr-CA"/>
              </w:rPr>
              <w:t>) (</w:t>
            </w:r>
            <w:r>
              <w:rPr>
                <w:rFonts w:eastAsia="Calibri" w:cs="Times New Roman"/>
                <w:sz w:val="20"/>
                <w:szCs w:val="20"/>
                <w:lang w:val="fr-CA"/>
              </w:rPr>
              <w:t>Autorisation</w:t>
            </w:r>
            <w:r w:rsidR="004E1E0A" w:rsidRPr="000D1062">
              <w:rPr>
                <w:rFonts w:eastAsia="Calibri" w:cs="Times New Roman"/>
                <w:sz w:val="20"/>
                <w:szCs w:val="20"/>
                <w:lang w:val="fr-CA"/>
              </w:rPr>
              <w:t>) (34</w:t>
            </w:r>
            <w:r>
              <w:rPr>
                <w:rFonts w:eastAsia="Calibri" w:cs="Times New Roman"/>
                <w:sz w:val="20"/>
                <w:szCs w:val="20"/>
                <w:lang w:val="fr-CA"/>
              </w:rPr>
              <w:t>85</w:t>
            </w:r>
            <w:r w:rsidR="004E1E0A" w:rsidRPr="000D1062">
              <w:rPr>
                <w:rFonts w:eastAsia="Calibri" w:cs="Times New Roman"/>
                <w:sz w:val="20"/>
                <w:szCs w:val="20"/>
                <w:lang w:val="fr-CA"/>
              </w:rPr>
              <w:t>4)</w:t>
            </w:r>
          </w:p>
        </w:tc>
      </w:tr>
      <w:tr w:rsidR="004E1E0A" w:rsidRPr="000D1062" w:rsidTr="00DA0E43">
        <w:trPr>
          <w:cantSplit/>
          <w:trHeight w:val="576"/>
        </w:trPr>
        <w:tc>
          <w:tcPr>
            <w:tcW w:w="2398" w:type="dxa"/>
          </w:tcPr>
          <w:p w:rsidR="004E1E0A" w:rsidRPr="003A74F5" w:rsidRDefault="004E1E0A" w:rsidP="000D1062">
            <w:pPr>
              <w:rPr>
                <w:rFonts w:eastAsia="Calibri" w:cs="Times New Roman"/>
                <w:sz w:val="20"/>
                <w:szCs w:val="20"/>
              </w:rPr>
            </w:pPr>
            <w:r w:rsidRPr="003A74F5">
              <w:rPr>
                <w:rFonts w:eastAsia="Calibri" w:cs="Times New Roman"/>
                <w:sz w:val="20"/>
                <w:szCs w:val="20"/>
              </w:rPr>
              <w:t>201</w:t>
            </w:r>
            <w:r w:rsidR="000D1062">
              <w:rPr>
                <w:rFonts w:eastAsia="Calibri" w:cs="Times New Roman"/>
                <w:sz w:val="20"/>
                <w:szCs w:val="20"/>
              </w:rPr>
              <w:t>4</w:t>
            </w:r>
            <w:r w:rsidRPr="003A74F5">
              <w:rPr>
                <w:rFonts w:eastAsia="Calibri" w:cs="Times New Roman"/>
                <w:sz w:val="20"/>
                <w:szCs w:val="20"/>
              </w:rPr>
              <w:t>-</w:t>
            </w:r>
            <w:r w:rsidR="000D1062">
              <w:rPr>
                <w:rFonts w:eastAsia="Calibri" w:cs="Times New Roman"/>
                <w:sz w:val="20"/>
                <w:szCs w:val="20"/>
              </w:rPr>
              <w:t>0</w:t>
            </w:r>
            <w:r w:rsidRPr="003A74F5">
              <w:rPr>
                <w:rFonts w:eastAsia="Calibri" w:cs="Times New Roman"/>
                <w:sz w:val="20"/>
                <w:szCs w:val="20"/>
              </w:rPr>
              <w:t>1-</w:t>
            </w:r>
            <w:r w:rsidR="000D1062">
              <w:rPr>
                <w:rFonts w:eastAsia="Calibri" w:cs="Times New Roman"/>
                <w:sz w:val="20"/>
                <w:szCs w:val="20"/>
              </w:rPr>
              <w:t>14</w:t>
            </w:r>
          </w:p>
        </w:tc>
        <w:tc>
          <w:tcPr>
            <w:tcW w:w="7178" w:type="dxa"/>
          </w:tcPr>
          <w:p w:rsidR="004E1E0A" w:rsidRPr="000D1062" w:rsidRDefault="000D1062" w:rsidP="00DA0E43">
            <w:pPr>
              <w:jc w:val="both"/>
              <w:rPr>
                <w:rFonts w:eastAsia="Calibri" w:cs="Times New Roman"/>
                <w:sz w:val="20"/>
                <w:szCs w:val="20"/>
                <w:lang w:val="fr-CA"/>
              </w:rPr>
            </w:pPr>
            <w:r w:rsidRPr="003B41C6">
              <w:rPr>
                <w:rFonts w:eastAsia="Calibri" w:cs="Times New Roman"/>
                <w:i/>
                <w:sz w:val="20"/>
                <w:szCs w:val="20"/>
              </w:rPr>
              <w:t>Canadian National R</w:t>
            </w:r>
            <w:r w:rsidR="004E1E0A" w:rsidRPr="003B41C6">
              <w:rPr>
                <w:rFonts w:eastAsia="Calibri" w:cs="Times New Roman"/>
                <w:i/>
                <w:sz w:val="20"/>
                <w:szCs w:val="20"/>
              </w:rPr>
              <w:t>a</w:t>
            </w:r>
            <w:r w:rsidRPr="003B41C6">
              <w:rPr>
                <w:rFonts w:eastAsia="Calibri" w:cs="Times New Roman"/>
                <w:i/>
                <w:sz w:val="20"/>
                <w:szCs w:val="20"/>
              </w:rPr>
              <w:t>ilwa</w:t>
            </w:r>
            <w:r w:rsidR="004E1E0A" w:rsidRPr="003B41C6">
              <w:rPr>
                <w:rFonts w:eastAsia="Calibri" w:cs="Times New Roman"/>
                <w:i/>
                <w:sz w:val="20"/>
                <w:szCs w:val="20"/>
              </w:rPr>
              <w:t xml:space="preserve">y </w:t>
            </w:r>
            <w:r w:rsidRPr="003B41C6">
              <w:rPr>
                <w:rFonts w:eastAsia="Calibri" w:cs="Times New Roman"/>
                <w:i/>
                <w:sz w:val="20"/>
                <w:szCs w:val="20"/>
              </w:rPr>
              <w:t>Compa</w:t>
            </w:r>
            <w:r w:rsidR="004E1E0A" w:rsidRPr="003B41C6">
              <w:rPr>
                <w:rFonts w:eastAsia="Calibri" w:cs="Times New Roman"/>
                <w:i/>
                <w:sz w:val="20"/>
                <w:szCs w:val="20"/>
              </w:rPr>
              <w:t>n</w:t>
            </w:r>
            <w:r w:rsidRPr="003B41C6">
              <w:rPr>
                <w:rFonts w:eastAsia="Calibri" w:cs="Times New Roman"/>
                <w:i/>
                <w:sz w:val="20"/>
                <w:szCs w:val="20"/>
              </w:rPr>
              <w:t>y</w:t>
            </w:r>
            <w:r w:rsidR="004E1E0A" w:rsidRPr="003B41C6">
              <w:rPr>
                <w:rFonts w:eastAsia="Calibri" w:cs="Times New Roman"/>
                <w:i/>
                <w:sz w:val="20"/>
                <w:szCs w:val="20"/>
              </w:rPr>
              <w:t xml:space="preserve"> v. </w:t>
            </w:r>
            <w:r w:rsidRPr="003B41C6">
              <w:rPr>
                <w:rFonts w:eastAsia="Calibri" w:cs="Times New Roman"/>
                <w:i/>
                <w:sz w:val="20"/>
                <w:szCs w:val="20"/>
              </w:rPr>
              <w:t>Att</w:t>
            </w:r>
            <w:r w:rsidR="004E1E0A" w:rsidRPr="003B41C6">
              <w:rPr>
                <w:rFonts w:eastAsia="Calibri" w:cs="Times New Roman"/>
                <w:i/>
                <w:sz w:val="20"/>
                <w:szCs w:val="20"/>
              </w:rPr>
              <w:t>or</w:t>
            </w:r>
            <w:r w:rsidRPr="003B41C6">
              <w:rPr>
                <w:rFonts w:eastAsia="Calibri" w:cs="Times New Roman"/>
                <w:i/>
                <w:sz w:val="20"/>
                <w:szCs w:val="20"/>
              </w:rPr>
              <w:t>ney</w:t>
            </w:r>
            <w:r w:rsidR="004E1E0A" w:rsidRPr="003B41C6">
              <w:rPr>
                <w:rFonts w:eastAsia="Calibri" w:cs="Times New Roman"/>
                <w:i/>
                <w:sz w:val="20"/>
                <w:szCs w:val="20"/>
              </w:rPr>
              <w:t xml:space="preserve"> </w:t>
            </w:r>
            <w:r w:rsidRPr="003B41C6">
              <w:rPr>
                <w:rFonts w:eastAsia="Calibri" w:cs="Times New Roman"/>
                <w:i/>
                <w:sz w:val="20"/>
                <w:szCs w:val="20"/>
              </w:rPr>
              <w:t>Gener</w:t>
            </w:r>
            <w:r w:rsidR="004E1E0A" w:rsidRPr="003B41C6">
              <w:rPr>
                <w:rFonts w:eastAsia="Calibri" w:cs="Times New Roman"/>
                <w:i/>
                <w:sz w:val="20"/>
                <w:szCs w:val="20"/>
              </w:rPr>
              <w:t>al</w:t>
            </w:r>
            <w:r w:rsidRPr="003B41C6">
              <w:rPr>
                <w:rFonts w:eastAsia="Calibri" w:cs="Times New Roman"/>
                <w:i/>
                <w:sz w:val="20"/>
                <w:szCs w:val="20"/>
              </w:rPr>
              <w:t xml:space="preserve"> of Cana</w:t>
            </w:r>
            <w:r w:rsidR="004E1E0A" w:rsidRPr="003B41C6">
              <w:rPr>
                <w:rFonts w:eastAsia="Calibri" w:cs="Times New Roman"/>
                <w:i/>
                <w:sz w:val="20"/>
                <w:szCs w:val="20"/>
              </w:rPr>
              <w:t>d</w:t>
            </w:r>
            <w:r w:rsidRPr="003B41C6">
              <w:rPr>
                <w:rFonts w:eastAsia="Calibri" w:cs="Times New Roman"/>
                <w:i/>
                <w:sz w:val="20"/>
                <w:szCs w:val="20"/>
              </w:rPr>
              <w:t>a et al.</w:t>
            </w:r>
            <w:r w:rsidR="004E1E0A" w:rsidRPr="003B41C6">
              <w:rPr>
                <w:rFonts w:eastAsia="Calibri" w:cs="Times New Roman"/>
                <w:sz w:val="20"/>
                <w:szCs w:val="20"/>
              </w:rPr>
              <w:t xml:space="preserve"> </w:t>
            </w:r>
            <w:r w:rsidR="004E1E0A" w:rsidRPr="000D1062">
              <w:rPr>
                <w:rFonts w:eastAsia="Calibri" w:cs="Times New Roman"/>
                <w:sz w:val="20"/>
                <w:szCs w:val="20"/>
                <w:lang w:val="fr-CA"/>
              </w:rPr>
              <w:t>(</w:t>
            </w:r>
            <w:r>
              <w:rPr>
                <w:rFonts w:eastAsia="Calibri" w:cs="Times New Roman"/>
                <w:sz w:val="20"/>
                <w:szCs w:val="20"/>
                <w:lang w:val="fr-CA"/>
              </w:rPr>
              <w:t>F</w:t>
            </w:r>
            <w:r w:rsidR="004E1E0A" w:rsidRPr="000D1062">
              <w:rPr>
                <w:rFonts w:eastAsia="Calibri" w:cs="Times New Roman"/>
                <w:sz w:val="20"/>
                <w:szCs w:val="20"/>
                <w:lang w:val="fr-CA"/>
              </w:rPr>
              <w:t>.</w:t>
            </w:r>
            <w:r>
              <w:rPr>
                <w:rFonts w:eastAsia="Calibri" w:cs="Times New Roman"/>
                <w:sz w:val="20"/>
                <w:szCs w:val="20"/>
                <w:lang w:val="fr-CA"/>
              </w:rPr>
              <w:t>C.</w:t>
            </w:r>
            <w:r w:rsidR="004E1E0A" w:rsidRPr="000D1062">
              <w:rPr>
                <w:rFonts w:eastAsia="Calibri" w:cs="Times New Roman"/>
                <w:sz w:val="20"/>
                <w:szCs w:val="20"/>
                <w:lang w:val="fr-CA"/>
              </w:rPr>
              <w:t>) (</w:t>
            </w:r>
            <w:r>
              <w:rPr>
                <w:rFonts w:eastAsia="Calibri" w:cs="Times New Roman"/>
                <w:sz w:val="20"/>
                <w:szCs w:val="20"/>
                <w:lang w:val="fr-CA"/>
              </w:rPr>
              <w:t>C</w:t>
            </w:r>
            <w:r w:rsidR="004E1E0A" w:rsidRPr="000D1062">
              <w:rPr>
                <w:rFonts w:eastAsia="Calibri" w:cs="Times New Roman"/>
                <w:sz w:val="20"/>
                <w:szCs w:val="20"/>
                <w:lang w:val="fr-CA"/>
              </w:rPr>
              <w:t>i</w:t>
            </w:r>
            <w:r>
              <w:rPr>
                <w:rFonts w:eastAsia="Calibri" w:cs="Times New Roman"/>
                <w:sz w:val="20"/>
                <w:szCs w:val="20"/>
                <w:lang w:val="fr-CA"/>
              </w:rPr>
              <w:t>v</w:t>
            </w:r>
            <w:r w:rsidR="004E1E0A" w:rsidRPr="000D1062">
              <w:rPr>
                <w:rFonts w:eastAsia="Calibri" w:cs="Times New Roman"/>
                <w:sz w:val="20"/>
                <w:szCs w:val="20"/>
                <w:lang w:val="fr-CA"/>
              </w:rPr>
              <w:t>il) (</w:t>
            </w:r>
            <w:r>
              <w:rPr>
                <w:rFonts w:eastAsia="Calibri" w:cs="Times New Roman"/>
                <w:sz w:val="20"/>
                <w:szCs w:val="20"/>
                <w:lang w:val="fr-CA"/>
              </w:rPr>
              <w:t>By Leave</w:t>
            </w:r>
            <w:r w:rsidR="004E1E0A" w:rsidRPr="000D1062">
              <w:rPr>
                <w:rFonts w:eastAsia="Calibri" w:cs="Times New Roman"/>
                <w:sz w:val="20"/>
                <w:szCs w:val="20"/>
                <w:lang w:val="fr-CA"/>
              </w:rPr>
              <w:t>) (35</w:t>
            </w:r>
            <w:r w:rsidR="003A5A65">
              <w:rPr>
                <w:rFonts w:eastAsia="Calibri" w:cs="Times New Roman"/>
                <w:sz w:val="20"/>
                <w:szCs w:val="20"/>
                <w:lang w:val="fr-CA"/>
              </w:rPr>
              <w:t>1</w:t>
            </w:r>
            <w:r w:rsidR="004E1E0A" w:rsidRPr="000D1062">
              <w:rPr>
                <w:rFonts w:eastAsia="Calibri" w:cs="Times New Roman"/>
                <w:sz w:val="20"/>
                <w:szCs w:val="20"/>
                <w:lang w:val="fr-CA"/>
              </w:rPr>
              <w:t>4</w:t>
            </w:r>
            <w:r w:rsidR="003A5A65">
              <w:rPr>
                <w:rFonts w:eastAsia="Calibri" w:cs="Times New Roman"/>
                <w:sz w:val="20"/>
                <w:szCs w:val="20"/>
                <w:lang w:val="fr-CA"/>
              </w:rPr>
              <w:t>5</w:t>
            </w:r>
            <w:r w:rsidR="004E1E0A" w:rsidRPr="000D1062">
              <w:rPr>
                <w:rFonts w:eastAsia="Calibri" w:cs="Times New Roman"/>
                <w:sz w:val="20"/>
                <w:szCs w:val="20"/>
                <w:lang w:val="fr-CA"/>
              </w:rPr>
              <w:t>)</w:t>
            </w:r>
          </w:p>
        </w:tc>
      </w:tr>
      <w:tr w:rsidR="004E1E0A" w:rsidRPr="00D259F7" w:rsidTr="00DA0E43">
        <w:trPr>
          <w:cantSplit/>
          <w:trHeight w:val="2016"/>
        </w:trPr>
        <w:tc>
          <w:tcPr>
            <w:tcW w:w="2398" w:type="dxa"/>
          </w:tcPr>
          <w:p w:rsidR="004E1E0A" w:rsidRPr="000D1062" w:rsidRDefault="004E1E0A" w:rsidP="000D1062">
            <w:pPr>
              <w:rPr>
                <w:rFonts w:eastAsia="Calibri" w:cs="Times New Roman"/>
                <w:sz w:val="20"/>
                <w:szCs w:val="20"/>
                <w:lang w:val="fr-CA"/>
              </w:rPr>
            </w:pPr>
            <w:r w:rsidRPr="000D1062">
              <w:rPr>
                <w:rFonts w:eastAsia="Calibri" w:cs="Times New Roman"/>
                <w:sz w:val="20"/>
                <w:szCs w:val="20"/>
                <w:lang w:val="fr-CA"/>
              </w:rPr>
              <w:t>201</w:t>
            </w:r>
            <w:r w:rsidR="000D1062" w:rsidRPr="000D1062">
              <w:rPr>
                <w:rFonts w:eastAsia="Calibri" w:cs="Times New Roman"/>
                <w:sz w:val="20"/>
                <w:szCs w:val="20"/>
                <w:lang w:val="fr-CA"/>
              </w:rPr>
              <w:t>4</w:t>
            </w:r>
            <w:r w:rsidRPr="000D1062">
              <w:rPr>
                <w:rFonts w:eastAsia="Calibri" w:cs="Times New Roman"/>
                <w:sz w:val="20"/>
                <w:szCs w:val="20"/>
                <w:lang w:val="fr-CA"/>
              </w:rPr>
              <w:t>-</w:t>
            </w:r>
            <w:r w:rsidR="000D1062" w:rsidRPr="000D1062">
              <w:rPr>
                <w:rFonts w:eastAsia="Calibri" w:cs="Times New Roman"/>
                <w:sz w:val="20"/>
                <w:szCs w:val="20"/>
                <w:lang w:val="fr-CA"/>
              </w:rPr>
              <w:t>0</w:t>
            </w:r>
            <w:r w:rsidRPr="000D1062">
              <w:rPr>
                <w:rFonts w:eastAsia="Calibri" w:cs="Times New Roman"/>
                <w:sz w:val="20"/>
                <w:szCs w:val="20"/>
                <w:lang w:val="fr-CA"/>
              </w:rPr>
              <w:t>1-</w:t>
            </w:r>
            <w:r w:rsidR="000D1062" w:rsidRPr="000D1062">
              <w:rPr>
                <w:rFonts w:eastAsia="Calibri" w:cs="Times New Roman"/>
                <w:sz w:val="20"/>
                <w:szCs w:val="20"/>
                <w:lang w:val="fr-CA"/>
              </w:rPr>
              <w:t>15</w:t>
            </w:r>
          </w:p>
        </w:tc>
        <w:tc>
          <w:tcPr>
            <w:tcW w:w="7178" w:type="dxa"/>
          </w:tcPr>
          <w:p w:rsidR="004E1E0A" w:rsidRPr="00D259F7" w:rsidRDefault="003A5A65" w:rsidP="00DC1FCB">
            <w:pPr>
              <w:jc w:val="both"/>
              <w:rPr>
                <w:rFonts w:eastAsia="Calibri" w:cs="Times New Roman"/>
                <w:sz w:val="20"/>
                <w:szCs w:val="20"/>
                <w:lang w:val="fr-CA"/>
              </w:rPr>
            </w:pPr>
            <w:r w:rsidRPr="003A5A65">
              <w:rPr>
                <w:rFonts w:eastAsia="Calibri" w:cs="Times New Roman"/>
                <w:i/>
                <w:sz w:val="20"/>
                <w:szCs w:val="20"/>
              </w:rPr>
              <w:t>In the Matter of Section 53 of the Supreme Court Act, R.S.C. 1985, c. S-26 </w:t>
            </w:r>
            <w:r>
              <w:rPr>
                <w:rFonts w:eastAsia="Calibri" w:cs="Times New Roman"/>
                <w:i/>
                <w:sz w:val="20"/>
                <w:szCs w:val="20"/>
              </w:rPr>
              <w:t>;</w:t>
            </w:r>
            <w:r w:rsidRPr="003A5A65">
              <w:rPr>
                <w:rFonts w:eastAsia="Calibri" w:cs="Times New Roman"/>
                <w:i/>
                <w:sz w:val="20"/>
                <w:szCs w:val="20"/>
              </w:rPr>
              <w:t xml:space="preserve">  And in th</w:t>
            </w:r>
            <w:r w:rsidR="004E1E0A" w:rsidRPr="003A5A65">
              <w:rPr>
                <w:rFonts w:eastAsia="Calibri" w:cs="Times New Roman"/>
                <w:i/>
                <w:sz w:val="20"/>
                <w:szCs w:val="20"/>
              </w:rPr>
              <w:t>e</w:t>
            </w:r>
            <w:r w:rsidRPr="003A5A65">
              <w:rPr>
                <w:rFonts w:eastAsia="Calibri" w:cs="Times New Roman"/>
                <w:i/>
                <w:sz w:val="20"/>
                <w:szCs w:val="20"/>
              </w:rPr>
              <w:t xml:space="preserve"> Matter of </w:t>
            </w:r>
            <w:r w:rsidR="00DC1FCB">
              <w:rPr>
                <w:rFonts w:eastAsia="Calibri" w:cs="Times New Roman"/>
                <w:i/>
                <w:sz w:val="20"/>
                <w:szCs w:val="20"/>
              </w:rPr>
              <w:t>a</w:t>
            </w:r>
            <w:r w:rsidRPr="003A5A65">
              <w:rPr>
                <w:rFonts w:eastAsia="Calibri" w:cs="Times New Roman"/>
                <w:i/>
                <w:sz w:val="20"/>
                <w:szCs w:val="20"/>
              </w:rPr>
              <w:t xml:space="preserve"> Reference by th</w:t>
            </w:r>
            <w:r w:rsidR="004E1E0A" w:rsidRPr="003A5A65">
              <w:rPr>
                <w:rFonts w:eastAsia="Calibri" w:cs="Times New Roman"/>
                <w:i/>
                <w:sz w:val="20"/>
                <w:szCs w:val="20"/>
              </w:rPr>
              <w:t>e</w:t>
            </w:r>
            <w:r w:rsidRPr="003A5A65">
              <w:rPr>
                <w:rFonts w:eastAsia="Calibri" w:cs="Times New Roman"/>
                <w:i/>
                <w:sz w:val="20"/>
                <w:szCs w:val="20"/>
              </w:rPr>
              <w:t xml:space="preserve"> Governor in Cou</w:t>
            </w:r>
            <w:r w:rsidR="004E1E0A" w:rsidRPr="003A5A65">
              <w:rPr>
                <w:rFonts w:eastAsia="Calibri" w:cs="Times New Roman"/>
                <w:i/>
                <w:sz w:val="20"/>
                <w:szCs w:val="20"/>
              </w:rPr>
              <w:t>nc</w:t>
            </w:r>
            <w:r w:rsidRPr="003A5A65">
              <w:rPr>
                <w:rFonts w:eastAsia="Calibri" w:cs="Times New Roman"/>
                <w:i/>
                <w:sz w:val="20"/>
                <w:szCs w:val="20"/>
              </w:rPr>
              <w:t>i</w:t>
            </w:r>
            <w:r w:rsidR="004E1E0A" w:rsidRPr="003A5A65">
              <w:rPr>
                <w:rFonts w:eastAsia="Calibri" w:cs="Times New Roman"/>
                <w:i/>
                <w:sz w:val="20"/>
                <w:szCs w:val="20"/>
              </w:rPr>
              <w:t>l</w:t>
            </w:r>
            <w:r w:rsidRPr="003A5A65">
              <w:rPr>
                <w:rFonts w:eastAsia="Calibri" w:cs="Times New Roman"/>
                <w:i/>
                <w:sz w:val="20"/>
                <w:szCs w:val="20"/>
              </w:rPr>
              <w:t xml:space="preserve"> c</w:t>
            </w:r>
            <w:r w:rsidR="004E1E0A" w:rsidRPr="003A5A65">
              <w:rPr>
                <w:rFonts w:eastAsia="Calibri" w:cs="Times New Roman"/>
                <w:i/>
                <w:sz w:val="20"/>
                <w:szCs w:val="20"/>
              </w:rPr>
              <w:t>on</w:t>
            </w:r>
            <w:r w:rsidRPr="003A5A65">
              <w:rPr>
                <w:rFonts w:eastAsia="Calibri" w:cs="Times New Roman"/>
                <w:i/>
                <w:sz w:val="20"/>
                <w:szCs w:val="20"/>
              </w:rPr>
              <w:t>ce</w:t>
            </w:r>
            <w:r w:rsidR="004E1E0A" w:rsidRPr="003A5A65">
              <w:rPr>
                <w:rFonts w:eastAsia="Calibri" w:cs="Times New Roman"/>
                <w:i/>
                <w:sz w:val="20"/>
                <w:szCs w:val="20"/>
              </w:rPr>
              <w:t>r</w:t>
            </w:r>
            <w:r w:rsidRPr="003A5A65">
              <w:rPr>
                <w:rFonts w:eastAsia="Calibri" w:cs="Times New Roman"/>
                <w:i/>
                <w:sz w:val="20"/>
                <w:szCs w:val="20"/>
              </w:rPr>
              <w:t>ning s</w:t>
            </w:r>
            <w:r w:rsidR="004E1E0A" w:rsidRPr="003A5A65">
              <w:rPr>
                <w:rFonts w:eastAsia="Calibri" w:cs="Times New Roman"/>
                <w:i/>
                <w:sz w:val="20"/>
                <w:szCs w:val="20"/>
              </w:rPr>
              <w:t>e</w:t>
            </w:r>
            <w:r>
              <w:rPr>
                <w:rFonts w:eastAsia="Calibri" w:cs="Times New Roman"/>
                <w:i/>
                <w:sz w:val="20"/>
                <w:szCs w:val="20"/>
              </w:rPr>
              <w:t>ctio</w:t>
            </w:r>
            <w:r w:rsidR="004E1E0A" w:rsidRPr="003A5A65">
              <w:rPr>
                <w:rFonts w:eastAsia="Calibri" w:cs="Times New Roman"/>
                <w:i/>
                <w:sz w:val="20"/>
                <w:szCs w:val="20"/>
              </w:rPr>
              <w:t>n</w:t>
            </w:r>
            <w:r>
              <w:rPr>
                <w:rFonts w:eastAsia="Calibri" w:cs="Times New Roman"/>
                <w:i/>
                <w:sz w:val="20"/>
                <w:szCs w:val="20"/>
              </w:rPr>
              <w:t>s 5 and 6 of the S</w:t>
            </w:r>
            <w:r w:rsidR="004E1E0A" w:rsidRPr="003A5A65">
              <w:rPr>
                <w:rFonts w:eastAsia="Calibri" w:cs="Times New Roman"/>
                <w:i/>
                <w:sz w:val="20"/>
                <w:szCs w:val="20"/>
              </w:rPr>
              <w:t>u</w:t>
            </w:r>
            <w:r>
              <w:rPr>
                <w:rFonts w:eastAsia="Calibri" w:cs="Times New Roman"/>
                <w:i/>
                <w:sz w:val="20"/>
                <w:szCs w:val="20"/>
              </w:rPr>
              <w:t>pr</w:t>
            </w:r>
            <w:r w:rsidR="004E1E0A" w:rsidRPr="003A5A65">
              <w:rPr>
                <w:rFonts w:eastAsia="Calibri" w:cs="Times New Roman"/>
                <w:i/>
                <w:sz w:val="20"/>
                <w:szCs w:val="20"/>
              </w:rPr>
              <w:t>e</w:t>
            </w:r>
            <w:r>
              <w:rPr>
                <w:rFonts w:eastAsia="Calibri" w:cs="Times New Roman"/>
                <w:i/>
                <w:sz w:val="20"/>
                <w:szCs w:val="20"/>
              </w:rPr>
              <w:t>me Court A</w:t>
            </w:r>
            <w:r w:rsidR="004E1E0A" w:rsidRPr="003A5A65">
              <w:rPr>
                <w:rFonts w:eastAsia="Calibri" w:cs="Times New Roman"/>
                <w:i/>
                <w:sz w:val="20"/>
                <w:szCs w:val="20"/>
              </w:rPr>
              <w:t>c</w:t>
            </w:r>
            <w:r>
              <w:rPr>
                <w:rFonts w:eastAsia="Calibri" w:cs="Times New Roman"/>
                <w:i/>
                <w:sz w:val="20"/>
                <w:szCs w:val="20"/>
              </w:rPr>
              <w:t>t, R.S.C. 1985</w:t>
            </w:r>
            <w:r w:rsidR="00DC1FCB">
              <w:rPr>
                <w:rFonts w:eastAsia="Calibri" w:cs="Times New Roman"/>
                <w:i/>
                <w:sz w:val="20"/>
                <w:szCs w:val="20"/>
              </w:rPr>
              <w:t>,</w:t>
            </w:r>
            <w:r w:rsidR="004E1E0A" w:rsidRPr="003A5A65">
              <w:rPr>
                <w:rFonts w:eastAsia="Calibri" w:cs="Times New Roman"/>
                <w:i/>
                <w:sz w:val="20"/>
                <w:szCs w:val="20"/>
              </w:rPr>
              <w:t xml:space="preserve"> c.</w:t>
            </w:r>
            <w:r>
              <w:rPr>
                <w:rFonts w:eastAsia="Calibri" w:cs="Times New Roman"/>
                <w:i/>
                <w:sz w:val="20"/>
                <w:szCs w:val="20"/>
              </w:rPr>
              <w:t xml:space="preserve"> </w:t>
            </w:r>
            <w:r w:rsidRPr="003A5A65">
              <w:rPr>
                <w:rFonts w:eastAsia="Calibri" w:cs="Times New Roman"/>
                <w:i/>
                <w:sz w:val="20"/>
                <w:szCs w:val="20"/>
              </w:rPr>
              <w:t>S-26</w:t>
            </w:r>
            <w:r>
              <w:rPr>
                <w:rFonts w:eastAsia="Calibri" w:cs="Times New Roman"/>
                <w:i/>
                <w:sz w:val="20"/>
                <w:szCs w:val="20"/>
              </w:rPr>
              <w:t>, as s</w:t>
            </w:r>
            <w:r w:rsidR="004E1E0A" w:rsidRPr="003A5A65">
              <w:rPr>
                <w:rFonts w:eastAsia="Calibri" w:cs="Times New Roman"/>
                <w:i/>
                <w:sz w:val="20"/>
                <w:szCs w:val="20"/>
              </w:rPr>
              <w:t>e</w:t>
            </w:r>
            <w:r>
              <w:rPr>
                <w:rFonts w:eastAsia="Calibri" w:cs="Times New Roman"/>
                <w:i/>
                <w:sz w:val="20"/>
                <w:szCs w:val="20"/>
              </w:rPr>
              <w:t xml:space="preserve">t out </w:t>
            </w:r>
            <w:r w:rsidR="004E1E0A" w:rsidRPr="003A5A65">
              <w:rPr>
                <w:rFonts w:eastAsia="Calibri" w:cs="Times New Roman"/>
                <w:i/>
                <w:sz w:val="20"/>
                <w:szCs w:val="20"/>
              </w:rPr>
              <w:t>i</w:t>
            </w:r>
            <w:r>
              <w:rPr>
                <w:rFonts w:eastAsia="Calibri" w:cs="Times New Roman"/>
                <w:i/>
                <w:sz w:val="20"/>
                <w:szCs w:val="20"/>
              </w:rPr>
              <w:t>n Ord</w:t>
            </w:r>
            <w:r w:rsidR="004E1E0A" w:rsidRPr="003A5A65">
              <w:rPr>
                <w:rFonts w:eastAsia="Calibri" w:cs="Times New Roman"/>
                <w:i/>
                <w:sz w:val="20"/>
                <w:szCs w:val="20"/>
              </w:rPr>
              <w:t>er</w:t>
            </w:r>
            <w:r>
              <w:rPr>
                <w:rFonts w:eastAsia="Calibri" w:cs="Times New Roman"/>
                <w:i/>
                <w:sz w:val="20"/>
                <w:szCs w:val="20"/>
              </w:rPr>
              <w:t xml:space="preserve"> i</w:t>
            </w:r>
            <w:r w:rsidR="004E1E0A" w:rsidRPr="003A5A65">
              <w:rPr>
                <w:rFonts w:eastAsia="Calibri" w:cs="Times New Roman"/>
                <w:i/>
                <w:sz w:val="20"/>
                <w:szCs w:val="20"/>
              </w:rPr>
              <w:t>n</w:t>
            </w:r>
            <w:r>
              <w:rPr>
                <w:rFonts w:eastAsia="Calibri" w:cs="Times New Roman"/>
                <w:i/>
                <w:sz w:val="20"/>
                <w:szCs w:val="20"/>
              </w:rPr>
              <w:t xml:space="preserve"> Cou</w:t>
            </w:r>
            <w:r w:rsidR="004E1E0A" w:rsidRPr="003A5A65">
              <w:rPr>
                <w:rFonts w:eastAsia="Calibri" w:cs="Times New Roman"/>
                <w:i/>
                <w:sz w:val="20"/>
                <w:szCs w:val="20"/>
              </w:rPr>
              <w:t>n</w:t>
            </w:r>
            <w:r>
              <w:rPr>
                <w:rFonts w:eastAsia="Calibri" w:cs="Times New Roman"/>
                <w:i/>
                <w:sz w:val="20"/>
                <w:szCs w:val="20"/>
              </w:rPr>
              <w:t>cil, P.C. 2013</w:t>
            </w:r>
            <w:r w:rsidR="0014332D">
              <w:rPr>
                <w:rFonts w:eastAsia="Calibri" w:cs="Times New Roman"/>
                <w:i/>
                <w:sz w:val="20"/>
                <w:szCs w:val="20"/>
              </w:rPr>
              <w:noBreakHyphen/>
            </w:r>
            <w:r>
              <w:rPr>
                <w:rFonts w:eastAsia="Calibri" w:cs="Times New Roman"/>
                <w:i/>
                <w:sz w:val="20"/>
                <w:szCs w:val="20"/>
              </w:rPr>
              <w:t>1105, da</w:t>
            </w:r>
            <w:r w:rsidR="004E1E0A" w:rsidRPr="003A5A65">
              <w:rPr>
                <w:rFonts w:eastAsia="Calibri" w:cs="Times New Roman"/>
                <w:i/>
                <w:sz w:val="20"/>
                <w:szCs w:val="20"/>
              </w:rPr>
              <w:t>te</w:t>
            </w:r>
            <w:r>
              <w:rPr>
                <w:rFonts w:eastAsia="Calibri" w:cs="Times New Roman"/>
                <w:i/>
                <w:sz w:val="20"/>
                <w:szCs w:val="20"/>
              </w:rPr>
              <w:t>d Oc</w:t>
            </w:r>
            <w:r w:rsidR="004E1E0A" w:rsidRPr="003A5A65">
              <w:rPr>
                <w:rFonts w:eastAsia="Calibri" w:cs="Times New Roman"/>
                <w:i/>
                <w:sz w:val="20"/>
                <w:szCs w:val="20"/>
              </w:rPr>
              <w:t>t</w:t>
            </w:r>
            <w:r>
              <w:rPr>
                <w:rFonts w:eastAsia="Calibri" w:cs="Times New Roman"/>
                <w:i/>
                <w:sz w:val="20"/>
                <w:szCs w:val="20"/>
              </w:rPr>
              <w:t>obe</w:t>
            </w:r>
            <w:r w:rsidR="004E1E0A" w:rsidRPr="003A5A65">
              <w:rPr>
                <w:rFonts w:eastAsia="Calibri" w:cs="Times New Roman"/>
                <w:i/>
                <w:sz w:val="20"/>
                <w:szCs w:val="20"/>
              </w:rPr>
              <w:t>r</w:t>
            </w:r>
            <w:r>
              <w:rPr>
                <w:rFonts w:eastAsia="Calibri" w:cs="Times New Roman"/>
                <w:i/>
                <w:sz w:val="20"/>
                <w:szCs w:val="20"/>
              </w:rPr>
              <w:t xml:space="preserve"> 22, 2013</w:t>
            </w:r>
            <w:r w:rsidR="00D259F7">
              <w:rPr>
                <w:rFonts w:eastAsia="Calibri" w:cs="Times New Roman"/>
                <w:i/>
                <w:sz w:val="20"/>
                <w:szCs w:val="20"/>
              </w:rPr>
              <w:t xml:space="preserve"> / Dans l’affaire de l’article 53 de la Loi sur la Cour supr</w:t>
            </w:r>
            <w:r w:rsidR="00DC1FCB">
              <w:rPr>
                <w:rFonts w:eastAsia="Calibri" w:cs="Times New Roman"/>
                <w:i/>
                <w:sz w:val="20"/>
                <w:szCs w:val="20"/>
              </w:rPr>
              <w:t>ê</w:t>
            </w:r>
            <w:r w:rsidR="00D259F7">
              <w:rPr>
                <w:rFonts w:eastAsia="Calibri" w:cs="Times New Roman"/>
                <w:i/>
                <w:sz w:val="20"/>
                <w:szCs w:val="20"/>
              </w:rPr>
              <w:t xml:space="preserve">me, L.R.C. 1985, ch. </w:t>
            </w:r>
            <w:r w:rsidR="00D259F7" w:rsidRPr="00D259F7">
              <w:rPr>
                <w:rFonts w:eastAsia="Calibri" w:cs="Times New Roman"/>
                <w:i/>
                <w:sz w:val="20"/>
                <w:szCs w:val="20"/>
                <w:lang w:val="fr-CA"/>
              </w:rPr>
              <w:t>S-26; Dans l’affaire d’un renvoir par le Gouverneur en conseil concernant les articles 5 et 6 de la Loi sur la Cour Supr</w:t>
            </w:r>
            <w:r w:rsidR="00D259F7">
              <w:rPr>
                <w:rFonts w:eastAsia="Calibri" w:cs="Times New Roman"/>
                <w:i/>
                <w:sz w:val="20"/>
                <w:szCs w:val="20"/>
                <w:lang w:val="fr-CA"/>
              </w:rPr>
              <w:t>ême, L.R.C. 1985, ch. S</w:t>
            </w:r>
            <w:r w:rsidR="00F1613A">
              <w:rPr>
                <w:rFonts w:eastAsia="Calibri" w:cs="Times New Roman"/>
                <w:i/>
                <w:sz w:val="20"/>
                <w:szCs w:val="20"/>
                <w:lang w:val="fr-CA"/>
              </w:rPr>
              <w:noBreakHyphen/>
            </w:r>
            <w:r w:rsidR="00D259F7">
              <w:rPr>
                <w:rFonts w:eastAsia="Calibri" w:cs="Times New Roman"/>
                <w:i/>
                <w:sz w:val="20"/>
                <w:szCs w:val="20"/>
                <w:lang w:val="fr-CA"/>
              </w:rPr>
              <w:t>26, dans le décret C.P. 2013-1105 en date du 22 octobre 2013</w:t>
            </w:r>
            <w:r w:rsidR="004E1E0A" w:rsidRPr="00D259F7">
              <w:rPr>
                <w:rFonts w:eastAsia="Calibri" w:cs="Times New Roman"/>
                <w:i/>
                <w:sz w:val="20"/>
                <w:szCs w:val="20"/>
                <w:lang w:val="fr-CA"/>
              </w:rPr>
              <w:t xml:space="preserve"> </w:t>
            </w:r>
            <w:r w:rsidR="004E1E0A" w:rsidRPr="00D259F7">
              <w:rPr>
                <w:rFonts w:eastAsia="Calibri" w:cs="Times New Roman"/>
                <w:sz w:val="20"/>
                <w:szCs w:val="20"/>
                <w:lang w:val="fr-CA"/>
              </w:rPr>
              <w:t>(</w:t>
            </w:r>
            <w:r w:rsidRPr="00D259F7">
              <w:rPr>
                <w:rFonts w:eastAsia="Calibri" w:cs="Times New Roman"/>
                <w:sz w:val="20"/>
                <w:szCs w:val="20"/>
                <w:lang w:val="fr-CA"/>
              </w:rPr>
              <w:t>Can.)</w:t>
            </w:r>
            <w:r w:rsidR="004E1E0A" w:rsidRPr="00D259F7">
              <w:rPr>
                <w:rFonts w:eastAsia="Calibri" w:cs="Times New Roman"/>
                <w:sz w:val="20"/>
                <w:szCs w:val="20"/>
                <w:lang w:val="fr-CA"/>
              </w:rPr>
              <w:t xml:space="preserve"> (Civil</w:t>
            </w:r>
            <w:r w:rsidRPr="00D259F7">
              <w:rPr>
                <w:rFonts w:eastAsia="Calibri" w:cs="Times New Roman"/>
                <w:sz w:val="20"/>
                <w:szCs w:val="20"/>
                <w:lang w:val="fr-CA"/>
              </w:rPr>
              <w:t>/Civil</w:t>
            </w:r>
            <w:r w:rsidR="004E1E0A" w:rsidRPr="00D259F7">
              <w:rPr>
                <w:rFonts w:eastAsia="Calibri" w:cs="Times New Roman"/>
                <w:sz w:val="20"/>
                <w:szCs w:val="20"/>
                <w:lang w:val="fr-CA"/>
              </w:rPr>
              <w:t>e) (</w:t>
            </w:r>
            <w:r w:rsidRPr="00D259F7">
              <w:rPr>
                <w:rFonts w:eastAsia="Calibri" w:cs="Times New Roman"/>
                <w:sz w:val="20"/>
                <w:szCs w:val="20"/>
                <w:lang w:val="fr-CA"/>
              </w:rPr>
              <w:t>Reference/Renvoi</w:t>
            </w:r>
            <w:r w:rsidR="004E1E0A" w:rsidRPr="00D259F7">
              <w:rPr>
                <w:rFonts w:eastAsia="Calibri" w:cs="Times New Roman"/>
                <w:sz w:val="20"/>
                <w:szCs w:val="20"/>
                <w:lang w:val="fr-CA"/>
              </w:rPr>
              <w:t>) (35</w:t>
            </w:r>
            <w:r w:rsidRPr="00D259F7">
              <w:rPr>
                <w:rFonts w:eastAsia="Calibri" w:cs="Times New Roman"/>
                <w:sz w:val="20"/>
                <w:szCs w:val="20"/>
                <w:lang w:val="fr-CA"/>
              </w:rPr>
              <w:t>586</w:t>
            </w:r>
            <w:r w:rsidR="004E1E0A" w:rsidRPr="00D259F7">
              <w:rPr>
                <w:rFonts w:eastAsia="Calibri" w:cs="Times New Roman"/>
                <w:sz w:val="20"/>
                <w:szCs w:val="20"/>
                <w:lang w:val="fr-CA"/>
              </w:rPr>
              <w:t>)</w:t>
            </w:r>
          </w:p>
        </w:tc>
      </w:tr>
      <w:tr w:rsidR="004E1E0A" w:rsidRPr="00D259F7" w:rsidTr="00DA0E43">
        <w:trPr>
          <w:cantSplit/>
          <w:trHeight w:val="288"/>
        </w:trPr>
        <w:tc>
          <w:tcPr>
            <w:tcW w:w="2398" w:type="dxa"/>
          </w:tcPr>
          <w:p w:rsidR="004E1E0A" w:rsidRPr="00216AEB" w:rsidRDefault="004E1E0A" w:rsidP="000D1062">
            <w:pPr>
              <w:rPr>
                <w:rFonts w:eastAsia="Calibri" w:cs="Times New Roman"/>
                <w:sz w:val="20"/>
                <w:szCs w:val="20"/>
                <w:lang w:val="fr-CA"/>
              </w:rPr>
            </w:pPr>
            <w:r w:rsidRPr="00216AEB">
              <w:rPr>
                <w:rFonts w:eastAsia="Calibri" w:cs="Times New Roman"/>
                <w:sz w:val="20"/>
                <w:szCs w:val="20"/>
                <w:lang w:val="fr-CA"/>
              </w:rPr>
              <w:t>201</w:t>
            </w:r>
            <w:r w:rsidR="000D1062">
              <w:rPr>
                <w:rFonts w:eastAsia="Calibri" w:cs="Times New Roman"/>
                <w:sz w:val="20"/>
                <w:szCs w:val="20"/>
                <w:lang w:val="fr-CA"/>
              </w:rPr>
              <w:t>4</w:t>
            </w:r>
            <w:r w:rsidRPr="00216AEB">
              <w:rPr>
                <w:rFonts w:eastAsia="Calibri" w:cs="Times New Roman"/>
                <w:sz w:val="20"/>
                <w:szCs w:val="20"/>
                <w:lang w:val="fr-CA"/>
              </w:rPr>
              <w:t>-</w:t>
            </w:r>
            <w:r w:rsidR="000D1062">
              <w:rPr>
                <w:rFonts w:eastAsia="Calibri" w:cs="Times New Roman"/>
                <w:sz w:val="20"/>
                <w:szCs w:val="20"/>
                <w:lang w:val="fr-CA"/>
              </w:rPr>
              <w:t>0</w:t>
            </w:r>
            <w:r w:rsidRPr="00216AEB">
              <w:rPr>
                <w:rFonts w:eastAsia="Calibri" w:cs="Times New Roman"/>
                <w:sz w:val="20"/>
                <w:szCs w:val="20"/>
                <w:lang w:val="fr-CA"/>
              </w:rPr>
              <w:t>1-</w:t>
            </w:r>
            <w:r w:rsidR="000D1062">
              <w:rPr>
                <w:rFonts w:eastAsia="Calibri" w:cs="Times New Roman"/>
                <w:sz w:val="20"/>
                <w:szCs w:val="20"/>
                <w:lang w:val="fr-CA"/>
              </w:rPr>
              <w:t>16</w:t>
            </w:r>
          </w:p>
        </w:tc>
        <w:tc>
          <w:tcPr>
            <w:tcW w:w="7178" w:type="dxa"/>
          </w:tcPr>
          <w:p w:rsidR="004E1E0A" w:rsidRPr="00D259F7" w:rsidRDefault="00D259F7" w:rsidP="00DA0E43">
            <w:pPr>
              <w:jc w:val="both"/>
              <w:rPr>
                <w:rFonts w:eastAsia="Calibri" w:cs="Times New Roman"/>
                <w:sz w:val="20"/>
                <w:szCs w:val="20"/>
              </w:rPr>
            </w:pPr>
            <w:r w:rsidRPr="00D259F7">
              <w:rPr>
                <w:rFonts w:eastAsia="Calibri" w:cs="Times New Roman"/>
                <w:i/>
                <w:sz w:val="20"/>
                <w:szCs w:val="20"/>
              </w:rPr>
              <w:t>W.E.B.</w:t>
            </w:r>
            <w:r w:rsidR="004E1E0A" w:rsidRPr="00D259F7">
              <w:rPr>
                <w:rFonts w:eastAsia="Calibri" w:cs="Times New Roman"/>
                <w:i/>
                <w:sz w:val="20"/>
                <w:szCs w:val="20"/>
              </w:rPr>
              <w:t xml:space="preserve"> </w:t>
            </w:r>
            <w:r w:rsidRPr="00D259F7">
              <w:rPr>
                <w:rFonts w:eastAsia="Calibri" w:cs="Times New Roman"/>
                <w:i/>
                <w:sz w:val="20"/>
                <w:szCs w:val="20"/>
              </w:rPr>
              <w:t>v</w:t>
            </w:r>
            <w:r w:rsidR="004E1E0A" w:rsidRPr="00D259F7">
              <w:rPr>
                <w:rFonts w:eastAsia="Calibri" w:cs="Times New Roman"/>
                <w:i/>
                <w:sz w:val="20"/>
                <w:szCs w:val="20"/>
              </w:rPr>
              <w:t xml:space="preserve">. </w:t>
            </w:r>
            <w:r w:rsidRPr="0085047E">
              <w:rPr>
                <w:rFonts w:eastAsia="Calibri" w:cs="Times New Roman"/>
                <w:i/>
                <w:sz w:val="20"/>
                <w:szCs w:val="20"/>
              </w:rPr>
              <w:t>Her Majesty the Queen</w:t>
            </w:r>
            <w:r w:rsidRPr="0085047E">
              <w:rPr>
                <w:rFonts w:eastAsia="Calibri" w:cs="Times New Roman"/>
                <w:sz w:val="20"/>
                <w:szCs w:val="20"/>
              </w:rPr>
              <w:t xml:space="preserve"> (</w:t>
            </w:r>
            <w:r>
              <w:rPr>
                <w:rFonts w:eastAsia="Calibri" w:cs="Times New Roman"/>
                <w:sz w:val="20"/>
                <w:szCs w:val="20"/>
              </w:rPr>
              <w:t>On</w:t>
            </w:r>
            <w:r w:rsidRPr="0085047E">
              <w:rPr>
                <w:rFonts w:eastAsia="Calibri" w:cs="Times New Roman"/>
                <w:sz w:val="20"/>
                <w:szCs w:val="20"/>
              </w:rPr>
              <w:t xml:space="preserve">t.) </w:t>
            </w:r>
            <w:r w:rsidRPr="00D259F7">
              <w:rPr>
                <w:rFonts w:eastAsia="Calibri" w:cs="Times New Roman"/>
                <w:sz w:val="20"/>
                <w:szCs w:val="20"/>
              </w:rPr>
              <w:t>(Criminal) (</w:t>
            </w:r>
            <w:r>
              <w:rPr>
                <w:rFonts w:eastAsia="Calibri" w:cs="Times New Roman"/>
                <w:sz w:val="20"/>
                <w:szCs w:val="20"/>
              </w:rPr>
              <w:t>By Leave</w:t>
            </w:r>
            <w:r w:rsidRPr="00D259F7">
              <w:rPr>
                <w:rFonts w:eastAsia="Calibri" w:cs="Times New Roman"/>
                <w:sz w:val="20"/>
                <w:szCs w:val="20"/>
              </w:rPr>
              <w:t>) (3</w:t>
            </w:r>
            <w:r>
              <w:rPr>
                <w:rFonts w:eastAsia="Calibri" w:cs="Times New Roman"/>
                <w:sz w:val="20"/>
                <w:szCs w:val="20"/>
              </w:rPr>
              <w:t>5</w:t>
            </w:r>
            <w:r w:rsidRPr="00D259F7">
              <w:rPr>
                <w:rFonts w:eastAsia="Calibri" w:cs="Times New Roman"/>
                <w:sz w:val="20"/>
                <w:szCs w:val="20"/>
              </w:rPr>
              <w:t>0</w:t>
            </w:r>
            <w:r>
              <w:rPr>
                <w:rFonts w:eastAsia="Calibri" w:cs="Times New Roman"/>
                <w:sz w:val="20"/>
                <w:szCs w:val="20"/>
              </w:rPr>
              <w:t>89</w:t>
            </w:r>
            <w:r w:rsidRPr="00D259F7">
              <w:rPr>
                <w:rFonts w:eastAsia="Calibri" w:cs="Times New Roman"/>
                <w:sz w:val="20"/>
                <w:szCs w:val="20"/>
              </w:rPr>
              <w:t>)</w:t>
            </w:r>
          </w:p>
        </w:tc>
      </w:tr>
      <w:tr w:rsidR="004E1E0A" w:rsidRPr="00216AEB" w:rsidTr="00DA0E43">
        <w:trPr>
          <w:cantSplit/>
          <w:trHeight w:val="288"/>
        </w:trPr>
        <w:tc>
          <w:tcPr>
            <w:tcW w:w="2398" w:type="dxa"/>
          </w:tcPr>
          <w:p w:rsidR="004E1E0A" w:rsidRPr="00216AEB" w:rsidRDefault="004E1E0A" w:rsidP="000D1062">
            <w:pPr>
              <w:rPr>
                <w:rFonts w:eastAsia="Calibri" w:cs="Times New Roman"/>
                <w:sz w:val="20"/>
                <w:szCs w:val="20"/>
                <w:lang w:val="fr-CA"/>
              </w:rPr>
            </w:pPr>
            <w:r w:rsidRPr="00216AEB">
              <w:rPr>
                <w:rFonts w:eastAsia="Calibri" w:cs="Times New Roman"/>
                <w:sz w:val="20"/>
                <w:szCs w:val="20"/>
                <w:lang w:val="fr-CA"/>
              </w:rPr>
              <w:t>201</w:t>
            </w:r>
            <w:r w:rsidR="000D1062">
              <w:rPr>
                <w:rFonts w:eastAsia="Calibri" w:cs="Times New Roman"/>
                <w:sz w:val="20"/>
                <w:szCs w:val="20"/>
                <w:lang w:val="fr-CA"/>
              </w:rPr>
              <w:t>4</w:t>
            </w:r>
            <w:r w:rsidRPr="00216AEB">
              <w:rPr>
                <w:rFonts w:eastAsia="Calibri" w:cs="Times New Roman"/>
                <w:sz w:val="20"/>
                <w:szCs w:val="20"/>
                <w:lang w:val="fr-CA"/>
              </w:rPr>
              <w:t>-</w:t>
            </w:r>
            <w:r w:rsidR="000D1062">
              <w:rPr>
                <w:rFonts w:eastAsia="Calibri" w:cs="Times New Roman"/>
                <w:sz w:val="20"/>
                <w:szCs w:val="20"/>
                <w:lang w:val="fr-CA"/>
              </w:rPr>
              <w:t>0</w:t>
            </w:r>
            <w:r w:rsidRPr="00216AEB">
              <w:rPr>
                <w:rFonts w:eastAsia="Calibri" w:cs="Times New Roman"/>
                <w:sz w:val="20"/>
                <w:szCs w:val="20"/>
                <w:lang w:val="fr-CA"/>
              </w:rPr>
              <w:t>1-</w:t>
            </w:r>
            <w:r w:rsidR="000D1062">
              <w:rPr>
                <w:rFonts w:eastAsia="Calibri" w:cs="Times New Roman"/>
                <w:sz w:val="20"/>
                <w:szCs w:val="20"/>
                <w:lang w:val="fr-CA"/>
              </w:rPr>
              <w:t>17</w:t>
            </w:r>
          </w:p>
        </w:tc>
        <w:tc>
          <w:tcPr>
            <w:tcW w:w="7178" w:type="dxa"/>
          </w:tcPr>
          <w:p w:rsidR="004E1E0A" w:rsidRPr="00D259F7" w:rsidRDefault="004E1E0A" w:rsidP="00DA0E43">
            <w:pPr>
              <w:jc w:val="both"/>
              <w:rPr>
                <w:rFonts w:eastAsia="Calibri" w:cs="Times New Roman"/>
                <w:sz w:val="20"/>
                <w:szCs w:val="20"/>
              </w:rPr>
            </w:pPr>
            <w:r w:rsidRPr="00D259F7">
              <w:rPr>
                <w:rFonts w:eastAsia="Calibri" w:cs="Times New Roman"/>
                <w:i/>
                <w:sz w:val="20"/>
                <w:szCs w:val="20"/>
              </w:rPr>
              <w:t>P</w:t>
            </w:r>
            <w:r w:rsidR="00D259F7" w:rsidRPr="00D259F7">
              <w:rPr>
                <w:rFonts w:eastAsia="Calibri" w:cs="Times New Roman"/>
                <w:i/>
                <w:sz w:val="20"/>
                <w:szCs w:val="20"/>
              </w:rPr>
              <w:t xml:space="preserve">ercy Walter </w:t>
            </w:r>
            <w:r w:rsidRPr="00D259F7">
              <w:rPr>
                <w:rFonts w:eastAsia="Calibri" w:cs="Times New Roman"/>
                <w:i/>
                <w:sz w:val="20"/>
                <w:szCs w:val="20"/>
              </w:rPr>
              <w:t>D</w:t>
            </w:r>
            <w:r w:rsidR="00D259F7" w:rsidRPr="00D259F7">
              <w:rPr>
                <w:rFonts w:eastAsia="Calibri" w:cs="Times New Roman"/>
                <w:i/>
                <w:sz w:val="20"/>
                <w:szCs w:val="20"/>
              </w:rPr>
              <w:t>a</w:t>
            </w:r>
            <w:r w:rsidR="00D259F7">
              <w:rPr>
                <w:rFonts w:eastAsia="Calibri" w:cs="Times New Roman"/>
                <w:i/>
                <w:sz w:val="20"/>
                <w:szCs w:val="20"/>
              </w:rPr>
              <w:t>vis</w:t>
            </w:r>
            <w:r w:rsidRPr="00D259F7">
              <w:rPr>
                <w:rFonts w:eastAsia="Calibri" w:cs="Times New Roman"/>
                <w:i/>
                <w:sz w:val="20"/>
                <w:szCs w:val="20"/>
              </w:rPr>
              <w:t xml:space="preserve"> v. </w:t>
            </w:r>
            <w:r w:rsidRPr="0085047E">
              <w:rPr>
                <w:rFonts w:eastAsia="Calibri" w:cs="Times New Roman"/>
                <w:i/>
                <w:sz w:val="20"/>
                <w:szCs w:val="20"/>
              </w:rPr>
              <w:t>Her Majesty the Queen</w:t>
            </w:r>
            <w:r w:rsidRPr="0085047E">
              <w:rPr>
                <w:rFonts w:eastAsia="Calibri" w:cs="Times New Roman"/>
                <w:sz w:val="20"/>
                <w:szCs w:val="20"/>
              </w:rPr>
              <w:t xml:space="preserve"> (Alta.) </w:t>
            </w:r>
            <w:r w:rsidRPr="00D259F7">
              <w:rPr>
                <w:rFonts w:eastAsia="Calibri" w:cs="Times New Roman"/>
                <w:sz w:val="20"/>
                <w:szCs w:val="20"/>
              </w:rPr>
              <w:t>(Criminal) (As of Right) (3</w:t>
            </w:r>
            <w:r w:rsidR="00D259F7" w:rsidRPr="00D259F7">
              <w:rPr>
                <w:rFonts w:eastAsia="Calibri" w:cs="Times New Roman"/>
                <w:sz w:val="20"/>
                <w:szCs w:val="20"/>
              </w:rPr>
              <w:t>532</w:t>
            </w:r>
            <w:r w:rsidRPr="00D259F7">
              <w:rPr>
                <w:rFonts w:eastAsia="Calibri" w:cs="Times New Roman"/>
                <w:sz w:val="20"/>
                <w:szCs w:val="20"/>
              </w:rPr>
              <w:t>7)</w:t>
            </w:r>
          </w:p>
        </w:tc>
      </w:tr>
      <w:tr w:rsidR="004E1E0A" w:rsidRPr="003A74F5" w:rsidTr="00DA0E43">
        <w:trPr>
          <w:cantSplit/>
          <w:trHeight w:val="288"/>
        </w:trPr>
        <w:tc>
          <w:tcPr>
            <w:tcW w:w="2398" w:type="dxa"/>
          </w:tcPr>
          <w:p w:rsidR="004E1E0A" w:rsidRPr="003A74F5" w:rsidRDefault="004E1E0A" w:rsidP="000D1062">
            <w:pPr>
              <w:rPr>
                <w:rFonts w:eastAsia="Calibri" w:cs="Times New Roman"/>
                <w:sz w:val="20"/>
                <w:szCs w:val="20"/>
              </w:rPr>
            </w:pPr>
            <w:r w:rsidRPr="003A74F5">
              <w:rPr>
                <w:rFonts w:eastAsia="Calibri" w:cs="Times New Roman"/>
                <w:sz w:val="20"/>
                <w:szCs w:val="20"/>
              </w:rPr>
              <w:t>201</w:t>
            </w:r>
            <w:r w:rsidR="000D1062">
              <w:rPr>
                <w:rFonts w:eastAsia="Calibri" w:cs="Times New Roman"/>
                <w:sz w:val="20"/>
                <w:szCs w:val="20"/>
              </w:rPr>
              <w:t>4</w:t>
            </w:r>
            <w:r w:rsidRPr="003A74F5">
              <w:rPr>
                <w:rFonts w:eastAsia="Calibri" w:cs="Times New Roman"/>
                <w:sz w:val="20"/>
                <w:szCs w:val="20"/>
              </w:rPr>
              <w:t>-</w:t>
            </w:r>
            <w:r w:rsidR="000D1062">
              <w:rPr>
                <w:rFonts w:eastAsia="Calibri" w:cs="Times New Roman"/>
                <w:sz w:val="20"/>
                <w:szCs w:val="20"/>
              </w:rPr>
              <w:t>0</w:t>
            </w:r>
            <w:r w:rsidRPr="003A74F5">
              <w:rPr>
                <w:rFonts w:eastAsia="Calibri" w:cs="Times New Roman"/>
                <w:sz w:val="20"/>
                <w:szCs w:val="20"/>
              </w:rPr>
              <w:t>1-1</w:t>
            </w:r>
            <w:r w:rsidR="000D1062">
              <w:rPr>
                <w:rFonts w:eastAsia="Calibri" w:cs="Times New Roman"/>
                <w:sz w:val="20"/>
                <w:szCs w:val="20"/>
              </w:rPr>
              <w:t>7</w:t>
            </w:r>
          </w:p>
        </w:tc>
        <w:tc>
          <w:tcPr>
            <w:tcW w:w="7178" w:type="dxa"/>
          </w:tcPr>
          <w:p w:rsidR="004E1E0A" w:rsidRPr="003A74F5" w:rsidRDefault="00D259F7" w:rsidP="00D87154">
            <w:pPr>
              <w:jc w:val="both"/>
              <w:rPr>
                <w:rFonts w:eastAsia="Calibri" w:cs="Times New Roman"/>
                <w:sz w:val="20"/>
                <w:szCs w:val="20"/>
              </w:rPr>
            </w:pPr>
            <w:r>
              <w:rPr>
                <w:rFonts w:eastAsia="Calibri" w:cs="Times New Roman"/>
                <w:i/>
                <w:sz w:val="20"/>
                <w:szCs w:val="20"/>
              </w:rPr>
              <w:t>Ga</w:t>
            </w:r>
            <w:r w:rsidR="004E1E0A" w:rsidRPr="0085047E">
              <w:rPr>
                <w:rFonts w:eastAsia="Calibri" w:cs="Times New Roman"/>
                <w:i/>
                <w:sz w:val="20"/>
                <w:szCs w:val="20"/>
              </w:rPr>
              <w:t>rr</w:t>
            </w:r>
            <w:r>
              <w:rPr>
                <w:rFonts w:eastAsia="Calibri" w:cs="Times New Roman"/>
                <w:i/>
                <w:sz w:val="20"/>
                <w:szCs w:val="20"/>
              </w:rPr>
              <w:t>y H</w:t>
            </w:r>
            <w:r w:rsidR="004E1E0A" w:rsidRPr="0085047E">
              <w:rPr>
                <w:rFonts w:eastAsia="Calibri" w:cs="Times New Roman"/>
                <w:i/>
                <w:sz w:val="20"/>
                <w:szCs w:val="20"/>
              </w:rPr>
              <w:t>o</w:t>
            </w:r>
            <w:r>
              <w:rPr>
                <w:rFonts w:eastAsia="Calibri" w:cs="Times New Roman"/>
                <w:i/>
                <w:sz w:val="20"/>
                <w:szCs w:val="20"/>
              </w:rPr>
              <w:t>w</w:t>
            </w:r>
            <w:r w:rsidR="004E1E0A" w:rsidRPr="0085047E">
              <w:rPr>
                <w:rFonts w:eastAsia="Calibri" w:cs="Times New Roman"/>
                <w:i/>
                <w:sz w:val="20"/>
                <w:szCs w:val="20"/>
              </w:rPr>
              <w:t>ar</w:t>
            </w:r>
            <w:r>
              <w:rPr>
                <w:rFonts w:eastAsia="Calibri" w:cs="Times New Roman"/>
                <w:i/>
                <w:sz w:val="20"/>
                <w:szCs w:val="20"/>
              </w:rPr>
              <w:t>d J</w:t>
            </w:r>
            <w:r w:rsidR="004E1E0A" w:rsidRPr="0085047E">
              <w:rPr>
                <w:rFonts w:eastAsia="Calibri" w:cs="Times New Roman"/>
                <w:i/>
                <w:sz w:val="20"/>
                <w:szCs w:val="20"/>
              </w:rPr>
              <w:t>am</w:t>
            </w:r>
            <w:r>
              <w:rPr>
                <w:rFonts w:eastAsia="Calibri" w:cs="Times New Roman"/>
                <w:i/>
                <w:sz w:val="20"/>
                <w:szCs w:val="20"/>
              </w:rPr>
              <w:t xml:space="preserve">es </w:t>
            </w:r>
            <w:r w:rsidR="004E1E0A" w:rsidRPr="0085047E">
              <w:rPr>
                <w:rFonts w:eastAsia="Calibri" w:cs="Times New Roman"/>
                <w:i/>
                <w:sz w:val="20"/>
                <w:szCs w:val="20"/>
              </w:rPr>
              <w:t xml:space="preserve">v. </w:t>
            </w:r>
            <w:r w:rsidRPr="0085047E">
              <w:rPr>
                <w:rFonts w:eastAsia="Calibri" w:cs="Times New Roman"/>
                <w:i/>
                <w:sz w:val="20"/>
                <w:szCs w:val="20"/>
              </w:rPr>
              <w:t>Her Majesty the Queen</w:t>
            </w:r>
            <w:r w:rsidR="004E1E0A" w:rsidRPr="0085047E">
              <w:rPr>
                <w:rFonts w:eastAsia="Calibri" w:cs="Times New Roman"/>
                <w:sz w:val="20"/>
                <w:szCs w:val="20"/>
              </w:rPr>
              <w:t xml:space="preserve"> </w:t>
            </w:r>
            <w:r w:rsidR="004E1E0A" w:rsidRPr="003A74F5">
              <w:rPr>
                <w:rFonts w:eastAsia="Calibri" w:cs="Times New Roman"/>
                <w:sz w:val="20"/>
                <w:szCs w:val="20"/>
              </w:rPr>
              <w:t>(B.C.) (C</w:t>
            </w:r>
            <w:r w:rsidR="00AE046D">
              <w:rPr>
                <w:rFonts w:eastAsia="Calibri" w:cs="Times New Roman"/>
                <w:sz w:val="20"/>
                <w:szCs w:val="20"/>
              </w:rPr>
              <w:t>rimina</w:t>
            </w:r>
            <w:r w:rsidR="004E1E0A" w:rsidRPr="003A74F5">
              <w:rPr>
                <w:rFonts w:eastAsia="Calibri" w:cs="Times New Roman"/>
                <w:sz w:val="20"/>
                <w:szCs w:val="20"/>
              </w:rPr>
              <w:t>l) (</w:t>
            </w:r>
            <w:r w:rsidRPr="00D259F7">
              <w:rPr>
                <w:rFonts w:eastAsia="Calibri" w:cs="Times New Roman"/>
                <w:sz w:val="20"/>
                <w:szCs w:val="20"/>
              </w:rPr>
              <w:t>As</w:t>
            </w:r>
            <w:r w:rsidR="00D87154">
              <w:rPr>
                <w:rFonts w:eastAsia="Calibri" w:cs="Times New Roman"/>
                <w:sz w:val="20"/>
                <w:szCs w:val="20"/>
              </w:rPr>
              <w:t> </w:t>
            </w:r>
            <w:r w:rsidRPr="00D259F7">
              <w:rPr>
                <w:rFonts w:eastAsia="Calibri" w:cs="Times New Roman"/>
                <w:sz w:val="20"/>
                <w:szCs w:val="20"/>
              </w:rPr>
              <w:t>of</w:t>
            </w:r>
            <w:r w:rsidR="00D87154">
              <w:rPr>
                <w:rFonts w:eastAsia="Calibri" w:cs="Times New Roman"/>
                <w:sz w:val="20"/>
                <w:szCs w:val="20"/>
              </w:rPr>
              <w:t> </w:t>
            </w:r>
            <w:r w:rsidRPr="00D259F7">
              <w:rPr>
                <w:rFonts w:eastAsia="Calibri" w:cs="Times New Roman"/>
                <w:sz w:val="20"/>
                <w:szCs w:val="20"/>
              </w:rPr>
              <w:t>Right</w:t>
            </w:r>
            <w:r w:rsidR="004E1E0A" w:rsidRPr="003A74F5">
              <w:rPr>
                <w:rFonts w:eastAsia="Calibri" w:cs="Times New Roman"/>
                <w:sz w:val="20"/>
                <w:szCs w:val="20"/>
              </w:rPr>
              <w:t>) (3</w:t>
            </w:r>
            <w:r>
              <w:rPr>
                <w:rFonts w:eastAsia="Calibri" w:cs="Times New Roman"/>
                <w:sz w:val="20"/>
                <w:szCs w:val="20"/>
              </w:rPr>
              <w:t>537</w:t>
            </w:r>
            <w:r w:rsidR="004E1E0A">
              <w:rPr>
                <w:rFonts w:eastAsia="Calibri" w:cs="Times New Roman"/>
                <w:sz w:val="20"/>
                <w:szCs w:val="20"/>
              </w:rPr>
              <w:t>3</w:t>
            </w:r>
            <w:r w:rsidR="004E1E0A" w:rsidRPr="003A74F5">
              <w:rPr>
                <w:rFonts w:eastAsia="Calibri" w:cs="Times New Roman"/>
                <w:sz w:val="20"/>
                <w:szCs w:val="20"/>
              </w:rPr>
              <w:t>)</w:t>
            </w:r>
          </w:p>
        </w:tc>
      </w:tr>
      <w:tr w:rsidR="004E1E0A" w:rsidRPr="00A47393" w:rsidTr="00DA0E43">
        <w:trPr>
          <w:cantSplit/>
          <w:trHeight w:val="576"/>
        </w:trPr>
        <w:tc>
          <w:tcPr>
            <w:tcW w:w="2398" w:type="dxa"/>
          </w:tcPr>
          <w:p w:rsidR="004E1E0A" w:rsidRPr="003A74F5" w:rsidRDefault="004E1E0A" w:rsidP="000D1062">
            <w:pPr>
              <w:rPr>
                <w:rFonts w:eastAsia="Calibri" w:cs="Times New Roman"/>
                <w:sz w:val="20"/>
                <w:szCs w:val="20"/>
              </w:rPr>
            </w:pPr>
            <w:r w:rsidRPr="003A74F5">
              <w:rPr>
                <w:rFonts w:eastAsia="Calibri" w:cs="Times New Roman"/>
                <w:sz w:val="20"/>
                <w:szCs w:val="20"/>
              </w:rPr>
              <w:t>201</w:t>
            </w:r>
            <w:r w:rsidR="000D1062">
              <w:rPr>
                <w:rFonts w:eastAsia="Calibri" w:cs="Times New Roman"/>
                <w:sz w:val="20"/>
                <w:szCs w:val="20"/>
              </w:rPr>
              <w:t>4</w:t>
            </w:r>
            <w:r w:rsidRPr="003A74F5">
              <w:rPr>
                <w:rFonts w:eastAsia="Calibri" w:cs="Times New Roman"/>
                <w:sz w:val="20"/>
                <w:szCs w:val="20"/>
              </w:rPr>
              <w:t>-</w:t>
            </w:r>
            <w:r w:rsidR="000D1062">
              <w:rPr>
                <w:rFonts w:eastAsia="Calibri" w:cs="Times New Roman"/>
                <w:sz w:val="20"/>
                <w:szCs w:val="20"/>
              </w:rPr>
              <w:t>0</w:t>
            </w:r>
            <w:r w:rsidRPr="003A74F5">
              <w:rPr>
                <w:rFonts w:eastAsia="Calibri" w:cs="Times New Roman"/>
                <w:sz w:val="20"/>
                <w:szCs w:val="20"/>
              </w:rPr>
              <w:t>1-</w:t>
            </w:r>
            <w:r w:rsidR="000D1062">
              <w:rPr>
                <w:rFonts w:eastAsia="Calibri" w:cs="Times New Roman"/>
                <w:sz w:val="20"/>
                <w:szCs w:val="20"/>
              </w:rPr>
              <w:t>20</w:t>
            </w:r>
          </w:p>
        </w:tc>
        <w:tc>
          <w:tcPr>
            <w:tcW w:w="7178" w:type="dxa"/>
          </w:tcPr>
          <w:p w:rsidR="004E1E0A" w:rsidRPr="00D259F7" w:rsidRDefault="00D259F7" w:rsidP="00DA0E43">
            <w:pPr>
              <w:jc w:val="both"/>
              <w:rPr>
                <w:rFonts w:eastAsia="Calibri" w:cs="Times New Roman"/>
                <w:sz w:val="20"/>
                <w:szCs w:val="20"/>
                <w:lang w:val="fr-CA"/>
              </w:rPr>
            </w:pPr>
            <w:r w:rsidRPr="00D259F7">
              <w:rPr>
                <w:rFonts w:eastAsia="Calibri" w:cs="Times New Roman"/>
                <w:i/>
                <w:sz w:val="20"/>
                <w:szCs w:val="20"/>
                <w:lang w:val="fr-CA"/>
              </w:rPr>
              <w:t>P</w:t>
            </w:r>
            <w:r w:rsidR="004E1E0A" w:rsidRPr="00D259F7">
              <w:rPr>
                <w:rFonts w:eastAsia="Calibri" w:cs="Times New Roman"/>
                <w:i/>
                <w:sz w:val="20"/>
                <w:szCs w:val="20"/>
                <w:lang w:val="fr-CA"/>
              </w:rPr>
              <w:t>r</w:t>
            </w:r>
            <w:r w:rsidRPr="00D259F7">
              <w:rPr>
                <w:rFonts w:eastAsia="Calibri" w:cs="Times New Roman"/>
                <w:i/>
                <w:sz w:val="20"/>
                <w:szCs w:val="20"/>
                <w:lang w:val="fr-CA"/>
              </w:rPr>
              <w:t xml:space="preserve">ocureur général du </w:t>
            </w:r>
            <w:r w:rsidR="004E1E0A" w:rsidRPr="00D259F7">
              <w:rPr>
                <w:rFonts w:eastAsia="Calibri" w:cs="Times New Roman"/>
                <w:i/>
                <w:sz w:val="20"/>
                <w:szCs w:val="20"/>
                <w:lang w:val="fr-CA"/>
              </w:rPr>
              <w:t>C</w:t>
            </w:r>
            <w:r w:rsidRPr="00D259F7">
              <w:rPr>
                <w:rFonts w:eastAsia="Calibri" w:cs="Times New Roman"/>
                <w:i/>
                <w:sz w:val="20"/>
                <w:szCs w:val="20"/>
                <w:lang w:val="fr-CA"/>
              </w:rPr>
              <w:t>a</w:t>
            </w:r>
            <w:r w:rsidR="004E1E0A" w:rsidRPr="00D259F7">
              <w:rPr>
                <w:rFonts w:eastAsia="Calibri" w:cs="Times New Roman"/>
                <w:i/>
                <w:sz w:val="20"/>
                <w:szCs w:val="20"/>
                <w:lang w:val="fr-CA"/>
              </w:rPr>
              <w:t>n</w:t>
            </w:r>
            <w:r w:rsidRPr="00D259F7">
              <w:rPr>
                <w:rFonts w:eastAsia="Calibri" w:cs="Times New Roman"/>
                <w:i/>
                <w:sz w:val="20"/>
                <w:szCs w:val="20"/>
                <w:lang w:val="fr-CA"/>
              </w:rPr>
              <w:t>ada</w:t>
            </w:r>
            <w:r w:rsidR="004E1E0A" w:rsidRPr="00D259F7">
              <w:rPr>
                <w:rFonts w:eastAsia="Calibri" w:cs="Times New Roman"/>
                <w:i/>
                <w:sz w:val="20"/>
                <w:szCs w:val="20"/>
                <w:lang w:val="fr-CA"/>
              </w:rPr>
              <w:t xml:space="preserve"> </w:t>
            </w:r>
            <w:r w:rsidRPr="00D259F7">
              <w:rPr>
                <w:rFonts w:eastAsia="Calibri" w:cs="Times New Roman"/>
                <w:i/>
                <w:sz w:val="20"/>
                <w:szCs w:val="20"/>
                <w:lang w:val="fr-CA"/>
              </w:rPr>
              <w:t>c</w:t>
            </w:r>
            <w:r w:rsidR="004E1E0A" w:rsidRPr="00D259F7">
              <w:rPr>
                <w:rFonts w:eastAsia="Calibri" w:cs="Times New Roman"/>
                <w:i/>
                <w:sz w:val="20"/>
                <w:szCs w:val="20"/>
                <w:lang w:val="fr-CA"/>
              </w:rPr>
              <w:t xml:space="preserve">. </w:t>
            </w:r>
            <w:r w:rsidRPr="00D259F7">
              <w:rPr>
                <w:rFonts w:eastAsia="Calibri" w:cs="Times New Roman"/>
                <w:i/>
                <w:sz w:val="20"/>
                <w:szCs w:val="20"/>
                <w:lang w:val="fr-CA"/>
              </w:rPr>
              <w:t>Co</w:t>
            </w:r>
            <w:r w:rsidR="004E1E0A" w:rsidRPr="00D259F7">
              <w:rPr>
                <w:rFonts w:eastAsia="Calibri" w:cs="Times New Roman"/>
                <w:i/>
                <w:sz w:val="20"/>
                <w:szCs w:val="20"/>
                <w:lang w:val="fr-CA"/>
              </w:rPr>
              <w:t>n</w:t>
            </w:r>
            <w:r w:rsidRPr="00D259F7">
              <w:rPr>
                <w:rFonts w:eastAsia="Calibri" w:cs="Times New Roman"/>
                <w:i/>
                <w:sz w:val="20"/>
                <w:szCs w:val="20"/>
                <w:lang w:val="fr-CA"/>
              </w:rPr>
              <w:t>fédéra</w:t>
            </w:r>
            <w:r w:rsidR="004E1E0A" w:rsidRPr="00D259F7">
              <w:rPr>
                <w:rFonts w:eastAsia="Calibri" w:cs="Times New Roman"/>
                <w:i/>
                <w:sz w:val="20"/>
                <w:szCs w:val="20"/>
                <w:lang w:val="fr-CA"/>
              </w:rPr>
              <w:t>t</w:t>
            </w:r>
            <w:r w:rsidRPr="00D259F7">
              <w:rPr>
                <w:rFonts w:eastAsia="Calibri" w:cs="Times New Roman"/>
                <w:i/>
                <w:sz w:val="20"/>
                <w:szCs w:val="20"/>
                <w:lang w:val="fr-CA"/>
              </w:rPr>
              <w:t>i</w:t>
            </w:r>
            <w:r w:rsidR="004E1E0A" w:rsidRPr="00D259F7">
              <w:rPr>
                <w:rFonts w:eastAsia="Calibri" w:cs="Times New Roman"/>
                <w:i/>
                <w:sz w:val="20"/>
                <w:szCs w:val="20"/>
                <w:lang w:val="fr-CA"/>
              </w:rPr>
              <w:t>on</w:t>
            </w:r>
            <w:r w:rsidRPr="00D259F7">
              <w:rPr>
                <w:rFonts w:eastAsia="Calibri" w:cs="Times New Roman"/>
                <w:i/>
                <w:sz w:val="20"/>
                <w:szCs w:val="20"/>
                <w:lang w:val="fr-CA"/>
              </w:rPr>
              <w:t xml:space="preserve"> des sy</w:t>
            </w:r>
            <w:r w:rsidR="004E1E0A" w:rsidRPr="00D259F7">
              <w:rPr>
                <w:rFonts w:eastAsia="Calibri" w:cs="Times New Roman"/>
                <w:i/>
                <w:sz w:val="20"/>
                <w:szCs w:val="20"/>
                <w:lang w:val="fr-CA"/>
              </w:rPr>
              <w:t>n</w:t>
            </w:r>
            <w:r w:rsidRPr="00D259F7">
              <w:rPr>
                <w:rFonts w:eastAsia="Calibri" w:cs="Times New Roman"/>
                <w:i/>
                <w:sz w:val="20"/>
                <w:szCs w:val="20"/>
                <w:lang w:val="fr-CA"/>
              </w:rPr>
              <w:t>dic</w:t>
            </w:r>
            <w:r w:rsidR="004E1E0A" w:rsidRPr="00D259F7">
              <w:rPr>
                <w:rFonts w:eastAsia="Calibri" w:cs="Times New Roman"/>
                <w:i/>
                <w:sz w:val="20"/>
                <w:szCs w:val="20"/>
                <w:lang w:val="fr-CA"/>
              </w:rPr>
              <w:t>a</w:t>
            </w:r>
            <w:r w:rsidRPr="00D259F7">
              <w:rPr>
                <w:rFonts w:eastAsia="Calibri" w:cs="Times New Roman"/>
                <w:i/>
                <w:sz w:val="20"/>
                <w:szCs w:val="20"/>
                <w:lang w:val="fr-CA"/>
              </w:rPr>
              <w:t xml:space="preserve">ts nationaux </w:t>
            </w:r>
            <w:r w:rsidR="004E1E0A" w:rsidRPr="00D259F7">
              <w:rPr>
                <w:rFonts w:eastAsia="Calibri" w:cs="Times New Roman"/>
                <w:i/>
                <w:sz w:val="20"/>
                <w:szCs w:val="20"/>
                <w:lang w:val="fr-CA"/>
              </w:rPr>
              <w:t>et</w:t>
            </w:r>
            <w:r w:rsidRPr="00D259F7">
              <w:rPr>
                <w:rFonts w:eastAsia="Calibri" w:cs="Times New Roman"/>
                <w:i/>
                <w:sz w:val="20"/>
                <w:szCs w:val="20"/>
                <w:lang w:val="fr-CA"/>
              </w:rPr>
              <w:t xml:space="preserve"> autre</w:t>
            </w:r>
            <w:r w:rsidR="004E1E0A" w:rsidRPr="00D259F7">
              <w:rPr>
                <w:rFonts w:eastAsia="Calibri" w:cs="Times New Roman"/>
                <w:i/>
                <w:sz w:val="20"/>
                <w:szCs w:val="20"/>
                <w:lang w:val="fr-CA"/>
              </w:rPr>
              <w:t xml:space="preserve"> </w:t>
            </w:r>
            <w:r w:rsidR="004E1E0A" w:rsidRPr="00D259F7">
              <w:rPr>
                <w:rFonts w:eastAsia="Calibri" w:cs="Times New Roman"/>
                <w:sz w:val="20"/>
                <w:szCs w:val="20"/>
                <w:lang w:val="fr-CA"/>
              </w:rPr>
              <w:t>(</w:t>
            </w:r>
            <w:r w:rsidRPr="00D259F7">
              <w:rPr>
                <w:rFonts w:eastAsia="Calibri" w:cs="Times New Roman"/>
                <w:sz w:val="20"/>
                <w:szCs w:val="20"/>
                <w:lang w:val="fr-CA"/>
              </w:rPr>
              <w:t>Qc</w:t>
            </w:r>
            <w:r w:rsidR="004E1E0A" w:rsidRPr="00D259F7">
              <w:rPr>
                <w:rFonts w:eastAsia="Calibri" w:cs="Times New Roman"/>
                <w:sz w:val="20"/>
                <w:szCs w:val="20"/>
                <w:lang w:val="fr-CA"/>
              </w:rPr>
              <w:t>) (Civil</w:t>
            </w:r>
            <w:r w:rsidRPr="00D259F7">
              <w:rPr>
                <w:rFonts w:eastAsia="Calibri" w:cs="Times New Roman"/>
                <w:sz w:val="20"/>
                <w:szCs w:val="20"/>
                <w:lang w:val="fr-CA"/>
              </w:rPr>
              <w:t>e</w:t>
            </w:r>
            <w:r w:rsidR="004E1E0A" w:rsidRPr="00D259F7">
              <w:rPr>
                <w:rFonts w:eastAsia="Calibri" w:cs="Times New Roman"/>
                <w:sz w:val="20"/>
                <w:szCs w:val="20"/>
                <w:lang w:val="fr-CA"/>
              </w:rPr>
              <w:t>) (</w:t>
            </w:r>
            <w:r>
              <w:rPr>
                <w:rFonts w:eastAsia="Calibri" w:cs="Times New Roman"/>
                <w:sz w:val="20"/>
                <w:szCs w:val="20"/>
                <w:lang w:val="fr-CA"/>
              </w:rPr>
              <w:t>Autorisation</w:t>
            </w:r>
            <w:r w:rsidR="004E1E0A" w:rsidRPr="00D259F7">
              <w:rPr>
                <w:rFonts w:eastAsia="Calibri" w:cs="Times New Roman"/>
                <w:sz w:val="20"/>
                <w:szCs w:val="20"/>
                <w:lang w:val="fr-CA"/>
              </w:rPr>
              <w:t>) (3</w:t>
            </w:r>
            <w:r>
              <w:rPr>
                <w:rFonts w:eastAsia="Calibri" w:cs="Times New Roman"/>
                <w:sz w:val="20"/>
                <w:szCs w:val="20"/>
                <w:lang w:val="fr-CA"/>
              </w:rPr>
              <w:t>512</w:t>
            </w:r>
            <w:r w:rsidR="004E1E0A" w:rsidRPr="00D259F7">
              <w:rPr>
                <w:rFonts w:eastAsia="Calibri" w:cs="Times New Roman"/>
                <w:sz w:val="20"/>
                <w:szCs w:val="20"/>
                <w:lang w:val="fr-CA"/>
              </w:rPr>
              <w:t>4)</w:t>
            </w:r>
          </w:p>
        </w:tc>
      </w:tr>
      <w:tr w:rsidR="004E1E0A" w:rsidRPr="00A47393" w:rsidTr="007A6D33">
        <w:trPr>
          <w:cantSplit/>
          <w:trHeight w:val="288"/>
        </w:trPr>
        <w:tc>
          <w:tcPr>
            <w:tcW w:w="2398" w:type="dxa"/>
          </w:tcPr>
          <w:p w:rsidR="004E1E0A" w:rsidRPr="003A74F5" w:rsidRDefault="004E1E0A" w:rsidP="000D1062">
            <w:pPr>
              <w:rPr>
                <w:rFonts w:eastAsia="Calibri" w:cs="Times New Roman"/>
                <w:sz w:val="20"/>
                <w:szCs w:val="20"/>
              </w:rPr>
            </w:pPr>
            <w:r w:rsidRPr="003A74F5">
              <w:rPr>
                <w:rFonts w:eastAsia="Calibri" w:cs="Times New Roman"/>
                <w:sz w:val="20"/>
                <w:szCs w:val="20"/>
              </w:rPr>
              <w:t>201</w:t>
            </w:r>
            <w:r w:rsidR="000D1062">
              <w:rPr>
                <w:rFonts w:eastAsia="Calibri" w:cs="Times New Roman"/>
                <w:sz w:val="20"/>
                <w:szCs w:val="20"/>
              </w:rPr>
              <w:t>4</w:t>
            </w:r>
            <w:r w:rsidRPr="003A74F5">
              <w:rPr>
                <w:rFonts w:eastAsia="Calibri" w:cs="Times New Roman"/>
                <w:sz w:val="20"/>
                <w:szCs w:val="20"/>
              </w:rPr>
              <w:t>-</w:t>
            </w:r>
            <w:r w:rsidR="000D1062">
              <w:rPr>
                <w:rFonts w:eastAsia="Calibri" w:cs="Times New Roman"/>
                <w:sz w:val="20"/>
                <w:szCs w:val="20"/>
              </w:rPr>
              <w:t>0</w:t>
            </w:r>
            <w:r w:rsidRPr="003A74F5">
              <w:rPr>
                <w:rFonts w:eastAsia="Calibri" w:cs="Times New Roman"/>
                <w:sz w:val="20"/>
                <w:szCs w:val="20"/>
              </w:rPr>
              <w:t>1-</w:t>
            </w:r>
            <w:r w:rsidR="000D1062">
              <w:rPr>
                <w:rFonts w:eastAsia="Calibri" w:cs="Times New Roman"/>
                <w:sz w:val="20"/>
                <w:szCs w:val="20"/>
              </w:rPr>
              <w:t>2</w:t>
            </w:r>
            <w:r w:rsidRPr="003A74F5">
              <w:rPr>
                <w:rFonts w:eastAsia="Calibri" w:cs="Times New Roman"/>
                <w:sz w:val="20"/>
                <w:szCs w:val="20"/>
              </w:rPr>
              <w:t>1</w:t>
            </w:r>
          </w:p>
        </w:tc>
        <w:tc>
          <w:tcPr>
            <w:tcW w:w="7178" w:type="dxa"/>
          </w:tcPr>
          <w:p w:rsidR="004E1E0A" w:rsidRPr="003A74F5" w:rsidRDefault="00D259F7" w:rsidP="00DA0E43">
            <w:pPr>
              <w:jc w:val="both"/>
              <w:rPr>
                <w:rFonts w:eastAsia="Calibri" w:cs="Times New Roman"/>
                <w:sz w:val="20"/>
                <w:szCs w:val="20"/>
                <w:lang w:val="fr-CA"/>
              </w:rPr>
            </w:pPr>
            <w:r>
              <w:rPr>
                <w:rFonts w:eastAsia="Calibri" w:cs="Times New Roman"/>
                <w:i/>
                <w:sz w:val="20"/>
                <w:szCs w:val="20"/>
                <w:lang w:val="fr-CA"/>
              </w:rPr>
              <w:t>Sa M</w:t>
            </w:r>
            <w:r w:rsidR="004E1E0A">
              <w:rPr>
                <w:rFonts w:eastAsia="Calibri" w:cs="Times New Roman"/>
                <w:i/>
                <w:sz w:val="20"/>
                <w:szCs w:val="20"/>
                <w:lang w:val="fr-CA"/>
              </w:rPr>
              <w:t>a</w:t>
            </w:r>
            <w:r>
              <w:rPr>
                <w:rFonts w:eastAsia="Calibri" w:cs="Times New Roman"/>
                <w:i/>
                <w:sz w:val="20"/>
                <w:szCs w:val="20"/>
                <w:lang w:val="fr-CA"/>
              </w:rPr>
              <w:t>jesté la R</w:t>
            </w:r>
            <w:r w:rsidR="004E1E0A">
              <w:rPr>
                <w:rFonts w:eastAsia="Calibri" w:cs="Times New Roman"/>
                <w:i/>
                <w:sz w:val="20"/>
                <w:szCs w:val="20"/>
                <w:lang w:val="fr-CA"/>
              </w:rPr>
              <w:t>ein</w:t>
            </w:r>
            <w:r>
              <w:rPr>
                <w:rFonts w:eastAsia="Calibri" w:cs="Times New Roman"/>
                <w:i/>
                <w:sz w:val="20"/>
                <w:szCs w:val="20"/>
                <w:lang w:val="fr-CA"/>
              </w:rPr>
              <w:t>e c</w:t>
            </w:r>
            <w:r w:rsidR="004E1E0A" w:rsidRPr="003A74F5">
              <w:rPr>
                <w:rFonts w:eastAsia="Calibri" w:cs="Times New Roman"/>
                <w:i/>
                <w:sz w:val="20"/>
                <w:szCs w:val="20"/>
                <w:lang w:val="fr-CA"/>
              </w:rPr>
              <w:t xml:space="preserve">. </w:t>
            </w:r>
            <w:r w:rsidR="00FB4575">
              <w:rPr>
                <w:rFonts w:eastAsia="Calibri" w:cs="Times New Roman"/>
                <w:i/>
                <w:sz w:val="20"/>
                <w:szCs w:val="20"/>
                <w:lang w:val="fr-CA"/>
              </w:rPr>
              <w:t>Guy Aucla</w:t>
            </w:r>
            <w:r w:rsidR="004E1E0A">
              <w:rPr>
                <w:rFonts w:eastAsia="Calibri" w:cs="Times New Roman"/>
                <w:i/>
                <w:sz w:val="20"/>
                <w:szCs w:val="20"/>
                <w:lang w:val="fr-CA"/>
              </w:rPr>
              <w:t xml:space="preserve">ir </w:t>
            </w:r>
            <w:r w:rsidR="004E1E0A" w:rsidRPr="003A74F5">
              <w:rPr>
                <w:rFonts w:eastAsia="Calibri" w:cs="Times New Roman"/>
                <w:i/>
                <w:sz w:val="20"/>
                <w:szCs w:val="20"/>
                <w:lang w:val="fr-CA"/>
              </w:rPr>
              <w:t>e</w:t>
            </w:r>
            <w:r w:rsidR="004E1E0A">
              <w:rPr>
                <w:rFonts w:eastAsia="Calibri" w:cs="Times New Roman"/>
                <w:i/>
                <w:sz w:val="20"/>
                <w:szCs w:val="20"/>
                <w:lang w:val="fr-CA"/>
              </w:rPr>
              <w:t>t a</w:t>
            </w:r>
            <w:r w:rsidR="00FB4575">
              <w:rPr>
                <w:rFonts w:eastAsia="Calibri" w:cs="Times New Roman"/>
                <w:i/>
                <w:sz w:val="20"/>
                <w:szCs w:val="20"/>
                <w:lang w:val="fr-CA"/>
              </w:rPr>
              <w:t>utres</w:t>
            </w:r>
            <w:r w:rsidR="004E1E0A" w:rsidRPr="003A74F5">
              <w:rPr>
                <w:rFonts w:eastAsia="Calibri" w:cs="Times New Roman"/>
                <w:sz w:val="20"/>
                <w:szCs w:val="20"/>
                <w:lang w:val="fr-CA"/>
              </w:rPr>
              <w:t xml:space="preserve"> (</w:t>
            </w:r>
            <w:r w:rsidR="00FB4575">
              <w:rPr>
                <w:rFonts w:eastAsia="Calibri" w:cs="Times New Roman"/>
                <w:sz w:val="20"/>
                <w:szCs w:val="20"/>
                <w:lang w:val="fr-CA"/>
              </w:rPr>
              <w:t>Qc</w:t>
            </w:r>
            <w:r w:rsidR="004E1E0A" w:rsidRPr="003A74F5">
              <w:rPr>
                <w:rFonts w:eastAsia="Calibri" w:cs="Times New Roman"/>
                <w:sz w:val="20"/>
                <w:szCs w:val="20"/>
                <w:lang w:val="fr-CA"/>
              </w:rPr>
              <w:t>) (C</w:t>
            </w:r>
            <w:r w:rsidR="00FB4575">
              <w:rPr>
                <w:rFonts w:eastAsia="Calibri" w:cs="Times New Roman"/>
                <w:sz w:val="20"/>
                <w:szCs w:val="20"/>
                <w:lang w:val="fr-CA"/>
              </w:rPr>
              <w:t>r</w:t>
            </w:r>
            <w:r w:rsidR="004E1E0A" w:rsidRPr="003A74F5">
              <w:rPr>
                <w:rFonts w:eastAsia="Calibri" w:cs="Times New Roman"/>
                <w:sz w:val="20"/>
                <w:szCs w:val="20"/>
                <w:lang w:val="fr-CA"/>
              </w:rPr>
              <w:t>i</w:t>
            </w:r>
            <w:r w:rsidR="00FB4575">
              <w:rPr>
                <w:rFonts w:eastAsia="Calibri" w:cs="Times New Roman"/>
                <w:sz w:val="20"/>
                <w:szCs w:val="20"/>
                <w:lang w:val="fr-CA"/>
              </w:rPr>
              <w:t>m</w:t>
            </w:r>
            <w:r w:rsidR="004E1E0A" w:rsidRPr="003A74F5">
              <w:rPr>
                <w:rFonts w:eastAsia="Calibri" w:cs="Times New Roman"/>
                <w:sz w:val="20"/>
                <w:szCs w:val="20"/>
                <w:lang w:val="fr-CA"/>
              </w:rPr>
              <w:t>i</w:t>
            </w:r>
            <w:r w:rsidR="00FB4575">
              <w:rPr>
                <w:rFonts w:eastAsia="Calibri" w:cs="Times New Roman"/>
                <w:sz w:val="20"/>
                <w:szCs w:val="20"/>
                <w:lang w:val="fr-CA"/>
              </w:rPr>
              <w:t>nel</w:t>
            </w:r>
            <w:r w:rsidR="004E1E0A" w:rsidRPr="003A74F5">
              <w:rPr>
                <w:rFonts w:eastAsia="Calibri" w:cs="Times New Roman"/>
                <w:sz w:val="20"/>
                <w:szCs w:val="20"/>
                <w:lang w:val="fr-CA"/>
              </w:rPr>
              <w:t>l</w:t>
            </w:r>
            <w:r w:rsidR="00FB4575">
              <w:rPr>
                <w:rFonts w:eastAsia="Calibri" w:cs="Times New Roman"/>
                <w:sz w:val="20"/>
                <w:szCs w:val="20"/>
                <w:lang w:val="fr-CA"/>
              </w:rPr>
              <w:t>e</w:t>
            </w:r>
            <w:r w:rsidR="004E1E0A" w:rsidRPr="003A74F5">
              <w:rPr>
                <w:rFonts w:eastAsia="Calibri" w:cs="Times New Roman"/>
                <w:sz w:val="20"/>
                <w:szCs w:val="20"/>
                <w:lang w:val="fr-CA"/>
              </w:rPr>
              <w:t>) (</w:t>
            </w:r>
            <w:r w:rsidR="00FB4575">
              <w:rPr>
                <w:rFonts w:eastAsia="Calibri" w:cs="Times New Roman"/>
                <w:sz w:val="20"/>
                <w:szCs w:val="20"/>
                <w:lang w:val="fr-CA"/>
              </w:rPr>
              <w:t>De plein droit</w:t>
            </w:r>
            <w:r w:rsidR="004E1E0A" w:rsidRPr="003A74F5">
              <w:rPr>
                <w:rFonts w:eastAsia="Calibri" w:cs="Times New Roman"/>
                <w:sz w:val="20"/>
                <w:szCs w:val="20"/>
                <w:lang w:val="fr-CA"/>
              </w:rPr>
              <w:t>) (3</w:t>
            </w:r>
            <w:r w:rsidR="004E1E0A">
              <w:rPr>
                <w:rFonts w:eastAsia="Calibri" w:cs="Times New Roman"/>
                <w:sz w:val="20"/>
                <w:szCs w:val="20"/>
                <w:lang w:val="fr-CA"/>
              </w:rPr>
              <w:t>5</w:t>
            </w:r>
            <w:r>
              <w:rPr>
                <w:rFonts w:eastAsia="Calibri" w:cs="Times New Roman"/>
                <w:sz w:val="20"/>
                <w:szCs w:val="20"/>
                <w:lang w:val="fr-CA"/>
              </w:rPr>
              <w:t>372</w:t>
            </w:r>
            <w:r w:rsidR="004E1E0A" w:rsidRPr="003A74F5">
              <w:rPr>
                <w:rFonts w:eastAsia="Calibri" w:cs="Times New Roman"/>
                <w:sz w:val="20"/>
                <w:szCs w:val="20"/>
                <w:lang w:val="fr-CA"/>
              </w:rPr>
              <w:t>)</w:t>
            </w:r>
          </w:p>
        </w:tc>
      </w:tr>
      <w:tr w:rsidR="000D1062" w:rsidRPr="0085047E" w:rsidTr="00DA0E43">
        <w:trPr>
          <w:cantSplit/>
          <w:trHeight w:val="576"/>
        </w:trPr>
        <w:tc>
          <w:tcPr>
            <w:tcW w:w="2398" w:type="dxa"/>
          </w:tcPr>
          <w:p w:rsidR="000D1062" w:rsidRPr="003A74F5" w:rsidRDefault="000D1062" w:rsidP="000D1062">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4</w:t>
            </w:r>
            <w:r w:rsidRPr="003A74F5">
              <w:rPr>
                <w:rFonts w:eastAsia="Calibri" w:cs="Times New Roman"/>
                <w:sz w:val="20"/>
                <w:szCs w:val="20"/>
              </w:rPr>
              <w:t>-</w:t>
            </w:r>
            <w:r>
              <w:rPr>
                <w:rFonts w:eastAsia="Calibri" w:cs="Times New Roman"/>
                <w:sz w:val="20"/>
                <w:szCs w:val="20"/>
              </w:rPr>
              <w:t>0</w:t>
            </w:r>
            <w:r w:rsidRPr="003A74F5">
              <w:rPr>
                <w:rFonts w:eastAsia="Calibri" w:cs="Times New Roman"/>
                <w:sz w:val="20"/>
                <w:szCs w:val="20"/>
              </w:rPr>
              <w:t>1-</w:t>
            </w:r>
            <w:r>
              <w:rPr>
                <w:rFonts w:eastAsia="Calibri" w:cs="Times New Roman"/>
                <w:sz w:val="20"/>
                <w:szCs w:val="20"/>
              </w:rPr>
              <w:t>22</w:t>
            </w:r>
          </w:p>
        </w:tc>
        <w:tc>
          <w:tcPr>
            <w:tcW w:w="7178" w:type="dxa"/>
          </w:tcPr>
          <w:p w:rsidR="000D1062" w:rsidRPr="00FB4575" w:rsidRDefault="00FB4575" w:rsidP="00D87154">
            <w:pPr>
              <w:jc w:val="both"/>
              <w:rPr>
                <w:rFonts w:eastAsia="Calibri" w:cs="Times New Roman"/>
                <w:i/>
                <w:sz w:val="20"/>
                <w:szCs w:val="20"/>
              </w:rPr>
            </w:pPr>
            <w:r>
              <w:rPr>
                <w:rFonts w:eastAsia="Calibri" w:cs="Times New Roman"/>
                <w:i/>
                <w:sz w:val="20"/>
                <w:szCs w:val="20"/>
              </w:rPr>
              <w:t>Ga</w:t>
            </w:r>
            <w:r w:rsidRPr="0085047E">
              <w:rPr>
                <w:rFonts w:eastAsia="Calibri" w:cs="Times New Roman"/>
                <w:i/>
                <w:sz w:val="20"/>
                <w:szCs w:val="20"/>
              </w:rPr>
              <w:t>rr</w:t>
            </w:r>
            <w:r>
              <w:rPr>
                <w:rFonts w:eastAsia="Calibri" w:cs="Times New Roman"/>
                <w:i/>
                <w:sz w:val="20"/>
                <w:szCs w:val="20"/>
              </w:rPr>
              <w:t>y Edw</w:t>
            </w:r>
            <w:r w:rsidRPr="0085047E">
              <w:rPr>
                <w:rFonts w:eastAsia="Calibri" w:cs="Times New Roman"/>
                <w:i/>
                <w:sz w:val="20"/>
                <w:szCs w:val="20"/>
              </w:rPr>
              <w:t>ar</w:t>
            </w:r>
            <w:r>
              <w:rPr>
                <w:rFonts w:eastAsia="Calibri" w:cs="Times New Roman"/>
                <w:i/>
                <w:sz w:val="20"/>
                <w:szCs w:val="20"/>
              </w:rPr>
              <w:t xml:space="preserve">d Yelle </w:t>
            </w:r>
            <w:r w:rsidRPr="0085047E">
              <w:rPr>
                <w:rFonts w:eastAsia="Calibri" w:cs="Times New Roman"/>
                <w:i/>
                <w:sz w:val="20"/>
                <w:szCs w:val="20"/>
              </w:rPr>
              <w:t>v. Her Majesty the Queen</w:t>
            </w:r>
            <w:r w:rsidRPr="0085047E">
              <w:rPr>
                <w:rFonts w:eastAsia="Calibri" w:cs="Times New Roman"/>
                <w:sz w:val="20"/>
                <w:szCs w:val="20"/>
              </w:rPr>
              <w:t xml:space="preserve"> </w:t>
            </w:r>
            <w:r w:rsidRPr="003A74F5">
              <w:rPr>
                <w:rFonts w:eastAsia="Calibri" w:cs="Times New Roman"/>
                <w:sz w:val="20"/>
                <w:szCs w:val="20"/>
              </w:rPr>
              <w:t>(</w:t>
            </w:r>
            <w:r>
              <w:rPr>
                <w:rFonts w:eastAsia="Calibri" w:cs="Times New Roman"/>
                <w:sz w:val="20"/>
                <w:szCs w:val="20"/>
              </w:rPr>
              <w:t>N.W</w:t>
            </w:r>
            <w:r w:rsidRPr="003A74F5">
              <w:rPr>
                <w:rFonts w:eastAsia="Calibri" w:cs="Times New Roman"/>
                <w:sz w:val="20"/>
                <w:szCs w:val="20"/>
              </w:rPr>
              <w:t>.</w:t>
            </w:r>
            <w:r>
              <w:rPr>
                <w:rFonts w:eastAsia="Calibri" w:cs="Times New Roman"/>
                <w:sz w:val="20"/>
                <w:szCs w:val="20"/>
              </w:rPr>
              <w:t>T</w:t>
            </w:r>
            <w:r w:rsidRPr="003A74F5">
              <w:rPr>
                <w:rFonts w:eastAsia="Calibri" w:cs="Times New Roman"/>
                <w:sz w:val="20"/>
                <w:szCs w:val="20"/>
              </w:rPr>
              <w:t>.) (C</w:t>
            </w:r>
            <w:r>
              <w:rPr>
                <w:rFonts w:eastAsia="Calibri" w:cs="Times New Roman"/>
                <w:sz w:val="20"/>
                <w:szCs w:val="20"/>
              </w:rPr>
              <w:t>r</w:t>
            </w:r>
            <w:r w:rsidRPr="003A74F5">
              <w:rPr>
                <w:rFonts w:eastAsia="Calibri" w:cs="Times New Roman"/>
                <w:sz w:val="20"/>
                <w:szCs w:val="20"/>
              </w:rPr>
              <w:t>i</w:t>
            </w:r>
            <w:r>
              <w:rPr>
                <w:rFonts w:eastAsia="Calibri" w:cs="Times New Roman"/>
                <w:sz w:val="20"/>
                <w:szCs w:val="20"/>
              </w:rPr>
              <w:t>m</w:t>
            </w:r>
            <w:r w:rsidRPr="003A74F5">
              <w:rPr>
                <w:rFonts w:eastAsia="Calibri" w:cs="Times New Roman"/>
                <w:sz w:val="20"/>
                <w:szCs w:val="20"/>
              </w:rPr>
              <w:t>i</w:t>
            </w:r>
            <w:r>
              <w:rPr>
                <w:rFonts w:eastAsia="Calibri" w:cs="Times New Roman"/>
                <w:sz w:val="20"/>
                <w:szCs w:val="20"/>
              </w:rPr>
              <w:t>na</w:t>
            </w:r>
            <w:r w:rsidRPr="003A74F5">
              <w:rPr>
                <w:rFonts w:eastAsia="Calibri" w:cs="Times New Roman"/>
                <w:sz w:val="20"/>
                <w:szCs w:val="20"/>
              </w:rPr>
              <w:t>l) (</w:t>
            </w:r>
            <w:r w:rsidRPr="00D259F7">
              <w:rPr>
                <w:rFonts w:eastAsia="Calibri" w:cs="Times New Roman"/>
                <w:sz w:val="20"/>
                <w:szCs w:val="20"/>
              </w:rPr>
              <w:t>As</w:t>
            </w:r>
            <w:r w:rsidR="00D87154">
              <w:rPr>
                <w:rFonts w:eastAsia="Calibri" w:cs="Times New Roman"/>
                <w:sz w:val="20"/>
                <w:szCs w:val="20"/>
              </w:rPr>
              <w:t> </w:t>
            </w:r>
            <w:r w:rsidRPr="00D259F7">
              <w:rPr>
                <w:rFonts w:eastAsia="Calibri" w:cs="Times New Roman"/>
                <w:sz w:val="20"/>
                <w:szCs w:val="20"/>
              </w:rPr>
              <w:t>of</w:t>
            </w:r>
            <w:r w:rsidR="00D87154">
              <w:rPr>
                <w:rFonts w:eastAsia="Calibri" w:cs="Times New Roman"/>
                <w:sz w:val="20"/>
                <w:szCs w:val="20"/>
              </w:rPr>
              <w:t> </w:t>
            </w:r>
            <w:r w:rsidRPr="00D259F7">
              <w:rPr>
                <w:rFonts w:eastAsia="Calibri" w:cs="Times New Roman"/>
                <w:sz w:val="20"/>
                <w:szCs w:val="20"/>
              </w:rPr>
              <w:t>Right</w:t>
            </w:r>
            <w:r w:rsidRPr="003A74F5">
              <w:rPr>
                <w:rFonts w:eastAsia="Calibri" w:cs="Times New Roman"/>
                <w:sz w:val="20"/>
                <w:szCs w:val="20"/>
              </w:rPr>
              <w:t>) (3</w:t>
            </w:r>
            <w:r>
              <w:rPr>
                <w:rFonts w:eastAsia="Calibri" w:cs="Times New Roman"/>
                <w:sz w:val="20"/>
                <w:szCs w:val="20"/>
              </w:rPr>
              <w:t>5361</w:t>
            </w:r>
            <w:r w:rsidRPr="003A74F5">
              <w:rPr>
                <w:rFonts w:eastAsia="Calibri" w:cs="Times New Roman"/>
                <w:sz w:val="20"/>
                <w:szCs w:val="20"/>
              </w:rPr>
              <w:t>)</w:t>
            </w:r>
          </w:p>
        </w:tc>
      </w:tr>
      <w:tr w:rsidR="000D1062" w:rsidRPr="0085047E" w:rsidTr="007A6D33">
        <w:trPr>
          <w:cantSplit/>
          <w:trHeight w:val="288"/>
        </w:trPr>
        <w:tc>
          <w:tcPr>
            <w:tcW w:w="2398" w:type="dxa"/>
          </w:tcPr>
          <w:p w:rsidR="000D1062" w:rsidRPr="003A74F5" w:rsidRDefault="000D1062" w:rsidP="000D1062">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4</w:t>
            </w:r>
            <w:r w:rsidRPr="003A74F5">
              <w:rPr>
                <w:rFonts w:eastAsia="Calibri" w:cs="Times New Roman"/>
                <w:sz w:val="20"/>
                <w:szCs w:val="20"/>
              </w:rPr>
              <w:t>-</w:t>
            </w:r>
            <w:r>
              <w:rPr>
                <w:rFonts w:eastAsia="Calibri" w:cs="Times New Roman"/>
                <w:sz w:val="20"/>
                <w:szCs w:val="20"/>
              </w:rPr>
              <w:t>0</w:t>
            </w:r>
            <w:r w:rsidRPr="003A74F5">
              <w:rPr>
                <w:rFonts w:eastAsia="Calibri" w:cs="Times New Roman"/>
                <w:sz w:val="20"/>
                <w:szCs w:val="20"/>
              </w:rPr>
              <w:t>1-</w:t>
            </w:r>
            <w:r>
              <w:rPr>
                <w:rFonts w:eastAsia="Calibri" w:cs="Times New Roman"/>
                <w:sz w:val="20"/>
                <w:szCs w:val="20"/>
              </w:rPr>
              <w:t>22</w:t>
            </w:r>
          </w:p>
        </w:tc>
        <w:tc>
          <w:tcPr>
            <w:tcW w:w="7178" w:type="dxa"/>
          </w:tcPr>
          <w:p w:rsidR="000D1062" w:rsidRPr="00FB4575" w:rsidRDefault="00FB4575" w:rsidP="00DA0E43">
            <w:pPr>
              <w:jc w:val="both"/>
              <w:rPr>
                <w:rFonts w:eastAsia="Calibri" w:cs="Times New Roman"/>
                <w:i/>
                <w:sz w:val="20"/>
                <w:szCs w:val="20"/>
              </w:rPr>
            </w:pPr>
            <w:r>
              <w:rPr>
                <w:rFonts w:eastAsia="Calibri" w:cs="Times New Roman"/>
                <w:i/>
                <w:sz w:val="20"/>
                <w:szCs w:val="20"/>
              </w:rPr>
              <w:t>Andy K</w:t>
            </w:r>
            <w:r w:rsidRPr="0085047E">
              <w:rPr>
                <w:rFonts w:eastAsia="Calibri" w:cs="Times New Roman"/>
                <w:i/>
                <w:sz w:val="20"/>
                <w:szCs w:val="20"/>
              </w:rPr>
              <w:t>o</w:t>
            </w:r>
            <w:r>
              <w:rPr>
                <w:rFonts w:eastAsia="Calibri" w:cs="Times New Roman"/>
                <w:i/>
                <w:sz w:val="20"/>
                <w:szCs w:val="20"/>
              </w:rPr>
              <w:t>cz</w:t>
            </w:r>
            <w:r w:rsidRPr="0085047E">
              <w:rPr>
                <w:rFonts w:eastAsia="Calibri" w:cs="Times New Roman"/>
                <w:i/>
                <w:sz w:val="20"/>
                <w:szCs w:val="20"/>
              </w:rPr>
              <w:t>a</w:t>
            </w:r>
            <w:r>
              <w:rPr>
                <w:rFonts w:eastAsia="Calibri" w:cs="Times New Roman"/>
                <w:i/>
                <w:sz w:val="20"/>
                <w:szCs w:val="20"/>
              </w:rPr>
              <w:t xml:space="preserve">b </w:t>
            </w:r>
            <w:r w:rsidRPr="0085047E">
              <w:rPr>
                <w:rFonts w:eastAsia="Calibri" w:cs="Times New Roman"/>
                <w:i/>
                <w:sz w:val="20"/>
                <w:szCs w:val="20"/>
              </w:rPr>
              <w:t>v. Her Majesty the Queen</w:t>
            </w:r>
            <w:r w:rsidRPr="0085047E">
              <w:rPr>
                <w:rFonts w:eastAsia="Calibri" w:cs="Times New Roman"/>
                <w:sz w:val="20"/>
                <w:szCs w:val="20"/>
              </w:rPr>
              <w:t xml:space="preserve"> </w:t>
            </w:r>
            <w:r w:rsidRPr="003A74F5">
              <w:rPr>
                <w:rFonts w:eastAsia="Calibri" w:cs="Times New Roman"/>
                <w:sz w:val="20"/>
                <w:szCs w:val="20"/>
              </w:rPr>
              <w:t>(</w:t>
            </w:r>
            <w:r>
              <w:rPr>
                <w:rFonts w:eastAsia="Calibri" w:cs="Times New Roman"/>
                <w:sz w:val="20"/>
                <w:szCs w:val="20"/>
              </w:rPr>
              <w:t>Man.</w:t>
            </w:r>
            <w:r w:rsidRPr="003A74F5">
              <w:rPr>
                <w:rFonts w:eastAsia="Calibri" w:cs="Times New Roman"/>
                <w:sz w:val="20"/>
                <w:szCs w:val="20"/>
              </w:rPr>
              <w:t>) (C</w:t>
            </w:r>
            <w:r>
              <w:rPr>
                <w:rFonts w:eastAsia="Calibri" w:cs="Times New Roman"/>
                <w:sz w:val="20"/>
                <w:szCs w:val="20"/>
              </w:rPr>
              <w:t>r</w:t>
            </w:r>
            <w:r w:rsidRPr="003A74F5">
              <w:rPr>
                <w:rFonts w:eastAsia="Calibri" w:cs="Times New Roman"/>
                <w:sz w:val="20"/>
                <w:szCs w:val="20"/>
              </w:rPr>
              <w:t>i</w:t>
            </w:r>
            <w:r>
              <w:rPr>
                <w:rFonts w:eastAsia="Calibri" w:cs="Times New Roman"/>
                <w:sz w:val="20"/>
                <w:szCs w:val="20"/>
              </w:rPr>
              <w:t>m</w:t>
            </w:r>
            <w:r w:rsidRPr="003A74F5">
              <w:rPr>
                <w:rFonts w:eastAsia="Calibri" w:cs="Times New Roman"/>
                <w:sz w:val="20"/>
                <w:szCs w:val="20"/>
              </w:rPr>
              <w:t>i</w:t>
            </w:r>
            <w:r>
              <w:rPr>
                <w:rFonts w:eastAsia="Calibri" w:cs="Times New Roman"/>
                <w:sz w:val="20"/>
                <w:szCs w:val="20"/>
              </w:rPr>
              <w:t>na</w:t>
            </w:r>
            <w:r w:rsidRPr="003A74F5">
              <w:rPr>
                <w:rFonts w:eastAsia="Calibri" w:cs="Times New Roman"/>
                <w:sz w:val="20"/>
                <w:szCs w:val="20"/>
              </w:rPr>
              <w:t>l) (</w:t>
            </w:r>
            <w:r w:rsidRPr="00D259F7">
              <w:rPr>
                <w:rFonts w:eastAsia="Calibri" w:cs="Times New Roman"/>
                <w:sz w:val="20"/>
                <w:szCs w:val="20"/>
              </w:rPr>
              <w:t>As of Right</w:t>
            </w:r>
            <w:r w:rsidRPr="003A74F5">
              <w:rPr>
                <w:rFonts w:eastAsia="Calibri" w:cs="Times New Roman"/>
                <w:sz w:val="20"/>
                <w:szCs w:val="20"/>
              </w:rPr>
              <w:t>) (3</w:t>
            </w:r>
            <w:r>
              <w:rPr>
                <w:rFonts w:eastAsia="Calibri" w:cs="Times New Roman"/>
                <w:sz w:val="20"/>
                <w:szCs w:val="20"/>
              </w:rPr>
              <w:t>5411</w:t>
            </w:r>
            <w:r w:rsidRPr="003A74F5">
              <w:rPr>
                <w:rFonts w:eastAsia="Calibri" w:cs="Times New Roman"/>
                <w:sz w:val="20"/>
                <w:szCs w:val="20"/>
              </w:rPr>
              <w:t>)</w:t>
            </w:r>
          </w:p>
        </w:tc>
      </w:tr>
      <w:tr w:rsidR="000D1062" w:rsidRPr="0085047E" w:rsidTr="00DA0E43">
        <w:trPr>
          <w:cantSplit/>
          <w:trHeight w:val="576"/>
        </w:trPr>
        <w:tc>
          <w:tcPr>
            <w:tcW w:w="2398" w:type="dxa"/>
          </w:tcPr>
          <w:p w:rsidR="0003365C" w:rsidRPr="003A74F5" w:rsidRDefault="000D1062" w:rsidP="0003365C">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4</w:t>
            </w:r>
            <w:r w:rsidRPr="003A74F5">
              <w:rPr>
                <w:rFonts w:eastAsia="Calibri" w:cs="Times New Roman"/>
                <w:sz w:val="20"/>
                <w:szCs w:val="20"/>
              </w:rPr>
              <w:t>-</w:t>
            </w:r>
            <w:r>
              <w:rPr>
                <w:rFonts w:eastAsia="Calibri" w:cs="Times New Roman"/>
                <w:sz w:val="20"/>
                <w:szCs w:val="20"/>
              </w:rPr>
              <w:t>0</w:t>
            </w:r>
            <w:r w:rsidRPr="003A74F5">
              <w:rPr>
                <w:rFonts w:eastAsia="Calibri" w:cs="Times New Roman"/>
                <w:sz w:val="20"/>
                <w:szCs w:val="20"/>
              </w:rPr>
              <w:t>1-</w:t>
            </w:r>
            <w:r>
              <w:rPr>
                <w:rFonts w:eastAsia="Calibri" w:cs="Times New Roman"/>
                <w:sz w:val="20"/>
                <w:szCs w:val="20"/>
              </w:rPr>
              <w:t>23</w:t>
            </w:r>
            <w:r w:rsidR="0003365C">
              <w:rPr>
                <w:rFonts w:eastAsia="Calibri" w:cs="Times New Roman"/>
                <w:sz w:val="20"/>
                <w:szCs w:val="20"/>
              </w:rPr>
              <w:t xml:space="preserve"> / 2014-01-24</w:t>
            </w:r>
          </w:p>
        </w:tc>
        <w:tc>
          <w:tcPr>
            <w:tcW w:w="7178" w:type="dxa"/>
          </w:tcPr>
          <w:p w:rsidR="003A5A65" w:rsidRPr="00FB4575" w:rsidRDefault="00FB4575" w:rsidP="003A5A65">
            <w:pPr>
              <w:jc w:val="both"/>
              <w:rPr>
                <w:rFonts w:eastAsia="Calibri" w:cs="Times New Roman"/>
                <w:sz w:val="20"/>
                <w:szCs w:val="20"/>
              </w:rPr>
            </w:pPr>
            <w:r w:rsidRPr="0085047E">
              <w:rPr>
                <w:rFonts w:eastAsia="Calibri" w:cs="Times New Roman"/>
                <w:i/>
                <w:sz w:val="20"/>
                <w:szCs w:val="20"/>
              </w:rPr>
              <w:t>Her Majesty the Queen</w:t>
            </w:r>
            <w:r>
              <w:rPr>
                <w:rFonts w:eastAsia="Calibri" w:cs="Times New Roman"/>
                <w:i/>
                <w:sz w:val="20"/>
                <w:szCs w:val="20"/>
              </w:rPr>
              <w:t xml:space="preserve"> v. Level Aaron Carvery </w:t>
            </w:r>
            <w:r w:rsidRPr="0085047E">
              <w:rPr>
                <w:rFonts w:eastAsia="Calibri" w:cs="Times New Roman"/>
                <w:sz w:val="20"/>
                <w:szCs w:val="20"/>
              </w:rPr>
              <w:t>(</w:t>
            </w:r>
            <w:r>
              <w:rPr>
                <w:rFonts w:eastAsia="Calibri" w:cs="Times New Roman"/>
                <w:sz w:val="20"/>
                <w:szCs w:val="20"/>
              </w:rPr>
              <w:t>N</w:t>
            </w:r>
            <w:r w:rsidRPr="0085047E">
              <w:rPr>
                <w:rFonts w:eastAsia="Calibri" w:cs="Times New Roman"/>
                <w:sz w:val="20"/>
                <w:szCs w:val="20"/>
              </w:rPr>
              <w:t>.</w:t>
            </w:r>
            <w:r>
              <w:rPr>
                <w:rFonts w:eastAsia="Calibri" w:cs="Times New Roman"/>
                <w:sz w:val="20"/>
                <w:szCs w:val="20"/>
              </w:rPr>
              <w:t>S.</w:t>
            </w:r>
            <w:r w:rsidRPr="0085047E">
              <w:rPr>
                <w:rFonts w:eastAsia="Calibri" w:cs="Times New Roman"/>
                <w:sz w:val="20"/>
                <w:szCs w:val="20"/>
              </w:rPr>
              <w:t xml:space="preserve">) </w:t>
            </w:r>
            <w:r w:rsidRPr="00D259F7">
              <w:rPr>
                <w:rFonts w:eastAsia="Calibri" w:cs="Times New Roman"/>
                <w:sz w:val="20"/>
                <w:szCs w:val="20"/>
              </w:rPr>
              <w:t>(Criminal) (</w:t>
            </w:r>
            <w:r>
              <w:rPr>
                <w:rFonts w:eastAsia="Calibri" w:cs="Times New Roman"/>
                <w:sz w:val="20"/>
                <w:szCs w:val="20"/>
              </w:rPr>
              <w:t>By Leave</w:t>
            </w:r>
            <w:r w:rsidRPr="00D259F7">
              <w:rPr>
                <w:rFonts w:eastAsia="Calibri" w:cs="Times New Roman"/>
                <w:sz w:val="20"/>
                <w:szCs w:val="20"/>
              </w:rPr>
              <w:t>) (3</w:t>
            </w:r>
            <w:r>
              <w:rPr>
                <w:rFonts w:eastAsia="Calibri" w:cs="Times New Roman"/>
                <w:sz w:val="20"/>
                <w:szCs w:val="20"/>
              </w:rPr>
              <w:t>5115</w:t>
            </w:r>
            <w:r w:rsidRPr="00D259F7">
              <w:rPr>
                <w:rFonts w:eastAsia="Calibri" w:cs="Times New Roman"/>
                <w:sz w:val="20"/>
                <w:szCs w:val="20"/>
              </w:rPr>
              <w:t>)</w:t>
            </w:r>
          </w:p>
          <w:p w:rsidR="000D1062" w:rsidRPr="00FB4575" w:rsidRDefault="003A5A65" w:rsidP="00DA0E43">
            <w:pPr>
              <w:jc w:val="both"/>
              <w:rPr>
                <w:rFonts w:eastAsia="Calibri" w:cs="Times New Roman"/>
                <w:i/>
                <w:sz w:val="20"/>
                <w:szCs w:val="20"/>
              </w:rPr>
            </w:pPr>
            <w:r w:rsidRPr="00FB4575">
              <w:rPr>
                <w:rFonts w:eastAsia="Calibri" w:cs="Times New Roman"/>
                <w:sz w:val="20"/>
                <w:szCs w:val="20"/>
              </w:rPr>
              <w:t>(Early start time: 9:00 a.m. / Horaire modifié : audience débutant à 9 h)</w:t>
            </w:r>
          </w:p>
        </w:tc>
      </w:tr>
      <w:tr w:rsidR="000D1062" w:rsidRPr="0085047E" w:rsidTr="007A6D33">
        <w:trPr>
          <w:cantSplit/>
          <w:trHeight w:val="288"/>
        </w:trPr>
        <w:tc>
          <w:tcPr>
            <w:tcW w:w="2398" w:type="dxa"/>
          </w:tcPr>
          <w:p w:rsidR="000D1062" w:rsidRPr="003A74F5" w:rsidRDefault="000D1062" w:rsidP="000D1062">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4</w:t>
            </w:r>
            <w:r w:rsidRPr="003A74F5">
              <w:rPr>
                <w:rFonts w:eastAsia="Calibri" w:cs="Times New Roman"/>
                <w:sz w:val="20"/>
                <w:szCs w:val="20"/>
              </w:rPr>
              <w:t>-</w:t>
            </w:r>
            <w:r>
              <w:rPr>
                <w:rFonts w:eastAsia="Calibri" w:cs="Times New Roman"/>
                <w:sz w:val="20"/>
                <w:szCs w:val="20"/>
              </w:rPr>
              <w:t>0</w:t>
            </w:r>
            <w:r w:rsidRPr="003A74F5">
              <w:rPr>
                <w:rFonts w:eastAsia="Calibri" w:cs="Times New Roman"/>
                <w:sz w:val="20"/>
                <w:szCs w:val="20"/>
              </w:rPr>
              <w:t>1-</w:t>
            </w:r>
            <w:r>
              <w:rPr>
                <w:rFonts w:eastAsia="Calibri" w:cs="Times New Roman"/>
                <w:sz w:val="20"/>
                <w:szCs w:val="20"/>
              </w:rPr>
              <w:t>23</w:t>
            </w:r>
            <w:r w:rsidR="0003365C">
              <w:rPr>
                <w:rFonts w:eastAsia="Calibri" w:cs="Times New Roman"/>
                <w:sz w:val="20"/>
                <w:szCs w:val="20"/>
              </w:rPr>
              <w:t xml:space="preserve"> / 2014-01-24</w:t>
            </w:r>
          </w:p>
        </w:tc>
        <w:tc>
          <w:tcPr>
            <w:tcW w:w="7178" w:type="dxa"/>
          </w:tcPr>
          <w:p w:rsidR="000D1062" w:rsidRPr="00FB4575" w:rsidRDefault="00FB4575" w:rsidP="00DA0E43">
            <w:pPr>
              <w:jc w:val="both"/>
              <w:rPr>
                <w:rFonts w:eastAsia="Calibri" w:cs="Times New Roman"/>
                <w:i/>
                <w:sz w:val="20"/>
                <w:szCs w:val="20"/>
              </w:rPr>
            </w:pPr>
            <w:r w:rsidRPr="0085047E">
              <w:rPr>
                <w:rFonts w:eastAsia="Calibri" w:cs="Times New Roman"/>
                <w:i/>
                <w:sz w:val="20"/>
                <w:szCs w:val="20"/>
              </w:rPr>
              <w:t>Her Majesty the Queen</w:t>
            </w:r>
            <w:r>
              <w:rPr>
                <w:rFonts w:eastAsia="Calibri" w:cs="Times New Roman"/>
                <w:i/>
                <w:sz w:val="20"/>
                <w:szCs w:val="20"/>
              </w:rPr>
              <w:t xml:space="preserve"> v. Sean Summers </w:t>
            </w:r>
            <w:r w:rsidRPr="0085047E">
              <w:rPr>
                <w:rFonts w:eastAsia="Calibri" w:cs="Times New Roman"/>
                <w:sz w:val="20"/>
                <w:szCs w:val="20"/>
              </w:rPr>
              <w:t>(</w:t>
            </w:r>
            <w:r>
              <w:rPr>
                <w:rFonts w:eastAsia="Calibri" w:cs="Times New Roman"/>
                <w:sz w:val="20"/>
                <w:szCs w:val="20"/>
              </w:rPr>
              <w:t>Ont.</w:t>
            </w:r>
            <w:r w:rsidRPr="0085047E">
              <w:rPr>
                <w:rFonts w:eastAsia="Calibri" w:cs="Times New Roman"/>
                <w:sz w:val="20"/>
                <w:szCs w:val="20"/>
              </w:rPr>
              <w:t xml:space="preserve">) </w:t>
            </w:r>
            <w:r w:rsidRPr="00D259F7">
              <w:rPr>
                <w:rFonts w:eastAsia="Calibri" w:cs="Times New Roman"/>
                <w:sz w:val="20"/>
                <w:szCs w:val="20"/>
              </w:rPr>
              <w:t>(Criminal) (</w:t>
            </w:r>
            <w:r>
              <w:rPr>
                <w:rFonts w:eastAsia="Calibri" w:cs="Times New Roman"/>
                <w:sz w:val="20"/>
                <w:szCs w:val="20"/>
              </w:rPr>
              <w:t>By Leave</w:t>
            </w:r>
            <w:r w:rsidRPr="00D259F7">
              <w:rPr>
                <w:rFonts w:eastAsia="Calibri" w:cs="Times New Roman"/>
                <w:sz w:val="20"/>
                <w:szCs w:val="20"/>
              </w:rPr>
              <w:t>) (3</w:t>
            </w:r>
            <w:r>
              <w:rPr>
                <w:rFonts w:eastAsia="Calibri" w:cs="Times New Roman"/>
                <w:sz w:val="20"/>
                <w:szCs w:val="20"/>
              </w:rPr>
              <w:t>5339</w:t>
            </w:r>
            <w:r w:rsidRPr="00D259F7">
              <w:rPr>
                <w:rFonts w:eastAsia="Calibri" w:cs="Times New Roman"/>
                <w:sz w:val="20"/>
                <w:szCs w:val="20"/>
              </w:rPr>
              <w:t>)</w:t>
            </w:r>
          </w:p>
        </w:tc>
      </w:tr>
      <w:tr w:rsidR="004E1E0A" w:rsidRPr="0085047E" w:rsidTr="007A6D33">
        <w:trPr>
          <w:cantSplit/>
          <w:trHeight w:val="288"/>
        </w:trPr>
        <w:tc>
          <w:tcPr>
            <w:tcW w:w="2398" w:type="dxa"/>
          </w:tcPr>
          <w:p w:rsidR="004E1E0A" w:rsidRPr="00FB4575" w:rsidRDefault="004E1E0A" w:rsidP="000D1062">
            <w:pPr>
              <w:rPr>
                <w:rFonts w:eastAsia="Calibri" w:cs="Times New Roman"/>
                <w:sz w:val="20"/>
                <w:szCs w:val="20"/>
              </w:rPr>
            </w:pPr>
            <w:r w:rsidRPr="00FB4575">
              <w:rPr>
                <w:rFonts w:eastAsia="Calibri" w:cs="Times New Roman"/>
                <w:sz w:val="20"/>
                <w:szCs w:val="20"/>
              </w:rPr>
              <w:t>201</w:t>
            </w:r>
            <w:r w:rsidR="000D1062" w:rsidRPr="00FB4575">
              <w:rPr>
                <w:rFonts w:eastAsia="Calibri" w:cs="Times New Roman"/>
                <w:sz w:val="20"/>
                <w:szCs w:val="20"/>
              </w:rPr>
              <w:t>4</w:t>
            </w:r>
            <w:r w:rsidRPr="00FB4575">
              <w:rPr>
                <w:rFonts w:eastAsia="Calibri" w:cs="Times New Roman"/>
                <w:sz w:val="20"/>
                <w:szCs w:val="20"/>
              </w:rPr>
              <w:t>-</w:t>
            </w:r>
            <w:r w:rsidR="000D1062" w:rsidRPr="00FB4575">
              <w:rPr>
                <w:rFonts w:eastAsia="Calibri" w:cs="Times New Roman"/>
                <w:sz w:val="20"/>
                <w:szCs w:val="20"/>
              </w:rPr>
              <w:t>0</w:t>
            </w:r>
            <w:r w:rsidRPr="00FB4575">
              <w:rPr>
                <w:rFonts w:eastAsia="Calibri" w:cs="Times New Roman"/>
                <w:sz w:val="20"/>
                <w:szCs w:val="20"/>
              </w:rPr>
              <w:t>1-</w:t>
            </w:r>
            <w:r w:rsidR="000D1062" w:rsidRPr="00FB4575">
              <w:rPr>
                <w:rFonts w:eastAsia="Calibri" w:cs="Times New Roman"/>
                <w:sz w:val="20"/>
                <w:szCs w:val="20"/>
              </w:rPr>
              <w:t>23</w:t>
            </w:r>
            <w:r w:rsidR="0003365C">
              <w:rPr>
                <w:rFonts w:eastAsia="Calibri" w:cs="Times New Roman"/>
                <w:sz w:val="20"/>
                <w:szCs w:val="20"/>
              </w:rPr>
              <w:t xml:space="preserve"> / 2014-01-24</w:t>
            </w:r>
          </w:p>
        </w:tc>
        <w:tc>
          <w:tcPr>
            <w:tcW w:w="7178" w:type="dxa"/>
          </w:tcPr>
          <w:p w:rsidR="004E1E0A" w:rsidRPr="001C0139" w:rsidRDefault="00FB4575" w:rsidP="00FB4575">
            <w:pPr>
              <w:jc w:val="both"/>
              <w:rPr>
                <w:rFonts w:eastAsia="Calibri" w:cs="Times New Roman"/>
                <w:sz w:val="20"/>
                <w:szCs w:val="20"/>
              </w:rPr>
            </w:pPr>
            <w:r>
              <w:rPr>
                <w:rFonts w:eastAsia="Calibri" w:cs="Times New Roman"/>
                <w:i/>
                <w:sz w:val="20"/>
                <w:szCs w:val="20"/>
              </w:rPr>
              <w:t>Calvin Clarke</w:t>
            </w:r>
            <w:r w:rsidR="004E1E0A" w:rsidRPr="003A74F5">
              <w:rPr>
                <w:rFonts w:eastAsia="Calibri" w:cs="Times New Roman"/>
                <w:i/>
                <w:sz w:val="20"/>
                <w:szCs w:val="20"/>
              </w:rPr>
              <w:t xml:space="preserve"> v. </w:t>
            </w:r>
            <w:r w:rsidR="004E1E0A">
              <w:rPr>
                <w:rFonts w:eastAsia="Calibri" w:cs="Times New Roman"/>
                <w:i/>
                <w:sz w:val="20"/>
                <w:szCs w:val="20"/>
              </w:rPr>
              <w:t>H</w:t>
            </w:r>
            <w:r w:rsidR="004E1E0A" w:rsidRPr="003A74F5">
              <w:rPr>
                <w:rFonts w:eastAsia="Calibri" w:cs="Times New Roman"/>
                <w:i/>
                <w:sz w:val="20"/>
                <w:szCs w:val="20"/>
              </w:rPr>
              <w:t xml:space="preserve">er </w:t>
            </w:r>
            <w:r w:rsidR="004E1E0A">
              <w:rPr>
                <w:rFonts w:eastAsia="Calibri" w:cs="Times New Roman"/>
                <w:i/>
                <w:sz w:val="20"/>
                <w:szCs w:val="20"/>
              </w:rPr>
              <w:t>M</w:t>
            </w:r>
            <w:r w:rsidR="004E1E0A" w:rsidRPr="003A74F5">
              <w:rPr>
                <w:rFonts w:eastAsia="Calibri" w:cs="Times New Roman"/>
                <w:i/>
                <w:sz w:val="20"/>
                <w:szCs w:val="20"/>
              </w:rPr>
              <w:t>a</w:t>
            </w:r>
            <w:r w:rsidR="004E1E0A">
              <w:rPr>
                <w:rFonts w:eastAsia="Calibri" w:cs="Times New Roman"/>
                <w:i/>
                <w:sz w:val="20"/>
                <w:szCs w:val="20"/>
              </w:rPr>
              <w:t>je</w:t>
            </w:r>
            <w:r w:rsidR="004E1E0A" w:rsidRPr="003A74F5">
              <w:rPr>
                <w:rFonts w:eastAsia="Calibri" w:cs="Times New Roman"/>
                <w:i/>
                <w:sz w:val="20"/>
                <w:szCs w:val="20"/>
              </w:rPr>
              <w:t>s</w:t>
            </w:r>
            <w:r w:rsidR="004E1E0A">
              <w:rPr>
                <w:rFonts w:eastAsia="Calibri" w:cs="Times New Roman"/>
                <w:i/>
                <w:sz w:val="20"/>
                <w:szCs w:val="20"/>
              </w:rPr>
              <w:t>ty the Queen</w:t>
            </w:r>
            <w:r w:rsidR="004E1E0A" w:rsidRPr="003A74F5">
              <w:rPr>
                <w:rFonts w:eastAsia="Calibri" w:cs="Times New Roman"/>
                <w:i/>
                <w:sz w:val="20"/>
                <w:szCs w:val="20"/>
              </w:rPr>
              <w:t>.</w:t>
            </w:r>
            <w:r w:rsidR="004E1E0A" w:rsidRPr="003A74F5">
              <w:rPr>
                <w:rFonts w:eastAsia="Calibri" w:cs="Times New Roman"/>
                <w:sz w:val="20"/>
                <w:szCs w:val="20"/>
              </w:rPr>
              <w:t xml:space="preserve"> (</w:t>
            </w:r>
            <w:r>
              <w:rPr>
                <w:rFonts w:eastAsia="Calibri" w:cs="Times New Roman"/>
                <w:sz w:val="20"/>
                <w:szCs w:val="20"/>
              </w:rPr>
              <w:t>Ont</w:t>
            </w:r>
            <w:r w:rsidR="004E1E0A" w:rsidRPr="003A74F5">
              <w:rPr>
                <w:rFonts w:eastAsia="Calibri" w:cs="Times New Roman"/>
                <w:sz w:val="20"/>
                <w:szCs w:val="20"/>
              </w:rPr>
              <w:t>.) (C</w:t>
            </w:r>
            <w:r w:rsidR="004E1E0A">
              <w:rPr>
                <w:rFonts w:eastAsia="Calibri" w:cs="Times New Roman"/>
                <w:sz w:val="20"/>
                <w:szCs w:val="20"/>
              </w:rPr>
              <w:t>r</w:t>
            </w:r>
            <w:r w:rsidR="004E1E0A" w:rsidRPr="003A74F5">
              <w:rPr>
                <w:rFonts w:eastAsia="Calibri" w:cs="Times New Roman"/>
                <w:sz w:val="20"/>
                <w:szCs w:val="20"/>
              </w:rPr>
              <w:t>i</w:t>
            </w:r>
            <w:r w:rsidR="004E1E0A">
              <w:rPr>
                <w:rFonts w:eastAsia="Calibri" w:cs="Times New Roman"/>
                <w:sz w:val="20"/>
                <w:szCs w:val="20"/>
              </w:rPr>
              <w:t>m</w:t>
            </w:r>
            <w:r w:rsidR="004E1E0A" w:rsidRPr="003A74F5">
              <w:rPr>
                <w:rFonts w:eastAsia="Calibri" w:cs="Times New Roman"/>
                <w:sz w:val="20"/>
                <w:szCs w:val="20"/>
              </w:rPr>
              <w:t>i</w:t>
            </w:r>
            <w:r w:rsidR="004E1E0A">
              <w:rPr>
                <w:rFonts w:eastAsia="Calibri" w:cs="Times New Roman"/>
                <w:sz w:val="20"/>
                <w:szCs w:val="20"/>
              </w:rPr>
              <w:t>na</w:t>
            </w:r>
            <w:r w:rsidR="004E1E0A" w:rsidRPr="003A74F5">
              <w:rPr>
                <w:rFonts w:eastAsia="Calibri" w:cs="Times New Roman"/>
                <w:sz w:val="20"/>
                <w:szCs w:val="20"/>
              </w:rPr>
              <w:t>l) (By Leave) (3</w:t>
            </w:r>
            <w:r>
              <w:rPr>
                <w:rFonts w:eastAsia="Calibri" w:cs="Times New Roman"/>
                <w:sz w:val="20"/>
                <w:szCs w:val="20"/>
              </w:rPr>
              <w:t>5</w:t>
            </w:r>
            <w:r w:rsidR="004E1E0A" w:rsidRPr="003A74F5">
              <w:rPr>
                <w:rFonts w:eastAsia="Calibri" w:cs="Times New Roman"/>
                <w:sz w:val="20"/>
                <w:szCs w:val="20"/>
              </w:rPr>
              <w:t>4</w:t>
            </w:r>
            <w:r>
              <w:rPr>
                <w:rFonts w:eastAsia="Calibri" w:cs="Times New Roman"/>
                <w:sz w:val="20"/>
                <w:szCs w:val="20"/>
              </w:rPr>
              <w:t>87</w:t>
            </w:r>
            <w:r w:rsidR="004E1E0A">
              <w:rPr>
                <w:rFonts w:eastAsia="Calibri" w:cs="Times New Roman"/>
                <w:sz w:val="20"/>
                <w:szCs w:val="20"/>
              </w:rPr>
              <w:t>)</w:t>
            </w:r>
          </w:p>
        </w:tc>
      </w:tr>
    </w:tbl>
    <w:p w:rsidR="004B66B4" w:rsidRPr="00DD0B49" w:rsidRDefault="004B66B4" w:rsidP="004B66B4">
      <w:pPr>
        <w:ind w:left="1890" w:hanging="1890"/>
        <w:jc w:val="both"/>
        <w:rPr>
          <w:sz w:val="20"/>
          <w:szCs w:val="20"/>
        </w:rPr>
      </w:pPr>
    </w:p>
    <w:p w:rsidR="004B66B4" w:rsidRPr="00DD0B49" w:rsidRDefault="00A47393" w:rsidP="002868D0">
      <w:pPr>
        <w:jc w:val="both"/>
        <w:rPr>
          <w:sz w:val="20"/>
          <w:szCs w:val="20"/>
        </w:rPr>
      </w:pPr>
      <w:r>
        <w:rPr>
          <w:sz w:val="20"/>
          <w:szCs w:val="20"/>
          <w:lang w:val="fr-CA"/>
        </w:rPr>
        <w:pict>
          <v:rect id="_x0000_i1044"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F1613A" w:rsidRDefault="00F1613A">
      <w:pPr>
        <w:rPr>
          <w:b/>
          <w:sz w:val="20"/>
          <w:szCs w:val="20"/>
        </w:rPr>
      </w:pPr>
      <w:r>
        <w:rPr>
          <w:b/>
          <w:sz w:val="20"/>
          <w:szCs w:val="20"/>
        </w:rPr>
        <w:br w:type="page"/>
      </w:r>
    </w:p>
    <w:p w:rsidR="004B66B4" w:rsidRPr="00DD0B49" w:rsidRDefault="004B66B4" w:rsidP="004B66B4">
      <w:pPr>
        <w:jc w:val="both"/>
        <w:rPr>
          <w:sz w:val="20"/>
          <w:szCs w:val="20"/>
        </w:rPr>
      </w:pPr>
      <w:r w:rsidRPr="00DD0B49">
        <w:rPr>
          <w:b/>
          <w:sz w:val="20"/>
          <w:szCs w:val="20"/>
        </w:rPr>
        <w:lastRenderedPageBreak/>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p w:rsidR="00E95CE4" w:rsidRPr="00677657" w:rsidRDefault="001C5DB7" w:rsidP="00E95CE4">
      <w:pPr>
        <w:widowControl w:val="0"/>
        <w:ind w:left="720" w:hanging="720"/>
        <w:jc w:val="both"/>
        <w:rPr>
          <w:sz w:val="20"/>
          <w:szCs w:val="20"/>
          <w:lang w:val="fr-CA"/>
        </w:rPr>
      </w:pPr>
      <w:r w:rsidRPr="00677657">
        <w:rPr>
          <w:b/>
          <w:sz w:val="20"/>
          <w:szCs w:val="20"/>
        </w:rPr>
        <w:fldChar w:fldCharType="begin"/>
      </w:r>
      <w:r w:rsidR="00E95CE4" w:rsidRPr="00677657">
        <w:rPr>
          <w:b/>
          <w:sz w:val="20"/>
          <w:szCs w:val="20"/>
          <w:lang w:val="fr-CA"/>
        </w:rPr>
        <w:instrText xml:space="preserve"> SEQ CHAPTER \h \r 1</w:instrText>
      </w:r>
      <w:r w:rsidRPr="00677657">
        <w:rPr>
          <w:b/>
          <w:sz w:val="20"/>
          <w:szCs w:val="20"/>
        </w:rPr>
        <w:fldChar w:fldCharType="end"/>
      </w:r>
      <w:r w:rsidR="00E95CE4" w:rsidRPr="00677657">
        <w:rPr>
          <w:b/>
          <w:sz w:val="20"/>
          <w:szCs w:val="20"/>
          <w:lang w:val="fr-CA"/>
        </w:rPr>
        <w:t>34854</w:t>
      </w:r>
      <w:r w:rsidR="00E95CE4" w:rsidRPr="00677657">
        <w:rPr>
          <w:sz w:val="20"/>
          <w:szCs w:val="20"/>
          <w:lang w:val="fr-CA"/>
        </w:rPr>
        <w:tab/>
      </w:r>
      <w:r w:rsidR="00E95CE4" w:rsidRPr="00677657">
        <w:rPr>
          <w:b/>
          <w:i/>
          <w:sz w:val="20"/>
          <w:szCs w:val="20"/>
          <w:lang w:val="fr-CA"/>
        </w:rPr>
        <w:t>Marilyne Dionne v. Commission scolaire des Patriotes and Commission des lésions professionnelles</w:t>
      </w:r>
    </w:p>
    <w:p w:rsidR="00E95CE4" w:rsidRPr="00677657" w:rsidRDefault="00E95CE4" w:rsidP="00E95CE4">
      <w:pPr>
        <w:widowControl w:val="0"/>
        <w:jc w:val="both"/>
        <w:rPr>
          <w:sz w:val="20"/>
          <w:szCs w:val="20"/>
          <w:lang w:val="fr-CA"/>
        </w:rPr>
      </w:pPr>
    </w:p>
    <w:p w:rsidR="00E95CE4" w:rsidRPr="00677657" w:rsidRDefault="00E95CE4" w:rsidP="00E95CE4">
      <w:pPr>
        <w:widowControl w:val="0"/>
        <w:jc w:val="both"/>
        <w:rPr>
          <w:sz w:val="20"/>
          <w:szCs w:val="20"/>
        </w:rPr>
      </w:pPr>
      <w:r w:rsidRPr="00677657">
        <w:rPr>
          <w:sz w:val="20"/>
          <w:szCs w:val="20"/>
        </w:rPr>
        <w:t xml:space="preserve">Administrative law - Standard of review - Labour law - Protective reassignment - Substitute teachers - Contract - Pregnancy - Whether </w:t>
      </w:r>
      <w:r w:rsidRPr="00677657">
        <w:rPr>
          <w:i/>
          <w:sz w:val="20"/>
          <w:szCs w:val="20"/>
        </w:rPr>
        <w:t>Act respecting occupational health and safety</w:t>
      </w:r>
      <w:r w:rsidRPr="00677657">
        <w:rPr>
          <w:sz w:val="20"/>
          <w:szCs w:val="20"/>
        </w:rPr>
        <w:t>, R.S.Q., c. S-2.1 (</w:t>
      </w:r>
      <w:r w:rsidRPr="00677657">
        <w:rPr>
          <w:i/>
          <w:sz w:val="20"/>
          <w:szCs w:val="20"/>
        </w:rPr>
        <w:t>AOHS</w:t>
      </w:r>
      <w:r w:rsidRPr="00677657">
        <w:rPr>
          <w:sz w:val="20"/>
          <w:szCs w:val="20"/>
        </w:rPr>
        <w:t xml:space="preserve">), applicable to appellant despite her unstable employment status in light of objectives of that legislation, its interaction with civil law rules and characteristics of employment relationship in issue - Whether </w:t>
      </w:r>
      <w:r w:rsidRPr="00677657">
        <w:rPr>
          <w:i/>
          <w:sz w:val="20"/>
          <w:szCs w:val="20"/>
        </w:rPr>
        <w:t>AOHS</w:t>
      </w:r>
      <w:r w:rsidRPr="00677657">
        <w:rPr>
          <w:sz w:val="20"/>
          <w:szCs w:val="20"/>
        </w:rPr>
        <w:t xml:space="preserve"> applicable to appellant having regard to protection against pregnancy-based discrimination afforded by </w:t>
      </w:r>
      <w:r w:rsidRPr="00677657">
        <w:rPr>
          <w:i/>
          <w:sz w:val="20"/>
          <w:szCs w:val="20"/>
        </w:rPr>
        <w:t>Charter of human rights and freedoms</w:t>
      </w:r>
      <w:r w:rsidRPr="00677657">
        <w:rPr>
          <w:sz w:val="20"/>
          <w:szCs w:val="20"/>
        </w:rPr>
        <w:t xml:space="preserve"> - Applicable standard of review.</w:t>
      </w:r>
    </w:p>
    <w:p w:rsidR="00E95CE4" w:rsidRPr="00677657" w:rsidRDefault="00E95CE4" w:rsidP="00E95CE4">
      <w:pPr>
        <w:widowControl w:val="0"/>
        <w:jc w:val="both"/>
        <w:rPr>
          <w:sz w:val="20"/>
          <w:szCs w:val="20"/>
        </w:rPr>
      </w:pPr>
    </w:p>
    <w:p w:rsidR="00E95CE4" w:rsidRPr="00677657" w:rsidRDefault="00E95CE4" w:rsidP="00E95CE4">
      <w:pPr>
        <w:widowControl w:val="0"/>
        <w:jc w:val="both"/>
        <w:rPr>
          <w:sz w:val="20"/>
          <w:szCs w:val="20"/>
        </w:rPr>
      </w:pPr>
      <w:r w:rsidRPr="00677657">
        <w:rPr>
          <w:sz w:val="20"/>
          <w:szCs w:val="20"/>
        </w:rPr>
        <w:t>The appellant is a [</w:t>
      </w:r>
      <w:r w:rsidRPr="00677657">
        <w:rPr>
          <w:rFonts w:ascii="Times New (W1)" w:hAnsi="Times New (W1)"/>
          <w:smallCaps/>
          <w:sz w:val="20"/>
          <w:szCs w:val="20"/>
        </w:rPr>
        <w:t>translation</w:t>
      </w:r>
      <w:r w:rsidRPr="00677657">
        <w:rPr>
          <w:sz w:val="20"/>
          <w:szCs w:val="20"/>
        </w:rPr>
        <w:t>] “casual substitute teacher” within the meaning of the applicable collective agreement and is on a list maintained by the respondent Commission scolaire (School Board) and used to call up substitute teachers to work when needed.  On September 24, 2006, the appellant learned that she was pregnant.  She reported her pregnancy to the School Board and declared herself unavailable for work while she checked whether she was immunized against certain contagious diseases.  She then sought the appropriate advice from her doctor.  On October 23, her doctor issued her a [</w:t>
      </w:r>
      <w:r w:rsidRPr="00677657">
        <w:rPr>
          <w:rFonts w:ascii="Times New (W1)" w:hAnsi="Times New (W1)"/>
          <w:smallCaps/>
          <w:sz w:val="20"/>
          <w:szCs w:val="20"/>
        </w:rPr>
        <w:t>translation</w:t>
      </w:r>
      <w:r w:rsidRPr="00677657">
        <w:rPr>
          <w:sz w:val="20"/>
          <w:szCs w:val="20"/>
        </w:rPr>
        <w:t xml:space="preserve">] “certificate regarding the protective reassignment of a pregnant worker” because of, </w:t>
      </w:r>
      <w:r w:rsidRPr="00677657">
        <w:rPr>
          <w:i/>
          <w:sz w:val="20"/>
          <w:szCs w:val="20"/>
        </w:rPr>
        <w:t>inter alia</w:t>
      </w:r>
      <w:r w:rsidRPr="00677657">
        <w:rPr>
          <w:sz w:val="20"/>
          <w:szCs w:val="20"/>
        </w:rPr>
        <w:t>, the risk of contracting Parvovirus B-19.  A copy of this certificate was sent to the Commission de la santé et de la sécurité du travail (CSST), which informed the appellant on November 3, 2006, that she was eligible for the “For a Safe Maternity Experience” program.  On November 27, 2006, the CSST determined that her entitlement to indemnities had begun on November 13, 2006, the first day a substitute teaching position was offered to her, and would end on April 28, 2007, the estimated delivery date.  The School Board disagreed with the CSST’s decisions and challenged them, first internally (administrative review), and then before the CLP (contestation).  In its view, on October 23, 2006, the day the reassignment certificate was issued, the appellant was not one of its employees, nor did she subsequently become one.  It argued that the employment contract of a casual substitute teacher lasts only as long as the substitute teaching assignment.</w:t>
      </w:r>
    </w:p>
    <w:p w:rsidR="00E95CE4" w:rsidRPr="00677657" w:rsidRDefault="00E95CE4" w:rsidP="00E95CE4">
      <w:pPr>
        <w:widowControl w:val="0"/>
        <w:jc w:val="both"/>
        <w:rPr>
          <w:sz w:val="20"/>
          <w:szCs w:val="20"/>
        </w:rPr>
      </w:pPr>
    </w:p>
    <w:p w:rsidR="00E95CE4" w:rsidRPr="00677657" w:rsidRDefault="00E95CE4" w:rsidP="00E95CE4">
      <w:pPr>
        <w:widowControl w:val="0"/>
        <w:jc w:val="both"/>
        <w:rPr>
          <w:sz w:val="20"/>
          <w:szCs w:val="20"/>
        </w:rPr>
      </w:pPr>
    </w:p>
    <w:p w:rsidR="00E95CE4" w:rsidRPr="00677657" w:rsidRDefault="00E95CE4" w:rsidP="00E95CE4">
      <w:pPr>
        <w:widowControl w:val="0"/>
        <w:ind w:left="2880" w:hanging="2880"/>
        <w:jc w:val="both"/>
        <w:rPr>
          <w:sz w:val="20"/>
          <w:szCs w:val="20"/>
        </w:rPr>
      </w:pPr>
      <w:r w:rsidRPr="00677657">
        <w:rPr>
          <w:sz w:val="20"/>
          <w:szCs w:val="20"/>
        </w:rPr>
        <w:t>Origin of the case:</w:t>
      </w:r>
      <w:r w:rsidRPr="00677657">
        <w:rPr>
          <w:sz w:val="20"/>
          <w:szCs w:val="20"/>
        </w:rPr>
        <w:tab/>
        <w:t>Quebec</w:t>
      </w:r>
    </w:p>
    <w:p w:rsidR="00E95CE4" w:rsidRPr="00677657" w:rsidRDefault="00E95CE4" w:rsidP="00E95CE4">
      <w:pPr>
        <w:widowControl w:val="0"/>
        <w:ind w:left="2880" w:hanging="2880"/>
        <w:jc w:val="both"/>
        <w:rPr>
          <w:sz w:val="20"/>
          <w:szCs w:val="20"/>
        </w:rPr>
      </w:pPr>
    </w:p>
    <w:p w:rsidR="00E95CE4" w:rsidRPr="00677657" w:rsidRDefault="00E95CE4" w:rsidP="00E95CE4">
      <w:pPr>
        <w:widowControl w:val="0"/>
        <w:ind w:left="2880" w:hanging="2880"/>
        <w:jc w:val="both"/>
        <w:rPr>
          <w:sz w:val="20"/>
          <w:szCs w:val="20"/>
        </w:rPr>
      </w:pPr>
      <w:r w:rsidRPr="00677657">
        <w:rPr>
          <w:sz w:val="20"/>
          <w:szCs w:val="20"/>
        </w:rPr>
        <w:t>File No.:</w:t>
      </w:r>
      <w:r w:rsidRPr="00677657">
        <w:rPr>
          <w:sz w:val="20"/>
          <w:szCs w:val="20"/>
        </w:rPr>
        <w:tab/>
        <w:t>34854</w:t>
      </w:r>
    </w:p>
    <w:p w:rsidR="00E95CE4" w:rsidRPr="00677657" w:rsidRDefault="00E95CE4" w:rsidP="00E95CE4">
      <w:pPr>
        <w:widowControl w:val="0"/>
        <w:ind w:left="2880" w:hanging="2880"/>
        <w:jc w:val="both"/>
        <w:rPr>
          <w:sz w:val="20"/>
          <w:szCs w:val="20"/>
        </w:rPr>
      </w:pPr>
    </w:p>
    <w:p w:rsidR="00E95CE4" w:rsidRPr="00677657" w:rsidRDefault="00E95CE4" w:rsidP="00E95CE4">
      <w:pPr>
        <w:widowControl w:val="0"/>
        <w:ind w:left="2880" w:hanging="2880"/>
        <w:jc w:val="both"/>
        <w:rPr>
          <w:sz w:val="20"/>
          <w:szCs w:val="20"/>
        </w:rPr>
      </w:pPr>
      <w:r w:rsidRPr="00677657">
        <w:rPr>
          <w:sz w:val="20"/>
          <w:szCs w:val="20"/>
        </w:rPr>
        <w:t>Judgment of the Court of Appeal:</w:t>
      </w:r>
      <w:r w:rsidRPr="00677657">
        <w:rPr>
          <w:sz w:val="20"/>
          <w:szCs w:val="20"/>
        </w:rPr>
        <w:tab/>
        <w:t>April 2, 2012</w:t>
      </w:r>
    </w:p>
    <w:p w:rsidR="00E95CE4" w:rsidRPr="00677657" w:rsidRDefault="00E95CE4" w:rsidP="00E95CE4">
      <w:pPr>
        <w:widowControl w:val="0"/>
        <w:ind w:left="2880" w:hanging="2880"/>
        <w:jc w:val="both"/>
        <w:rPr>
          <w:sz w:val="20"/>
          <w:szCs w:val="20"/>
        </w:rPr>
      </w:pPr>
    </w:p>
    <w:p w:rsidR="00E95CE4" w:rsidRPr="00677657" w:rsidRDefault="00E95CE4" w:rsidP="00E95CE4">
      <w:pPr>
        <w:widowControl w:val="0"/>
        <w:ind w:left="2880" w:hanging="2880"/>
        <w:jc w:val="both"/>
        <w:rPr>
          <w:sz w:val="20"/>
          <w:szCs w:val="20"/>
          <w:lang w:val="fr-CA"/>
        </w:rPr>
      </w:pPr>
      <w:r w:rsidRPr="00677657">
        <w:rPr>
          <w:sz w:val="20"/>
          <w:szCs w:val="20"/>
          <w:lang w:val="fr-CA"/>
        </w:rPr>
        <w:t>Counsel:</w:t>
      </w:r>
      <w:r w:rsidRPr="00677657">
        <w:rPr>
          <w:sz w:val="20"/>
          <w:szCs w:val="20"/>
          <w:lang w:val="fr-CA"/>
        </w:rPr>
        <w:tab/>
        <w:t>Denis Lavoie, Pierre Brun and Graciela Iris Barrère for the appellant</w:t>
      </w:r>
    </w:p>
    <w:p w:rsidR="00E95CE4" w:rsidRPr="00677657" w:rsidRDefault="00E95CE4" w:rsidP="00E95CE4">
      <w:pPr>
        <w:widowControl w:val="0"/>
        <w:ind w:left="2880" w:hanging="2880"/>
        <w:jc w:val="both"/>
        <w:rPr>
          <w:sz w:val="20"/>
          <w:szCs w:val="20"/>
          <w:lang w:val="fr-CA"/>
        </w:rPr>
      </w:pPr>
      <w:r w:rsidRPr="00677657">
        <w:rPr>
          <w:sz w:val="20"/>
          <w:szCs w:val="20"/>
          <w:lang w:val="fr-CA"/>
        </w:rPr>
        <w:tab/>
        <w:t>René Paquette, Paule Veilleux, François LeBel and Julie Samson for the respondent Commission scolaire des Patriotes</w:t>
      </w:r>
    </w:p>
    <w:p w:rsidR="00E95CE4" w:rsidRPr="00677657" w:rsidRDefault="00E95CE4" w:rsidP="00E95CE4">
      <w:pPr>
        <w:widowControl w:val="0"/>
        <w:ind w:left="2880" w:hanging="2880"/>
        <w:jc w:val="both"/>
        <w:rPr>
          <w:sz w:val="20"/>
          <w:szCs w:val="20"/>
          <w:lang w:val="fr-CA"/>
        </w:rPr>
      </w:pPr>
      <w:r w:rsidRPr="00677657">
        <w:rPr>
          <w:sz w:val="20"/>
          <w:szCs w:val="20"/>
          <w:lang w:val="fr-CA"/>
        </w:rPr>
        <w:tab/>
        <w:t>Marie-France Bernier for the respondent Commission des lésions professionnelles</w:t>
      </w:r>
    </w:p>
    <w:p w:rsidR="000B3C9A" w:rsidRPr="00DD0B49" w:rsidRDefault="000B3C9A" w:rsidP="000B3C9A">
      <w:pPr>
        <w:tabs>
          <w:tab w:val="left" w:pos="-1440"/>
          <w:tab w:val="left" w:pos="-720"/>
        </w:tabs>
        <w:ind w:left="720" w:hanging="720"/>
        <w:jc w:val="both"/>
        <w:rPr>
          <w:sz w:val="20"/>
          <w:szCs w:val="20"/>
          <w:lang w:val="fr-CA"/>
        </w:rPr>
      </w:pPr>
    </w:p>
    <w:p w:rsidR="000B3C9A" w:rsidRDefault="00A47393" w:rsidP="000B3C9A">
      <w:pPr>
        <w:tabs>
          <w:tab w:val="left" w:pos="-1440"/>
          <w:tab w:val="left" w:pos="-720"/>
        </w:tabs>
        <w:ind w:left="720" w:hanging="720"/>
        <w:jc w:val="both"/>
        <w:rPr>
          <w:sz w:val="20"/>
          <w:szCs w:val="20"/>
          <w:lang w:val="fr-CA"/>
        </w:rPr>
      </w:pPr>
      <w:r>
        <w:rPr>
          <w:sz w:val="20"/>
          <w:szCs w:val="20"/>
          <w:lang w:val="fr-CA"/>
        </w:rPr>
        <w:pict>
          <v:rect id="_x0000_i1047" style="width:2in;height:1pt" o:hrpct="0" o:hralign="center" o:hrstd="t" o:hrnoshade="t" o:hr="t" fillcolor="black [3213]" stroked="f"/>
        </w:pict>
      </w:r>
    </w:p>
    <w:p w:rsidR="00F164B3" w:rsidRDefault="00F164B3" w:rsidP="000B3C9A">
      <w:pPr>
        <w:tabs>
          <w:tab w:val="left" w:pos="-1440"/>
          <w:tab w:val="left" w:pos="-720"/>
        </w:tabs>
        <w:ind w:left="720" w:hanging="720"/>
        <w:jc w:val="both"/>
        <w:rPr>
          <w:sz w:val="20"/>
          <w:szCs w:val="20"/>
          <w:lang w:val="fr-CA"/>
        </w:rPr>
      </w:pPr>
    </w:p>
    <w:p w:rsidR="00F164B3" w:rsidRPr="00DD0B49" w:rsidRDefault="00F164B3" w:rsidP="000B3C9A">
      <w:pPr>
        <w:tabs>
          <w:tab w:val="left" w:pos="-1440"/>
          <w:tab w:val="left" w:pos="-720"/>
        </w:tabs>
        <w:ind w:left="720" w:hanging="720"/>
        <w:jc w:val="both"/>
        <w:rPr>
          <w:sz w:val="20"/>
          <w:szCs w:val="20"/>
          <w:lang w:val="fr-CA"/>
        </w:rPr>
      </w:pPr>
    </w:p>
    <w:p w:rsidR="000B3C9A" w:rsidRDefault="000B3C9A" w:rsidP="000B3C9A">
      <w:pPr>
        <w:tabs>
          <w:tab w:val="left" w:pos="-1440"/>
          <w:tab w:val="left" w:pos="-720"/>
        </w:tabs>
        <w:ind w:left="720" w:hanging="720"/>
        <w:jc w:val="both"/>
        <w:rPr>
          <w:lang w:val="fr-CA"/>
        </w:rPr>
      </w:pPr>
      <w:r>
        <w:rPr>
          <w:lang w:val="fr-CA"/>
        </w:rPr>
        <w:br w:type="page"/>
      </w:r>
    </w:p>
    <w:p w:rsidR="00E95CE4" w:rsidRPr="00005AE0" w:rsidRDefault="001C5DB7" w:rsidP="00E95CE4">
      <w:pPr>
        <w:widowControl w:val="0"/>
        <w:ind w:left="720" w:hanging="720"/>
        <w:jc w:val="both"/>
        <w:rPr>
          <w:sz w:val="20"/>
          <w:szCs w:val="20"/>
          <w:lang w:val="fr-CA"/>
        </w:rPr>
      </w:pPr>
      <w:r w:rsidRPr="00005AE0">
        <w:rPr>
          <w:b/>
          <w:sz w:val="20"/>
          <w:szCs w:val="20"/>
          <w:lang w:val="fr-CA"/>
        </w:rPr>
        <w:lastRenderedPageBreak/>
        <w:fldChar w:fldCharType="begin"/>
      </w:r>
      <w:r w:rsidR="00E95CE4" w:rsidRPr="00005AE0">
        <w:rPr>
          <w:b/>
          <w:sz w:val="20"/>
          <w:szCs w:val="20"/>
          <w:lang w:val="fr-CA"/>
        </w:rPr>
        <w:instrText xml:space="preserve"> SEQ CHAPTER \h \r 1</w:instrText>
      </w:r>
      <w:r w:rsidRPr="00005AE0">
        <w:rPr>
          <w:b/>
          <w:sz w:val="20"/>
          <w:szCs w:val="20"/>
        </w:rPr>
        <w:fldChar w:fldCharType="end"/>
      </w:r>
      <w:r w:rsidR="00E95CE4" w:rsidRPr="00005AE0">
        <w:rPr>
          <w:b/>
          <w:sz w:val="20"/>
          <w:szCs w:val="20"/>
          <w:lang w:val="fr-CA"/>
        </w:rPr>
        <w:t>34854</w:t>
      </w:r>
      <w:r w:rsidR="00E95CE4" w:rsidRPr="00005AE0">
        <w:rPr>
          <w:sz w:val="20"/>
          <w:szCs w:val="20"/>
          <w:lang w:val="fr-CA"/>
        </w:rPr>
        <w:tab/>
      </w:r>
      <w:r w:rsidR="00E95CE4" w:rsidRPr="00005AE0">
        <w:rPr>
          <w:b/>
          <w:i/>
          <w:sz w:val="20"/>
          <w:szCs w:val="20"/>
          <w:lang w:val="fr-CA"/>
        </w:rPr>
        <w:t>Marilyne Dionne c. Commission scolaire des Patriotes et Commission des lésions professionnelles</w:t>
      </w:r>
    </w:p>
    <w:p w:rsidR="00E95CE4" w:rsidRPr="00005AE0" w:rsidRDefault="00E95CE4" w:rsidP="00E95CE4">
      <w:pPr>
        <w:widowControl w:val="0"/>
        <w:jc w:val="both"/>
        <w:rPr>
          <w:sz w:val="20"/>
          <w:szCs w:val="20"/>
          <w:lang w:val="fr-CA"/>
        </w:rPr>
      </w:pPr>
    </w:p>
    <w:p w:rsidR="00E95CE4" w:rsidRPr="00005AE0" w:rsidRDefault="00E95CE4" w:rsidP="00E95CE4">
      <w:pPr>
        <w:widowControl w:val="0"/>
        <w:jc w:val="both"/>
        <w:rPr>
          <w:sz w:val="20"/>
          <w:szCs w:val="20"/>
          <w:lang w:val="fr-CA"/>
        </w:rPr>
      </w:pPr>
      <w:r w:rsidRPr="00005AE0">
        <w:rPr>
          <w:sz w:val="20"/>
          <w:szCs w:val="20"/>
          <w:lang w:val="fr-CA"/>
        </w:rPr>
        <w:t xml:space="preserve">Droit administratif - Norme de contrôle - Droit du travail - Retrait préventif - Suppléance - Contrat - Grossesse - La </w:t>
      </w:r>
      <w:r w:rsidRPr="00005AE0">
        <w:rPr>
          <w:i/>
          <w:sz w:val="20"/>
          <w:szCs w:val="20"/>
          <w:lang w:val="fr-CA"/>
        </w:rPr>
        <w:t>Loi sur la santé et la sécurité du travail</w:t>
      </w:r>
      <w:r w:rsidRPr="00005AE0">
        <w:rPr>
          <w:sz w:val="20"/>
          <w:szCs w:val="20"/>
          <w:lang w:val="fr-CA"/>
        </w:rPr>
        <w:t>, L.R.Q., c. S-2.1 (</w:t>
      </w:r>
      <w:r w:rsidRPr="00005AE0">
        <w:rPr>
          <w:i/>
          <w:sz w:val="20"/>
          <w:szCs w:val="20"/>
          <w:lang w:val="fr-CA"/>
        </w:rPr>
        <w:t>LSST</w:t>
      </w:r>
      <w:r w:rsidRPr="00005AE0">
        <w:rPr>
          <w:sz w:val="20"/>
          <w:szCs w:val="20"/>
          <w:lang w:val="fr-CA"/>
        </w:rPr>
        <w:t xml:space="preserve">), s’applique-t-elle à l’appelante, malgré son statut d’emploi précaire, eu égard aux objectifs de cette législation, à l’interaction de cette dernière avec les règles du droit civil et aux particularités de la relation de travail en cause? - La </w:t>
      </w:r>
      <w:r w:rsidRPr="00005AE0">
        <w:rPr>
          <w:i/>
          <w:sz w:val="20"/>
          <w:szCs w:val="20"/>
          <w:lang w:val="fr-CA"/>
        </w:rPr>
        <w:t>LSST</w:t>
      </w:r>
      <w:r w:rsidRPr="00005AE0">
        <w:rPr>
          <w:sz w:val="20"/>
          <w:szCs w:val="20"/>
          <w:lang w:val="fr-CA"/>
        </w:rPr>
        <w:t xml:space="preserve"> s’applique-t-elle à l’appelante eu égard à la protection contre la discrimination fondée sur la grossesse prévue par la </w:t>
      </w:r>
      <w:r w:rsidRPr="00005AE0">
        <w:rPr>
          <w:i/>
          <w:sz w:val="20"/>
          <w:szCs w:val="20"/>
          <w:lang w:val="fr-CA"/>
        </w:rPr>
        <w:t>Charte des droits et libertés de la personne</w:t>
      </w:r>
      <w:r w:rsidRPr="00005AE0">
        <w:rPr>
          <w:sz w:val="20"/>
          <w:szCs w:val="20"/>
          <w:lang w:val="fr-CA"/>
        </w:rPr>
        <w:t>? - Quelle est la norme de contrôle applicable?</w:t>
      </w:r>
    </w:p>
    <w:p w:rsidR="00E95CE4" w:rsidRPr="00005AE0" w:rsidRDefault="00E95CE4" w:rsidP="00E95CE4">
      <w:pPr>
        <w:widowControl w:val="0"/>
        <w:jc w:val="both"/>
        <w:rPr>
          <w:sz w:val="20"/>
          <w:szCs w:val="20"/>
          <w:lang w:val="fr-CA"/>
        </w:rPr>
      </w:pPr>
    </w:p>
    <w:p w:rsidR="00E95CE4" w:rsidRPr="00005AE0" w:rsidRDefault="00E95CE4" w:rsidP="00E95CE4">
      <w:pPr>
        <w:widowControl w:val="0"/>
        <w:jc w:val="both"/>
        <w:rPr>
          <w:sz w:val="20"/>
          <w:szCs w:val="20"/>
          <w:lang w:val="fr-FR"/>
        </w:rPr>
      </w:pPr>
      <w:r w:rsidRPr="00005AE0">
        <w:rPr>
          <w:sz w:val="20"/>
          <w:szCs w:val="20"/>
          <w:lang w:val="fr-FR"/>
        </w:rPr>
        <w:t>L’appelante est, au sens de la convention collective applicable, une « enseignante suppléante occasionnelle », inscrite sur une liste maintenue par la commission scolaire intimée et utilisée par elle pour faire des appels en cas de besoin.  Le 24 septembre 2006, l’appelante apprend qu’elle est enceinte.  Elle signale son nouvel état à la commission scolaire et se déclare non disponible le temps de vérifier si elle est immunisée contre certaines maladies contagieuses.  Elle entreprend ensuite des démarches pour l’obtention des conseils appropriés de son médecin.  Le 23 octobre, celui-ci lui délivre un « certificat visant le retrait préventif de la travailleuse enceinte » en raison, notamment, du danger de contracter le Parvovirus B-19.  Copie de ce certificat est remise à la Commission de la santé et de la sécurité du travail (CSST) qui informe l’appelante, le 3 novembre 2006, qu’elle est admissible au programme « Pour une maternité sans danger ».  Le 27 novembre 2006, la CSST détermine que le droit aux indemnités débute le 13 novembre 2006, premier jour où une suppléance lui a été offerte, et se termine le 28 avril 2007, date prévue de l’accouchement.  En désaccord avec les décisions de la CSST, la commission scolaire les conteste, d’abord à l’interne (révision administrative), puis devant la CLP (contestation).  Selon elle, au jour de la remise du certificat de retrait, le 23 octobre 2006, l’appelante n’était pas une de ses employées, ni ne l’est devenue par la suite.  Elle fait valoir que le contrat de travail d’une enseignante suppléante occasionnelle ne dure que le temps du remplacement.</w:t>
      </w:r>
    </w:p>
    <w:p w:rsidR="00E95CE4" w:rsidRPr="00005AE0" w:rsidRDefault="00E95CE4" w:rsidP="00E95CE4">
      <w:pPr>
        <w:widowControl w:val="0"/>
        <w:jc w:val="both"/>
        <w:rPr>
          <w:sz w:val="20"/>
          <w:szCs w:val="20"/>
          <w:lang w:val="fr-CA"/>
        </w:rPr>
      </w:pPr>
    </w:p>
    <w:p w:rsidR="00E95CE4" w:rsidRPr="00005AE0" w:rsidRDefault="00E95CE4" w:rsidP="00E95CE4">
      <w:pPr>
        <w:widowControl w:val="0"/>
        <w:jc w:val="both"/>
        <w:rPr>
          <w:sz w:val="20"/>
          <w:szCs w:val="20"/>
          <w:lang w:val="fr-CA"/>
        </w:rPr>
      </w:pPr>
    </w:p>
    <w:p w:rsidR="00E95CE4" w:rsidRPr="00005AE0" w:rsidRDefault="00E95CE4" w:rsidP="00E95CE4">
      <w:pPr>
        <w:widowControl w:val="0"/>
        <w:ind w:left="2880" w:hanging="2880"/>
        <w:jc w:val="both"/>
        <w:rPr>
          <w:sz w:val="20"/>
          <w:szCs w:val="20"/>
          <w:lang w:val="fr-CA"/>
        </w:rPr>
      </w:pPr>
      <w:r w:rsidRPr="00005AE0">
        <w:rPr>
          <w:sz w:val="20"/>
          <w:szCs w:val="20"/>
          <w:lang w:val="fr-CA"/>
        </w:rPr>
        <w:t>Origine:</w:t>
      </w:r>
      <w:r w:rsidRPr="00005AE0">
        <w:rPr>
          <w:sz w:val="20"/>
          <w:szCs w:val="20"/>
          <w:lang w:val="fr-CA"/>
        </w:rPr>
        <w:tab/>
        <w:t>Québec</w:t>
      </w:r>
    </w:p>
    <w:p w:rsidR="00E95CE4" w:rsidRPr="00005AE0" w:rsidRDefault="00E95CE4" w:rsidP="00E95CE4">
      <w:pPr>
        <w:widowControl w:val="0"/>
        <w:ind w:left="2880" w:hanging="2880"/>
        <w:jc w:val="both"/>
        <w:rPr>
          <w:sz w:val="20"/>
          <w:szCs w:val="20"/>
          <w:lang w:val="fr-CA"/>
        </w:rPr>
      </w:pPr>
    </w:p>
    <w:p w:rsidR="00E95CE4" w:rsidRPr="00005AE0" w:rsidRDefault="00E95CE4" w:rsidP="00E95CE4">
      <w:pPr>
        <w:widowControl w:val="0"/>
        <w:ind w:left="2880" w:hanging="2880"/>
        <w:jc w:val="both"/>
        <w:rPr>
          <w:sz w:val="20"/>
          <w:szCs w:val="20"/>
          <w:lang w:val="fr-CA"/>
        </w:rPr>
      </w:pPr>
      <w:r w:rsidRPr="00005AE0">
        <w:rPr>
          <w:sz w:val="20"/>
          <w:szCs w:val="20"/>
          <w:lang w:val="fr-CA"/>
        </w:rPr>
        <w:t>N</w:t>
      </w:r>
      <w:r w:rsidRPr="00005AE0">
        <w:rPr>
          <w:sz w:val="20"/>
          <w:szCs w:val="20"/>
          <w:vertAlign w:val="superscript"/>
          <w:lang w:val="fr-CA"/>
        </w:rPr>
        <w:t>o</w:t>
      </w:r>
      <w:r w:rsidRPr="00005AE0">
        <w:rPr>
          <w:sz w:val="20"/>
          <w:szCs w:val="20"/>
          <w:lang w:val="fr-CA"/>
        </w:rPr>
        <w:t xml:space="preserve"> du greffe:</w:t>
      </w:r>
      <w:r w:rsidRPr="00005AE0">
        <w:rPr>
          <w:sz w:val="20"/>
          <w:szCs w:val="20"/>
          <w:lang w:val="fr-CA"/>
        </w:rPr>
        <w:tab/>
        <w:t>34854</w:t>
      </w:r>
    </w:p>
    <w:p w:rsidR="00E95CE4" w:rsidRPr="00005AE0" w:rsidRDefault="00E95CE4" w:rsidP="00E95CE4">
      <w:pPr>
        <w:widowControl w:val="0"/>
        <w:ind w:left="2880" w:hanging="2880"/>
        <w:jc w:val="both"/>
        <w:rPr>
          <w:sz w:val="20"/>
          <w:szCs w:val="20"/>
          <w:lang w:val="fr-CA"/>
        </w:rPr>
      </w:pPr>
    </w:p>
    <w:p w:rsidR="00E95CE4" w:rsidRPr="00005AE0" w:rsidRDefault="00E95CE4" w:rsidP="00E95CE4">
      <w:pPr>
        <w:widowControl w:val="0"/>
        <w:ind w:left="2880" w:hanging="2880"/>
        <w:jc w:val="both"/>
        <w:rPr>
          <w:sz w:val="20"/>
          <w:szCs w:val="20"/>
          <w:lang w:val="fr-CA"/>
        </w:rPr>
      </w:pPr>
      <w:r w:rsidRPr="00005AE0">
        <w:rPr>
          <w:sz w:val="20"/>
          <w:szCs w:val="20"/>
          <w:lang w:val="fr-CA"/>
        </w:rPr>
        <w:t>Arrêt de la Cour d’appel:</w:t>
      </w:r>
      <w:r w:rsidRPr="00005AE0">
        <w:rPr>
          <w:sz w:val="20"/>
          <w:szCs w:val="20"/>
          <w:lang w:val="fr-CA"/>
        </w:rPr>
        <w:tab/>
      </w:r>
      <w:r w:rsidR="00173D10">
        <w:rPr>
          <w:sz w:val="20"/>
          <w:szCs w:val="20"/>
          <w:lang w:val="fr-CA"/>
        </w:rPr>
        <w:t>l</w:t>
      </w:r>
      <w:r w:rsidRPr="00005AE0">
        <w:rPr>
          <w:sz w:val="20"/>
          <w:szCs w:val="20"/>
          <w:lang w:val="fr-CA"/>
        </w:rPr>
        <w:t>e 2 avril 2012</w:t>
      </w:r>
    </w:p>
    <w:p w:rsidR="00E95CE4" w:rsidRPr="00005AE0" w:rsidRDefault="00E95CE4" w:rsidP="00E95CE4">
      <w:pPr>
        <w:widowControl w:val="0"/>
        <w:ind w:left="2880" w:hanging="2880"/>
        <w:jc w:val="both"/>
        <w:rPr>
          <w:sz w:val="20"/>
          <w:szCs w:val="20"/>
          <w:lang w:val="fr-CA"/>
        </w:rPr>
      </w:pPr>
    </w:p>
    <w:p w:rsidR="00E95CE4" w:rsidRPr="00005AE0" w:rsidRDefault="00E95CE4" w:rsidP="00E95CE4">
      <w:pPr>
        <w:widowControl w:val="0"/>
        <w:ind w:left="2880" w:hanging="2880"/>
        <w:jc w:val="both"/>
        <w:rPr>
          <w:sz w:val="20"/>
          <w:szCs w:val="20"/>
          <w:lang w:val="fr-CA"/>
        </w:rPr>
      </w:pPr>
      <w:r w:rsidRPr="00005AE0">
        <w:rPr>
          <w:sz w:val="20"/>
          <w:szCs w:val="20"/>
          <w:lang w:val="fr-CA"/>
        </w:rPr>
        <w:t>Avocats:</w:t>
      </w:r>
      <w:r w:rsidRPr="00005AE0">
        <w:rPr>
          <w:sz w:val="20"/>
          <w:szCs w:val="20"/>
          <w:lang w:val="fr-CA"/>
        </w:rPr>
        <w:tab/>
        <w:t>Denis Lavoie, Pierre Brun et Graciela Iris Barrère pour l’appelante</w:t>
      </w:r>
    </w:p>
    <w:p w:rsidR="00E95CE4" w:rsidRPr="00005AE0" w:rsidRDefault="00E95CE4" w:rsidP="00E95CE4">
      <w:pPr>
        <w:widowControl w:val="0"/>
        <w:ind w:left="2880" w:hanging="2880"/>
        <w:jc w:val="both"/>
        <w:rPr>
          <w:sz w:val="20"/>
          <w:szCs w:val="20"/>
          <w:lang w:val="fr-CA"/>
        </w:rPr>
      </w:pPr>
      <w:r w:rsidRPr="00005AE0">
        <w:rPr>
          <w:sz w:val="20"/>
          <w:szCs w:val="20"/>
          <w:lang w:val="fr-CA"/>
        </w:rPr>
        <w:tab/>
        <w:t>René Paquette, Paule Veilleux, François LeBel et Julie Samson pour l’intimée Commission scolaire des Patriotes</w:t>
      </w:r>
    </w:p>
    <w:p w:rsidR="00E95CE4" w:rsidRPr="00005AE0" w:rsidRDefault="00E95CE4" w:rsidP="00E95CE4">
      <w:pPr>
        <w:widowControl w:val="0"/>
        <w:ind w:left="2880" w:hanging="2880"/>
        <w:jc w:val="both"/>
        <w:rPr>
          <w:sz w:val="20"/>
          <w:szCs w:val="20"/>
          <w:lang w:val="fr-CA"/>
        </w:rPr>
      </w:pPr>
      <w:r w:rsidRPr="00005AE0">
        <w:rPr>
          <w:sz w:val="20"/>
          <w:szCs w:val="20"/>
          <w:lang w:val="fr-CA"/>
        </w:rPr>
        <w:tab/>
        <w:t>Marie-France Bernier pour l’intimée Commission des lésions professionnelles</w:t>
      </w:r>
    </w:p>
    <w:p w:rsidR="00E95CE4" w:rsidRPr="00005AE0" w:rsidRDefault="00E95CE4" w:rsidP="00E95CE4">
      <w:pPr>
        <w:widowControl w:val="0"/>
        <w:ind w:left="2880" w:hanging="2880"/>
        <w:jc w:val="both"/>
        <w:rPr>
          <w:sz w:val="20"/>
          <w:szCs w:val="20"/>
          <w:lang w:val="fr-CA"/>
        </w:rPr>
      </w:pPr>
    </w:p>
    <w:p w:rsidR="000B3C9A" w:rsidRDefault="00A47393" w:rsidP="000B3C9A">
      <w:pPr>
        <w:tabs>
          <w:tab w:val="left" w:pos="-1440"/>
          <w:tab w:val="left" w:pos="-720"/>
        </w:tabs>
        <w:jc w:val="both"/>
        <w:rPr>
          <w:sz w:val="20"/>
          <w:szCs w:val="20"/>
          <w:lang w:val="fr-CA"/>
        </w:rPr>
      </w:pPr>
      <w:r>
        <w:rPr>
          <w:sz w:val="20"/>
          <w:szCs w:val="20"/>
          <w:lang w:val="fr-CA"/>
        </w:rPr>
        <w:pict>
          <v:rect id="_x0000_i1048" style="width:2in;height:1pt" o:hrpct="0" o:hralign="center" o:hrstd="t" o:hrnoshade="t" o:hr="t" fillcolor="black [3213]" stroked="f"/>
        </w:pict>
      </w:r>
    </w:p>
    <w:p w:rsidR="00F164B3" w:rsidRDefault="00F164B3" w:rsidP="000B3C9A">
      <w:pPr>
        <w:tabs>
          <w:tab w:val="left" w:pos="-1440"/>
          <w:tab w:val="left" w:pos="-720"/>
        </w:tabs>
        <w:jc w:val="both"/>
        <w:rPr>
          <w:sz w:val="20"/>
          <w:szCs w:val="20"/>
          <w:lang w:val="fr-CA"/>
        </w:rPr>
      </w:pPr>
    </w:p>
    <w:p w:rsidR="00F164B3" w:rsidRDefault="00F164B3">
      <w:pPr>
        <w:rPr>
          <w:sz w:val="20"/>
          <w:szCs w:val="20"/>
          <w:lang w:val="fr-CA"/>
        </w:rPr>
      </w:pPr>
      <w:r>
        <w:rPr>
          <w:sz w:val="20"/>
          <w:szCs w:val="20"/>
          <w:lang w:val="fr-CA"/>
        </w:rPr>
        <w:br w:type="page"/>
      </w:r>
    </w:p>
    <w:p w:rsidR="00670E82" w:rsidRPr="008225D2" w:rsidRDefault="00670E82" w:rsidP="00670E82">
      <w:pPr>
        <w:widowControl w:val="0"/>
        <w:ind w:left="720" w:hanging="720"/>
        <w:jc w:val="both"/>
        <w:rPr>
          <w:sz w:val="20"/>
          <w:szCs w:val="20"/>
        </w:rPr>
      </w:pPr>
      <w:r w:rsidRPr="008225D2">
        <w:rPr>
          <w:b/>
          <w:sz w:val="20"/>
          <w:szCs w:val="20"/>
        </w:rPr>
        <w:lastRenderedPageBreak/>
        <w:fldChar w:fldCharType="begin"/>
      </w:r>
      <w:r w:rsidRPr="008225D2">
        <w:rPr>
          <w:b/>
          <w:sz w:val="20"/>
          <w:szCs w:val="20"/>
        </w:rPr>
        <w:instrText xml:space="preserve"> SEQ CHAPTER \h \r 1</w:instrText>
      </w:r>
      <w:r w:rsidRPr="008225D2">
        <w:rPr>
          <w:b/>
          <w:sz w:val="20"/>
          <w:szCs w:val="20"/>
        </w:rPr>
        <w:fldChar w:fldCharType="end"/>
      </w:r>
      <w:r w:rsidRPr="008225D2">
        <w:rPr>
          <w:b/>
          <w:sz w:val="20"/>
          <w:szCs w:val="20"/>
        </w:rPr>
        <w:t>35145</w:t>
      </w:r>
      <w:r w:rsidRPr="008225D2">
        <w:rPr>
          <w:sz w:val="20"/>
          <w:szCs w:val="20"/>
        </w:rPr>
        <w:tab/>
      </w:r>
      <w:r w:rsidRPr="008225D2">
        <w:rPr>
          <w:b/>
          <w:i/>
          <w:sz w:val="20"/>
          <w:szCs w:val="20"/>
        </w:rPr>
        <w:t>Canadian National Railway Company v. Attorney General of Canada, Peace River Coal Inc., Canadian Industrial Transportation Association - and between -</w:t>
      </w:r>
      <w:r w:rsidRPr="008225D2">
        <w:rPr>
          <w:i/>
          <w:sz w:val="20"/>
          <w:szCs w:val="20"/>
        </w:rPr>
        <w:t xml:space="preserve"> </w:t>
      </w:r>
      <w:r w:rsidRPr="008225D2">
        <w:rPr>
          <w:b/>
          <w:i/>
          <w:sz w:val="20"/>
          <w:szCs w:val="20"/>
        </w:rPr>
        <w:t>Canadian National Railway Company v. Peace River Coal Inc., Canadian Industrial Transportation Association, Attorney General of Canada</w:t>
      </w:r>
    </w:p>
    <w:p w:rsidR="00670E82" w:rsidRPr="008225D2" w:rsidRDefault="00670E82" w:rsidP="00670E82">
      <w:pPr>
        <w:widowControl w:val="0"/>
        <w:ind w:left="720" w:hanging="720"/>
        <w:jc w:val="both"/>
        <w:rPr>
          <w:sz w:val="20"/>
          <w:szCs w:val="20"/>
        </w:rPr>
      </w:pPr>
    </w:p>
    <w:p w:rsidR="00670E82" w:rsidRPr="008225D2" w:rsidRDefault="00670E82" w:rsidP="00670E82">
      <w:pPr>
        <w:pStyle w:val="SCCBanSummary"/>
        <w:rPr>
          <w:sz w:val="20"/>
          <w:szCs w:val="20"/>
          <w:lang w:val="en-CA"/>
        </w:rPr>
      </w:pPr>
      <w:r w:rsidRPr="008225D2">
        <w:rPr>
          <w:sz w:val="20"/>
          <w:szCs w:val="20"/>
          <w:lang w:val="en-CA"/>
        </w:rPr>
        <w:t xml:space="preserve">(Sealing </w:t>
      </w:r>
      <w:r>
        <w:rPr>
          <w:sz w:val="20"/>
          <w:szCs w:val="20"/>
          <w:lang w:val="en-CA"/>
        </w:rPr>
        <w:t>O</w:t>
      </w:r>
      <w:r w:rsidRPr="008225D2">
        <w:rPr>
          <w:sz w:val="20"/>
          <w:szCs w:val="20"/>
          <w:lang w:val="en-CA"/>
        </w:rPr>
        <w:t>rder)</w:t>
      </w:r>
    </w:p>
    <w:p w:rsidR="00670E82" w:rsidRPr="008225D2" w:rsidRDefault="00670E82" w:rsidP="00670E82">
      <w:pPr>
        <w:widowControl w:val="0"/>
        <w:ind w:left="720" w:hanging="720"/>
        <w:jc w:val="both"/>
        <w:rPr>
          <w:sz w:val="20"/>
          <w:szCs w:val="20"/>
        </w:rPr>
      </w:pPr>
    </w:p>
    <w:p w:rsidR="00670E82" w:rsidRPr="008225D2" w:rsidRDefault="00670E82" w:rsidP="00670E82">
      <w:pPr>
        <w:jc w:val="both"/>
        <w:rPr>
          <w:sz w:val="20"/>
          <w:szCs w:val="20"/>
        </w:rPr>
      </w:pPr>
      <w:r w:rsidRPr="008225D2">
        <w:rPr>
          <w:iCs/>
          <w:color w:val="000000"/>
          <w:sz w:val="20"/>
          <w:szCs w:val="20"/>
        </w:rPr>
        <w:t>Transportation law - Railways - Rates and service charges - Governor in Council deciding decision by Canadian Transportation Agency that it had no jurisdiction to hear Peace River Coal Inc.’s complaint that CN’s fuel surcharge for transporting coal was unreasonable, was incorrect</w:t>
      </w:r>
      <w:r w:rsidRPr="008225D2">
        <w:rPr>
          <w:sz w:val="20"/>
          <w:szCs w:val="20"/>
        </w:rPr>
        <w:t xml:space="preserve"> - Whether Governor in Council had authority under s. 40 of </w:t>
      </w:r>
      <w:r w:rsidRPr="008225D2">
        <w:rPr>
          <w:i/>
          <w:sz w:val="20"/>
          <w:szCs w:val="20"/>
        </w:rPr>
        <w:t>Canada Transportation Act</w:t>
      </w:r>
      <w:r w:rsidRPr="008225D2">
        <w:rPr>
          <w:sz w:val="20"/>
          <w:szCs w:val="20"/>
        </w:rPr>
        <w:t>, S.C. 1996, c. 10</w:t>
      </w:r>
      <w:r w:rsidRPr="008225D2">
        <w:rPr>
          <w:i/>
          <w:sz w:val="20"/>
          <w:szCs w:val="20"/>
        </w:rPr>
        <w:t xml:space="preserve"> </w:t>
      </w:r>
      <w:r w:rsidRPr="008225D2">
        <w:rPr>
          <w:sz w:val="20"/>
          <w:szCs w:val="20"/>
        </w:rPr>
        <w:t xml:space="preserve">to vary or rescind decisions of the Agency on questions of law and jurisdiction - Whether legal framework established in </w:t>
      </w:r>
      <w:r w:rsidRPr="008225D2">
        <w:rPr>
          <w:i/>
          <w:sz w:val="20"/>
          <w:szCs w:val="20"/>
        </w:rPr>
        <w:t>Dunsmuir v. New Brunswick</w:t>
      </w:r>
      <w:r w:rsidRPr="008225D2">
        <w:rPr>
          <w:sz w:val="20"/>
          <w:szCs w:val="20"/>
        </w:rPr>
        <w:t>, 2008 SCC 9</w:t>
      </w:r>
      <w:r w:rsidRPr="008225D2">
        <w:rPr>
          <w:i/>
          <w:sz w:val="20"/>
          <w:szCs w:val="20"/>
        </w:rPr>
        <w:t xml:space="preserve"> </w:t>
      </w:r>
      <w:r w:rsidRPr="008225D2">
        <w:rPr>
          <w:sz w:val="20"/>
          <w:szCs w:val="20"/>
        </w:rPr>
        <w:t>for the determination of standard of review applies to decisions of the Governor in Council</w:t>
      </w:r>
    </w:p>
    <w:p w:rsidR="00670E82" w:rsidRPr="008225D2" w:rsidRDefault="00670E82" w:rsidP="00670E82">
      <w:pPr>
        <w:jc w:val="both"/>
        <w:rPr>
          <w:sz w:val="20"/>
          <w:szCs w:val="20"/>
        </w:rPr>
      </w:pPr>
    </w:p>
    <w:p w:rsidR="00670E82" w:rsidRPr="008225D2" w:rsidRDefault="00670E82" w:rsidP="00670E82">
      <w:pPr>
        <w:pStyle w:val="loose"/>
        <w:spacing w:before="0"/>
        <w:ind w:right="6"/>
        <w:jc w:val="both"/>
        <w:rPr>
          <w:color w:val="000000"/>
          <w:sz w:val="20"/>
          <w:szCs w:val="20"/>
        </w:rPr>
      </w:pPr>
      <w:r w:rsidRPr="008225D2">
        <w:rPr>
          <w:color w:val="000000"/>
          <w:sz w:val="20"/>
          <w:szCs w:val="20"/>
        </w:rPr>
        <w:t xml:space="preserve">In January, 2008, Peace River Coal Inc. (“PRC”) and the Canadian National Railway Company (“CN”) entered into a confidential contract for the transportation of PRC’s coal until June, 2010.  The contract stated that the base freight rates would be subject to “Fuel Surcharge Tariff CN 7402”.  In April, 2008, CN implemented new fuel surcharge in Tariff CN 7403.  CN advised its customers that confidential contracts subject to fuel surcharge CN 7402 would continue to apply until the contracts expired.  PRC applied to the Canadian Transportation Agency (“CTA”) for an order establishing reasonable fuel surcharges under s. 120.1 of the </w:t>
      </w:r>
      <w:r w:rsidRPr="008225D2">
        <w:rPr>
          <w:i/>
          <w:color w:val="000000"/>
          <w:sz w:val="20"/>
          <w:szCs w:val="20"/>
        </w:rPr>
        <w:t>Canada Transportation Act</w:t>
      </w:r>
      <w:r w:rsidRPr="008225D2">
        <w:rPr>
          <w:color w:val="000000"/>
          <w:sz w:val="20"/>
          <w:szCs w:val="20"/>
        </w:rPr>
        <w:t xml:space="preserve"> and asked that CN be required to vary its charges in CN 7402 to reflect the charges in CN 7403.  CN moved to have the application dismissed. </w:t>
      </w:r>
    </w:p>
    <w:p w:rsidR="00670E82" w:rsidRPr="008225D2" w:rsidRDefault="00670E82" w:rsidP="00670E82">
      <w:pPr>
        <w:rPr>
          <w:sz w:val="20"/>
          <w:szCs w:val="20"/>
        </w:rPr>
      </w:pPr>
    </w:p>
    <w:p w:rsidR="00670E82" w:rsidRPr="008225D2" w:rsidRDefault="00670E82" w:rsidP="00670E82">
      <w:pPr>
        <w:widowControl w:val="0"/>
        <w:jc w:val="both"/>
        <w:rPr>
          <w:sz w:val="20"/>
          <w:szCs w:val="20"/>
        </w:rPr>
      </w:pPr>
    </w:p>
    <w:p w:rsidR="00670E82" w:rsidRPr="008225D2" w:rsidRDefault="00670E82" w:rsidP="00670E82">
      <w:pPr>
        <w:widowControl w:val="0"/>
        <w:ind w:left="2880" w:hanging="2880"/>
        <w:jc w:val="both"/>
        <w:rPr>
          <w:sz w:val="20"/>
          <w:szCs w:val="20"/>
        </w:rPr>
      </w:pPr>
      <w:r w:rsidRPr="008225D2">
        <w:rPr>
          <w:sz w:val="20"/>
          <w:szCs w:val="20"/>
        </w:rPr>
        <w:t>Origin of the case:</w:t>
      </w:r>
      <w:r w:rsidRPr="008225D2">
        <w:rPr>
          <w:sz w:val="20"/>
          <w:szCs w:val="20"/>
        </w:rPr>
        <w:tab/>
        <w:t>Federal Court of Appeal</w:t>
      </w:r>
    </w:p>
    <w:p w:rsidR="00670E82" w:rsidRPr="008225D2" w:rsidRDefault="00670E82" w:rsidP="00670E82">
      <w:pPr>
        <w:widowControl w:val="0"/>
        <w:ind w:left="2880" w:hanging="2880"/>
        <w:jc w:val="both"/>
        <w:rPr>
          <w:sz w:val="20"/>
          <w:szCs w:val="20"/>
        </w:rPr>
      </w:pPr>
    </w:p>
    <w:p w:rsidR="00670E82" w:rsidRPr="008225D2" w:rsidRDefault="00670E82" w:rsidP="00670E82">
      <w:pPr>
        <w:widowControl w:val="0"/>
        <w:ind w:left="2880" w:hanging="2880"/>
        <w:jc w:val="both"/>
        <w:rPr>
          <w:sz w:val="20"/>
          <w:szCs w:val="20"/>
        </w:rPr>
      </w:pPr>
      <w:r w:rsidRPr="008225D2">
        <w:rPr>
          <w:sz w:val="20"/>
          <w:szCs w:val="20"/>
        </w:rPr>
        <w:t>File No.:</w:t>
      </w:r>
      <w:r w:rsidRPr="008225D2">
        <w:rPr>
          <w:sz w:val="20"/>
          <w:szCs w:val="20"/>
        </w:rPr>
        <w:tab/>
        <w:t>35145</w:t>
      </w:r>
    </w:p>
    <w:p w:rsidR="00670E82" w:rsidRPr="008225D2" w:rsidRDefault="00670E82" w:rsidP="00670E82">
      <w:pPr>
        <w:widowControl w:val="0"/>
        <w:ind w:left="2880" w:hanging="2880"/>
        <w:jc w:val="both"/>
        <w:rPr>
          <w:sz w:val="20"/>
          <w:szCs w:val="20"/>
        </w:rPr>
      </w:pPr>
    </w:p>
    <w:p w:rsidR="00670E82" w:rsidRPr="008225D2" w:rsidRDefault="00670E82" w:rsidP="00670E82">
      <w:pPr>
        <w:widowControl w:val="0"/>
        <w:ind w:left="2880" w:hanging="2880"/>
        <w:jc w:val="both"/>
        <w:rPr>
          <w:sz w:val="20"/>
          <w:szCs w:val="20"/>
        </w:rPr>
      </w:pPr>
      <w:r w:rsidRPr="008225D2">
        <w:rPr>
          <w:sz w:val="20"/>
          <w:szCs w:val="20"/>
        </w:rPr>
        <w:t>Judgment of the Court of Appeal:</w:t>
      </w:r>
      <w:r w:rsidRPr="008225D2">
        <w:rPr>
          <w:sz w:val="20"/>
          <w:szCs w:val="20"/>
        </w:rPr>
        <w:tab/>
        <w:t>November 2, 2012</w:t>
      </w:r>
    </w:p>
    <w:p w:rsidR="00670E82" w:rsidRPr="008225D2" w:rsidRDefault="00670E82" w:rsidP="00670E82">
      <w:pPr>
        <w:widowControl w:val="0"/>
        <w:ind w:left="2880" w:hanging="2880"/>
        <w:jc w:val="both"/>
        <w:rPr>
          <w:sz w:val="20"/>
          <w:szCs w:val="20"/>
        </w:rPr>
      </w:pPr>
    </w:p>
    <w:p w:rsidR="00670E82" w:rsidRPr="008225D2" w:rsidRDefault="00670E82" w:rsidP="00670E82">
      <w:pPr>
        <w:widowControl w:val="0"/>
        <w:ind w:left="2880" w:hanging="2880"/>
        <w:jc w:val="both"/>
        <w:rPr>
          <w:sz w:val="20"/>
          <w:szCs w:val="20"/>
        </w:rPr>
      </w:pPr>
      <w:r w:rsidRPr="008225D2">
        <w:rPr>
          <w:sz w:val="20"/>
          <w:szCs w:val="20"/>
        </w:rPr>
        <w:t>Counsel:</w:t>
      </w:r>
      <w:r w:rsidRPr="008225D2">
        <w:rPr>
          <w:sz w:val="20"/>
          <w:szCs w:val="20"/>
        </w:rPr>
        <w:tab/>
        <w:t>Guy J. Pratte and Nadia Effendi for the Appellant</w:t>
      </w:r>
    </w:p>
    <w:p w:rsidR="00670E82" w:rsidRPr="008225D2" w:rsidRDefault="00670E82" w:rsidP="00670E82">
      <w:pPr>
        <w:widowControl w:val="0"/>
        <w:ind w:left="2880" w:hanging="2880"/>
        <w:jc w:val="both"/>
        <w:rPr>
          <w:sz w:val="20"/>
          <w:szCs w:val="20"/>
        </w:rPr>
      </w:pPr>
      <w:r>
        <w:rPr>
          <w:sz w:val="20"/>
          <w:szCs w:val="20"/>
        </w:rPr>
        <w:tab/>
      </w:r>
      <w:r w:rsidRPr="008225D2">
        <w:rPr>
          <w:sz w:val="20"/>
          <w:szCs w:val="20"/>
        </w:rPr>
        <w:t>Peter Southy and Sean Gaudet for the Respondent, Attorney General of Canada</w:t>
      </w:r>
    </w:p>
    <w:p w:rsidR="00670E82" w:rsidRPr="008225D2" w:rsidRDefault="00670E82" w:rsidP="00670E82">
      <w:pPr>
        <w:widowControl w:val="0"/>
        <w:ind w:left="2880" w:hanging="2880"/>
        <w:jc w:val="both"/>
        <w:rPr>
          <w:sz w:val="20"/>
          <w:szCs w:val="20"/>
        </w:rPr>
      </w:pPr>
      <w:r>
        <w:rPr>
          <w:sz w:val="20"/>
          <w:szCs w:val="20"/>
        </w:rPr>
        <w:tab/>
      </w:r>
      <w:r w:rsidRPr="008225D2">
        <w:rPr>
          <w:sz w:val="20"/>
          <w:szCs w:val="20"/>
        </w:rPr>
        <w:t>Forrest C. Hume and Cynthia A. Millar for the Respondents Peace River Coal Inc. and Canadian Industrial Transportation Association</w:t>
      </w:r>
    </w:p>
    <w:p w:rsidR="00F164B3" w:rsidRPr="00F46874" w:rsidRDefault="00F164B3" w:rsidP="00F164B3">
      <w:pPr>
        <w:tabs>
          <w:tab w:val="left" w:pos="-1440"/>
          <w:tab w:val="left" w:pos="-720"/>
        </w:tabs>
        <w:jc w:val="both"/>
        <w:rPr>
          <w:sz w:val="20"/>
          <w:szCs w:val="20"/>
        </w:rPr>
      </w:pPr>
    </w:p>
    <w:p w:rsidR="00F164B3" w:rsidRDefault="00A47393" w:rsidP="00F164B3">
      <w:pPr>
        <w:tabs>
          <w:tab w:val="left" w:pos="-1440"/>
          <w:tab w:val="left" w:pos="-720"/>
        </w:tabs>
        <w:jc w:val="both"/>
        <w:rPr>
          <w:sz w:val="20"/>
          <w:szCs w:val="20"/>
          <w:lang w:val="fr-CA"/>
        </w:rPr>
      </w:pPr>
      <w:r>
        <w:rPr>
          <w:sz w:val="20"/>
          <w:szCs w:val="20"/>
          <w:lang w:val="fr-CA"/>
        </w:rPr>
        <w:pict>
          <v:rect id="_x0000_i1049" style="width:2in;height:1pt" o:hrpct="0" o:hralign="center" o:hrstd="t" o:hrnoshade="t" o:hr="t" fillcolor="black [3213]" stroked="f"/>
        </w:pict>
      </w:r>
    </w:p>
    <w:p w:rsidR="00F164B3" w:rsidRDefault="00F164B3" w:rsidP="00F164B3">
      <w:pPr>
        <w:tabs>
          <w:tab w:val="left" w:pos="-1440"/>
          <w:tab w:val="left" w:pos="-720"/>
        </w:tabs>
        <w:jc w:val="both"/>
        <w:rPr>
          <w:sz w:val="20"/>
          <w:szCs w:val="20"/>
          <w:lang w:val="fr-CA"/>
        </w:rPr>
      </w:pPr>
    </w:p>
    <w:p w:rsidR="00F164B3" w:rsidRDefault="00F164B3">
      <w:pPr>
        <w:rPr>
          <w:sz w:val="20"/>
          <w:szCs w:val="20"/>
          <w:lang w:val="fr-CA"/>
        </w:rPr>
      </w:pPr>
    </w:p>
    <w:p w:rsidR="00F164B3" w:rsidRDefault="00F164B3">
      <w:pPr>
        <w:rPr>
          <w:sz w:val="20"/>
          <w:szCs w:val="20"/>
          <w:lang w:val="fr-CA"/>
        </w:rPr>
      </w:pPr>
      <w:r>
        <w:rPr>
          <w:sz w:val="20"/>
          <w:szCs w:val="20"/>
          <w:lang w:val="fr-CA"/>
        </w:rPr>
        <w:br w:type="page"/>
      </w:r>
    </w:p>
    <w:p w:rsidR="00670E82" w:rsidRPr="000A7681" w:rsidRDefault="00670E82" w:rsidP="00670E82">
      <w:pPr>
        <w:widowControl w:val="0"/>
        <w:ind w:left="720" w:hanging="720"/>
        <w:jc w:val="both"/>
        <w:rPr>
          <w:b/>
          <w:i/>
          <w:sz w:val="20"/>
          <w:szCs w:val="20"/>
          <w:lang w:val="fr-CA"/>
        </w:rPr>
      </w:pPr>
      <w:r w:rsidRPr="000A7681">
        <w:rPr>
          <w:b/>
          <w:sz w:val="20"/>
          <w:szCs w:val="20"/>
          <w:lang w:val="fr-CA"/>
        </w:rPr>
        <w:lastRenderedPageBreak/>
        <w:fldChar w:fldCharType="begin"/>
      </w:r>
      <w:r w:rsidRPr="000A7681">
        <w:rPr>
          <w:b/>
          <w:sz w:val="20"/>
          <w:szCs w:val="20"/>
          <w:lang w:val="fr-CA"/>
        </w:rPr>
        <w:instrText xml:space="preserve"> SEQ CHAPTER \h \r 1</w:instrText>
      </w:r>
      <w:r w:rsidRPr="000A7681">
        <w:rPr>
          <w:b/>
          <w:sz w:val="20"/>
          <w:szCs w:val="20"/>
          <w:lang w:val="fr-CA"/>
        </w:rPr>
        <w:fldChar w:fldCharType="end"/>
      </w:r>
      <w:r w:rsidRPr="000A7681">
        <w:rPr>
          <w:b/>
          <w:sz w:val="20"/>
          <w:szCs w:val="20"/>
          <w:lang w:val="fr-CA"/>
        </w:rPr>
        <w:t>35145</w:t>
      </w:r>
      <w:r w:rsidRPr="000A7681">
        <w:rPr>
          <w:sz w:val="20"/>
          <w:szCs w:val="20"/>
          <w:lang w:val="fr-CA"/>
        </w:rPr>
        <w:tab/>
      </w:r>
      <w:r w:rsidRPr="000A7681">
        <w:rPr>
          <w:b/>
          <w:i/>
          <w:sz w:val="20"/>
          <w:szCs w:val="20"/>
          <w:lang w:val="fr-CA"/>
        </w:rPr>
        <w:t>Compagnie des chemins de fer nationaux du Canada c. Procureur général du Canada, Peace River Coal Inc., Association canadienne de transport industriel - et entre -</w:t>
      </w:r>
      <w:r w:rsidRPr="000A7681">
        <w:rPr>
          <w:i/>
          <w:sz w:val="20"/>
          <w:szCs w:val="20"/>
          <w:lang w:val="fr-CA"/>
        </w:rPr>
        <w:t xml:space="preserve"> </w:t>
      </w:r>
      <w:r w:rsidRPr="000A7681">
        <w:rPr>
          <w:b/>
          <w:i/>
          <w:sz w:val="20"/>
          <w:szCs w:val="20"/>
          <w:lang w:val="fr-CA"/>
        </w:rPr>
        <w:t>Compagnie des chemins de fer nationaux du Canada c. Peace River Coal Inc., Association canadienne de transport industriel, Procureur général du Canada</w:t>
      </w:r>
    </w:p>
    <w:p w:rsidR="00670E82" w:rsidRPr="000A7681" w:rsidRDefault="00670E82" w:rsidP="00670E82">
      <w:pPr>
        <w:pStyle w:val="SCCLsocParty"/>
        <w:ind w:left="1440" w:hanging="1440"/>
        <w:jc w:val="both"/>
        <w:rPr>
          <w:sz w:val="20"/>
          <w:szCs w:val="20"/>
          <w:lang w:val="fr-CA"/>
        </w:rPr>
      </w:pPr>
    </w:p>
    <w:p w:rsidR="00670E82" w:rsidRPr="000A7681" w:rsidRDefault="00670E82" w:rsidP="00670E82">
      <w:pPr>
        <w:pStyle w:val="SCCBanSummary"/>
        <w:rPr>
          <w:sz w:val="20"/>
          <w:szCs w:val="20"/>
          <w:lang w:val="fr-CA"/>
        </w:rPr>
      </w:pPr>
      <w:r w:rsidRPr="000A7681">
        <w:rPr>
          <w:sz w:val="20"/>
          <w:szCs w:val="20"/>
          <w:lang w:val="fr-CA"/>
        </w:rPr>
        <w:t>(Ordonnance de mise sous scellés)</w:t>
      </w:r>
    </w:p>
    <w:p w:rsidR="00670E82" w:rsidRPr="000A7681" w:rsidRDefault="00670E82" w:rsidP="00670E82">
      <w:pPr>
        <w:rPr>
          <w:sz w:val="20"/>
          <w:szCs w:val="20"/>
          <w:lang w:val="fr-CA"/>
        </w:rPr>
      </w:pPr>
    </w:p>
    <w:p w:rsidR="00670E82" w:rsidRPr="000A7681" w:rsidRDefault="00670E82" w:rsidP="00670E82">
      <w:pPr>
        <w:jc w:val="both"/>
        <w:rPr>
          <w:sz w:val="20"/>
          <w:szCs w:val="20"/>
          <w:lang w:val="fr-CA"/>
        </w:rPr>
      </w:pPr>
      <w:r w:rsidRPr="000A7681">
        <w:rPr>
          <w:iCs/>
          <w:color w:val="000000"/>
          <w:sz w:val="20"/>
          <w:szCs w:val="20"/>
          <w:lang w:val="fr-CA"/>
        </w:rPr>
        <w:t>Droit des transports - Chemins de fer - Tarifs et frais de service - Le gouverneur en conseil a décidé que la décision de l’Office des transports du Canada selon laquelle il n’avait pas compétence pour entendre la plainte de Peace River Coal Inc. portant que le supplément carburant imposé par le CN sur le transport du charbon était déraisonnable était incorrecte - Le gouverneur en conseil avait-il le pouvoir en vertu de l’art. 40 de la</w:t>
      </w:r>
      <w:r w:rsidRPr="000A7681">
        <w:rPr>
          <w:i/>
          <w:iCs/>
          <w:color w:val="000000"/>
          <w:sz w:val="20"/>
          <w:szCs w:val="20"/>
          <w:lang w:val="fr-CA"/>
        </w:rPr>
        <w:t xml:space="preserve"> Loi sur les transports au Canada</w:t>
      </w:r>
      <w:r w:rsidRPr="000A7681">
        <w:rPr>
          <w:iCs/>
          <w:color w:val="000000"/>
          <w:sz w:val="20"/>
          <w:szCs w:val="20"/>
          <w:lang w:val="fr-CA"/>
        </w:rPr>
        <w:t>, L.C. 1996, ch. 10</w:t>
      </w:r>
      <w:r w:rsidRPr="000A7681">
        <w:rPr>
          <w:i/>
          <w:iCs/>
          <w:color w:val="000000"/>
          <w:sz w:val="20"/>
          <w:szCs w:val="20"/>
          <w:lang w:val="fr-CA"/>
        </w:rPr>
        <w:t xml:space="preserve"> </w:t>
      </w:r>
      <w:r w:rsidRPr="000A7681">
        <w:rPr>
          <w:iCs/>
          <w:color w:val="000000"/>
          <w:sz w:val="20"/>
          <w:szCs w:val="20"/>
          <w:lang w:val="fr-CA"/>
        </w:rPr>
        <w:t xml:space="preserve">de modifier ou d’annuler la décision de l’Office sur des questions de droit et de compétence? - Le cadre juridique établi dans l’arrêt </w:t>
      </w:r>
      <w:r w:rsidRPr="000A7681">
        <w:rPr>
          <w:i/>
          <w:iCs/>
          <w:color w:val="000000"/>
          <w:sz w:val="20"/>
          <w:szCs w:val="20"/>
          <w:lang w:val="fr-CA"/>
        </w:rPr>
        <w:t>Dunsmuir c. Nouveau-Brunswick</w:t>
      </w:r>
      <w:r w:rsidRPr="000A7681">
        <w:rPr>
          <w:iCs/>
          <w:color w:val="000000"/>
          <w:sz w:val="20"/>
          <w:szCs w:val="20"/>
          <w:lang w:val="fr-CA"/>
        </w:rPr>
        <w:t>, 2008 CSC 9 pour la détermination de la norme de contrôle s’applique-t-il aux décisions du gouverneur en conseil?</w:t>
      </w:r>
    </w:p>
    <w:p w:rsidR="00670E82" w:rsidRPr="000A7681" w:rsidRDefault="00670E82" w:rsidP="00670E82">
      <w:pPr>
        <w:jc w:val="both"/>
        <w:rPr>
          <w:sz w:val="20"/>
          <w:szCs w:val="20"/>
          <w:lang w:val="fr-CA"/>
        </w:rPr>
      </w:pPr>
    </w:p>
    <w:p w:rsidR="00670E82" w:rsidRPr="000A7681" w:rsidRDefault="00670E82" w:rsidP="00670E82">
      <w:pPr>
        <w:pStyle w:val="loose"/>
        <w:spacing w:before="0"/>
        <w:ind w:right="6"/>
        <w:jc w:val="both"/>
        <w:rPr>
          <w:color w:val="000000"/>
          <w:sz w:val="20"/>
          <w:szCs w:val="20"/>
          <w:lang w:val="fr-CA"/>
        </w:rPr>
      </w:pPr>
      <w:r w:rsidRPr="000A7681">
        <w:rPr>
          <w:color w:val="000000"/>
          <w:sz w:val="20"/>
          <w:szCs w:val="20"/>
          <w:lang w:val="fr-CA"/>
        </w:rPr>
        <w:t>En janvier 2008, Peace River Coal Inc. (« PRC ») et la Compagnie des chemins de fer nationaux du Canada (le « CN ») ont passé un contrat confidentiel touchant le transport du charbon de PRC jusqu’en juin 2010.  Ce contrat stipulait que les taux de fret de base convenus seraient soumis [traduction] « au tarif de supplément carburant CN 7402 ».  En avril 2008, le CN a institué un nouveau tarif de supplément carburant, le CN 7403.  Le CN a avisé ses clients que les contrats confidentiels prévoyant l’application du supplément carburant du tarif CN 7402 continueraient de s’appliquer jusqu’à leur expiration.  PRC a présenté une demande à l’Office des transports du Canada (l’« Office ») pour une ordonnance établissant un supplément carburant raisonnable en application de l’art. 120.1 de la</w:t>
      </w:r>
      <w:r w:rsidRPr="000A7681">
        <w:rPr>
          <w:i/>
          <w:color w:val="000000"/>
          <w:sz w:val="20"/>
          <w:szCs w:val="20"/>
          <w:lang w:val="fr-CA"/>
        </w:rPr>
        <w:t xml:space="preserve"> Loi sur les transports au Canada </w:t>
      </w:r>
      <w:r w:rsidRPr="000A7681">
        <w:rPr>
          <w:color w:val="000000"/>
          <w:sz w:val="20"/>
          <w:szCs w:val="20"/>
          <w:lang w:val="fr-CA"/>
        </w:rPr>
        <w:t xml:space="preserve">et prescrivant au CN de modifier les frais qu’elle exigeait au titre du tarif CN 7402 de manière à tenir compte des frais stipulés au tarif CN 7403.  Par requête, le CN a demandé le rejet de la demande. </w:t>
      </w:r>
    </w:p>
    <w:p w:rsidR="00670E82" w:rsidRPr="000A7681" w:rsidRDefault="00670E82" w:rsidP="00670E82">
      <w:pPr>
        <w:rPr>
          <w:sz w:val="20"/>
          <w:szCs w:val="20"/>
          <w:lang w:val="fr-CA"/>
        </w:rPr>
      </w:pPr>
    </w:p>
    <w:p w:rsidR="00670E82" w:rsidRPr="000A7681" w:rsidRDefault="00670E82" w:rsidP="00670E82">
      <w:pPr>
        <w:widowControl w:val="0"/>
        <w:jc w:val="both"/>
        <w:rPr>
          <w:sz w:val="20"/>
          <w:szCs w:val="20"/>
          <w:lang w:val="fr-CA"/>
        </w:rPr>
      </w:pPr>
    </w:p>
    <w:p w:rsidR="00670E82" w:rsidRPr="000A7681" w:rsidRDefault="00670E82" w:rsidP="00670E82">
      <w:pPr>
        <w:widowControl w:val="0"/>
        <w:ind w:left="2880" w:hanging="2880"/>
        <w:jc w:val="both"/>
        <w:rPr>
          <w:sz w:val="20"/>
          <w:szCs w:val="20"/>
          <w:lang w:val="fr-CA"/>
        </w:rPr>
      </w:pPr>
      <w:r w:rsidRPr="000A7681">
        <w:rPr>
          <w:sz w:val="20"/>
          <w:szCs w:val="20"/>
          <w:lang w:val="fr-CA"/>
        </w:rPr>
        <w:t>Origine :</w:t>
      </w:r>
      <w:r w:rsidRPr="000A7681">
        <w:rPr>
          <w:sz w:val="20"/>
          <w:szCs w:val="20"/>
          <w:lang w:val="fr-CA"/>
        </w:rPr>
        <w:tab/>
        <w:t>Cour d’appel fédérale</w:t>
      </w:r>
    </w:p>
    <w:p w:rsidR="00670E82" w:rsidRPr="000A7681" w:rsidRDefault="00670E82" w:rsidP="00670E82">
      <w:pPr>
        <w:widowControl w:val="0"/>
        <w:ind w:left="2880" w:hanging="2880"/>
        <w:jc w:val="both"/>
        <w:rPr>
          <w:sz w:val="20"/>
          <w:szCs w:val="20"/>
          <w:lang w:val="fr-CA"/>
        </w:rPr>
      </w:pPr>
    </w:p>
    <w:p w:rsidR="00670E82" w:rsidRPr="000A7681" w:rsidRDefault="00670E82" w:rsidP="00670E82">
      <w:pPr>
        <w:widowControl w:val="0"/>
        <w:ind w:left="2880" w:hanging="2880"/>
        <w:jc w:val="both"/>
        <w:rPr>
          <w:sz w:val="20"/>
          <w:szCs w:val="20"/>
          <w:lang w:val="fr-CA"/>
        </w:rPr>
      </w:pPr>
      <w:r w:rsidRPr="000A7681">
        <w:rPr>
          <w:sz w:val="20"/>
          <w:szCs w:val="20"/>
          <w:lang w:val="fr-CA"/>
        </w:rPr>
        <w:t>N</w:t>
      </w:r>
      <w:r w:rsidRPr="000A7681">
        <w:rPr>
          <w:sz w:val="20"/>
          <w:szCs w:val="20"/>
          <w:vertAlign w:val="superscript"/>
          <w:lang w:val="fr-CA"/>
        </w:rPr>
        <w:t>o</w:t>
      </w:r>
      <w:r w:rsidRPr="000A7681">
        <w:rPr>
          <w:sz w:val="20"/>
          <w:szCs w:val="20"/>
          <w:lang w:val="fr-CA"/>
        </w:rPr>
        <w:t xml:space="preserve"> du greffe :</w:t>
      </w:r>
      <w:r w:rsidRPr="000A7681">
        <w:rPr>
          <w:sz w:val="20"/>
          <w:szCs w:val="20"/>
          <w:lang w:val="fr-CA"/>
        </w:rPr>
        <w:tab/>
        <w:t>35145</w:t>
      </w:r>
    </w:p>
    <w:p w:rsidR="00670E82" w:rsidRPr="000A7681" w:rsidRDefault="00670E82" w:rsidP="00670E82">
      <w:pPr>
        <w:widowControl w:val="0"/>
        <w:ind w:left="2880" w:hanging="2880"/>
        <w:jc w:val="both"/>
        <w:rPr>
          <w:sz w:val="20"/>
          <w:szCs w:val="20"/>
          <w:lang w:val="fr-CA"/>
        </w:rPr>
      </w:pPr>
    </w:p>
    <w:p w:rsidR="00670E82" w:rsidRPr="000A7681" w:rsidRDefault="00670E82" w:rsidP="00670E82">
      <w:pPr>
        <w:widowControl w:val="0"/>
        <w:ind w:left="2880" w:hanging="2880"/>
        <w:jc w:val="both"/>
        <w:rPr>
          <w:sz w:val="20"/>
          <w:szCs w:val="20"/>
          <w:lang w:val="fr-CA"/>
        </w:rPr>
      </w:pPr>
      <w:r w:rsidRPr="000A7681">
        <w:rPr>
          <w:sz w:val="20"/>
          <w:szCs w:val="20"/>
          <w:lang w:val="fr-CA"/>
        </w:rPr>
        <w:t>Arrêt de la Cour d’appel :</w:t>
      </w:r>
      <w:r w:rsidRPr="000A7681">
        <w:rPr>
          <w:sz w:val="20"/>
          <w:szCs w:val="20"/>
          <w:lang w:val="fr-CA"/>
        </w:rPr>
        <w:tab/>
        <w:t>le 2 novembre 2012</w:t>
      </w:r>
    </w:p>
    <w:p w:rsidR="00670E82" w:rsidRPr="000A7681" w:rsidRDefault="00670E82" w:rsidP="00670E82">
      <w:pPr>
        <w:widowControl w:val="0"/>
        <w:ind w:left="2880" w:hanging="2880"/>
        <w:jc w:val="both"/>
        <w:rPr>
          <w:sz w:val="20"/>
          <w:szCs w:val="20"/>
          <w:lang w:val="fr-CA"/>
        </w:rPr>
      </w:pPr>
    </w:p>
    <w:p w:rsidR="00670E82" w:rsidRPr="000A7681" w:rsidRDefault="00670E82" w:rsidP="00670E82">
      <w:pPr>
        <w:widowControl w:val="0"/>
        <w:ind w:left="2880" w:hanging="2880"/>
        <w:jc w:val="both"/>
        <w:rPr>
          <w:sz w:val="20"/>
          <w:szCs w:val="20"/>
          <w:lang w:val="fr-CA"/>
        </w:rPr>
      </w:pPr>
      <w:r w:rsidRPr="000A7681">
        <w:rPr>
          <w:sz w:val="20"/>
          <w:szCs w:val="20"/>
          <w:lang w:val="fr-CA"/>
        </w:rPr>
        <w:t>Avocats :</w:t>
      </w:r>
      <w:r w:rsidRPr="000A7681">
        <w:rPr>
          <w:sz w:val="20"/>
          <w:szCs w:val="20"/>
          <w:lang w:val="fr-CA"/>
        </w:rPr>
        <w:tab/>
        <w:t>Guy J. Pratte et Nadia Effendi pour l’appelante</w:t>
      </w:r>
    </w:p>
    <w:p w:rsidR="00670E82" w:rsidRPr="000A7681" w:rsidRDefault="00670E82" w:rsidP="00670E82">
      <w:pPr>
        <w:widowControl w:val="0"/>
        <w:ind w:left="2880" w:hanging="2880"/>
        <w:jc w:val="both"/>
        <w:rPr>
          <w:sz w:val="20"/>
          <w:szCs w:val="20"/>
          <w:lang w:val="fr-CA"/>
        </w:rPr>
      </w:pPr>
      <w:r>
        <w:rPr>
          <w:sz w:val="20"/>
          <w:szCs w:val="20"/>
          <w:lang w:val="fr-CA"/>
        </w:rPr>
        <w:tab/>
      </w:r>
      <w:r w:rsidRPr="000A7681">
        <w:rPr>
          <w:sz w:val="20"/>
          <w:szCs w:val="20"/>
          <w:lang w:val="fr-CA"/>
        </w:rPr>
        <w:t>Peter Southy et Sean Gaudet pour l’intimé, procureur général du Canada</w:t>
      </w:r>
    </w:p>
    <w:p w:rsidR="00670E82" w:rsidRPr="000A7681" w:rsidRDefault="00670E82" w:rsidP="00670E82">
      <w:pPr>
        <w:widowControl w:val="0"/>
        <w:ind w:left="2880" w:hanging="2880"/>
        <w:jc w:val="both"/>
        <w:rPr>
          <w:sz w:val="20"/>
          <w:szCs w:val="20"/>
          <w:lang w:val="fr-CA"/>
        </w:rPr>
      </w:pPr>
      <w:r>
        <w:rPr>
          <w:sz w:val="20"/>
          <w:szCs w:val="20"/>
          <w:lang w:val="fr-CA"/>
        </w:rPr>
        <w:tab/>
      </w:r>
      <w:r w:rsidRPr="000A7681">
        <w:rPr>
          <w:sz w:val="20"/>
          <w:szCs w:val="20"/>
          <w:lang w:val="fr-CA"/>
        </w:rPr>
        <w:t>Forrest C. Hume et Cynthia A. Millar pour les intimées Peace River Coal Inc. et Association canadienne de transport industriel</w:t>
      </w:r>
    </w:p>
    <w:p w:rsidR="00F164B3" w:rsidRPr="00DD0B49" w:rsidRDefault="00F164B3" w:rsidP="00F164B3">
      <w:pPr>
        <w:tabs>
          <w:tab w:val="left" w:pos="-1440"/>
          <w:tab w:val="left" w:pos="-720"/>
        </w:tabs>
        <w:jc w:val="both"/>
        <w:rPr>
          <w:sz w:val="20"/>
          <w:szCs w:val="20"/>
          <w:lang w:val="fr-CA"/>
        </w:rPr>
      </w:pPr>
    </w:p>
    <w:p w:rsidR="00F164B3" w:rsidRDefault="00A47393" w:rsidP="00F164B3">
      <w:pPr>
        <w:tabs>
          <w:tab w:val="left" w:pos="-1440"/>
          <w:tab w:val="left" w:pos="-720"/>
        </w:tabs>
        <w:jc w:val="both"/>
        <w:rPr>
          <w:sz w:val="20"/>
          <w:szCs w:val="20"/>
          <w:lang w:val="fr-CA"/>
        </w:rPr>
      </w:pPr>
      <w:r>
        <w:rPr>
          <w:sz w:val="20"/>
          <w:szCs w:val="20"/>
          <w:lang w:val="fr-CA"/>
        </w:rPr>
        <w:pict>
          <v:rect id="_x0000_i1050" style="width:2in;height:1pt" o:hrpct="0" o:hralign="center" o:hrstd="t" o:hrnoshade="t" o:hr="t" fillcolor="black [3213]" stroked="f"/>
        </w:pict>
      </w:r>
    </w:p>
    <w:p w:rsidR="00F164B3" w:rsidRDefault="00F164B3" w:rsidP="00F164B3">
      <w:pPr>
        <w:tabs>
          <w:tab w:val="left" w:pos="-1440"/>
          <w:tab w:val="left" w:pos="-720"/>
        </w:tabs>
        <w:jc w:val="both"/>
        <w:rPr>
          <w:sz w:val="20"/>
          <w:szCs w:val="20"/>
          <w:lang w:val="fr-CA"/>
        </w:rPr>
      </w:pPr>
    </w:p>
    <w:p w:rsidR="00F164B3" w:rsidRDefault="00F164B3">
      <w:pPr>
        <w:rPr>
          <w:sz w:val="20"/>
          <w:szCs w:val="20"/>
          <w:lang w:val="fr-CA"/>
        </w:rPr>
      </w:pPr>
    </w:p>
    <w:p w:rsidR="00F164B3" w:rsidRDefault="00F164B3">
      <w:pPr>
        <w:rPr>
          <w:sz w:val="20"/>
          <w:szCs w:val="20"/>
          <w:lang w:val="fr-CA"/>
        </w:rPr>
      </w:pPr>
      <w:r>
        <w:rPr>
          <w:sz w:val="20"/>
          <w:szCs w:val="20"/>
          <w:lang w:val="fr-CA"/>
        </w:rPr>
        <w:br w:type="page"/>
      </w:r>
    </w:p>
    <w:p w:rsidR="006434C2" w:rsidRPr="00A701A5" w:rsidRDefault="006434C2" w:rsidP="006434C2">
      <w:pPr>
        <w:widowControl w:val="0"/>
        <w:ind w:left="720" w:hanging="720"/>
        <w:jc w:val="both"/>
        <w:rPr>
          <w:sz w:val="20"/>
          <w:szCs w:val="20"/>
        </w:rPr>
      </w:pPr>
      <w:r w:rsidRPr="00A701A5">
        <w:rPr>
          <w:b/>
          <w:sz w:val="20"/>
          <w:szCs w:val="20"/>
        </w:rPr>
        <w:lastRenderedPageBreak/>
        <w:t>35586</w:t>
      </w:r>
      <w:r w:rsidR="001C5DB7" w:rsidRPr="00A701A5">
        <w:rPr>
          <w:sz w:val="20"/>
          <w:szCs w:val="20"/>
        </w:rPr>
        <w:fldChar w:fldCharType="begin"/>
      </w:r>
      <w:r w:rsidRPr="00A701A5">
        <w:rPr>
          <w:sz w:val="20"/>
          <w:szCs w:val="20"/>
        </w:rPr>
        <w:instrText xml:space="preserve"> SEQ CHAPTER \h \r 1</w:instrText>
      </w:r>
      <w:r w:rsidR="001C5DB7" w:rsidRPr="00A701A5">
        <w:rPr>
          <w:sz w:val="20"/>
          <w:szCs w:val="20"/>
        </w:rPr>
        <w:fldChar w:fldCharType="end"/>
      </w:r>
      <w:r w:rsidRPr="00A701A5">
        <w:rPr>
          <w:sz w:val="20"/>
          <w:szCs w:val="20"/>
        </w:rPr>
        <w:tab/>
      </w:r>
      <w:r w:rsidRPr="00A701A5">
        <w:rPr>
          <w:b/>
          <w:i/>
          <w:sz w:val="20"/>
          <w:szCs w:val="20"/>
        </w:rPr>
        <w:t>In the matter of section 53 of the Supreme Court Act, R.S.C. 1985, c. S-26; and in the matter of a reference by the Governor in Council concerning sections 5 and 6 of the Supreme Court Act, R.S.C. 1985, c. S-26, as set out in Order in Council, P.C. 2013-1105, dated October 22, 2013</w:t>
      </w:r>
    </w:p>
    <w:p w:rsidR="006434C2" w:rsidRPr="00A701A5" w:rsidRDefault="006434C2" w:rsidP="006434C2">
      <w:pPr>
        <w:widowControl w:val="0"/>
        <w:jc w:val="both"/>
        <w:rPr>
          <w:sz w:val="20"/>
          <w:szCs w:val="20"/>
        </w:rPr>
      </w:pPr>
    </w:p>
    <w:p w:rsidR="006434C2" w:rsidRPr="00A701A5" w:rsidRDefault="006434C2" w:rsidP="006434C2">
      <w:pPr>
        <w:widowControl w:val="0"/>
        <w:jc w:val="both"/>
        <w:rPr>
          <w:sz w:val="20"/>
          <w:szCs w:val="20"/>
        </w:rPr>
      </w:pPr>
      <w:r w:rsidRPr="00A701A5">
        <w:rPr>
          <w:sz w:val="20"/>
          <w:szCs w:val="20"/>
        </w:rPr>
        <w:t>Legislation - Interpretation - Constitutional law - Supreme Court of Canada - Appointment of judges - Reference</w:t>
      </w:r>
    </w:p>
    <w:p w:rsidR="006434C2" w:rsidRPr="00A701A5" w:rsidRDefault="006434C2" w:rsidP="006434C2">
      <w:pPr>
        <w:widowControl w:val="0"/>
        <w:jc w:val="both"/>
        <w:rPr>
          <w:sz w:val="20"/>
          <w:szCs w:val="20"/>
        </w:rPr>
      </w:pPr>
    </w:p>
    <w:p w:rsidR="006434C2" w:rsidRPr="00A701A5" w:rsidRDefault="006434C2" w:rsidP="006434C2">
      <w:pPr>
        <w:widowControl w:val="0"/>
        <w:spacing w:line="0" w:lineRule="atLeast"/>
        <w:jc w:val="both"/>
        <w:rPr>
          <w:sz w:val="20"/>
          <w:szCs w:val="20"/>
        </w:rPr>
      </w:pPr>
      <w:r w:rsidRPr="00A701A5">
        <w:rPr>
          <w:sz w:val="20"/>
          <w:szCs w:val="20"/>
        </w:rPr>
        <w:t xml:space="preserve">The Honourable Justice Marc Nadon was appointed to the Supreme Court of Canada on October 3, 2013, to fulfill the requirements of s. 6 of the </w:t>
      </w:r>
      <w:r w:rsidRPr="00A701A5">
        <w:rPr>
          <w:i/>
          <w:sz w:val="20"/>
          <w:szCs w:val="20"/>
        </w:rPr>
        <w:t>Supreme Court Act</w:t>
      </w:r>
      <w:r w:rsidRPr="00A701A5">
        <w:rPr>
          <w:sz w:val="20"/>
          <w:szCs w:val="20"/>
        </w:rPr>
        <w:t xml:space="preserve"> which requires that three of the judges of this Court be drawn from the province of Quebec.  He was sworn in on October 7, 2013.  Prior to his appointment to the Supreme Court, Justice Nadon was a judge of the Federal Court of Appeal.  </w:t>
      </w:r>
    </w:p>
    <w:p w:rsidR="006434C2" w:rsidRPr="00A701A5" w:rsidRDefault="006434C2" w:rsidP="006434C2">
      <w:pPr>
        <w:widowControl w:val="0"/>
        <w:spacing w:line="0" w:lineRule="atLeast"/>
        <w:jc w:val="both"/>
        <w:rPr>
          <w:sz w:val="20"/>
          <w:szCs w:val="20"/>
        </w:rPr>
      </w:pPr>
    </w:p>
    <w:p w:rsidR="006434C2" w:rsidRPr="00A701A5" w:rsidRDefault="006434C2" w:rsidP="006434C2">
      <w:pPr>
        <w:widowControl w:val="0"/>
        <w:spacing w:line="0" w:lineRule="atLeast"/>
        <w:jc w:val="both"/>
        <w:rPr>
          <w:sz w:val="20"/>
          <w:szCs w:val="20"/>
        </w:rPr>
      </w:pPr>
      <w:r w:rsidRPr="00A701A5">
        <w:rPr>
          <w:sz w:val="20"/>
          <w:szCs w:val="20"/>
        </w:rPr>
        <w:t xml:space="preserve">Third parties brought an application for judicial review in Federal Court challenging (i) Justice Nadon’s appointment on the basis that sections 5 and 6 of the </w:t>
      </w:r>
      <w:r w:rsidRPr="00A701A5">
        <w:rPr>
          <w:i/>
          <w:sz w:val="20"/>
          <w:szCs w:val="20"/>
        </w:rPr>
        <w:t>Supreme Court Act</w:t>
      </w:r>
      <w:r w:rsidRPr="00A701A5">
        <w:rPr>
          <w:sz w:val="20"/>
          <w:szCs w:val="20"/>
        </w:rPr>
        <w:t xml:space="preserve"> do not permit the appointment of Federal Court or Federal Court of Appeal Judges to the Supreme Court of Canada, and (ii) Parliament’s ability to legislate with respect to the criteria set out at sections 5 and 6 of the Act.  Pending the resolution of this challenge to his appointment, Justice Nadon announced that he would not to participate in matters before the Supreme Court of Canada.</w:t>
      </w:r>
    </w:p>
    <w:p w:rsidR="006434C2" w:rsidRPr="00A701A5" w:rsidRDefault="006434C2" w:rsidP="006434C2">
      <w:pPr>
        <w:widowControl w:val="0"/>
        <w:spacing w:line="0" w:lineRule="atLeast"/>
        <w:jc w:val="both"/>
        <w:rPr>
          <w:sz w:val="20"/>
          <w:szCs w:val="20"/>
        </w:rPr>
      </w:pPr>
    </w:p>
    <w:p w:rsidR="006434C2" w:rsidRPr="00A701A5" w:rsidRDefault="006434C2" w:rsidP="006434C2">
      <w:pPr>
        <w:widowControl w:val="0"/>
        <w:spacing w:line="0" w:lineRule="atLeast"/>
        <w:jc w:val="both"/>
        <w:rPr>
          <w:sz w:val="20"/>
          <w:szCs w:val="20"/>
        </w:rPr>
      </w:pPr>
      <w:r w:rsidRPr="00A701A5">
        <w:rPr>
          <w:sz w:val="20"/>
          <w:szCs w:val="20"/>
        </w:rPr>
        <w:t xml:space="preserve">On October 22, 2013, a bill was introduced in the House of Commons proposing to add two declaratory provisions to the </w:t>
      </w:r>
      <w:r w:rsidRPr="00A701A5">
        <w:rPr>
          <w:i/>
          <w:sz w:val="20"/>
          <w:szCs w:val="20"/>
        </w:rPr>
        <w:t>Supreme Court Act</w:t>
      </w:r>
      <w:r w:rsidRPr="00A701A5">
        <w:rPr>
          <w:sz w:val="20"/>
          <w:szCs w:val="20"/>
        </w:rPr>
        <w:t xml:space="preserve"> so as to expressly permit the appointment to the Supreme Court of Canada of a person who currently is, or was at any time, a member of a provincial bar with at least 10 years standing.  That same day, the Governor in Council referred two questions to the Court by way of Order in Council P.C. 2013-1105:</w:t>
      </w:r>
    </w:p>
    <w:p w:rsidR="006434C2" w:rsidRPr="00A701A5" w:rsidRDefault="006434C2" w:rsidP="006434C2">
      <w:pPr>
        <w:widowControl w:val="0"/>
        <w:spacing w:line="0" w:lineRule="atLeast"/>
        <w:jc w:val="both"/>
        <w:rPr>
          <w:sz w:val="20"/>
          <w:szCs w:val="20"/>
        </w:rPr>
      </w:pPr>
    </w:p>
    <w:p w:rsidR="006434C2" w:rsidRPr="00A701A5" w:rsidRDefault="006434C2" w:rsidP="006434C2">
      <w:pPr>
        <w:pStyle w:val="ListParagraph"/>
        <w:numPr>
          <w:ilvl w:val="0"/>
          <w:numId w:val="11"/>
        </w:numPr>
        <w:tabs>
          <w:tab w:val="left" w:pos="720"/>
        </w:tabs>
        <w:rPr>
          <w:sz w:val="20"/>
          <w:szCs w:val="20"/>
        </w:rPr>
      </w:pPr>
      <w:r w:rsidRPr="00A701A5">
        <w:rPr>
          <w:sz w:val="20"/>
          <w:szCs w:val="20"/>
        </w:rPr>
        <w:t xml:space="preserve">Can a person who was, at any time, an advocate of at least 10 years standing at the Barreau du Québec be appointed to the Supreme Court of Canada as a member of the Supreme Court from Quebec pursuant to sections 5 and 6 of the </w:t>
      </w:r>
      <w:r w:rsidRPr="00A701A5">
        <w:rPr>
          <w:i/>
          <w:sz w:val="20"/>
          <w:szCs w:val="20"/>
        </w:rPr>
        <w:t>Supreme Court Act</w:t>
      </w:r>
      <w:r w:rsidRPr="00A701A5">
        <w:rPr>
          <w:sz w:val="20"/>
          <w:szCs w:val="20"/>
        </w:rPr>
        <w:t>?</w:t>
      </w:r>
    </w:p>
    <w:p w:rsidR="006434C2" w:rsidRPr="00A701A5" w:rsidRDefault="006434C2" w:rsidP="006434C2">
      <w:pPr>
        <w:pStyle w:val="ListParagraph"/>
        <w:tabs>
          <w:tab w:val="left" w:pos="720"/>
        </w:tabs>
        <w:ind w:left="1080"/>
        <w:rPr>
          <w:sz w:val="20"/>
          <w:szCs w:val="20"/>
        </w:rPr>
      </w:pPr>
    </w:p>
    <w:p w:rsidR="006434C2" w:rsidRPr="00A701A5" w:rsidRDefault="006434C2" w:rsidP="006434C2">
      <w:pPr>
        <w:pStyle w:val="ListParagraph"/>
        <w:widowControl w:val="0"/>
        <w:numPr>
          <w:ilvl w:val="0"/>
          <w:numId w:val="11"/>
        </w:numPr>
        <w:jc w:val="both"/>
        <w:rPr>
          <w:sz w:val="20"/>
          <w:szCs w:val="20"/>
        </w:rPr>
      </w:pPr>
      <w:r w:rsidRPr="00A701A5">
        <w:rPr>
          <w:sz w:val="20"/>
          <w:szCs w:val="20"/>
        </w:rPr>
        <w:t xml:space="preserve">Can Parliament enact legislation that requires that a person be or has previously been a barrister or advocate of at least 10 years standing at the bar of a province as a condition of appointment as a judge of the Supreme Court of Canada or enact the annexed declaratory provisions as set out in clauses 471 and 472 of the Bill entitled </w:t>
      </w:r>
      <w:r w:rsidRPr="00A701A5">
        <w:rPr>
          <w:i/>
          <w:sz w:val="20"/>
          <w:szCs w:val="20"/>
        </w:rPr>
        <w:t>Economic Action Plan 2013 Act, No.2</w:t>
      </w:r>
      <w:r w:rsidRPr="00A701A5">
        <w:rPr>
          <w:sz w:val="20"/>
          <w:szCs w:val="20"/>
        </w:rPr>
        <w:t>?</w:t>
      </w:r>
    </w:p>
    <w:p w:rsidR="006434C2" w:rsidRPr="00A701A5" w:rsidRDefault="006434C2" w:rsidP="006434C2">
      <w:pPr>
        <w:widowControl w:val="0"/>
        <w:jc w:val="both"/>
        <w:rPr>
          <w:sz w:val="20"/>
          <w:szCs w:val="20"/>
        </w:rPr>
      </w:pPr>
    </w:p>
    <w:p w:rsidR="006434C2" w:rsidRPr="00A701A5" w:rsidRDefault="006434C2" w:rsidP="006434C2">
      <w:pPr>
        <w:widowControl w:val="0"/>
        <w:jc w:val="both"/>
        <w:rPr>
          <w:sz w:val="20"/>
          <w:szCs w:val="20"/>
        </w:rPr>
      </w:pPr>
      <w:r w:rsidRPr="00A701A5">
        <w:rPr>
          <w:sz w:val="20"/>
          <w:szCs w:val="20"/>
        </w:rPr>
        <w:t xml:space="preserve">The proceedings before the Federal Court were stayed pending the determination of the questions submitted to this Court. </w:t>
      </w:r>
    </w:p>
    <w:p w:rsidR="006434C2" w:rsidRPr="00A701A5" w:rsidRDefault="006434C2" w:rsidP="006434C2">
      <w:pPr>
        <w:widowControl w:val="0"/>
        <w:jc w:val="both"/>
        <w:rPr>
          <w:sz w:val="20"/>
          <w:szCs w:val="20"/>
        </w:rPr>
      </w:pPr>
    </w:p>
    <w:p w:rsidR="006434C2" w:rsidRPr="00A701A5" w:rsidRDefault="006434C2" w:rsidP="006434C2">
      <w:pPr>
        <w:widowControl w:val="0"/>
        <w:jc w:val="both"/>
        <w:rPr>
          <w:sz w:val="20"/>
          <w:szCs w:val="20"/>
        </w:rPr>
      </w:pPr>
    </w:p>
    <w:p w:rsidR="006434C2" w:rsidRPr="00A701A5" w:rsidRDefault="006434C2" w:rsidP="006434C2">
      <w:pPr>
        <w:widowControl w:val="0"/>
        <w:ind w:left="2880" w:hanging="2880"/>
        <w:jc w:val="both"/>
        <w:rPr>
          <w:sz w:val="20"/>
          <w:szCs w:val="20"/>
        </w:rPr>
      </w:pPr>
      <w:r w:rsidRPr="00A701A5">
        <w:rPr>
          <w:sz w:val="20"/>
          <w:szCs w:val="20"/>
        </w:rPr>
        <w:t>File No.:</w:t>
      </w:r>
      <w:r w:rsidRPr="00A701A5">
        <w:rPr>
          <w:sz w:val="20"/>
          <w:szCs w:val="20"/>
        </w:rPr>
        <w:tab/>
        <w:t>35586</w:t>
      </w:r>
    </w:p>
    <w:p w:rsidR="006434C2" w:rsidRPr="00A701A5" w:rsidRDefault="006434C2" w:rsidP="006434C2">
      <w:pPr>
        <w:widowControl w:val="0"/>
        <w:ind w:left="2880" w:hanging="2880"/>
        <w:jc w:val="both"/>
        <w:rPr>
          <w:sz w:val="20"/>
          <w:szCs w:val="20"/>
        </w:rPr>
      </w:pPr>
    </w:p>
    <w:p w:rsidR="006434C2" w:rsidRPr="00A701A5" w:rsidRDefault="006434C2" w:rsidP="006434C2">
      <w:pPr>
        <w:widowControl w:val="0"/>
        <w:ind w:left="2880" w:hanging="2880"/>
        <w:jc w:val="both"/>
        <w:rPr>
          <w:sz w:val="20"/>
          <w:szCs w:val="20"/>
        </w:rPr>
      </w:pPr>
      <w:r w:rsidRPr="00A701A5">
        <w:rPr>
          <w:sz w:val="20"/>
          <w:szCs w:val="20"/>
        </w:rPr>
        <w:t>Counsel:</w:t>
      </w:r>
      <w:r w:rsidRPr="00A701A5">
        <w:rPr>
          <w:sz w:val="20"/>
          <w:szCs w:val="20"/>
        </w:rPr>
        <w:tab/>
        <w:t>René LeBlanc and Christine Mohr for the Attorney General of Canada</w:t>
      </w:r>
    </w:p>
    <w:p w:rsidR="00F164B3" w:rsidRPr="006434C2" w:rsidRDefault="00F164B3" w:rsidP="00F164B3">
      <w:pPr>
        <w:tabs>
          <w:tab w:val="left" w:pos="-1440"/>
          <w:tab w:val="left" w:pos="-720"/>
        </w:tabs>
        <w:jc w:val="both"/>
        <w:rPr>
          <w:sz w:val="20"/>
          <w:szCs w:val="20"/>
        </w:rPr>
      </w:pPr>
    </w:p>
    <w:p w:rsidR="00F164B3" w:rsidRDefault="00A47393" w:rsidP="00F164B3">
      <w:pPr>
        <w:tabs>
          <w:tab w:val="left" w:pos="-1440"/>
          <w:tab w:val="left" w:pos="-720"/>
        </w:tabs>
        <w:jc w:val="both"/>
        <w:rPr>
          <w:sz w:val="20"/>
          <w:szCs w:val="20"/>
          <w:lang w:val="fr-CA"/>
        </w:rPr>
      </w:pPr>
      <w:r>
        <w:rPr>
          <w:sz w:val="20"/>
          <w:szCs w:val="20"/>
          <w:lang w:val="fr-CA"/>
        </w:rPr>
        <w:pict>
          <v:rect id="_x0000_i1051" style="width:2in;height:1pt" o:hrpct="0" o:hralign="center" o:hrstd="t" o:hrnoshade="t" o:hr="t" fillcolor="black [3213]" stroked="f"/>
        </w:pict>
      </w:r>
    </w:p>
    <w:p w:rsidR="00F164B3" w:rsidRDefault="00F164B3" w:rsidP="00F164B3">
      <w:pPr>
        <w:tabs>
          <w:tab w:val="left" w:pos="-1440"/>
          <w:tab w:val="left" w:pos="-720"/>
        </w:tabs>
        <w:jc w:val="both"/>
        <w:rPr>
          <w:sz w:val="20"/>
          <w:szCs w:val="20"/>
          <w:lang w:val="fr-CA"/>
        </w:rPr>
      </w:pPr>
    </w:p>
    <w:p w:rsidR="00F164B3" w:rsidRDefault="00F164B3">
      <w:pPr>
        <w:rPr>
          <w:sz w:val="20"/>
          <w:szCs w:val="20"/>
          <w:lang w:val="fr-CA"/>
        </w:rPr>
      </w:pPr>
    </w:p>
    <w:p w:rsidR="00F164B3" w:rsidRDefault="00F164B3">
      <w:pPr>
        <w:rPr>
          <w:sz w:val="20"/>
          <w:szCs w:val="20"/>
          <w:lang w:val="fr-CA"/>
        </w:rPr>
      </w:pPr>
      <w:r>
        <w:rPr>
          <w:sz w:val="20"/>
          <w:szCs w:val="20"/>
          <w:lang w:val="fr-CA"/>
        </w:rPr>
        <w:br w:type="page"/>
      </w:r>
    </w:p>
    <w:p w:rsidR="006434C2" w:rsidRPr="00CA4ABB" w:rsidRDefault="006434C2" w:rsidP="006434C2">
      <w:pPr>
        <w:widowControl w:val="0"/>
        <w:ind w:left="720" w:hanging="720"/>
        <w:jc w:val="both"/>
        <w:rPr>
          <w:b/>
          <w:sz w:val="20"/>
          <w:szCs w:val="20"/>
          <w:lang w:val="fr-CA"/>
        </w:rPr>
      </w:pPr>
      <w:r w:rsidRPr="00CA4ABB">
        <w:rPr>
          <w:b/>
          <w:sz w:val="20"/>
          <w:szCs w:val="20"/>
          <w:lang w:val="fr-CA"/>
        </w:rPr>
        <w:lastRenderedPageBreak/>
        <w:t>35586</w:t>
      </w:r>
      <w:r w:rsidR="001C5DB7" w:rsidRPr="00CA4ABB">
        <w:rPr>
          <w:b/>
          <w:sz w:val="20"/>
          <w:szCs w:val="20"/>
          <w:lang w:val="fr-CA"/>
        </w:rPr>
        <w:fldChar w:fldCharType="begin"/>
      </w:r>
      <w:r w:rsidRPr="00CA4ABB">
        <w:rPr>
          <w:b/>
          <w:sz w:val="20"/>
          <w:szCs w:val="20"/>
          <w:lang w:val="fr-CA"/>
        </w:rPr>
        <w:instrText xml:space="preserve"> SEQ CHAPTER \h \r 1</w:instrText>
      </w:r>
      <w:r w:rsidR="001C5DB7" w:rsidRPr="00CA4ABB">
        <w:rPr>
          <w:b/>
          <w:sz w:val="20"/>
          <w:szCs w:val="20"/>
          <w:lang w:val="fr-CA"/>
        </w:rPr>
        <w:fldChar w:fldCharType="end"/>
      </w:r>
      <w:r w:rsidRPr="00CA4ABB">
        <w:rPr>
          <w:b/>
          <w:sz w:val="20"/>
          <w:szCs w:val="20"/>
          <w:lang w:val="fr-CA"/>
        </w:rPr>
        <w:tab/>
      </w:r>
      <w:r w:rsidRPr="00CA4ABB">
        <w:rPr>
          <w:b/>
          <w:i/>
          <w:sz w:val="20"/>
          <w:szCs w:val="20"/>
          <w:lang w:val="fr-CA"/>
        </w:rPr>
        <w:t>Dans l’affaire de l’article 53 de la Loi sur la Cour suprême, L.R.C. 1985, ch. S-26; et dans l’affaire d’un renvoi par le gouverneur en conseil concernant les articles 5 et 6 de la Loi sur la Cour suprême, L.R.C. 1985, ch. S-26, institué aux termes du décret C.P. 2013-1105 daté du 22 octobre 2013</w:t>
      </w:r>
    </w:p>
    <w:p w:rsidR="006434C2" w:rsidRPr="00CA4ABB" w:rsidRDefault="006434C2" w:rsidP="006434C2">
      <w:pPr>
        <w:widowControl w:val="0"/>
        <w:jc w:val="both"/>
        <w:rPr>
          <w:sz w:val="20"/>
          <w:szCs w:val="20"/>
          <w:lang w:val="fr-CA"/>
        </w:rPr>
      </w:pPr>
    </w:p>
    <w:p w:rsidR="006434C2" w:rsidRPr="00CA4ABB" w:rsidRDefault="006434C2" w:rsidP="006434C2">
      <w:pPr>
        <w:widowControl w:val="0"/>
        <w:jc w:val="both"/>
        <w:rPr>
          <w:sz w:val="20"/>
          <w:szCs w:val="20"/>
          <w:lang w:val="fr-CA"/>
        </w:rPr>
      </w:pPr>
      <w:r w:rsidRPr="00CA4ABB">
        <w:rPr>
          <w:sz w:val="20"/>
          <w:szCs w:val="20"/>
          <w:lang w:val="fr-CA"/>
        </w:rPr>
        <w:t>Législation - Interprétation - Droit constitutionnel - Cour suprême du Canada - Nomination des juges - Renvoi</w:t>
      </w:r>
    </w:p>
    <w:p w:rsidR="006434C2" w:rsidRPr="00CA4ABB" w:rsidRDefault="006434C2" w:rsidP="006434C2">
      <w:pPr>
        <w:widowControl w:val="0"/>
        <w:jc w:val="both"/>
        <w:rPr>
          <w:sz w:val="20"/>
          <w:szCs w:val="20"/>
          <w:lang w:val="fr-CA"/>
        </w:rPr>
      </w:pPr>
    </w:p>
    <w:p w:rsidR="006434C2" w:rsidRPr="00CA4ABB" w:rsidRDefault="006434C2" w:rsidP="006434C2">
      <w:pPr>
        <w:widowControl w:val="0"/>
        <w:jc w:val="both"/>
        <w:rPr>
          <w:sz w:val="20"/>
          <w:szCs w:val="20"/>
          <w:lang w:val="fr-CA"/>
        </w:rPr>
      </w:pPr>
      <w:r w:rsidRPr="00CA4ABB">
        <w:rPr>
          <w:sz w:val="20"/>
          <w:szCs w:val="20"/>
          <w:lang w:val="fr-CA"/>
        </w:rPr>
        <w:t>L’honorable juge Marc Nadon a été nommé à la Cour suprême du Canada le 3 octobre 2013, pour répondre aux exigences de l’art. 6 de la</w:t>
      </w:r>
      <w:r w:rsidRPr="00CA4ABB">
        <w:rPr>
          <w:i/>
          <w:sz w:val="20"/>
          <w:szCs w:val="20"/>
          <w:lang w:val="fr-CA"/>
        </w:rPr>
        <w:t xml:space="preserve"> Loi sur la Cour suprême</w:t>
      </w:r>
      <w:r w:rsidRPr="00CA4ABB">
        <w:rPr>
          <w:sz w:val="20"/>
          <w:szCs w:val="20"/>
          <w:lang w:val="fr-CA"/>
        </w:rPr>
        <w:t xml:space="preserve"> qui prescrit que trois des juges de cette Cour doivent provenir de la province de Québec.  Il a prêté serment le 7 octobre 2013.  Avant sa nomination à la Cour suprême, le juge Nadon était juge à la Cour d’appel fédérale.  </w:t>
      </w:r>
    </w:p>
    <w:p w:rsidR="006434C2" w:rsidRPr="00CA4ABB" w:rsidRDefault="006434C2" w:rsidP="006434C2">
      <w:pPr>
        <w:widowControl w:val="0"/>
        <w:jc w:val="both"/>
        <w:rPr>
          <w:sz w:val="20"/>
          <w:szCs w:val="20"/>
          <w:lang w:val="fr-CA"/>
        </w:rPr>
      </w:pPr>
    </w:p>
    <w:p w:rsidR="006434C2" w:rsidRPr="00CA4ABB" w:rsidRDefault="006434C2" w:rsidP="006434C2">
      <w:pPr>
        <w:widowControl w:val="0"/>
        <w:jc w:val="both"/>
        <w:rPr>
          <w:sz w:val="20"/>
          <w:szCs w:val="20"/>
          <w:lang w:val="fr-CA"/>
        </w:rPr>
      </w:pPr>
      <w:r w:rsidRPr="00CA4ABB">
        <w:rPr>
          <w:sz w:val="20"/>
          <w:szCs w:val="20"/>
          <w:lang w:val="fr-CA"/>
        </w:rPr>
        <w:t>Des tiers ont présenté une demande de contrôle judiciaire à la Cour fédérale contestant (i) la nomination du juge Nadon au motif que les articles 5 et 6 de la</w:t>
      </w:r>
      <w:r w:rsidRPr="00CA4ABB">
        <w:rPr>
          <w:i/>
          <w:sz w:val="20"/>
          <w:szCs w:val="20"/>
          <w:lang w:val="fr-CA"/>
        </w:rPr>
        <w:t xml:space="preserve"> Loi sur la Cour suprême</w:t>
      </w:r>
      <w:r w:rsidRPr="00CA4ABB">
        <w:rPr>
          <w:sz w:val="20"/>
          <w:szCs w:val="20"/>
          <w:lang w:val="fr-CA"/>
        </w:rPr>
        <w:t xml:space="preserve"> ne permettent pas la nomination de juges de la Cour fédérale ou de la Cour d’appel fédérale à la Cour suprême du Canada et (ii) le pouvoir du Parlement de légiférer relativement aux critères énoncés aux articles 5 et 6 de la loi.  En attendant le règlement de cette contestation de sa nomination, le juge Nadon a annoncé qu’il ne participerait pas aux affaires dont la Cour suprême du Canada était saisie.</w:t>
      </w:r>
    </w:p>
    <w:p w:rsidR="006434C2" w:rsidRPr="00CA4ABB" w:rsidRDefault="006434C2" w:rsidP="006434C2">
      <w:pPr>
        <w:widowControl w:val="0"/>
        <w:jc w:val="both"/>
        <w:rPr>
          <w:sz w:val="20"/>
          <w:szCs w:val="20"/>
          <w:lang w:val="fr-CA"/>
        </w:rPr>
      </w:pPr>
    </w:p>
    <w:p w:rsidR="006434C2" w:rsidRPr="00CA4ABB" w:rsidRDefault="006434C2" w:rsidP="006434C2">
      <w:pPr>
        <w:widowControl w:val="0"/>
        <w:jc w:val="both"/>
        <w:rPr>
          <w:sz w:val="20"/>
          <w:szCs w:val="20"/>
          <w:lang w:val="fr-CA"/>
        </w:rPr>
      </w:pPr>
      <w:r w:rsidRPr="00CA4ABB">
        <w:rPr>
          <w:sz w:val="20"/>
          <w:szCs w:val="20"/>
          <w:lang w:val="fr-CA"/>
        </w:rPr>
        <w:t>Le 22 octobre 2013, un projet de loi a été introduit à la Chambre des communes pour ajouter des dispositions déclaratoires à la</w:t>
      </w:r>
      <w:r w:rsidRPr="00CA4ABB">
        <w:rPr>
          <w:i/>
          <w:sz w:val="20"/>
          <w:szCs w:val="20"/>
          <w:lang w:val="fr-CA"/>
        </w:rPr>
        <w:t xml:space="preserve"> Loi sur la Cour suprême</w:t>
      </w:r>
      <w:r w:rsidRPr="00CA4ABB">
        <w:rPr>
          <w:sz w:val="20"/>
          <w:szCs w:val="20"/>
          <w:lang w:val="fr-CA"/>
        </w:rPr>
        <w:t xml:space="preserve"> de manière à autoriser expressément la nomination à la Cour suprême du Canada d’une personne qui est actuellement inscrite ou qui a autrefois été inscrite comme avocat pendant au moins dix ans au barreau d’une province.  Le même jour, le gouverneur en conseil a renvoyé deux questions à la Cour par voie du décret C.P. 2013-1105 :</w:t>
      </w:r>
    </w:p>
    <w:p w:rsidR="006434C2" w:rsidRPr="00CA4ABB" w:rsidRDefault="006434C2" w:rsidP="006434C2">
      <w:pPr>
        <w:widowControl w:val="0"/>
        <w:jc w:val="both"/>
        <w:rPr>
          <w:sz w:val="20"/>
          <w:szCs w:val="20"/>
          <w:lang w:val="fr-CA"/>
        </w:rPr>
      </w:pPr>
    </w:p>
    <w:p w:rsidR="006434C2" w:rsidRPr="00CA4ABB" w:rsidRDefault="006434C2" w:rsidP="006434C2">
      <w:pPr>
        <w:pStyle w:val="ListParagraph"/>
        <w:numPr>
          <w:ilvl w:val="0"/>
          <w:numId w:val="12"/>
        </w:numPr>
        <w:tabs>
          <w:tab w:val="left" w:pos="720"/>
        </w:tabs>
        <w:rPr>
          <w:sz w:val="20"/>
          <w:szCs w:val="20"/>
          <w:lang w:val="fr-CA"/>
        </w:rPr>
      </w:pPr>
      <w:r w:rsidRPr="00CA4ABB">
        <w:rPr>
          <w:sz w:val="20"/>
          <w:szCs w:val="20"/>
          <w:lang w:val="fr-CA"/>
        </w:rPr>
        <w:t xml:space="preserve">Une personne qui a autrefois été inscrite comme avocat pendant au moins dix ans au Barreau du Québec peut-elle être nommée à la Cour suprême du Canada à titre de juge de la Cour suprême pour le Québec conformément aux articles 5 et 6 de la </w:t>
      </w:r>
      <w:r w:rsidRPr="00CA4ABB">
        <w:rPr>
          <w:i/>
          <w:sz w:val="20"/>
          <w:szCs w:val="20"/>
          <w:lang w:val="fr-CA"/>
        </w:rPr>
        <w:t>Loi sur la Cour suprême</w:t>
      </w:r>
      <w:r w:rsidRPr="00CA4ABB">
        <w:rPr>
          <w:sz w:val="20"/>
          <w:szCs w:val="20"/>
          <w:lang w:val="fr-CA"/>
        </w:rPr>
        <w:t>?</w:t>
      </w:r>
    </w:p>
    <w:p w:rsidR="006434C2" w:rsidRPr="00CA4ABB" w:rsidRDefault="006434C2" w:rsidP="006434C2">
      <w:pPr>
        <w:pStyle w:val="ListParagraph"/>
        <w:tabs>
          <w:tab w:val="left" w:pos="720"/>
        </w:tabs>
        <w:ind w:left="1080"/>
        <w:rPr>
          <w:sz w:val="20"/>
          <w:szCs w:val="20"/>
          <w:lang w:val="fr-CA"/>
        </w:rPr>
      </w:pPr>
    </w:p>
    <w:p w:rsidR="006434C2" w:rsidRPr="00CA4ABB" w:rsidRDefault="006434C2" w:rsidP="006434C2">
      <w:pPr>
        <w:pStyle w:val="ListParagraph"/>
        <w:widowControl w:val="0"/>
        <w:numPr>
          <w:ilvl w:val="0"/>
          <w:numId w:val="12"/>
        </w:numPr>
        <w:jc w:val="both"/>
        <w:rPr>
          <w:sz w:val="20"/>
          <w:szCs w:val="20"/>
          <w:lang w:val="fr-CA"/>
        </w:rPr>
      </w:pPr>
      <w:r w:rsidRPr="00CA4ABB">
        <w:rPr>
          <w:sz w:val="20"/>
          <w:szCs w:val="20"/>
          <w:lang w:val="fr-CA"/>
        </w:rPr>
        <w:t xml:space="preserve">Le Parlement peut-il légiférer pour exiger, à titre de condition de sa nomination au poste de juge de la Cour suprême du Canada, qu’une personne soit ou ait été inscrite comme avocat au barreau d’une province pendant au moins dix ans ou adopter des dispositions déclaratoires telles que celles prévues aux articles 471 et 472 du projet de loi intitulé </w:t>
      </w:r>
      <w:r w:rsidRPr="00CA4ABB">
        <w:rPr>
          <w:i/>
          <w:sz w:val="20"/>
          <w:szCs w:val="20"/>
          <w:lang w:val="fr-CA"/>
        </w:rPr>
        <w:t>Loi nº 2 sur le plan d’action économique de 2013</w:t>
      </w:r>
      <w:r w:rsidRPr="00CA4ABB">
        <w:rPr>
          <w:sz w:val="20"/>
          <w:szCs w:val="20"/>
          <w:lang w:val="fr-CA"/>
        </w:rPr>
        <w:t>?</w:t>
      </w:r>
    </w:p>
    <w:p w:rsidR="006434C2" w:rsidRPr="00CA4ABB" w:rsidRDefault="006434C2" w:rsidP="006434C2">
      <w:pPr>
        <w:widowControl w:val="0"/>
        <w:jc w:val="both"/>
        <w:rPr>
          <w:sz w:val="20"/>
          <w:szCs w:val="20"/>
          <w:lang w:val="fr-CA"/>
        </w:rPr>
      </w:pPr>
    </w:p>
    <w:p w:rsidR="006434C2" w:rsidRPr="00CA4ABB" w:rsidRDefault="006434C2" w:rsidP="006434C2">
      <w:pPr>
        <w:widowControl w:val="0"/>
        <w:jc w:val="both"/>
        <w:rPr>
          <w:sz w:val="20"/>
          <w:szCs w:val="20"/>
          <w:lang w:val="fr-CA"/>
        </w:rPr>
      </w:pPr>
      <w:r w:rsidRPr="00CA4ABB">
        <w:rPr>
          <w:sz w:val="20"/>
          <w:szCs w:val="20"/>
          <w:lang w:val="fr-CA"/>
        </w:rPr>
        <w:t xml:space="preserve">L’instance en Cour fédérale a été suspendue en attendant qu’il soit statué sur les questions présentées à cette Cour. </w:t>
      </w:r>
    </w:p>
    <w:p w:rsidR="006434C2" w:rsidRPr="00CA4ABB" w:rsidRDefault="006434C2" w:rsidP="006434C2">
      <w:pPr>
        <w:widowControl w:val="0"/>
        <w:jc w:val="both"/>
        <w:rPr>
          <w:sz w:val="20"/>
          <w:szCs w:val="20"/>
          <w:lang w:val="fr-CA"/>
        </w:rPr>
      </w:pPr>
    </w:p>
    <w:p w:rsidR="006434C2" w:rsidRPr="00CA4ABB" w:rsidRDefault="006434C2" w:rsidP="006434C2">
      <w:pPr>
        <w:widowControl w:val="0"/>
        <w:jc w:val="both"/>
        <w:rPr>
          <w:sz w:val="20"/>
          <w:szCs w:val="20"/>
          <w:lang w:val="fr-CA"/>
        </w:rPr>
      </w:pPr>
    </w:p>
    <w:p w:rsidR="006434C2" w:rsidRPr="00CA4ABB" w:rsidRDefault="006434C2" w:rsidP="006434C2">
      <w:pPr>
        <w:widowControl w:val="0"/>
        <w:ind w:left="2880" w:hanging="2880"/>
        <w:jc w:val="both"/>
        <w:rPr>
          <w:sz w:val="20"/>
          <w:szCs w:val="20"/>
          <w:lang w:val="fr-CA"/>
        </w:rPr>
      </w:pPr>
      <w:r w:rsidRPr="00CA4ABB">
        <w:rPr>
          <w:sz w:val="20"/>
          <w:szCs w:val="20"/>
          <w:lang w:val="fr-CA"/>
        </w:rPr>
        <w:t>N</w:t>
      </w:r>
      <w:r w:rsidRPr="00CA4ABB">
        <w:rPr>
          <w:sz w:val="20"/>
          <w:szCs w:val="20"/>
          <w:vertAlign w:val="superscript"/>
          <w:lang w:val="fr-CA"/>
        </w:rPr>
        <w:t>o</w:t>
      </w:r>
      <w:r w:rsidRPr="00CA4ABB">
        <w:rPr>
          <w:sz w:val="20"/>
          <w:szCs w:val="20"/>
          <w:lang w:val="fr-CA"/>
        </w:rPr>
        <w:t xml:space="preserve"> du greffe :</w:t>
      </w:r>
      <w:r w:rsidRPr="00CA4ABB">
        <w:rPr>
          <w:sz w:val="20"/>
          <w:szCs w:val="20"/>
          <w:lang w:val="fr-CA"/>
        </w:rPr>
        <w:tab/>
        <w:t>35586</w:t>
      </w:r>
    </w:p>
    <w:p w:rsidR="006434C2" w:rsidRPr="00CA4ABB" w:rsidRDefault="006434C2" w:rsidP="006434C2">
      <w:pPr>
        <w:widowControl w:val="0"/>
        <w:ind w:left="2880" w:hanging="2880"/>
        <w:jc w:val="both"/>
        <w:rPr>
          <w:sz w:val="20"/>
          <w:szCs w:val="20"/>
          <w:lang w:val="fr-CA"/>
        </w:rPr>
      </w:pPr>
    </w:p>
    <w:p w:rsidR="006434C2" w:rsidRPr="00CA4ABB" w:rsidRDefault="006434C2" w:rsidP="006434C2">
      <w:pPr>
        <w:widowControl w:val="0"/>
        <w:ind w:left="2880" w:hanging="2880"/>
        <w:jc w:val="both"/>
        <w:rPr>
          <w:sz w:val="20"/>
          <w:szCs w:val="20"/>
          <w:lang w:val="fr-CA"/>
        </w:rPr>
      </w:pPr>
      <w:r w:rsidRPr="00CA4ABB">
        <w:rPr>
          <w:sz w:val="20"/>
          <w:szCs w:val="20"/>
          <w:lang w:val="fr-CA"/>
        </w:rPr>
        <w:t>Avocats :</w:t>
      </w:r>
      <w:r w:rsidRPr="00CA4ABB">
        <w:rPr>
          <w:sz w:val="20"/>
          <w:szCs w:val="20"/>
          <w:lang w:val="fr-CA"/>
        </w:rPr>
        <w:tab/>
        <w:t>René LeBlanc et Christine Mohr pour le procureur général du Canada</w:t>
      </w:r>
    </w:p>
    <w:p w:rsidR="00F164B3" w:rsidRPr="00DD0B49" w:rsidRDefault="00F164B3" w:rsidP="00F164B3">
      <w:pPr>
        <w:tabs>
          <w:tab w:val="left" w:pos="-1440"/>
          <w:tab w:val="left" w:pos="-720"/>
        </w:tabs>
        <w:jc w:val="both"/>
        <w:rPr>
          <w:sz w:val="20"/>
          <w:szCs w:val="20"/>
          <w:lang w:val="fr-CA"/>
        </w:rPr>
      </w:pPr>
    </w:p>
    <w:p w:rsidR="00F164B3" w:rsidRDefault="00A47393" w:rsidP="00F164B3">
      <w:pPr>
        <w:tabs>
          <w:tab w:val="left" w:pos="-1440"/>
          <w:tab w:val="left" w:pos="-720"/>
        </w:tabs>
        <w:jc w:val="both"/>
        <w:rPr>
          <w:sz w:val="20"/>
          <w:szCs w:val="20"/>
          <w:lang w:val="fr-CA"/>
        </w:rPr>
      </w:pPr>
      <w:r>
        <w:rPr>
          <w:sz w:val="20"/>
          <w:szCs w:val="20"/>
          <w:lang w:val="fr-CA"/>
        </w:rPr>
        <w:pict>
          <v:rect id="_x0000_i1052" style="width:2in;height:1pt" o:hrpct="0" o:hralign="center" o:hrstd="t" o:hrnoshade="t" o:hr="t" fillcolor="black [3213]" stroked="f"/>
        </w:pict>
      </w:r>
    </w:p>
    <w:p w:rsidR="00F164B3" w:rsidRDefault="00F164B3" w:rsidP="00F164B3">
      <w:pPr>
        <w:tabs>
          <w:tab w:val="left" w:pos="-1440"/>
          <w:tab w:val="left" w:pos="-720"/>
        </w:tabs>
        <w:jc w:val="both"/>
        <w:rPr>
          <w:sz w:val="20"/>
          <w:szCs w:val="20"/>
          <w:lang w:val="fr-CA"/>
        </w:rPr>
      </w:pPr>
    </w:p>
    <w:p w:rsidR="00F164B3" w:rsidRDefault="00F164B3">
      <w:pPr>
        <w:rPr>
          <w:sz w:val="20"/>
          <w:szCs w:val="20"/>
          <w:lang w:val="fr-CA"/>
        </w:rPr>
      </w:pPr>
    </w:p>
    <w:p w:rsidR="00F164B3" w:rsidRDefault="00F164B3">
      <w:pPr>
        <w:rPr>
          <w:sz w:val="20"/>
          <w:szCs w:val="20"/>
          <w:lang w:val="fr-CA"/>
        </w:rPr>
      </w:pPr>
      <w:r>
        <w:rPr>
          <w:sz w:val="20"/>
          <w:szCs w:val="20"/>
          <w:lang w:val="fr-CA"/>
        </w:rPr>
        <w:br w:type="page"/>
      </w:r>
    </w:p>
    <w:p w:rsidR="006434C2" w:rsidRPr="00E3297D" w:rsidRDefault="006434C2" w:rsidP="006434C2">
      <w:pPr>
        <w:widowControl w:val="0"/>
        <w:ind w:left="720" w:hanging="720"/>
        <w:jc w:val="both"/>
        <w:rPr>
          <w:sz w:val="20"/>
          <w:szCs w:val="20"/>
        </w:rPr>
      </w:pPr>
      <w:r w:rsidRPr="00E3297D">
        <w:rPr>
          <w:b/>
          <w:sz w:val="20"/>
          <w:szCs w:val="20"/>
        </w:rPr>
        <w:lastRenderedPageBreak/>
        <w:t>35089</w:t>
      </w:r>
      <w:r w:rsidR="001C5DB7" w:rsidRPr="00E3297D">
        <w:rPr>
          <w:sz w:val="20"/>
          <w:szCs w:val="20"/>
        </w:rPr>
        <w:fldChar w:fldCharType="begin"/>
      </w:r>
      <w:r w:rsidRPr="00E3297D">
        <w:rPr>
          <w:sz w:val="20"/>
          <w:szCs w:val="20"/>
        </w:rPr>
        <w:instrText xml:space="preserve"> SEQ CHAPTER \h \r 1</w:instrText>
      </w:r>
      <w:r w:rsidR="001C5DB7" w:rsidRPr="00E3297D">
        <w:rPr>
          <w:sz w:val="20"/>
          <w:szCs w:val="20"/>
        </w:rPr>
        <w:fldChar w:fldCharType="end"/>
      </w:r>
      <w:r w:rsidRPr="00E3297D">
        <w:rPr>
          <w:sz w:val="20"/>
          <w:szCs w:val="20"/>
        </w:rPr>
        <w:tab/>
      </w:r>
      <w:r w:rsidRPr="00E3297D">
        <w:rPr>
          <w:b/>
          <w:i/>
          <w:sz w:val="20"/>
          <w:szCs w:val="20"/>
        </w:rPr>
        <w:t xml:space="preserve">W.E.B. v. Her Majesty </w:t>
      </w:r>
      <w:r>
        <w:rPr>
          <w:b/>
          <w:i/>
          <w:sz w:val="20"/>
          <w:szCs w:val="20"/>
        </w:rPr>
        <w:t>t</w:t>
      </w:r>
      <w:r w:rsidRPr="00E3297D">
        <w:rPr>
          <w:b/>
          <w:i/>
          <w:sz w:val="20"/>
          <w:szCs w:val="20"/>
        </w:rPr>
        <w:t>he Queen</w:t>
      </w:r>
    </w:p>
    <w:p w:rsidR="006434C2" w:rsidRPr="00E3297D" w:rsidRDefault="006434C2" w:rsidP="006434C2">
      <w:pPr>
        <w:widowControl w:val="0"/>
        <w:jc w:val="both"/>
        <w:rPr>
          <w:sz w:val="20"/>
          <w:szCs w:val="20"/>
        </w:rPr>
      </w:pPr>
    </w:p>
    <w:p w:rsidR="006434C2" w:rsidRPr="00E3297D" w:rsidRDefault="006434C2" w:rsidP="006434C2">
      <w:pPr>
        <w:widowControl w:val="0"/>
        <w:jc w:val="both"/>
        <w:rPr>
          <w:sz w:val="20"/>
          <w:szCs w:val="20"/>
        </w:rPr>
      </w:pPr>
      <w:r w:rsidRPr="00E3297D">
        <w:rPr>
          <w:sz w:val="20"/>
          <w:szCs w:val="20"/>
        </w:rPr>
        <w:t>(</w:t>
      </w:r>
      <w:r w:rsidRPr="00E3297D">
        <w:rPr>
          <w:smallCaps/>
          <w:sz w:val="20"/>
          <w:szCs w:val="20"/>
        </w:rPr>
        <w:t xml:space="preserve">Publication </w:t>
      </w:r>
      <w:r>
        <w:rPr>
          <w:smallCaps/>
          <w:sz w:val="20"/>
        </w:rPr>
        <w:t>B</w:t>
      </w:r>
      <w:r w:rsidRPr="00E3297D">
        <w:rPr>
          <w:smallCaps/>
          <w:sz w:val="20"/>
          <w:szCs w:val="20"/>
        </w:rPr>
        <w:t xml:space="preserve">an in </w:t>
      </w:r>
      <w:r>
        <w:rPr>
          <w:smallCaps/>
          <w:sz w:val="20"/>
        </w:rPr>
        <w:t>C</w:t>
      </w:r>
      <w:r w:rsidRPr="00E3297D">
        <w:rPr>
          <w:smallCaps/>
          <w:sz w:val="20"/>
          <w:szCs w:val="20"/>
        </w:rPr>
        <w:t>ase</w:t>
      </w:r>
      <w:r w:rsidRPr="00E3297D">
        <w:rPr>
          <w:sz w:val="20"/>
          <w:szCs w:val="20"/>
        </w:rPr>
        <w:t xml:space="preserve">) </w:t>
      </w:r>
    </w:p>
    <w:p w:rsidR="006434C2" w:rsidRPr="00E3297D" w:rsidRDefault="006434C2" w:rsidP="006434C2">
      <w:pPr>
        <w:jc w:val="both"/>
        <w:rPr>
          <w:sz w:val="20"/>
          <w:szCs w:val="20"/>
        </w:rPr>
      </w:pPr>
    </w:p>
    <w:p w:rsidR="006434C2" w:rsidRPr="00E3297D" w:rsidRDefault="006434C2" w:rsidP="006434C2">
      <w:pPr>
        <w:jc w:val="both"/>
        <w:rPr>
          <w:sz w:val="20"/>
          <w:szCs w:val="20"/>
        </w:rPr>
      </w:pPr>
      <w:r w:rsidRPr="00E3297D">
        <w:rPr>
          <w:sz w:val="20"/>
          <w:szCs w:val="20"/>
        </w:rPr>
        <w:t>Criminal law - Trial - Ineffective assistance of counsel - Accused not testifying at trial - Whether a miscarriage of justice occurred because the accused did not give informed consent to trial counsel’s decision to refrain from calling him as a witness in his own defence - Whether the Court of Appeal erred in ascribing any weight to the accused’s “agreement” not to testify - Whether the Court of Appeal erred in finding that the accused’s acquiescence in trial counsel’s decision to refrain from calling him to testify constituted informed consent.</w:t>
      </w:r>
    </w:p>
    <w:p w:rsidR="006434C2" w:rsidRPr="00E3297D" w:rsidRDefault="006434C2" w:rsidP="006434C2">
      <w:pPr>
        <w:widowControl w:val="0"/>
        <w:jc w:val="both"/>
        <w:rPr>
          <w:sz w:val="20"/>
          <w:szCs w:val="20"/>
        </w:rPr>
      </w:pPr>
    </w:p>
    <w:p w:rsidR="006434C2" w:rsidRPr="00E3297D" w:rsidRDefault="006434C2" w:rsidP="006434C2">
      <w:pPr>
        <w:jc w:val="both"/>
        <w:rPr>
          <w:sz w:val="20"/>
          <w:szCs w:val="20"/>
        </w:rPr>
      </w:pPr>
      <w:r w:rsidRPr="00E3297D">
        <w:rPr>
          <w:sz w:val="20"/>
          <w:szCs w:val="20"/>
        </w:rPr>
        <w:t xml:space="preserve">The appellant was convicted of three counts of sexual assault, two counts of sexual touching and one count of invitation to sexual touching.  The complainants were the appellant’s step-granddaughter and step-daughter as well as the daughter of a former girlfriend of the appellant. </w:t>
      </w:r>
    </w:p>
    <w:p w:rsidR="006434C2" w:rsidRPr="00E3297D" w:rsidRDefault="006434C2" w:rsidP="006434C2">
      <w:pPr>
        <w:jc w:val="both"/>
        <w:rPr>
          <w:sz w:val="20"/>
          <w:szCs w:val="20"/>
        </w:rPr>
      </w:pPr>
    </w:p>
    <w:p w:rsidR="006434C2" w:rsidRPr="00E3297D" w:rsidRDefault="006434C2" w:rsidP="006434C2">
      <w:pPr>
        <w:jc w:val="both"/>
        <w:rPr>
          <w:sz w:val="20"/>
          <w:szCs w:val="20"/>
        </w:rPr>
      </w:pPr>
      <w:r w:rsidRPr="00E3297D">
        <w:rPr>
          <w:sz w:val="20"/>
          <w:szCs w:val="20"/>
        </w:rPr>
        <w:t>A single trial was held in respect of the allegations by all three complainants, in front of a judge alone.  The appellant retained and was represented by trial counsel.  No witnesses were called by the defence at trial and the appellant did not testify.</w:t>
      </w:r>
    </w:p>
    <w:p w:rsidR="006434C2" w:rsidRPr="00E3297D" w:rsidRDefault="006434C2" w:rsidP="006434C2">
      <w:pPr>
        <w:jc w:val="both"/>
        <w:rPr>
          <w:sz w:val="20"/>
          <w:szCs w:val="20"/>
        </w:rPr>
      </w:pPr>
    </w:p>
    <w:p w:rsidR="006434C2" w:rsidRPr="00E3297D" w:rsidRDefault="006434C2" w:rsidP="006434C2">
      <w:pPr>
        <w:jc w:val="both"/>
        <w:rPr>
          <w:sz w:val="20"/>
          <w:szCs w:val="20"/>
        </w:rPr>
      </w:pPr>
      <w:r w:rsidRPr="00E3297D">
        <w:rPr>
          <w:sz w:val="20"/>
          <w:szCs w:val="20"/>
        </w:rPr>
        <w:t>The appellant appealed from his conviction on the ground of ineffective assistance of counsel.  He argued that his trial counsel misrepresented her experience with sexual assault trials; that she did not have an adequate understanding of criminal law to enable her to properly handle his defence; that she failed to subpoena witnesses, contrary to his instructions; that she failed to enter a promissory note, which formed an essential part of his defence, into evidence; that she refused to ask questions of Crown witnesses that he instructed her to ask; and that she refused to permit him to testify in his own defence.  The appellant submitted that his trial counsel’s incompetence led to a miscarriage of justice.  The Court of Appeal dismissed his appeal.</w:t>
      </w:r>
    </w:p>
    <w:p w:rsidR="006434C2" w:rsidRPr="00E3297D" w:rsidRDefault="006434C2" w:rsidP="006434C2">
      <w:pPr>
        <w:widowControl w:val="0"/>
        <w:jc w:val="both"/>
        <w:rPr>
          <w:sz w:val="20"/>
          <w:szCs w:val="20"/>
        </w:rPr>
      </w:pPr>
    </w:p>
    <w:p w:rsidR="006434C2" w:rsidRPr="00E3297D" w:rsidRDefault="006434C2" w:rsidP="006434C2">
      <w:pPr>
        <w:widowControl w:val="0"/>
        <w:jc w:val="both"/>
        <w:rPr>
          <w:sz w:val="20"/>
          <w:szCs w:val="20"/>
        </w:rPr>
      </w:pPr>
    </w:p>
    <w:p w:rsidR="006434C2" w:rsidRPr="00E3297D" w:rsidRDefault="006434C2" w:rsidP="006434C2">
      <w:pPr>
        <w:widowControl w:val="0"/>
        <w:ind w:left="2880" w:hanging="2880"/>
        <w:jc w:val="both"/>
        <w:rPr>
          <w:sz w:val="20"/>
          <w:szCs w:val="20"/>
        </w:rPr>
      </w:pPr>
      <w:r w:rsidRPr="00E3297D">
        <w:rPr>
          <w:sz w:val="20"/>
          <w:szCs w:val="20"/>
        </w:rPr>
        <w:t>Origin of the case:</w:t>
      </w:r>
      <w:r w:rsidRPr="00E3297D">
        <w:rPr>
          <w:sz w:val="20"/>
          <w:szCs w:val="20"/>
        </w:rPr>
        <w:tab/>
        <w:t>Ontario</w:t>
      </w:r>
    </w:p>
    <w:p w:rsidR="006434C2" w:rsidRPr="00E3297D" w:rsidRDefault="006434C2" w:rsidP="006434C2">
      <w:pPr>
        <w:widowControl w:val="0"/>
        <w:ind w:left="2880" w:hanging="2880"/>
        <w:jc w:val="both"/>
        <w:rPr>
          <w:sz w:val="20"/>
          <w:szCs w:val="20"/>
        </w:rPr>
      </w:pPr>
    </w:p>
    <w:p w:rsidR="006434C2" w:rsidRPr="00E3297D" w:rsidRDefault="006434C2" w:rsidP="006434C2">
      <w:pPr>
        <w:widowControl w:val="0"/>
        <w:ind w:left="2880" w:hanging="2880"/>
        <w:jc w:val="both"/>
        <w:rPr>
          <w:sz w:val="20"/>
          <w:szCs w:val="20"/>
        </w:rPr>
      </w:pPr>
      <w:r w:rsidRPr="00E3297D">
        <w:rPr>
          <w:sz w:val="20"/>
          <w:szCs w:val="20"/>
        </w:rPr>
        <w:t>File No.:</w:t>
      </w:r>
      <w:r w:rsidRPr="00E3297D">
        <w:rPr>
          <w:sz w:val="20"/>
          <w:szCs w:val="20"/>
        </w:rPr>
        <w:tab/>
        <w:t>35089</w:t>
      </w:r>
    </w:p>
    <w:p w:rsidR="006434C2" w:rsidRPr="00E3297D" w:rsidRDefault="006434C2" w:rsidP="006434C2">
      <w:pPr>
        <w:widowControl w:val="0"/>
        <w:ind w:left="2880" w:hanging="2880"/>
        <w:jc w:val="both"/>
        <w:rPr>
          <w:sz w:val="20"/>
          <w:szCs w:val="20"/>
        </w:rPr>
      </w:pPr>
    </w:p>
    <w:p w:rsidR="006434C2" w:rsidRPr="00E3297D" w:rsidRDefault="006434C2" w:rsidP="006434C2">
      <w:pPr>
        <w:widowControl w:val="0"/>
        <w:ind w:left="2880" w:hanging="2880"/>
        <w:jc w:val="both"/>
        <w:rPr>
          <w:sz w:val="20"/>
          <w:szCs w:val="20"/>
        </w:rPr>
      </w:pPr>
      <w:r w:rsidRPr="00E3297D">
        <w:rPr>
          <w:sz w:val="20"/>
          <w:szCs w:val="20"/>
        </w:rPr>
        <w:t>Judgment of the Court of Appeal:</w:t>
      </w:r>
      <w:r w:rsidRPr="00E3297D">
        <w:rPr>
          <w:sz w:val="20"/>
          <w:szCs w:val="20"/>
        </w:rPr>
        <w:tab/>
        <w:t>November 14, 2012</w:t>
      </w:r>
    </w:p>
    <w:p w:rsidR="006434C2" w:rsidRPr="00E3297D" w:rsidRDefault="006434C2" w:rsidP="006434C2">
      <w:pPr>
        <w:widowControl w:val="0"/>
        <w:ind w:left="2880" w:hanging="2880"/>
        <w:jc w:val="both"/>
        <w:rPr>
          <w:sz w:val="20"/>
          <w:szCs w:val="20"/>
        </w:rPr>
      </w:pPr>
    </w:p>
    <w:p w:rsidR="006434C2" w:rsidRPr="00E3297D" w:rsidRDefault="006434C2" w:rsidP="006434C2">
      <w:pPr>
        <w:widowControl w:val="0"/>
        <w:ind w:left="2880" w:hanging="2880"/>
        <w:jc w:val="both"/>
        <w:rPr>
          <w:sz w:val="20"/>
          <w:szCs w:val="20"/>
        </w:rPr>
      </w:pPr>
      <w:r w:rsidRPr="00E3297D">
        <w:rPr>
          <w:sz w:val="20"/>
          <w:szCs w:val="20"/>
        </w:rPr>
        <w:t>Counsel:</w:t>
      </w:r>
      <w:r w:rsidRPr="00E3297D">
        <w:rPr>
          <w:sz w:val="20"/>
          <w:szCs w:val="20"/>
        </w:rPr>
        <w:tab/>
        <w:t>Michael A. Crystal for the appellant</w:t>
      </w:r>
    </w:p>
    <w:p w:rsidR="006434C2" w:rsidRPr="00E3297D" w:rsidRDefault="006434C2" w:rsidP="006434C2">
      <w:pPr>
        <w:widowControl w:val="0"/>
        <w:ind w:left="2880" w:hanging="2880"/>
        <w:jc w:val="both"/>
        <w:rPr>
          <w:sz w:val="20"/>
          <w:szCs w:val="20"/>
        </w:rPr>
      </w:pPr>
      <w:r w:rsidRPr="00E3297D">
        <w:rPr>
          <w:sz w:val="20"/>
          <w:szCs w:val="20"/>
        </w:rPr>
        <w:tab/>
        <w:t>Holly Loubert for the respondent</w:t>
      </w:r>
    </w:p>
    <w:p w:rsidR="00F164B3" w:rsidRPr="00DD0B49" w:rsidRDefault="00F164B3" w:rsidP="00F164B3">
      <w:pPr>
        <w:tabs>
          <w:tab w:val="left" w:pos="-1440"/>
          <w:tab w:val="left" w:pos="-720"/>
        </w:tabs>
        <w:jc w:val="both"/>
        <w:rPr>
          <w:sz w:val="20"/>
          <w:szCs w:val="20"/>
          <w:lang w:val="fr-CA"/>
        </w:rPr>
      </w:pPr>
    </w:p>
    <w:p w:rsidR="00F164B3" w:rsidRDefault="00A47393" w:rsidP="00F164B3">
      <w:pPr>
        <w:tabs>
          <w:tab w:val="left" w:pos="-1440"/>
          <w:tab w:val="left" w:pos="-720"/>
        </w:tabs>
        <w:jc w:val="both"/>
        <w:rPr>
          <w:sz w:val="20"/>
          <w:szCs w:val="20"/>
          <w:lang w:val="fr-CA"/>
        </w:rPr>
      </w:pPr>
      <w:r>
        <w:rPr>
          <w:sz w:val="20"/>
          <w:szCs w:val="20"/>
          <w:lang w:val="fr-CA"/>
        </w:rPr>
        <w:pict>
          <v:rect id="_x0000_i1053" style="width:2in;height:1pt" o:hrpct="0" o:hralign="center" o:hrstd="t" o:hrnoshade="t" o:hr="t" fillcolor="black [3213]" stroked="f"/>
        </w:pict>
      </w:r>
    </w:p>
    <w:p w:rsidR="00F164B3" w:rsidRDefault="00F164B3" w:rsidP="00F164B3">
      <w:pPr>
        <w:tabs>
          <w:tab w:val="left" w:pos="-1440"/>
          <w:tab w:val="left" w:pos="-720"/>
        </w:tabs>
        <w:jc w:val="both"/>
        <w:rPr>
          <w:sz w:val="20"/>
          <w:szCs w:val="20"/>
          <w:lang w:val="fr-CA"/>
        </w:rPr>
      </w:pPr>
    </w:p>
    <w:p w:rsidR="00F164B3" w:rsidRDefault="00F164B3">
      <w:pPr>
        <w:rPr>
          <w:sz w:val="20"/>
          <w:szCs w:val="20"/>
          <w:lang w:val="fr-CA"/>
        </w:rPr>
      </w:pPr>
    </w:p>
    <w:p w:rsidR="00F164B3" w:rsidRDefault="00F164B3">
      <w:pPr>
        <w:rPr>
          <w:sz w:val="20"/>
          <w:szCs w:val="20"/>
          <w:lang w:val="fr-CA"/>
        </w:rPr>
      </w:pPr>
      <w:r>
        <w:rPr>
          <w:sz w:val="20"/>
          <w:szCs w:val="20"/>
          <w:lang w:val="fr-CA"/>
        </w:rPr>
        <w:br w:type="page"/>
      </w:r>
    </w:p>
    <w:p w:rsidR="006434C2" w:rsidRPr="006A25DE" w:rsidRDefault="006434C2" w:rsidP="006434C2">
      <w:pPr>
        <w:widowControl w:val="0"/>
        <w:ind w:left="720" w:hanging="720"/>
        <w:jc w:val="both"/>
        <w:rPr>
          <w:sz w:val="20"/>
          <w:szCs w:val="20"/>
          <w:lang w:val="fr-CA"/>
        </w:rPr>
      </w:pPr>
      <w:r w:rsidRPr="006A25DE">
        <w:rPr>
          <w:b/>
          <w:sz w:val="20"/>
          <w:szCs w:val="20"/>
          <w:lang w:val="fr-CA"/>
        </w:rPr>
        <w:lastRenderedPageBreak/>
        <w:t>35089</w:t>
      </w:r>
      <w:r w:rsidR="001C5DB7" w:rsidRPr="006A25DE">
        <w:rPr>
          <w:sz w:val="20"/>
          <w:szCs w:val="20"/>
          <w:lang w:val="fr-CA"/>
        </w:rPr>
        <w:fldChar w:fldCharType="begin"/>
      </w:r>
      <w:r w:rsidRPr="006A25DE">
        <w:rPr>
          <w:sz w:val="20"/>
          <w:szCs w:val="20"/>
          <w:lang w:val="fr-CA"/>
        </w:rPr>
        <w:instrText xml:space="preserve"> SEQ CHAPTER \h \r 1</w:instrText>
      </w:r>
      <w:r w:rsidR="001C5DB7" w:rsidRPr="006A25DE">
        <w:rPr>
          <w:sz w:val="20"/>
          <w:szCs w:val="20"/>
          <w:lang w:val="fr-CA"/>
        </w:rPr>
        <w:fldChar w:fldCharType="end"/>
      </w:r>
      <w:r w:rsidRPr="006A25DE">
        <w:rPr>
          <w:sz w:val="20"/>
          <w:szCs w:val="20"/>
          <w:lang w:val="fr-CA"/>
        </w:rPr>
        <w:tab/>
      </w:r>
      <w:r w:rsidRPr="006A25DE">
        <w:rPr>
          <w:b/>
          <w:i/>
          <w:sz w:val="20"/>
          <w:szCs w:val="20"/>
          <w:lang w:val="fr-CA"/>
        </w:rPr>
        <w:t>W.E.B. c. Sa Majesté la Reine</w:t>
      </w:r>
    </w:p>
    <w:p w:rsidR="006434C2" w:rsidRPr="006A25DE" w:rsidRDefault="006434C2" w:rsidP="006434C2">
      <w:pPr>
        <w:widowControl w:val="0"/>
        <w:jc w:val="both"/>
        <w:rPr>
          <w:sz w:val="20"/>
          <w:szCs w:val="20"/>
          <w:lang w:val="fr-CA"/>
        </w:rPr>
      </w:pPr>
    </w:p>
    <w:p w:rsidR="006434C2" w:rsidRPr="006A25DE" w:rsidRDefault="006434C2" w:rsidP="006434C2">
      <w:pPr>
        <w:widowControl w:val="0"/>
        <w:jc w:val="both"/>
        <w:rPr>
          <w:sz w:val="20"/>
          <w:szCs w:val="20"/>
          <w:lang w:val="fr-CA"/>
        </w:rPr>
      </w:pPr>
      <w:r w:rsidRPr="006A25DE">
        <w:rPr>
          <w:sz w:val="20"/>
          <w:szCs w:val="20"/>
          <w:lang w:val="fr-CA"/>
        </w:rPr>
        <w:t>(</w:t>
      </w:r>
      <w:r w:rsidRPr="006A25DE">
        <w:rPr>
          <w:smallCaps/>
          <w:sz w:val="20"/>
          <w:szCs w:val="20"/>
          <w:lang w:val="fr-CA"/>
        </w:rPr>
        <w:t>Ordonnance de non-publication dans le dossier</w:t>
      </w:r>
      <w:r w:rsidRPr="006A25DE">
        <w:rPr>
          <w:sz w:val="20"/>
          <w:szCs w:val="20"/>
          <w:lang w:val="fr-CA"/>
        </w:rPr>
        <w:t xml:space="preserve">) </w:t>
      </w:r>
    </w:p>
    <w:p w:rsidR="006434C2" w:rsidRPr="006A25DE" w:rsidRDefault="006434C2" w:rsidP="006434C2">
      <w:pPr>
        <w:jc w:val="both"/>
        <w:rPr>
          <w:sz w:val="20"/>
          <w:szCs w:val="20"/>
          <w:lang w:val="fr-CA"/>
        </w:rPr>
      </w:pPr>
    </w:p>
    <w:p w:rsidR="006434C2" w:rsidRPr="006A25DE" w:rsidRDefault="006434C2" w:rsidP="006434C2">
      <w:pPr>
        <w:jc w:val="both"/>
        <w:rPr>
          <w:sz w:val="20"/>
          <w:szCs w:val="20"/>
          <w:lang w:val="fr-CA"/>
        </w:rPr>
      </w:pPr>
      <w:r w:rsidRPr="006A25DE">
        <w:rPr>
          <w:sz w:val="20"/>
          <w:szCs w:val="20"/>
          <w:lang w:val="fr-CA"/>
        </w:rPr>
        <w:t>Droit criminel - Procès - Assistance inefficace de l’avocat - L’accusé n’a pas témoigné au procès - Y a-t-il eu erreur judiciaire du fait que l’accusé n’avait pas donné son consentement éclairé à la décision de son avocate au procès de ne pas l’avoir cité comme témoin pour sa propre défense? - La Cour d’appel a-t-elle eu tort d’avoir accordé de l’importance au fait que l’accusé avait « accepté » de ne pas témoigner? - La Cour d’appel a-t-elle eu tort de conclure que l’acquiescement de l’accusé à la décision de l’avocate au procès de ne pas l’avoir appelé à témoigner constituait un consentement éclairé?</w:t>
      </w:r>
    </w:p>
    <w:p w:rsidR="006434C2" w:rsidRPr="006A25DE" w:rsidRDefault="006434C2" w:rsidP="006434C2">
      <w:pPr>
        <w:widowControl w:val="0"/>
        <w:jc w:val="both"/>
        <w:rPr>
          <w:sz w:val="20"/>
          <w:szCs w:val="20"/>
          <w:lang w:val="fr-CA"/>
        </w:rPr>
      </w:pPr>
    </w:p>
    <w:p w:rsidR="006434C2" w:rsidRPr="006A25DE" w:rsidRDefault="006434C2" w:rsidP="006434C2">
      <w:pPr>
        <w:jc w:val="both"/>
        <w:rPr>
          <w:sz w:val="20"/>
          <w:szCs w:val="20"/>
          <w:lang w:val="fr-CA"/>
        </w:rPr>
      </w:pPr>
      <w:r w:rsidRPr="006A25DE">
        <w:rPr>
          <w:sz w:val="20"/>
          <w:szCs w:val="20"/>
          <w:lang w:val="fr-CA"/>
        </w:rPr>
        <w:t xml:space="preserve">L’appelant a été déclaré coupable sous trois chefs d’agression sexuelle, deux chefs de contacts sexuels et un chef d’incitation à des contacts sexuels.  Les plaignantes étaient respectivement la petite-fille par remariage et la belle-fille de l’appelant et la fille d’une ancienne petite amie de l’appelant. </w:t>
      </w:r>
    </w:p>
    <w:p w:rsidR="006434C2" w:rsidRPr="006A25DE" w:rsidRDefault="006434C2" w:rsidP="006434C2">
      <w:pPr>
        <w:jc w:val="both"/>
        <w:rPr>
          <w:sz w:val="20"/>
          <w:szCs w:val="20"/>
          <w:lang w:val="fr-CA"/>
        </w:rPr>
      </w:pPr>
    </w:p>
    <w:p w:rsidR="006434C2" w:rsidRPr="006A25DE" w:rsidRDefault="006434C2" w:rsidP="006434C2">
      <w:pPr>
        <w:jc w:val="both"/>
        <w:rPr>
          <w:sz w:val="20"/>
          <w:szCs w:val="20"/>
          <w:lang w:val="fr-CA"/>
        </w:rPr>
      </w:pPr>
      <w:r w:rsidRPr="006A25DE">
        <w:rPr>
          <w:sz w:val="20"/>
          <w:szCs w:val="20"/>
          <w:lang w:val="fr-CA"/>
        </w:rPr>
        <w:t>Les allégations des trois plaignantes ont été l’objet d’un seul procès, instruit devant juge seul.  L’appelant a retenu les services d’une avocate qui l’a représenté à son procès.  La défense n’a fait entendre aucun témoin et l’appelant n’a pas témoigné.</w:t>
      </w:r>
    </w:p>
    <w:p w:rsidR="006434C2" w:rsidRPr="006A25DE" w:rsidRDefault="006434C2" w:rsidP="006434C2">
      <w:pPr>
        <w:jc w:val="both"/>
        <w:rPr>
          <w:sz w:val="20"/>
          <w:szCs w:val="20"/>
          <w:lang w:val="fr-CA"/>
        </w:rPr>
      </w:pPr>
    </w:p>
    <w:p w:rsidR="006434C2" w:rsidRPr="006A25DE" w:rsidRDefault="006434C2" w:rsidP="006434C2">
      <w:pPr>
        <w:jc w:val="both"/>
        <w:rPr>
          <w:sz w:val="20"/>
          <w:szCs w:val="20"/>
          <w:lang w:val="fr-CA"/>
        </w:rPr>
      </w:pPr>
      <w:r w:rsidRPr="006A25DE">
        <w:rPr>
          <w:sz w:val="20"/>
          <w:szCs w:val="20"/>
          <w:lang w:val="fr-CA"/>
        </w:rPr>
        <w:t>L’appelant a interjeté appel de sa déclaration de culpabilité, plaidant l’inefficacité de son avocate.  Il a plaidé que son avocate lui avait fait des assertions inexactes au sujet de son expérience relativement aux procès pour agression sexuelle, qu’elle ne comprenait pas suffisamment le droit criminel pour lui permettre d’assurer adéquatement sa défense, qu’elle avait omis d’assigner des témoins à comparaître, contrairement à ses directives, qu’elle avait omis de mettre en preuve un billet à ordre, qui constituait une partie essentielle de sa défense, qu’elle avait refusé de poser à des témoins du ministère public des questions qu’il lui avait demandé de poser et qu’elle avait refusé qu’il témoigne pour sa propre défense.  L’appelant a fait valoir que l’incompétence de son avocate au procès avait donné lieu à une erreur judiciaire.  La Cour d’appel a rejeté son appel.</w:t>
      </w:r>
    </w:p>
    <w:p w:rsidR="006434C2" w:rsidRPr="006A25DE" w:rsidRDefault="006434C2" w:rsidP="006434C2">
      <w:pPr>
        <w:widowControl w:val="0"/>
        <w:jc w:val="both"/>
        <w:rPr>
          <w:sz w:val="20"/>
          <w:szCs w:val="20"/>
          <w:lang w:val="fr-CA"/>
        </w:rPr>
      </w:pPr>
    </w:p>
    <w:p w:rsidR="006434C2" w:rsidRPr="006A25DE" w:rsidRDefault="006434C2" w:rsidP="006434C2">
      <w:pPr>
        <w:widowControl w:val="0"/>
        <w:jc w:val="both"/>
        <w:rPr>
          <w:sz w:val="20"/>
          <w:szCs w:val="20"/>
          <w:lang w:val="fr-CA"/>
        </w:rPr>
      </w:pPr>
    </w:p>
    <w:p w:rsidR="006434C2" w:rsidRPr="006A25DE" w:rsidRDefault="006434C2" w:rsidP="006434C2">
      <w:pPr>
        <w:widowControl w:val="0"/>
        <w:ind w:left="2880" w:hanging="2880"/>
        <w:jc w:val="both"/>
        <w:rPr>
          <w:sz w:val="20"/>
          <w:szCs w:val="20"/>
          <w:lang w:val="fr-CA"/>
        </w:rPr>
      </w:pPr>
      <w:r w:rsidRPr="006A25DE">
        <w:rPr>
          <w:sz w:val="20"/>
          <w:szCs w:val="20"/>
          <w:lang w:val="fr-CA"/>
        </w:rPr>
        <w:t>Origine :</w:t>
      </w:r>
      <w:r w:rsidRPr="006A25DE">
        <w:rPr>
          <w:sz w:val="20"/>
          <w:szCs w:val="20"/>
          <w:lang w:val="fr-CA"/>
        </w:rPr>
        <w:tab/>
        <w:t>Ontario</w:t>
      </w:r>
    </w:p>
    <w:p w:rsidR="006434C2" w:rsidRPr="006A25DE" w:rsidRDefault="006434C2" w:rsidP="006434C2">
      <w:pPr>
        <w:widowControl w:val="0"/>
        <w:ind w:left="2880" w:hanging="2880"/>
        <w:jc w:val="both"/>
        <w:rPr>
          <w:sz w:val="20"/>
          <w:szCs w:val="20"/>
          <w:lang w:val="fr-CA"/>
        </w:rPr>
      </w:pPr>
    </w:p>
    <w:p w:rsidR="006434C2" w:rsidRPr="006A25DE" w:rsidRDefault="006434C2" w:rsidP="006434C2">
      <w:pPr>
        <w:widowControl w:val="0"/>
        <w:ind w:left="2880" w:hanging="2880"/>
        <w:jc w:val="both"/>
        <w:rPr>
          <w:sz w:val="20"/>
          <w:szCs w:val="20"/>
          <w:lang w:val="fr-CA"/>
        </w:rPr>
      </w:pPr>
      <w:r w:rsidRPr="006A25DE">
        <w:rPr>
          <w:sz w:val="20"/>
          <w:szCs w:val="20"/>
          <w:lang w:val="fr-CA"/>
        </w:rPr>
        <w:t>N</w:t>
      </w:r>
      <w:r w:rsidRPr="006A25DE">
        <w:rPr>
          <w:sz w:val="20"/>
          <w:szCs w:val="20"/>
          <w:vertAlign w:val="superscript"/>
          <w:lang w:val="fr-CA"/>
        </w:rPr>
        <w:t>o</w:t>
      </w:r>
      <w:r w:rsidRPr="006A25DE">
        <w:rPr>
          <w:sz w:val="20"/>
          <w:szCs w:val="20"/>
          <w:lang w:val="fr-CA"/>
        </w:rPr>
        <w:t xml:space="preserve"> du greffe :</w:t>
      </w:r>
      <w:r w:rsidRPr="006A25DE">
        <w:rPr>
          <w:sz w:val="20"/>
          <w:szCs w:val="20"/>
          <w:lang w:val="fr-CA"/>
        </w:rPr>
        <w:tab/>
        <w:t>35089</w:t>
      </w:r>
    </w:p>
    <w:p w:rsidR="006434C2" w:rsidRPr="006A25DE" w:rsidRDefault="006434C2" w:rsidP="006434C2">
      <w:pPr>
        <w:widowControl w:val="0"/>
        <w:ind w:left="2880" w:hanging="2880"/>
        <w:jc w:val="both"/>
        <w:rPr>
          <w:sz w:val="20"/>
          <w:szCs w:val="20"/>
          <w:lang w:val="fr-CA"/>
        </w:rPr>
      </w:pPr>
    </w:p>
    <w:p w:rsidR="006434C2" w:rsidRPr="006A25DE" w:rsidRDefault="006434C2" w:rsidP="006434C2">
      <w:pPr>
        <w:widowControl w:val="0"/>
        <w:ind w:left="2880" w:hanging="2880"/>
        <w:jc w:val="both"/>
        <w:rPr>
          <w:sz w:val="20"/>
          <w:szCs w:val="20"/>
          <w:lang w:val="fr-CA"/>
        </w:rPr>
      </w:pPr>
      <w:r w:rsidRPr="006A25DE">
        <w:rPr>
          <w:sz w:val="20"/>
          <w:szCs w:val="20"/>
          <w:lang w:val="fr-CA"/>
        </w:rPr>
        <w:t>Arrêt de la Cour d’appel :</w:t>
      </w:r>
      <w:r w:rsidRPr="006A25DE">
        <w:rPr>
          <w:sz w:val="20"/>
          <w:szCs w:val="20"/>
          <w:lang w:val="fr-CA"/>
        </w:rPr>
        <w:tab/>
        <w:t>le 14 novembre 2012</w:t>
      </w:r>
    </w:p>
    <w:p w:rsidR="006434C2" w:rsidRPr="006A25DE" w:rsidRDefault="006434C2" w:rsidP="006434C2">
      <w:pPr>
        <w:widowControl w:val="0"/>
        <w:ind w:left="2880" w:hanging="2880"/>
        <w:jc w:val="both"/>
        <w:rPr>
          <w:sz w:val="20"/>
          <w:szCs w:val="20"/>
          <w:lang w:val="fr-CA"/>
        </w:rPr>
      </w:pPr>
    </w:p>
    <w:p w:rsidR="006434C2" w:rsidRPr="006A25DE" w:rsidRDefault="006434C2" w:rsidP="006434C2">
      <w:pPr>
        <w:widowControl w:val="0"/>
        <w:ind w:left="2880" w:hanging="2880"/>
        <w:jc w:val="both"/>
        <w:rPr>
          <w:sz w:val="20"/>
          <w:szCs w:val="20"/>
          <w:lang w:val="fr-CA"/>
        </w:rPr>
      </w:pPr>
      <w:r w:rsidRPr="006A25DE">
        <w:rPr>
          <w:sz w:val="20"/>
          <w:szCs w:val="20"/>
          <w:lang w:val="fr-CA"/>
        </w:rPr>
        <w:t>Avocats :</w:t>
      </w:r>
      <w:r w:rsidRPr="006A25DE">
        <w:rPr>
          <w:sz w:val="20"/>
          <w:szCs w:val="20"/>
          <w:lang w:val="fr-CA"/>
        </w:rPr>
        <w:tab/>
        <w:t>Michael A. Crystal pour l’appelant</w:t>
      </w:r>
    </w:p>
    <w:p w:rsidR="006434C2" w:rsidRPr="006A25DE" w:rsidRDefault="006434C2" w:rsidP="006434C2">
      <w:pPr>
        <w:widowControl w:val="0"/>
        <w:ind w:left="2880" w:hanging="2880"/>
        <w:jc w:val="both"/>
        <w:rPr>
          <w:sz w:val="20"/>
          <w:szCs w:val="20"/>
          <w:lang w:val="fr-CA"/>
        </w:rPr>
      </w:pPr>
      <w:r w:rsidRPr="006A25DE">
        <w:rPr>
          <w:sz w:val="20"/>
          <w:szCs w:val="20"/>
          <w:lang w:val="fr-CA"/>
        </w:rPr>
        <w:tab/>
        <w:t>Holly Loubert pour l’intimée</w:t>
      </w:r>
    </w:p>
    <w:p w:rsidR="00F164B3" w:rsidRPr="00DD0B49" w:rsidRDefault="00F164B3" w:rsidP="006434C2">
      <w:pPr>
        <w:tabs>
          <w:tab w:val="left" w:pos="-1440"/>
          <w:tab w:val="left" w:pos="-720"/>
        </w:tabs>
        <w:ind w:left="2880" w:hanging="2880"/>
        <w:jc w:val="both"/>
        <w:rPr>
          <w:sz w:val="20"/>
          <w:szCs w:val="20"/>
          <w:lang w:val="fr-CA"/>
        </w:rPr>
      </w:pPr>
    </w:p>
    <w:p w:rsidR="00F164B3" w:rsidRDefault="00A47393" w:rsidP="00F164B3">
      <w:pPr>
        <w:tabs>
          <w:tab w:val="left" w:pos="-1440"/>
          <w:tab w:val="left" w:pos="-720"/>
        </w:tabs>
        <w:jc w:val="both"/>
        <w:rPr>
          <w:sz w:val="20"/>
          <w:szCs w:val="20"/>
          <w:lang w:val="fr-CA"/>
        </w:rPr>
      </w:pPr>
      <w:r>
        <w:rPr>
          <w:sz w:val="20"/>
          <w:szCs w:val="20"/>
          <w:lang w:val="fr-CA"/>
        </w:rPr>
        <w:pict>
          <v:rect id="_x0000_i1054" style="width:2in;height:1pt" o:hrpct="0" o:hralign="center" o:hrstd="t" o:hrnoshade="t" o:hr="t" fillcolor="black [3213]" stroked="f"/>
        </w:pict>
      </w:r>
    </w:p>
    <w:p w:rsidR="00F164B3" w:rsidRDefault="00F164B3" w:rsidP="00F164B3">
      <w:pPr>
        <w:tabs>
          <w:tab w:val="left" w:pos="-1440"/>
          <w:tab w:val="left" w:pos="-720"/>
        </w:tabs>
        <w:jc w:val="both"/>
        <w:rPr>
          <w:sz w:val="20"/>
          <w:szCs w:val="20"/>
          <w:lang w:val="fr-CA"/>
        </w:rPr>
      </w:pPr>
    </w:p>
    <w:p w:rsidR="00F164B3" w:rsidRDefault="00F164B3">
      <w:pPr>
        <w:rPr>
          <w:sz w:val="20"/>
          <w:szCs w:val="20"/>
          <w:lang w:val="fr-CA"/>
        </w:rPr>
      </w:pPr>
    </w:p>
    <w:p w:rsidR="00F164B3" w:rsidRDefault="00F164B3">
      <w:pPr>
        <w:rPr>
          <w:sz w:val="20"/>
          <w:szCs w:val="20"/>
          <w:lang w:val="fr-CA"/>
        </w:rPr>
      </w:pPr>
      <w:r>
        <w:rPr>
          <w:sz w:val="20"/>
          <w:szCs w:val="20"/>
          <w:lang w:val="fr-CA"/>
        </w:rPr>
        <w:br w:type="page"/>
      </w:r>
    </w:p>
    <w:bookmarkStart w:id="2" w:name="1"/>
    <w:bookmarkEnd w:id="2"/>
    <w:p w:rsidR="00D43AD2" w:rsidRPr="0096207E" w:rsidRDefault="001C5DB7" w:rsidP="00D43AD2">
      <w:pPr>
        <w:widowControl w:val="0"/>
        <w:ind w:left="720" w:hanging="720"/>
        <w:jc w:val="both"/>
        <w:rPr>
          <w:sz w:val="20"/>
          <w:szCs w:val="20"/>
        </w:rPr>
      </w:pPr>
      <w:r w:rsidRPr="0096207E">
        <w:rPr>
          <w:b/>
          <w:sz w:val="20"/>
          <w:szCs w:val="20"/>
        </w:rPr>
        <w:lastRenderedPageBreak/>
        <w:fldChar w:fldCharType="begin"/>
      </w:r>
      <w:r w:rsidR="00D43AD2" w:rsidRPr="0096207E">
        <w:rPr>
          <w:b/>
          <w:sz w:val="20"/>
          <w:szCs w:val="20"/>
        </w:rPr>
        <w:instrText xml:space="preserve"> SEQ CHAPTER \h \r 1</w:instrText>
      </w:r>
      <w:r w:rsidRPr="0096207E">
        <w:rPr>
          <w:b/>
          <w:sz w:val="20"/>
          <w:szCs w:val="20"/>
        </w:rPr>
        <w:fldChar w:fldCharType="end"/>
      </w:r>
      <w:r w:rsidR="00D43AD2" w:rsidRPr="0096207E">
        <w:rPr>
          <w:b/>
          <w:sz w:val="20"/>
          <w:szCs w:val="20"/>
        </w:rPr>
        <w:t>35327</w:t>
      </w:r>
      <w:r w:rsidR="00D43AD2" w:rsidRPr="0096207E">
        <w:rPr>
          <w:sz w:val="20"/>
          <w:szCs w:val="20"/>
        </w:rPr>
        <w:tab/>
      </w:r>
      <w:r w:rsidR="00D43AD2" w:rsidRPr="0096207E">
        <w:rPr>
          <w:b/>
          <w:i/>
          <w:sz w:val="20"/>
          <w:szCs w:val="20"/>
        </w:rPr>
        <w:t>Percy Walter Davis v. Her Majesty the Queen</w:t>
      </w:r>
    </w:p>
    <w:p w:rsidR="00D43AD2" w:rsidRPr="0096207E" w:rsidRDefault="00D43AD2" w:rsidP="00D43AD2">
      <w:pPr>
        <w:widowControl w:val="0"/>
        <w:jc w:val="both"/>
        <w:rPr>
          <w:sz w:val="20"/>
          <w:szCs w:val="20"/>
        </w:rPr>
      </w:pPr>
    </w:p>
    <w:p w:rsidR="00D43AD2" w:rsidRPr="0096207E" w:rsidRDefault="00D43AD2" w:rsidP="00D43AD2">
      <w:pPr>
        <w:widowControl w:val="0"/>
        <w:jc w:val="both"/>
        <w:rPr>
          <w:sz w:val="20"/>
          <w:szCs w:val="20"/>
        </w:rPr>
      </w:pPr>
      <w:r w:rsidRPr="0096207E">
        <w:rPr>
          <w:i/>
          <w:sz w:val="20"/>
          <w:szCs w:val="20"/>
        </w:rPr>
        <w:t>Charter of rights</w:t>
      </w:r>
      <w:r w:rsidRPr="0096207E">
        <w:rPr>
          <w:sz w:val="20"/>
          <w:szCs w:val="20"/>
        </w:rPr>
        <w:t xml:space="preserve"> </w:t>
      </w:r>
      <w:r w:rsidRPr="0096207E">
        <w:rPr>
          <w:sz w:val="20"/>
          <w:szCs w:val="20"/>
        </w:rPr>
        <w:noBreakHyphen/>
        <w:t xml:space="preserve"> Criminal law </w:t>
      </w:r>
      <w:r w:rsidRPr="0096207E">
        <w:rPr>
          <w:sz w:val="20"/>
          <w:szCs w:val="20"/>
        </w:rPr>
        <w:noBreakHyphen/>
        <w:t xml:space="preserve"> Right to security of person </w:t>
      </w:r>
      <w:r w:rsidRPr="0096207E">
        <w:rPr>
          <w:sz w:val="20"/>
          <w:szCs w:val="20"/>
        </w:rPr>
        <w:noBreakHyphen/>
        <w:t xml:space="preserve"> Cruel and unusual treatment or punishment </w:t>
      </w:r>
      <w:r w:rsidRPr="0096207E">
        <w:rPr>
          <w:sz w:val="20"/>
          <w:szCs w:val="20"/>
        </w:rPr>
        <w:noBreakHyphen/>
        <w:t xml:space="preserve"> Protection of persons acting under authority </w:t>
      </w:r>
      <w:r w:rsidRPr="0096207E">
        <w:rPr>
          <w:sz w:val="20"/>
          <w:szCs w:val="20"/>
        </w:rPr>
        <w:noBreakHyphen/>
        <w:t xml:space="preserve"> Excessive force in effecting arrest </w:t>
      </w:r>
      <w:r w:rsidRPr="0096207E">
        <w:rPr>
          <w:sz w:val="20"/>
          <w:szCs w:val="20"/>
        </w:rPr>
        <w:noBreakHyphen/>
        <w:t xml:space="preserve"> Whether the majority of the Court of Appeal erred in dismissing the appeal notwithstanding its conclusion that the trial judge erred in law in finding that the appellant bore the burden of establishing that the use of deadly force was not justified under s. 25 of the </w:t>
      </w:r>
      <w:r w:rsidRPr="0096207E">
        <w:rPr>
          <w:i/>
          <w:sz w:val="20"/>
          <w:szCs w:val="20"/>
        </w:rPr>
        <w:t>Criminal Code</w:t>
      </w:r>
      <w:r w:rsidRPr="0096207E">
        <w:rPr>
          <w:sz w:val="20"/>
          <w:szCs w:val="20"/>
        </w:rPr>
        <w:t>, R.S.C. 1985, c. C</w:t>
      </w:r>
      <w:r w:rsidRPr="0096207E">
        <w:rPr>
          <w:sz w:val="20"/>
          <w:szCs w:val="20"/>
        </w:rPr>
        <w:noBreakHyphen/>
        <w:t xml:space="preserve">46 </w:t>
      </w:r>
      <w:r w:rsidRPr="0096207E">
        <w:rPr>
          <w:sz w:val="20"/>
          <w:szCs w:val="20"/>
        </w:rPr>
        <w:noBreakHyphen/>
        <w:t xml:space="preserve"> </w:t>
      </w:r>
      <w:r w:rsidRPr="0096207E">
        <w:rPr>
          <w:i/>
          <w:sz w:val="20"/>
          <w:szCs w:val="20"/>
        </w:rPr>
        <w:t>Canadian Charter of Rights and Freedoms</w:t>
      </w:r>
      <w:r w:rsidRPr="0096207E">
        <w:rPr>
          <w:sz w:val="20"/>
          <w:szCs w:val="20"/>
        </w:rPr>
        <w:t xml:space="preserve">, ss. 7 and 12. </w:t>
      </w:r>
    </w:p>
    <w:p w:rsidR="00D43AD2" w:rsidRPr="0096207E" w:rsidRDefault="00D43AD2" w:rsidP="00D43AD2">
      <w:pPr>
        <w:widowControl w:val="0"/>
        <w:jc w:val="both"/>
        <w:rPr>
          <w:sz w:val="20"/>
          <w:szCs w:val="20"/>
        </w:rPr>
      </w:pPr>
    </w:p>
    <w:p w:rsidR="00D43AD2" w:rsidRPr="0096207E" w:rsidRDefault="00D43AD2" w:rsidP="00D43AD2">
      <w:pPr>
        <w:widowControl w:val="0"/>
        <w:jc w:val="both"/>
        <w:rPr>
          <w:sz w:val="20"/>
          <w:szCs w:val="20"/>
        </w:rPr>
      </w:pPr>
      <w:r w:rsidRPr="0096207E">
        <w:rPr>
          <w:sz w:val="20"/>
          <w:szCs w:val="20"/>
        </w:rPr>
        <w:t xml:space="preserve">The appellant was convicted of possession of a weapon for a dangerous purpose, assault of a police officer in the execution of duty, and assault of a police officer with a weapon.  Armed with a butcher knife, he was seen riding a bike around the parking lot of an Edmonton shopping mall.  When a police officer stopped and sounded his air horn to get the appellant’s attention, the appellant charged at the driver’s side door of the car with the knife raised.  The window was open and, in response, the officer covered his head and leaned toward the passenger’s side of the car.  The officer eventually got out of his car, revolver drawn, and told the appellant several times to drop the knife.  The appellant walked away, knife in hand, and headed toward the mall.  The officer followed him, determined not to let the appellant near people while still armed, and decided to shoot when it became apparent that he would not drop the knife.  The appellant was shot twice, once near the Adam’s apple and once in the right chest, before his arrest.  On appeal, the appellant argued among other things that the trial judge erred by failing to find that his </w:t>
      </w:r>
      <w:r w:rsidRPr="0096207E">
        <w:rPr>
          <w:i/>
          <w:sz w:val="20"/>
          <w:szCs w:val="20"/>
        </w:rPr>
        <w:t>Charter</w:t>
      </w:r>
      <w:r w:rsidRPr="0096207E">
        <w:rPr>
          <w:sz w:val="20"/>
          <w:szCs w:val="20"/>
        </w:rPr>
        <w:t xml:space="preserve"> rights were breached by the use of excessive force in effecting his arrest.  The majority of the Court of Appeal found that the trial judge erred in law in concluding that the appellant bore the burden of establishing that the use of deadly force was not justified under s. 25 of the </w:t>
      </w:r>
      <w:r w:rsidRPr="0096207E">
        <w:rPr>
          <w:i/>
          <w:sz w:val="20"/>
          <w:szCs w:val="20"/>
        </w:rPr>
        <w:t>Criminal Code</w:t>
      </w:r>
      <w:r w:rsidRPr="0096207E">
        <w:rPr>
          <w:sz w:val="20"/>
          <w:szCs w:val="20"/>
        </w:rPr>
        <w:t xml:space="preserve">.  However, finding that nothing turned on that error, the majority dismissed the appeal.  Fraser C.J., dissenting, would have allowed the appeal and ordered a new trial on the basis that the trial judge’s error in misallocating the burden of proof led her to conduct the analysis on whether the use of deadly force was justified from the wrong perspective.  As a result, the trial judge failed to consider whether the Crown had established on a balance of probabilities that the officer’s use of deadly force was justified at law. </w:t>
      </w:r>
    </w:p>
    <w:p w:rsidR="00D43AD2" w:rsidRPr="0096207E" w:rsidRDefault="00D43AD2" w:rsidP="00D43AD2">
      <w:pPr>
        <w:widowControl w:val="0"/>
        <w:jc w:val="both"/>
        <w:rPr>
          <w:sz w:val="20"/>
          <w:szCs w:val="20"/>
        </w:rPr>
      </w:pPr>
    </w:p>
    <w:p w:rsidR="00D43AD2" w:rsidRPr="0096207E" w:rsidRDefault="00D43AD2" w:rsidP="00D43AD2">
      <w:pPr>
        <w:widowControl w:val="0"/>
        <w:jc w:val="both"/>
        <w:rPr>
          <w:sz w:val="20"/>
          <w:szCs w:val="20"/>
        </w:rPr>
      </w:pPr>
    </w:p>
    <w:p w:rsidR="00D43AD2" w:rsidRPr="0096207E" w:rsidRDefault="00D43AD2" w:rsidP="00D43AD2">
      <w:pPr>
        <w:widowControl w:val="0"/>
        <w:ind w:left="2880" w:hanging="2880"/>
        <w:jc w:val="both"/>
        <w:rPr>
          <w:sz w:val="20"/>
          <w:szCs w:val="20"/>
        </w:rPr>
      </w:pPr>
      <w:r w:rsidRPr="0096207E">
        <w:rPr>
          <w:sz w:val="20"/>
          <w:szCs w:val="20"/>
        </w:rPr>
        <w:t>Origin of the case:</w:t>
      </w:r>
      <w:r w:rsidRPr="0096207E">
        <w:rPr>
          <w:sz w:val="20"/>
          <w:szCs w:val="20"/>
        </w:rPr>
        <w:tab/>
        <w:t>Alberta</w:t>
      </w:r>
    </w:p>
    <w:p w:rsidR="00D43AD2" w:rsidRPr="0096207E" w:rsidRDefault="00D43AD2" w:rsidP="00D43AD2">
      <w:pPr>
        <w:widowControl w:val="0"/>
        <w:ind w:left="2880" w:hanging="2880"/>
        <w:jc w:val="both"/>
        <w:rPr>
          <w:sz w:val="20"/>
          <w:szCs w:val="20"/>
        </w:rPr>
      </w:pPr>
    </w:p>
    <w:p w:rsidR="00D43AD2" w:rsidRPr="0096207E" w:rsidRDefault="00D43AD2" w:rsidP="00D43AD2">
      <w:pPr>
        <w:widowControl w:val="0"/>
        <w:ind w:left="2880" w:hanging="2880"/>
        <w:jc w:val="both"/>
        <w:rPr>
          <w:sz w:val="20"/>
          <w:szCs w:val="20"/>
        </w:rPr>
      </w:pPr>
      <w:r w:rsidRPr="0096207E">
        <w:rPr>
          <w:sz w:val="20"/>
          <w:szCs w:val="20"/>
        </w:rPr>
        <w:t>File No.:</w:t>
      </w:r>
      <w:r w:rsidRPr="0096207E">
        <w:rPr>
          <w:sz w:val="20"/>
          <w:szCs w:val="20"/>
        </w:rPr>
        <w:tab/>
        <w:t>35327</w:t>
      </w:r>
    </w:p>
    <w:p w:rsidR="00D43AD2" w:rsidRPr="0096207E" w:rsidRDefault="00D43AD2" w:rsidP="00D43AD2">
      <w:pPr>
        <w:widowControl w:val="0"/>
        <w:ind w:left="2880" w:hanging="2880"/>
        <w:jc w:val="both"/>
        <w:rPr>
          <w:sz w:val="20"/>
          <w:szCs w:val="20"/>
        </w:rPr>
      </w:pPr>
    </w:p>
    <w:p w:rsidR="00D43AD2" w:rsidRPr="0096207E" w:rsidRDefault="00D43AD2" w:rsidP="00D43AD2">
      <w:pPr>
        <w:widowControl w:val="0"/>
        <w:ind w:left="2880" w:hanging="2880"/>
        <w:jc w:val="both"/>
        <w:rPr>
          <w:sz w:val="20"/>
          <w:szCs w:val="20"/>
        </w:rPr>
      </w:pPr>
      <w:r w:rsidRPr="0096207E">
        <w:rPr>
          <w:sz w:val="20"/>
          <w:szCs w:val="20"/>
        </w:rPr>
        <w:t>Judgment of the Court of Appeal:</w:t>
      </w:r>
      <w:r w:rsidRPr="0096207E">
        <w:rPr>
          <w:sz w:val="20"/>
          <w:szCs w:val="20"/>
        </w:rPr>
        <w:tab/>
        <w:t>January 24, 2013</w:t>
      </w:r>
    </w:p>
    <w:p w:rsidR="00D43AD2" w:rsidRPr="0096207E" w:rsidRDefault="00D43AD2" w:rsidP="00D43AD2">
      <w:pPr>
        <w:widowControl w:val="0"/>
        <w:ind w:left="2880" w:hanging="2880"/>
        <w:jc w:val="both"/>
        <w:rPr>
          <w:sz w:val="20"/>
          <w:szCs w:val="20"/>
        </w:rPr>
      </w:pPr>
    </w:p>
    <w:p w:rsidR="00D43AD2" w:rsidRPr="0096207E" w:rsidRDefault="00D43AD2" w:rsidP="00D43AD2">
      <w:pPr>
        <w:widowControl w:val="0"/>
        <w:ind w:left="2880" w:hanging="2880"/>
        <w:jc w:val="both"/>
        <w:rPr>
          <w:sz w:val="20"/>
          <w:szCs w:val="20"/>
        </w:rPr>
      </w:pPr>
      <w:r w:rsidRPr="0096207E">
        <w:rPr>
          <w:sz w:val="20"/>
          <w:szCs w:val="20"/>
        </w:rPr>
        <w:t>Counsel:</w:t>
      </w:r>
      <w:r w:rsidRPr="0096207E">
        <w:rPr>
          <w:sz w:val="20"/>
          <w:szCs w:val="20"/>
        </w:rPr>
        <w:tab/>
        <w:t>Peter J. Royal, Q.C. for the appellant</w:t>
      </w:r>
    </w:p>
    <w:p w:rsidR="00D43AD2" w:rsidRPr="0096207E" w:rsidRDefault="00D43AD2" w:rsidP="00D43AD2">
      <w:pPr>
        <w:widowControl w:val="0"/>
        <w:ind w:left="2880" w:hanging="2880"/>
        <w:jc w:val="both"/>
        <w:rPr>
          <w:sz w:val="20"/>
          <w:szCs w:val="20"/>
        </w:rPr>
      </w:pPr>
      <w:r w:rsidRPr="0096207E">
        <w:rPr>
          <w:sz w:val="20"/>
          <w:szCs w:val="20"/>
        </w:rPr>
        <w:tab/>
        <w:t>Troy L. Couillard for the respondent</w:t>
      </w:r>
    </w:p>
    <w:p w:rsidR="00F164B3" w:rsidRPr="00D43AD2" w:rsidRDefault="00F164B3" w:rsidP="00F164B3">
      <w:pPr>
        <w:tabs>
          <w:tab w:val="left" w:pos="-1440"/>
          <w:tab w:val="left" w:pos="-720"/>
        </w:tabs>
        <w:jc w:val="both"/>
        <w:rPr>
          <w:sz w:val="20"/>
          <w:szCs w:val="20"/>
        </w:rPr>
      </w:pPr>
    </w:p>
    <w:p w:rsidR="00F164B3" w:rsidRDefault="00A47393" w:rsidP="00F164B3">
      <w:pPr>
        <w:tabs>
          <w:tab w:val="left" w:pos="-1440"/>
          <w:tab w:val="left" w:pos="-720"/>
        </w:tabs>
        <w:jc w:val="both"/>
        <w:rPr>
          <w:sz w:val="20"/>
          <w:szCs w:val="20"/>
          <w:lang w:val="fr-CA"/>
        </w:rPr>
      </w:pPr>
      <w:r>
        <w:rPr>
          <w:sz w:val="20"/>
          <w:szCs w:val="20"/>
          <w:lang w:val="fr-CA"/>
        </w:rPr>
        <w:pict>
          <v:rect id="_x0000_i1055" style="width:2in;height:1pt" o:hrpct="0" o:hralign="center" o:hrstd="t" o:hrnoshade="t" o:hr="t" fillcolor="black [3213]" stroked="f"/>
        </w:pict>
      </w:r>
    </w:p>
    <w:p w:rsidR="00F164B3" w:rsidRDefault="00F164B3" w:rsidP="00F164B3">
      <w:pPr>
        <w:tabs>
          <w:tab w:val="left" w:pos="-1440"/>
          <w:tab w:val="left" w:pos="-720"/>
        </w:tabs>
        <w:jc w:val="both"/>
        <w:rPr>
          <w:sz w:val="20"/>
          <w:szCs w:val="20"/>
          <w:lang w:val="fr-CA"/>
        </w:rPr>
      </w:pPr>
    </w:p>
    <w:p w:rsidR="00F164B3" w:rsidRDefault="00F164B3">
      <w:pPr>
        <w:rPr>
          <w:sz w:val="20"/>
          <w:szCs w:val="20"/>
          <w:lang w:val="fr-CA"/>
        </w:rPr>
      </w:pPr>
    </w:p>
    <w:p w:rsidR="00F164B3" w:rsidRDefault="00F164B3">
      <w:pPr>
        <w:rPr>
          <w:sz w:val="20"/>
          <w:szCs w:val="20"/>
          <w:lang w:val="fr-CA"/>
        </w:rPr>
      </w:pPr>
      <w:r>
        <w:rPr>
          <w:sz w:val="20"/>
          <w:szCs w:val="20"/>
          <w:lang w:val="fr-CA"/>
        </w:rPr>
        <w:br w:type="page"/>
      </w:r>
    </w:p>
    <w:p w:rsidR="00D43AD2" w:rsidRPr="00D4602F" w:rsidRDefault="001C5DB7" w:rsidP="00D43AD2">
      <w:pPr>
        <w:widowControl w:val="0"/>
        <w:ind w:left="720" w:hanging="720"/>
        <w:jc w:val="both"/>
        <w:rPr>
          <w:sz w:val="20"/>
          <w:szCs w:val="20"/>
          <w:lang w:val="fr-CA"/>
        </w:rPr>
      </w:pPr>
      <w:r w:rsidRPr="00D4602F">
        <w:rPr>
          <w:b/>
          <w:sz w:val="20"/>
          <w:szCs w:val="20"/>
          <w:lang w:val="fr-CA"/>
        </w:rPr>
        <w:lastRenderedPageBreak/>
        <w:fldChar w:fldCharType="begin"/>
      </w:r>
      <w:r w:rsidR="00D43AD2" w:rsidRPr="00D4602F">
        <w:rPr>
          <w:b/>
          <w:sz w:val="20"/>
          <w:szCs w:val="20"/>
          <w:lang w:val="fr-CA"/>
        </w:rPr>
        <w:instrText xml:space="preserve"> SEQ CHAPTER \h \r 1</w:instrText>
      </w:r>
      <w:r w:rsidRPr="00D4602F">
        <w:rPr>
          <w:b/>
          <w:sz w:val="20"/>
          <w:szCs w:val="20"/>
          <w:lang w:val="fr-CA"/>
        </w:rPr>
        <w:fldChar w:fldCharType="end"/>
      </w:r>
      <w:r w:rsidR="00D43AD2" w:rsidRPr="00D4602F">
        <w:rPr>
          <w:b/>
          <w:sz w:val="20"/>
          <w:szCs w:val="20"/>
          <w:lang w:val="fr-CA"/>
        </w:rPr>
        <w:t>35327</w:t>
      </w:r>
      <w:r w:rsidR="00D43AD2" w:rsidRPr="00D4602F">
        <w:rPr>
          <w:sz w:val="20"/>
          <w:szCs w:val="20"/>
          <w:lang w:val="fr-CA"/>
        </w:rPr>
        <w:tab/>
      </w:r>
      <w:bookmarkStart w:id="3" w:name="3"/>
      <w:bookmarkEnd w:id="3"/>
      <w:r w:rsidR="00D43AD2" w:rsidRPr="00D4602F">
        <w:rPr>
          <w:b/>
          <w:i/>
          <w:sz w:val="20"/>
          <w:szCs w:val="20"/>
          <w:lang w:val="fr-CA"/>
        </w:rPr>
        <w:t>Percy Walter Davis c. Sa Majesté la Reine</w:t>
      </w:r>
    </w:p>
    <w:p w:rsidR="00D43AD2" w:rsidRPr="00D4602F" w:rsidRDefault="00D43AD2" w:rsidP="00D43AD2">
      <w:pPr>
        <w:widowControl w:val="0"/>
        <w:jc w:val="both"/>
        <w:rPr>
          <w:sz w:val="20"/>
          <w:szCs w:val="20"/>
          <w:lang w:val="fr-CA"/>
        </w:rPr>
      </w:pPr>
    </w:p>
    <w:p w:rsidR="00D67C5A" w:rsidRPr="00DC4204" w:rsidRDefault="00D67C5A" w:rsidP="00D67C5A">
      <w:pPr>
        <w:widowControl w:val="0"/>
        <w:jc w:val="both"/>
        <w:rPr>
          <w:sz w:val="20"/>
          <w:szCs w:val="20"/>
          <w:lang w:val="fr-CA"/>
        </w:rPr>
      </w:pPr>
      <w:r w:rsidRPr="00DC4204">
        <w:rPr>
          <w:i/>
          <w:sz w:val="20"/>
          <w:szCs w:val="20"/>
          <w:lang w:val="fr-CA"/>
        </w:rPr>
        <w:t xml:space="preserve">Charte des droits </w:t>
      </w:r>
      <w:r w:rsidRPr="00DC4204">
        <w:rPr>
          <w:sz w:val="20"/>
          <w:szCs w:val="20"/>
          <w:lang w:val="fr-CA"/>
        </w:rPr>
        <w:t>- Droit criminel - Droit à la sécurité de la personne - Traitements ou peines cruels et inusités - Protection des personnes autorisées - Force excessive en effectuant une arrestation - Les juges majoritaires de la Cour d’appel ont-ils eu tort de rejeter l’appel malgré leur conclusion selon laquelle la juge du procès avait commis une erreur de droit en concluant que l’appelant avait le fardeau d’établir que l’usage d’une force meurtrière n’était pas justifié au regard de l’art. 25 du</w:t>
      </w:r>
      <w:r w:rsidRPr="00DC4204">
        <w:rPr>
          <w:i/>
          <w:sz w:val="20"/>
          <w:szCs w:val="20"/>
          <w:lang w:val="fr-CA"/>
        </w:rPr>
        <w:t xml:space="preserve"> Code criminel</w:t>
      </w:r>
      <w:r w:rsidRPr="00DC4204">
        <w:rPr>
          <w:sz w:val="20"/>
          <w:szCs w:val="20"/>
          <w:lang w:val="fr-CA"/>
        </w:rPr>
        <w:t>, L.R.C. 1985, ch. C-46? -</w:t>
      </w:r>
      <w:r w:rsidRPr="00DC4204">
        <w:rPr>
          <w:i/>
          <w:sz w:val="20"/>
          <w:szCs w:val="20"/>
          <w:lang w:val="fr-CA"/>
        </w:rPr>
        <w:t xml:space="preserve"> Charte canadienne des droits et libertés</w:t>
      </w:r>
      <w:r w:rsidRPr="00DC4204">
        <w:rPr>
          <w:sz w:val="20"/>
          <w:szCs w:val="20"/>
          <w:lang w:val="fr-CA"/>
        </w:rPr>
        <w:t xml:space="preserve">, art. 7 et 12.  </w:t>
      </w:r>
    </w:p>
    <w:p w:rsidR="00D43AD2" w:rsidRPr="00D4602F" w:rsidRDefault="00D43AD2" w:rsidP="00D43AD2">
      <w:pPr>
        <w:widowControl w:val="0"/>
        <w:jc w:val="both"/>
        <w:rPr>
          <w:sz w:val="20"/>
          <w:szCs w:val="20"/>
          <w:lang w:val="fr-CA"/>
        </w:rPr>
      </w:pPr>
    </w:p>
    <w:p w:rsidR="00D43AD2" w:rsidRPr="00D4602F" w:rsidRDefault="00D43AD2" w:rsidP="00D43AD2">
      <w:pPr>
        <w:widowControl w:val="0"/>
        <w:jc w:val="both"/>
        <w:rPr>
          <w:sz w:val="20"/>
          <w:szCs w:val="20"/>
          <w:lang w:val="fr-CA"/>
        </w:rPr>
      </w:pPr>
      <w:r w:rsidRPr="00D4602F">
        <w:rPr>
          <w:sz w:val="20"/>
          <w:szCs w:val="20"/>
          <w:lang w:val="fr-CA"/>
        </w:rPr>
        <w:t xml:space="preserve">L’appelant a été déclaré coupable de possession d’une arme dans un dessein dangereux, de voies de fait à l’égard d’un policier dans l’exercice de ses fonctions et d’agression armée contre un policier.  Armé d’un couteau de boucher, il a été aperçu conduisant une bicyclette dans le terrain de stationnement d’un centre commercial d’Edmonton.  Lorsqu’un policier s’est arrêté et a actionné son avertisseur pneumatique pour attirer l’attention de l’appelant, l’appelant s’est rué sur la portière du côté conducteur de la voiture en brandissant un couteau.  La vitre était ouverte et le policier a réagi en se couvrant la tête et en se penchant vers le côté passager de la voiture.  Le policier a fini par sortir de sa voiture, revolver à la main, et il a sommé l’appelant à plusieurs reprises de laisser tomber le couteau.  L’appelant s’est éloigné à pied, couteau à la main, et s’est dirigé vers le centre commercial.  Le policier l’a suivi, déterminé à ne pas laisser l’appelant s’approcher de personnes alors qu’il était toujours armé, et il a décidé d’ouvrir le feu lorsqu’il est devenu évident que l’appelant ne laisserait pas tomber le couteau.  L’appelant a été atteint à deux reprises, une fois à la pomme d’Adam et une fois à la poitrine, du côté droit, avant son arrestation.  En appel, l’appelant a plaidé notamment que la juge du procès avait eu tort de ne pas conclure que ses droits garantis par la </w:t>
      </w:r>
      <w:r w:rsidRPr="00D4602F">
        <w:rPr>
          <w:i/>
          <w:sz w:val="20"/>
          <w:szCs w:val="20"/>
          <w:lang w:val="fr-CA"/>
        </w:rPr>
        <w:t>Charte</w:t>
      </w:r>
      <w:r w:rsidRPr="00D4602F">
        <w:rPr>
          <w:sz w:val="20"/>
          <w:szCs w:val="20"/>
          <w:lang w:val="fr-CA"/>
        </w:rPr>
        <w:t xml:space="preserve"> avaient été violés par l’usage de la force excessive lors de son arrestation.  Les juges majoritaires de la Cour d’appel ont conclu que la juge du procès avait commis une erreur de droit en concluant que l’appelant avait le fardeau d’établir que l’usage d’une force meurtrière n’était pas justifié au regard de l’art. 25 du</w:t>
      </w:r>
      <w:r w:rsidRPr="00D4602F">
        <w:rPr>
          <w:i/>
          <w:sz w:val="20"/>
          <w:szCs w:val="20"/>
          <w:lang w:val="fr-CA"/>
        </w:rPr>
        <w:t xml:space="preserve"> Code criminel</w:t>
      </w:r>
      <w:r w:rsidRPr="00D4602F">
        <w:rPr>
          <w:sz w:val="20"/>
          <w:szCs w:val="20"/>
          <w:lang w:val="fr-CA"/>
        </w:rPr>
        <w:t xml:space="preserve">.  Toutefois, concluant que l’issue de l’affaire ne dépendait pas de cette erreur, les juges majoritaires ont rejeté l’appel.  La juge en chef Fraser, dissidente, aurait accueilli l’appel et ordonné la tenue d’un nouveau procès, puisque à son avis, l’erreur de la juge, qui avait mal imputé le fardeau de la preuve, l’avait amenée à analyser du mauvais point de vue le caractère justifié de l’usage de la force meurtrière.  Par conséquent, la juge du procès avait omis de se demander si le ministère public avait établi, selon la prépondérance des probabilités, que l’usage de la force meurtrière par le policier était justifié en droit.  </w:t>
      </w:r>
    </w:p>
    <w:p w:rsidR="00D43AD2" w:rsidRPr="00D4602F" w:rsidRDefault="00D43AD2" w:rsidP="00D43AD2">
      <w:pPr>
        <w:widowControl w:val="0"/>
        <w:jc w:val="both"/>
        <w:rPr>
          <w:sz w:val="20"/>
          <w:szCs w:val="20"/>
          <w:lang w:val="fr-CA"/>
        </w:rPr>
      </w:pPr>
    </w:p>
    <w:p w:rsidR="00D43AD2" w:rsidRPr="00D4602F" w:rsidRDefault="00D43AD2" w:rsidP="00D43AD2">
      <w:pPr>
        <w:widowControl w:val="0"/>
        <w:jc w:val="both"/>
        <w:rPr>
          <w:sz w:val="20"/>
          <w:szCs w:val="20"/>
          <w:lang w:val="fr-CA"/>
        </w:rPr>
      </w:pPr>
    </w:p>
    <w:p w:rsidR="00D43AD2" w:rsidRPr="00D4602F" w:rsidRDefault="00D43AD2" w:rsidP="00D43AD2">
      <w:pPr>
        <w:widowControl w:val="0"/>
        <w:ind w:left="2880" w:hanging="2880"/>
        <w:jc w:val="both"/>
        <w:rPr>
          <w:sz w:val="20"/>
          <w:szCs w:val="20"/>
          <w:lang w:val="fr-CA"/>
        </w:rPr>
      </w:pPr>
      <w:r w:rsidRPr="00D4602F">
        <w:rPr>
          <w:sz w:val="20"/>
          <w:szCs w:val="20"/>
          <w:lang w:val="fr-CA"/>
        </w:rPr>
        <w:t>Origine :</w:t>
      </w:r>
      <w:r w:rsidRPr="00D4602F">
        <w:rPr>
          <w:sz w:val="20"/>
          <w:szCs w:val="20"/>
          <w:lang w:val="fr-CA"/>
        </w:rPr>
        <w:tab/>
      </w:r>
      <w:bookmarkStart w:id="4" w:name="4"/>
      <w:bookmarkEnd w:id="4"/>
      <w:r w:rsidRPr="00D4602F">
        <w:rPr>
          <w:sz w:val="20"/>
          <w:szCs w:val="20"/>
          <w:lang w:val="fr-CA"/>
        </w:rPr>
        <w:t>Alberta</w:t>
      </w:r>
    </w:p>
    <w:p w:rsidR="00D43AD2" w:rsidRPr="00D4602F" w:rsidRDefault="00D43AD2" w:rsidP="00D43AD2">
      <w:pPr>
        <w:widowControl w:val="0"/>
        <w:ind w:left="2880" w:hanging="2880"/>
        <w:jc w:val="both"/>
        <w:rPr>
          <w:sz w:val="20"/>
          <w:szCs w:val="20"/>
          <w:lang w:val="fr-CA"/>
        </w:rPr>
      </w:pPr>
    </w:p>
    <w:p w:rsidR="00D43AD2" w:rsidRPr="00D4602F" w:rsidRDefault="00D43AD2" w:rsidP="00D43AD2">
      <w:pPr>
        <w:widowControl w:val="0"/>
        <w:ind w:left="2880" w:hanging="2880"/>
        <w:jc w:val="both"/>
        <w:rPr>
          <w:sz w:val="20"/>
          <w:szCs w:val="20"/>
          <w:lang w:val="fr-CA"/>
        </w:rPr>
      </w:pPr>
      <w:r w:rsidRPr="00D4602F">
        <w:rPr>
          <w:sz w:val="20"/>
          <w:szCs w:val="20"/>
          <w:lang w:val="fr-CA"/>
        </w:rPr>
        <w:t>N</w:t>
      </w:r>
      <w:r w:rsidRPr="00D4602F">
        <w:rPr>
          <w:sz w:val="20"/>
          <w:szCs w:val="20"/>
          <w:vertAlign w:val="superscript"/>
          <w:lang w:val="fr-CA"/>
        </w:rPr>
        <w:t xml:space="preserve">o </w:t>
      </w:r>
      <w:r w:rsidRPr="00D4602F">
        <w:rPr>
          <w:sz w:val="20"/>
          <w:szCs w:val="20"/>
          <w:lang w:val="fr-CA"/>
        </w:rPr>
        <w:t>du greffe :</w:t>
      </w:r>
      <w:r w:rsidRPr="00D4602F">
        <w:rPr>
          <w:sz w:val="20"/>
          <w:szCs w:val="20"/>
          <w:lang w:val="fr-CA"/>
        </w:rPr>
        <w:tab/>
      </w:r>
      <w:bookmarkStart w:id="5" w:name="2"/>
      <w:bookmarkEnd w:id="5"/>
      <w:r w:rsidRPr="00D4602F">
        <w:rPr>
          <w:sz w:val="20"/>
          <w:szCs w:val="20"/>
          <w:lang w:val="fr-CA"/>
        </w:rPr>
        <w:t>35327</w:t>
      </w:r>
    </w:p>
    <w:p w:rsidR="00D43AD2" w:rsidRPr="00D4602F" w:rsidRDefault="00D43AD2" w:rsidP="00D43AD2">
      <w:pPr>
        <w:widowControl w:val="0"/>
        <w:ind w:left="2880" w:hanging="2880"/>
        <w:jc w:val="both"/>
        <w:rPr>
          <w:sz w:val="20"/>
          <w:szCs w:val="20"/>
          <w:lang w:val="fr-CA"/>
        </w:rPr>
      </w:pPr>
    </w:p>
    <w:p w:rsidR="00D43AD2" w:rsidRPr="00D4602F" w:rsidRDefault="00D43AD2" w:rsidP="00D43AD2">
      <w:pPr>
        <w:widowControl w:val="0"/>
        <w:ind w:left="2880" w:hanging="2880"/>
        <w:jc w:val="both"/>
        <w:rPr>
          <w:sz w:val="20"/>
          <w:szCs w:val="20"/>
          <w:lang w:val="fr-CA"/>
        </w:rPr>
      </w:pPr>
      <w:r w:rsidRPr="00D4602F">
        <w:rPr>
          <w:sz w:val="20"/>
          <w:szCs w:val="20"/>
          <w:lang w:val="fr-CA"/>
        </w:rPr>
        <w:t>Arrêt de la Cour d’appel :</w:t>
      </w:r>
      <w:r w:rsidRPr="00D4602F">
        <w:rPr>
          <w:sz w:val="20"/>
          <w:szCs w:val="20"/>
          <w:lang w:val="fr-CA"/>
        </w:rPr>
        <w:tab/>
      </w:r>
      <w:bookmarkStart w:id="6" w:name="5"/>
      <w:bookmarkEnd w:id="6"/>
      <w:r w:rsidRPr="00D4602F">
        <w:rPr>
          <w:sz w:val="20"/>
          <w:szCs w:val="20"/>
          <w:lang w:val="fr-CA"/>
        </w:rPr>
        <w:t>le 24 janvier 2013</w:t>
      </w:r>
    </w:p>
    <w:p w:rsidR="00D43AD2" w:rsidRPr="00D4602F" w:rsidRDefault="00D43AD2" w:rsidP="00D43AD2">
      <w:pPr>
        <w:widowControl w:val="0"/>
        <w:ind w:left="2880" w:hanging="2880"/>
        <w:jc w:val="both"/>
        <w:rPr>
          <w:sz w:val="20"/>
          <w:szCs w:val="20"/>
          <w:lang w:val="fr-CA"/>
        </w:rPr>
      </w:pPr>
    </w:p>
    <w:p w:rsidR="00D43AD2" w:rsidRPr="00D4602F" w:rsidRDefault="00D43AD2" w:rsidP="00D43AD2">
      <w:pPr>
        <w:widowControl w:val="0"/>
        <w:ind w:left="2880" w:hanging="2880"/>
        <w:jc w:val="both"/>
        <w:rPr>
          <w:sz w:val="20"/>
          <w:szCs w:val="20"/>
          <w:lang w:val="fr-CA"/>
        </w:rPr>
      </w:pPr>
      <w:r w:rsidRPr="00D4602F">
        <w:rPr>
          <w:sz w:val="20"/>
          <w:szCs w:val="20"/>
          <w:lang w:val="fr-CA"/>
        </w:rPr>
        <w:t>Avocats :</w:t>
      </w:r>
      <w:r w:rsidRPr="00D4602F">
        <w:rPr>
          <w:sz w:val="20"/>
          <w:szCs w:val="20"/>
          <w:lang w:val="fr-CA"/>
        </w:rPr>
        <w:tab/>
      </w:r>
      <w:bookmarkStart w:id="7" w:name="6"/>
      <w:bookmarkEnd w:id="7"/>
      <w:r w:rsidRPr="00D4602F">
        <w:rPr>
          <w:sz w:val="20"/>
          <w:szCs w:val="20"/>
          <w:lang w:val="fr-CA"/>
        </w:rPr>
        <w:t>Peter J. Royal, c.r. pour l’appelant</w:t>
      </w:r>
    </w:p>
    <w:p w:rsidR="00D43AD2" w:rsidRPr="00D4602F" w:rsidRDefault="00D43AD2" w:rsidP="00D43AD2">
      <w:pPr>
        <w:widowControl w:val="0"/>
        <w:ind w:left="2880" w:hanging="2880"/>
        <w:jc w:val="both"/>
        <w:rPr>
          <w:sz w:val="20"/>
          <w:szCs w:val="20"/>
          <w:lang w:val="fr-CA"/>
        </w:rPr>
      </w:pPr>
      <w:r w:rsidRPr="00D4602F">
        <w:rPr>
          <w:sz w:val="20"/>
          <w:szCs w:val="20"/>
          <w:lang w:val="fr-CA"/>
        </w:rPr>
        <w:tab/>
      </w:r>
      <w:bookmarkStart w:id="8" w:name="7"/>
      <w:bookmarkEnd w:id="8"/>
      <w:r w:rsidRPr="00D4602F">
        <w:rPr>
          <w:sz w:val="20"/>
          <w:szCs w:val="20"/>
          <w:lang w:val="fr-CA"/>
        </w:rPr>
        <w:t>Troy L. Couillard pour l’intimé</w:t>
      </w:r>
    </w:p>
    <w:p w:rsidR="00F164B3" w:rsidRPr="00DD0B49" w:rsidRDefault="00F164B3" w:rsidP="00F164B3">
      <w:pPr>
        <w:tabs>
          <w:tab w:val="left" w:pos="-1440"/>
          <w:tab w:val="left" w:pos="-720"/>
        </w:tabs>
        <w:jc w:val="both"/>
        <w:rPr>
          <w:sz w:val="20"/>
          <w:szCs w:val="20"/>
          <w:lang w:val="fr-CA"/>
        </w:rPr>
      </w:pPr>
    </w:p>
    <w:p w:rsidR="00F164B3" w:rsidRDefault="00A47393" w:rsidP="00F164B3">
      <w:pPr>
        <w:tabs>
          <w:tab w:val="left" w:pos="-1440"/>
          <w:tab w:val="left" w:pos="-720"/>
        </w:tabs>
        <w:jc w:val="both"/>
        <w:rPr>
          <w:sz w:val="20"/>
          <w:szCs w:val="20"/>
          <w:lang w:val="fr-CA"/>
        </w:rPr>
      </w:pPr>
      <w:r>
        <w:rPr>
          <w:sz w:val="20"/>
          <w:szCs w:val="20"/>
          <w:lang w:val="fr-CA"/>
        </w:rPr>
        <w:pict>
          <v:rect id="_x0000_i1056" style="width:2in;height:1pt" o:hrpct="0" o:hralign="center" o:hrstd="t" o:hrnoshade="t" o:hr="t" fillcolor="black [3213]" stroked="f"/>
        </w:pict>
      </w:r>
    </w:p>
    <w:p w:rsidR="00F164B3" w:rsidRDefault="00F164B3" w:rsidP="00F164B3">
      <w:pPr>
        <w:tabs>
          <w:tab w:val="left" w:pos="-1440"/>
          <w:tab w:val="left" w:pos="-720"/>
        </w:tabs>
        <w:jc w:val="both"/>
        <w:rPr>
          <w:sz w:val="20"/>
          <w:szCs w:val="20"/>
          <w:lang w:val="fr-CA"/>
        </w:rPr>
      </w:pPr>
    </w:p>
    <w:p w:rsidR="00F164B3" w:rsidRDefault="00F164B3">
      <w:pPr>
        <w:rPr>
          <w:sz w:val="20"/>
          <w:szCs w:val="20"/>
          <w:lang w:val="fr-CA"/>
        </w:rPr>
      </w:pPr>
    </w:p>
    <w:p w:rsidR="00F164B3" w:rsidRDefault="00F164B3">
      <w:pPr>
        <w:rPr>
          <w:sz w:val="20"/>
          <w:szCs w:val="20"/>
          <w:lang w:val="fr-CA"/>
        </w:rPr>
      </w:pPr>
      <w:r>
        <w:rPr>
          <w:sz w:val="20"/>
          <w:szCs w:val="20"/>
          <w:lang w:val="fr-CA"/>
        </w:rPr>
        <w:br w:type="page"/>
      </w:r>
    </w:p>
    <w:p w:rsidR="00D43AD2" w:rsidRPr="00435383" w:rsidRDefault="001C5DB7" w:rsidP="00D43AD2">
      <w:pPr>
        <w:widowControl w:val="0"/>
        <w:ind w:left="720" w:hanging="720"/>
        <w:jc w:val="both"/>
        <w:rPr>
          <w:sz w:val="20"/>
          <w:szCs w:val="20"/>
        </w:rPr>
      </w:pPr>
      <w:r w:rsidRPr="00435383">
        <w:rPr>
          <w:b/>
          <w:sz w:val="20"/>
          <w:szCs w:val="20"/>
        </w:rPr>
        <w:lastRenderedPageBreak/>
        <w:fldChar w:fldCharType="begin"/>
      </w:r>
      <w:r w:rsidR="00D43AD2" w:rsidRPr="00435383">
        <w:rPr>
          <w:b/>
          <w:sz w:val="20"/>
          <w:szCs w:val="20"/>
        </w:rPr>
        <w:instrText xml:space="preserve"> SEQ CHAPTER \h \r 1</w:instrText>
      </w:r>
      <w:r w:rsidRPr="00435383">
        <w:rPr>
          <w:b/>
          <w:sz w:val="20"/>
          <w:szCs w:val="20"/>
        </w:rPr>
        <w:fldChar w:fldCharType="end"/>
      </w:r>
      <w:r w:rsidR="00D43AD2" w:rsidRPr="00435383">
        <w:rPr>
          <w:b/>
          <w:sz w:val="20"/>
          <w:szCs w:val="20"/>
        </w:rPr>
        <w:t>35373</w:t>
      </w:r>
      <w:r w:rsidR="00D43AD2" w:rsidRPr="00435383">
        <w:rPr>
          <w:sz w:val="20"/>
          <w:szCs w:val="20"/>
        </w:rPr>
        <w:tab/>
      </w:r>
      <w:r w:rsidR="00D43AD2" w:rsidRPr="00435383">
        <w:rPr>
          <w:b/>
          <w:i/>
          <w:sz w:val="20"/>
          <w:szCs w:val="20"/>
        </w:rPr>
        <w:t>Garry Howard James v. Her Majesty the Queen</w:t>
      </w:r>
    </w:p>
    <w:p w:rsidR="00D43AD2" w:rsidRPr="00435383" w:rsidRDefault="00D43AD2" w:rsidP="00D43AD2">
      <w:pPr>
        <w:widowControl w:val="0"/>
        <w:jc w:val="both"/>
        <w:rPr>
          <w:sz w:val="20"/>
          <w:szCs w:val="20"/>
        </w:rPr>
      </w:pPr>
    </w:p>
    <w:p w:rsidR="00D43AD2" w:rsidRPr="00435383" w:rsidRDefault="00112D11" w:rsidP="00D43AD2">
      <w:pPr>
        <w:widowControl w:val="0"/>
        <w:jc w:val="both"/>
        <w:rPr>
          <w:sz w:val="20"/>
          <w:szCs w:val="20"/>
        </w:rPr>
      </w:pPr>
      <w:r w:rsidRPr="005032A5">
        <w:rPr>
          <w:sz w:val="20"/>
          <w:szCs w:val="20"/>
        </w:rPr>
        <w:t xml:space="preserve">Criminal law - Sexual assault - Elements of the offence - Consent - Whether the trial judge erred in law in his assessment of the evidence based on a wrong legal principle - Whether the Crown proved beyond a reasonable doubt that the complainant did not consent to the sexual activity in question - </w:t>
      </w:r>
      <w:r w:rsidRPr="005032A5">
        <w:rPr>
          <w:i/>
          <w:sz w:val="20"/>
          <w:szCs w:val="20"/>
        </w:rPr>
        <w:t>Criminal Code</w:t>
      </w:r>
      <w:r w:rsidRPr="005032A5">
        <w:rPr>
          <w:sz w:val="20"/>
          <w:szCs w:val="20"/>
        </w:rPr>
        <w:t>, R.S.C. 1985, c. C-46, s. 271.</w:t>
      </w:r>
    </w:p>
    <w:p w:rsidR="00D43AD2" w:rsidRPr="00435383" w:rsidRDefault="00D43AD2" w:rsidP="00D43AD2">
      <w:pPr>
        <w:widowControl w:val="0"/>
        <w:jc w:val="both"/>
        <w:rPr>
          <w:sz w:val="20"/>
          <w:szCs w:val="20"/>
        </w:rPr>
      </w:pPr>
    </w:p>
    <w:p w:rsidR="00D43AD2" w:rsidRPr="00435383" w:rsidRDefault="00D43AD2" w:rsidP="00D43AD2">
      <w:pPr>
        <w:widowControl w:val="0"/>
        <w:jc w:val="both"/>
        <w:rPr>
          <w:sz w:val="20"/>
          <w:szCs w:val="20"/>
        </w:rPr>
      </w:pPr>
      <w:r w:rsidRPr="00435383">
        <w:rPr>
          <w:sz w:val="20"/>
          <w:szCs w:val="20"/>
        </w:rPr>
        <w:t>The appellant was acquitted of sexual assault.  He and the complainant consumed a significant amount of alcohol and smoked crack cocaine on the day of the alleged assault.  That day, the appellant also took a variety of prescribed medications for his various ailments.  At trial, the complainant testified that while there were certain aspects of the day that she could not remember, she awoke in the appellant’s motel room to find herself half naked and the accused’s head between her thighs as he performed oral sex on her.  She also testified that she pushed him off her and went to the bathroom, after which she went to the motel office, called the police and filed a complaint of sexual assault against the appellant.  The investigating officer who attended at the motel described her as upset and crying and the doctor who subsequently examined her found multiple bruises on her thighs, legs and arms.  The appellant testified that he had no memory of the statement he gave to the police according to which the complainant had consented to sex, and he stated that he was very intoxicated on the day of the alleged assault and had no memory of what had transpired, particularly with respect to whether or not he had touched the complainant in a sexual manner.  The majority of the Court of Appeal allowed the Crown’s appeal and ordered a new trial.  Ryan J.A., dissenting, would have dismissed the appeal.</w:t>
      </w:r>
    </w:p>
    <w:p w:rsidR="00D43AD2" w:rsidRPr="00435383" w:rsidRDefault="00D43AD2" w:rsidP="00D43AD2">
      <w:pPr>
        <w:widowControl w:val="0"/>
        <w:jc w:val="both"/>
        <w:rPr>
          <w:sz w:val="20"/>
          <w:szCs w:val="20"/>
        </w:rPr>
      </w:pPr>
    </w:p>
    <w:p w:rsidR="00D43AD2" w:rsidRPr="00435383" w:rsidRDefault="00D43AD2" w:rsidP="00D43AD2">
      <w:pPr>
        <w:widowControl w:val="0"/>
        <w:jc w:val="both"/>
        <w:rPr>
          <w:sz w:val="20"/>
          <w:szCs w:val="20"/>
        </w:rPr>
      </w:pPr>
    </w:p>
    <w:p w:rsidR="00D43AD2" w:rsidRPr="00435383" w:rsidRDefault="00D43AD2" w:rsidP="00D43AD2">
      <w:pPr>
        <w:widowControl w:val="0"/>
        <w:ind w:left="2880" w:hanging="2880"/>
        <w:jc w:val="both"/>
        <w:rPr>
          <w:sz w:val="20"/>
          <w:szCs w:val="20"/>
        </w:rPr>
      </w:pPr>
      <w:r w:rsidRPr="00435383">
        <w:rPr>
          <w:sz w:val="20"/>
          <w:szCs w:val="20"/>
        </w:rPr>
        <w:t>Origin of the case:</w:t>
      </w:r>
      <w:r w:rsidRPr="00435383">
        <w:rPr>
          <w:sz w:val="20"/>
          <w:szCs w:val="20"/>
        </w:rPr>
        <w:tab/>
        <w:t>British Columbia</w:t>
      </w:r>
    </w:p>
    <w:p w:rsidR="00D43AD2" w:rsidRPr="00435383" w:rsidRDefault="00D43AD2" w:rsidP="00D43AD2">
      <w:pPr>
        <w:widowControl w:val="0"/>
        <w:ind w:left="2880" w:hanging="2880"/>
        <w:jc w:val="both"/>
        <w:rPr>
          <w:sz w:val="20"/>
          <w:szCs w:val="20"/>
        </w:rPr>
      </w:pPr>
    </w:p>
    <w:p w:rsidR="00D43AD2" w:rsidRPr="00435383" w:rsidRDefault="00D43AD2" w:rsidP="00D43AD2">
      <w:pPr>
        <w:widowControl w:val="0"/>
        <w:ind w:left="2880" w:hanging="2880"/>
        <w:jc w:val="both"/>
        <w:rPr>
          <w:sz w:val="20"/>
          <w:szCs w:val="20"/>
        </w:rPr>
      </w:pPr>
      <w:r w:rsidRPr="00435383">
        <w:rPr>
          <w:sz w:val="20"/>
          <w:szCs w:val="20"/>
        </w:rPr>
        <w:t>File No.:</w:t>
      </w:r>
      <w:r w:rsidRPr="00435383">
        <w:rPr>
          <w:sz w:val="20"/>
          <w:szCs w:val="20"/>
        </w:rPr>
        <w:tab/>
        <w:t>35373</w:t>
      </w:r>
    </w:p>
    <w:p w:rsidR="00D43AD2" w:rsidRPr="00435383" w:rsidRDefault="00D43AD2" w:rsidP="00D43AD2">
      <w:pPr>
        <w:widowControl w:val="0"/>
        <w:ind w:left="2880" w:hanging="2880"/>
        <w:jc w:val="both"/>
        <w:rPr>
          <w:sz w:val="20"/>
          <w:szCs w:val="20"/>
        </w:rPr>
      </w:pPr>
    </w:p>
    <w:p w:rsidR="00D43AD2" w:rsidRPr="00435383" w:rsidRDefault="00D43AD2" w:rsidP="00D43AD2">
      <w:pPr>
        <w:widowControl w:val="0"/>
        <w:ind w:left="2880" w:hanging="2880"/>
        <w:jc w:val="both"/>
        <w:rPr>
          <w:sz w:val="20"/>
          <w:szCs w:val="20"/>
        </w:rPr>
      </w:pPr>
      <w:r w:rsidRPr="00435383">
        <w:rPr>
          <w:sz w:val="20"/>
          <w:szCs w:val="20"/>
        </w:rPr>
        <w:t>Judgment of the Court of Appeal:</w:t>
      </w:r>
      <w:r w:rsidRPr="00435383">
        <w:rPr>
          <w:sz w:val="20"/>
          <w:szCs w:val="20"/>
        </w:rPr>
        <w:tab/>
        <w:t>April 9, 2013</w:t>
      </w:r>
    </w:p>
    <w:p w:rsidR="00D43AD2" w:rsidRPr="00435383" w:rsidRDefault="00D43AD2" w:rsidP="00D43AD2">
      <w:pPr>
        <w:widowControl w:val="0"/>
        <w:ind w:left="2880" w:hanging="2880"/>
        <w:jc w:val="both"/>
        <w:rPr>
          <w:sz w:val="20"/>
          <w:szCs w:val="20"/>
        </w:rPr>
      </w:pPr>
    </w:p>
    <w:p w:rsidR="00D43AD2" w:rsidRPr="00435383" w:rsidRDefault="00D43AD2" w:rsidP="00D43AD2">
      <w:pPr>
        <w:widowControl w:val="0"/>
        <w:ind w:left="2880" w:hanging="2880"/>
        <w:jc w:val="both"/>
        <w:rPr>
          <w:sz w:val="20"/>
          <w:szCs w:val="20"/>
        </w:rPr>
      </w:pPr>
      <w:r w:rsidRPr="00435383">
        <w:rPr>
          <w:sz w:val="20"/>
          <w:szCs w:val="20"/>
        </w:rPr>
        <w:t>Counsel:</w:t>
      </w:r>
      <w:r w:rsidRPr="00435383">
        <w:rPr>
          <w:sz w:val="20"/>
          <w:szCs w:val="20"/>
        </w:rPr>
        <w:tab/>
        <w:t>Christopher Darnay for the appellant</w:t>
      </w:r>
    </w:p>
    <w:p w:rsidR="00D43AD2" w:rsidRPr="00435383" w:rsidRDefault="00D43AD2" w:rsidP="00D43AD2">
      <w:pPr>
        <w:widowControl w:val="0"/>
        <w:ind w:left="2880" w:hanging="2880"/>
        <w:jc w:val="both"/>
        <w:rPr>
          <w:sz w:val="20"/>
          <w:szCs w:val="20"/>
        </w:rPr>
      </w:pPr>
      <w:r w:rsidRPr="00435383">
        <w:rPr>
          <w:sz w:val="20"/>
          <w:szCs w:val="20"/>
        </w:rPr>
        <w:tab/>
        <w:t>John M. Gordon, Q.C. for the respondent</w:t>
      </w:r>
    </w:p>
    <w:p w:rsidR="00F164B3" w:rsidRPr="00D43AD2" w:rsidRDefault="00F164B3" w:rsidP="00F164B3">
      <w:pPr>
        <w:tabs>
          <w:tab w:val="left" w:pos="-1440"/>
          <w:tab w:val="left" w:pos="-720"/>
        </w:tabs>
        <w:jc w:val="both"/>
        <w:rPr>
          <w:sz w:val="20"/>
          <w:szCs w:val="20"/>
        </w:rPr>
      </w:pPr>
    </w:p>
    <w:p w:rsidR="00F164B3" w:rsidRDefault="00A47393" w:rsidP="00F164B3">
      <w:pPr>
        <w:tabs>
          <w:tab w:val="left" w:pos="-1440"/>
          <w:tab w:val="left" w:pos="-720"/>
        </w:tabs>
        <w:jc w:val="both"/>
        <w:rPr>
          <w:sz w:val="20"/>
          <w:szCs w:val="20"/>
          <w:lang w:val="fr-CA"/>
        </w:rPr>
      </w:pPr>
      <w:r>
        <w:rPr>
          <w:sz w:val="20"/>
          <w:szCs w:val="20"/>
          <w:lang w:val="fr-CA"/>
        </w:rPr>
        <w:pict>
          <v:rect id="_x0000_i1057" style="width:2in;height:1pt" o:hrpct="0" o:hralign="center" o:hrstd="t" o:hrnoshade="t" o:hr="t" fillcolor="black [3213]" stroked="f"/>
        </w:pict>
      </w:r>
    </w:p>
    <w:p w:rsidR="00F164B3" w:rsidRDefault="00F164B3" w:rsidP="00F164B3">
      <w:pPr>
        <w:tabs>
          <w:tab w:val="left" w:pos="-1440"/>
          <w:tab w:val="left" w:pos="-720"/>
        </w:tabs>
        <w:jc w:val="both"/>
        <w:rPr>
          <w:sz w:val="20"/>
          <w:szCs w:val="20"/>
          <w:lang w:val="fr-CA"/>
        </w:rPr>
      </w:pPr>
    </w:p>
    <w:p w:rsidR="00F164B3" w:rsidRDefault="00F164B3">
      <w:pPr>
        <w:rPr>
          <w:sz w:val="20"/>
          <w:szCs w:val="20"/>
          <w:lang w:val="fr-CA"/>
        </w:rPr>
      </w:pPr>
    </w:p>
    <w:p w:rsidR="00F164B3" w:rsidRDefault="00F164B3">
      <w:pPr>
        <w:rPr>
          <w:sz w:val="20"/>
          <w:szCs w:val="20"/>
          <w:lang w:val="fr-CA"/>
        </w:rPr>
      </w:pPr>
      <w:r>
        <w:rPr>
          <w:sz w:val="20"/>
          <w:szCs w:val="20"/>
          <w:lang w:val="fr-CA"/>
        </w:rPr>
        <w:br w:type="page"/>
      </w:r>
    </w:p>
    <w:p w:rsidR="00D43AD2" w:rsidRPr="00326B15" w:rsidRDefault="001C5DB7" w:rsidP="00D43AD2">
      <w:pPr>
        <w:widowControl w:val="0"/>
        <w:ind w:left="720" w:hanging="720"/>
        <w:jc w:val="both"/>
        <w:rPr>
          <w:sz w:val="20"/>
          <w:szCs w:val="20"/>
          <w:lang w:val="fr-CA"/>
        </w:rPr>
      </w:pPr>
      <w:r w:rsidRPr="00326B15">
        <w:rPr>
          <w:b/>
          <w:sz w:val="20"/>
          <w:szCs w:val="20"/>
        </w:rPr>
        <w:lastRenderedPageBreak/>
        <w:fldChar w:fldCharType="begin"/>
      </w:r>
      <w:r w:rsidR="00D43AD2" w:rsidRPr="00326B15">
        <w:rPr>
          <w:b/>
          <w:sz w:val="20"/>
          <w:szCs w:val="20"/>
          <w:lang w:val="fr-CA"/>
        </w:rPr>
        <w:instrText xml:space="preserve"> SEQ CHAPTER \h \r 1</w:instrText>
      </w:r>
      <w:r w:rsidRPr="00326B15">
        <w:rPr>
          <w:b/>
          <w:sz w:val="20"/>
          <w:szCs w:val="20"/>
        </w:rPr>
        <w:fldChar w:fldCharType="end"/>
      </w:r>
      <w:r w:rsidR="00D43AD2" w:rsidRPr="00326B15">
        <w:rPr>
          <w:b/>
          <w:sz w:val="20"/>
          <w:szCs w:val="20"/>
          <w:lang w:val="fr-CA"/>
        </w:rPr>
        <w:t>35373</w:t>
      </w:r>
      <w:r w:rsidR="00D43AD2" w:rsidRPr="00326B15">
        <w:rPr>
          <w:sz w:val="20"/>
          <w:szCs w:val="20"/>
          <w:lang w:val="fr-CA"/>
        </w:rPr>
        <w:tab/>
      </w:r>
      <w:r w:rsidR="00D43AD2" w:rsidRPr="00326B15">
        <w:rPr>
          <w:b/>
          <w:i/>
          <w:sz w:val="20"/>
          <w:szCs w:val="20"/>
          <w:lang w:val="fr-CA"/>
        </w:rPr>
        <w:t>Garry Howard James c. Sa Majesté la Reine</w:t>
      </w:r>
    </w:p>
    <w:p w:rsidR="00D43AD2" w:rsidRPr="00326B15" w:rsidRDefault="00D43AD2" w:rsidP="00D43AD2">
      <w:pPr>
        <w:widowControl w:val="0"/>
        <w:jc w:val="both"/>
        <w:rPr>
          <w:sz w:val="20"/>
          <w:szCs w:val="20"/>
          <w:lang w:val="fr-CA"/>
        </w:rPr>
      </w:pPr>
    </w:p>
    <w:p w:rsidR="00D43AD2" w:rsidRPr="00326B15" w:rsidRDefault="00D43AD2" w:rsidP="00D43AD2">
      <w:pPr>
        <w:widowControl w:val="0"/>
        <w:jc w:val="both"/>
        <w:rPr>
          <w:sz w:val="20"/>
          <w:szCs w:val="20"/>
          <w:lang w:val="fr-CA"/>
        </w:rPr>
      </w:pPr>
      <w:r w:rsidRPr="00326B15">
        <w:rPr>
          <w:sz w:val="20"/>
          <w:szCs w:val="20"/>
          <w:lang w:val="fr-CA"/>
        </w:rPr>
        <w:t xml:space="preserve">Droit criminel </w:t>
      </w:r>
      <w:r w:rsidRPr="00326B15">
        <w:rPr>
          <w:sz w:val="20"/>
          <w:szCs w:val="20"/>
          <w:lang w:val="fr-CA"/>
        </w:rPr>
        <w:noBreakHyphen/>
        <w:t xml:space="preserve"> Agression sexuelle </w:t>
      </w:r>
      <w:r w:rsidRPr="00326B15">
        <w:rPr>
          <w:sz w:val="20"/>
          <w:szCs w:val="20"/>
          <w:lang w:val="fr-CA"/>
        </w:rPr>
        <w:noBreakHyphen/>
        <w:t xml:space="preserve"> Éléments de l’infraction </w:t>
      </w:r>
      <w:r w:rsidRPr="00326B15">
        <w:rPr>
          <w:sz w:val="20"/>
          <w:szCs w:val="20"/>
          <w:lang w:val="fr-CA"/>
        </w:rPr>
        <w:noBreakHyphen/>
        <w:t xml:space="preserve"> Consentement </w:t>
      </w:r>
      <w:r w:rsidRPr="00326B15">
        <w:rPr>
          <w:sz w:val="20"/>
          <w:szCs w:val="20"/>
          <w:lang w:val="fr-CA"/>
        </w:rPr>
        <w:noBreakHyphen/>
        <w:t xml:space="preserve"> Le juge du procès a</w:t>
      </w:r>
      <w:r w:rsidRPr="00326B15">
        <w:rPr>
          <w:sz w:val="20"/>
          <w:szCs w:val="20"/>
          <w:lang w:val="fr-CA"/>
        </w:rPr>
        <w:noBreakHyphen/>
        <w:t>t</w:t>
      </w:r>
      <w:r w:rsidRPr="00326B15">
        <w:rPr>
          <w:sz w:val="20"/>
          <w:szCs w:val="20"/>
          <w:lang w:val="fr-CA"/>
        </w:rPr>
        <w:noBreakHyphen/>
        <w:t xml:space="preserve">il commis une erreur de droit dans son appréciation de la preuve en se fondant sur un mauvais principe juridique? </w:t>
      </w:r>
      <w:r w:rsidRPr="00326B15">
        <w:rPr>
          <w:sz w:val="20"/>
          <w:szCs w:val="20"/>
          <w:lang w:val="fr-CA"/>
        </w:rPr>
        <w:noBreakHyphen/>
        <w:t xml:space="preserve"> Le ministère public a</w:t>
      </w:r>
      <w:r w:rsidRPr="00326B15">
        <w:rPr>
          <w:sz w:val="20"/>
          <w:szCs w:val="20"/>
          <w:lang w:val="fr-CA"/>
        </w:rPr>
        <w:noBreakHyphen/>
        <w:t>t</w:t>
      </w:r>
      <w:r w:rsidRPr="00326B15">
        <w:rPr>
          <w:sz w:val="20"/>
          <w:szCs w:val="20"/>
          <w:lang w:val="fr-CA"/>
        </w:rPr>
        <w:noBreakHyphen/>
        <w:t xml:space="preserve">il prouvé hors de tout doute raisonnable que la plaignante n’avait pas consenti à l’activité sexuelle en cause? </w:t>
      </w:r>
      <w:r w:rsidRPr="00326B15">
        <w:rPr>
          <w:sz w:val="20"/>
          <w:szCs w:val="20"/>
          <w:lang w:val="fr-CA"/>
        </w:rPr>
        <w:noBreakHyphen/>
        <w:t xml:space="preserve"> </w:t>
      </w:r>
      <w:r w:rsidRPr="00326B15">
        <w:rPr>
          <w:i/>
          <w:sz w:val="20"/>
          <w:szCs w:val="20"/>
          <w:lang w:val="fr-CA"/>
        </w:rPr>
        <w:t>Code criminel</w:t>
      </w:r>
      <w:r w:rsidRPr="00326B15">
        <w:rPr>
          <w:sz w:val="20"/>
          <w:szCs w:val="20"/>
          <w:lang w:val="fr-CA"/>
        </w:rPr>
        <w:t>, L.R.C. 1985, ch. C</w:t>
      </w:r>
      <w:r w:rsidRPr="00326B15">
        <w:rPr>
          <w:sz w:val="20"/>
          <w:szCs w:val="20"/>
          <w:lang w:val="fr-CA"/>
        </w:rPr>
        <w:noBreakHyphen/>
        <w:t>46, art. 271.</w:t>
      </w:r>
    </w:p>
    <w:p w:rsidR="00D43AD2" w:rsidRPr="00326B15" w:rsidRDefault="00D43AD2" w:rsidP="00D43AD2">
      <w:pPr>
        <w:widowControl w:val="0"/>
        <w:jc w:val="both"/>
        <w:rPr>
          <w:sz w:val="20"/>
          <w:szCs w:val="20"/>
          <w:lang w:val="fr-CA"/>
        </w:rPr>
      </w:pPr>
    </w:p>
    <w:p w:rsidR="00D43AD2" w:rsidRPr="00326B15" w:rsidRDefault="00D43AD2" w:rsidP="00D43AD2">
      <w:pPr>
        <w:widowControl w:val="0"/>
        <w:jc w:val="both"/>
        <w:rPr>
          <w:sz w:val="20"/>
          <w:szCs w:val="20"/>
          <w:lang w:val="fr-CA"/>
        </w:rPr>
      </w:pPr>
      <w:r w:rsidRPr="00326B15">
        <w:rPr>
          <w:sz w:val="20"/>
          <w:szCs w:val="20"/>
          <w:lang w:val="fr-CA"/>
        </w:rPr>
        <w:t>L’appelant a été acquitté d’une accusation d’agression sexuelle.  Lui et la plaignante ont consommé une grande quantité d’alcool et fumé du crack le jour de la prétendue agression.  L’appelant a aussi pris ce jour</w:t>
      </w:r>
      <w:r w:rsidRPr="00326B15">
        <w:rPr>
          <w:sz w:val="20"/>
          <w:szCs w:val="20"/>
          <w:lang w:val="fr-CA"/>
        </w:rPr>
        <w:noBreakHyphen/>
        <w:t>là plusieurs médicaments sur ordonnance pour soulager ses différents maux.  La plaignante a affirmé au procès que, même si elle ne se souvenait pas de certains moments de la journée, elle s’était réveillée à moitié nue dans la chambre de motel de l’appelant et la tête de ce dernier se trouvait entre ses cuisses à elle alors qu’il lui faisait un cunnilingus.  Elle a ajouté l’avoir repoussé et s’être rendue à la salle de bains, après quoi elle est allée au bureau du motel, a appelé la police et a déposé une plainte pour agression sexuelle contre l’appelant.  L’enquêteur qui s’est rendu au motel a dit qu’elle était bouleversée et pleurait. Le médecin qui l’a examinée par la suite a vu de nombreuses ecchymoses sur ses cuisses, ses jambes et ses bras.  L’appelant a dit ne pas se rappeler de sa déclaration aux policiers selon laquelle la plaignante avait consenti à l’activité sexuelle.  En outre, il était dans un état d’intoxication très avancé le jour de la prétendue agression et ne se souvenait pas de ce qui s’était produit, particulièrement quant à savoir s’il s’était livré à des attouchements sexuels sur la plaignante.  Les juges majoritaires de la Cour d’appel ont accueilli l’appel du ministère public et ordonné la tenue d’un nouveau procès.  La juge Ryan, dissidente, aurait rejeté l’appel.</w:t>
      </w:r>
    </w:p>
    <w:p w:rsidR="00D43AD2" w:rsidRPr="00326B15" w:rsidRDefault="00D43AD2" w:rsidP="00D43AD2">
      <w:pPr>
        <w:widowControl w:val="0"/>
        <w:jc w:val="both"/>
        <w:rPr>
          <w:sz w:val="20"/>
          <w:szCs w:val="20"/>
          <w:lang w:val="fr-CA"/>
        </w:rPr>
      </w:pPr>
    </w:p>
    <w:p w:rsidR="00D43AD2" w:rsidRPr="00326B15" w:rsidRDefault="00D43AD2" w:rsidP="00D43AD2">
      <w:pPr>
        <w:widowControl w:val="0"/>
        <w:jc w:val="both"/>
        <w:rPr>
          <w:sz w:val="20"/>
          <w:szCs w:val="20"/>
          <w:lang w:val="fr-CA"/>
        </w:rPr>
      </w:pPr>
    </w:p>
    <w:p w:rsidR="00D43AD2" w:rsidRPr="00326B15" w:rsidRDefault="00D43AD2" w:rsidP="00D43AD2">
      <w:pPr>
        <w:widowControl w:val="0"/>
        <w:ind w:left="2880" w:hanging="2880"/>
        <w:jc w:val="both"/>
        <w:rPr>
          <w:sz w:val="20"/>
          <w:szCs w:val="20"/>
          <w:lang w:val="fr-CA"/>
        </w:rPr>
      </w:pPr>
      <w:r w:rsidRPr="00326B15">
        <w:rPr>
          <w:sz w:val="20"/>
          <w:szCs w:val="20"/>
          <w:lang w:val="fr-CA"/>
        </w:rPr>
        <w:t>Origine :</w:t>
      </w:r>
      <w:r w:rsidRPr="00326B15">
        <w:rPr>
          <w:sz w:val="20"/>
          <w:szCs w:val="20"/>
          <w:lang w:val="fr-CA"/>
        </w:rPr>
        <w:tab/>
        <w:t>Colombie</w:t>
      </w:r>
      <w:r w:rsidRPr="00326B15">
        <w:rPr>
          <w:sz w:val="20"/>
          <w:szCs w:val="20"/>
          <w:lang w:val="fr-CA"/>
        </w:rPr>
        <w:noBreakHyphen/>
        <w:t>Britannique</w:t>
      </w:r>
    </w:p>
    <w:p w:rsidR="00D43AD2" w:rsidRPr="00326B15" w:rsidRDefault="00D43AD2" w:rsidP="00D43AD2">
      <w:pPr>
        <w:widowControl w:val="0"/>
        <w:ind w:left="2880" w:hanging="2880"/>
        <w:jc w:val="both"/>
        <w:rPr>
          <w:sz w:val="20"/>
          <w:szCs w:val="20"/>
          <w:lang w:val="fr-CA"/>
        </w:rPr>
      </w:pPr>
    </w:p>
    <w:p w:rsidR="00D43AD2" w:rsidRPr="00326B15" w:rsidRDefault="00D43AD2" w:rsidP="00D43AD2">
      <w:pPr>
        <w:widowControl w:val="0"/>
        <w:ind w:left="2880" w:hanging="2880"/>
        <w:jc w:val="both"/>
        <w:rPr>
          <w:sz w:val="20"/>
          <w:szCs w:val="20"/>
          <w:lang w:val="fr-CA"/>
        </w:rPr>
      </w:pPr>
      <w:r w:rsidRPr="00326B15">
        <w:rPr>
          <w:sz w:val="20"/>
          <w:szCs w:val="20"/>
          <w:lang w:val="fr-CA"/>
        </w:rPr>
        <w:t>N</w:t>
      </w:r>
      <w:r w:rsidRPr="00326B15">
        <w:rPr>
          <w:sz w:val="20"/>
          <w:szCs w:val="20"/>
          <w:vertAlign w:val="superscript"/>
          <w:lang w:val="fr-CA"/>
        </w:rPr>
        <w:t>o</w:t>
      </w:r>
      <w:r w:rsidRPr="00326B15">
        <w:rPr>
          <w:sz w:val="20"/>
          <w:szCs w:val="20"/>
          <w:lang w:val="fr-CA"/>
        </w:rPr>
        <w:t xml:space="preserve"> du greffe :</w:t>
      </w:r>
      <w:r w:rsidRPr="00326B15">
        <w:rPr>
          <w:sz w:val="20"/>
          <w:szCs w:val="20"/>
          <w:lang w:val="fr-CA"/>
        </w:rPr>
        <w:tab/>
        <w:t>35373</w:t>
      </w:r>
    </w:p>
    <w:p w:rsidR="00D43AD2" w:rsidRPr="00326B15" w:rsidRDefault="00D43AD2" w:rsidP="00D43AD2">
      <w:pPr>
        <w:widowControl w:val="0"/>
        <w:ind w:left="2880" w:hanging="2880"/>
        <w:jc w:val="both"/>
        <w:rPr>
          <w:sz w:val="20"/>
          <w:szCs w:val="20"/>
          <w:lang w:val="fr-CA"/>
        </w:rPr>
      </w:pPr>
    </w:p>
    <w:p w:rsidR="00D43AD2" w:rsidRPr="00326B15" w:rsidRDefault="00D43AD2" w:rsidP="00D43AD2">
      <w:pPr>
        <w:widowControl w:val="0"/>
        <w:ind w:left="2880" w:hanging="2880"/>
        <w:jc w:val="both"/>
        <w:rPr>
          <w:sz w:val="20"/>
          <w:szCs w:val="20"/>
          <w:lang w:val="fr-CA"/>
        </w:rPr>
      </w:pPr>
      <w:r w:rsidRPr="00326B15">
        <w:rPr>
          <w:sz w:val="20"/>
          <w:szCs w:val="20"/>
          <w:lang w:val="fr-CA"/>
        </w:rPr>
        <w:t>Arrêt de la Cour d’appel :</w:t>
      </w:r>
      <w:r w:rsidRPr="00326B15">
        <w:rPr>
          <w:sz w:val="20"/>
          <w:szCs w:val="20"/>
          <w:lang w:val="fr-CA"/>
        </w:rPr>
        <w:tab/>
      </w:r>
      <w:r w:rsidR="00524D49">
        <w:rPr>
          <w:sz w:val="20"/>
          <w:szCs w:val="20"/>
          <w:lang w:val="fr-CA"/>
        </w:rPr>
        <w:t xml:space="preserve">le </w:t>
      </w:r>
      <w:r w:rsidRPr="00326B15">
        <w:rPr>
          <w:sz w:val="20"/>
          <w:szCs w:val="20"/>
          <w:lang w:val="fr-CA"/>
        </w:rPr>
        <w:t>9 avril 2013</w:t>
      </w:r>
    </w:p>
    <w:p w:rsidR="00D43AD2" w:rsidRPr="00326B15" w:rsidRDefault="00D43AD2" w:rsidP="00D43AD2">
      <w:pPr>
        <w:widowControl w:val="0"/>
        <w:ind w:left="2880" w:hanging="2880"/>
        <w:jc w:val="both"/>
        <w:rPr>
          <w:sz w:val="20"/>
          <w:szCs w:val="20"/>
          <w:lang w:val="fr-CA"/>
        </w:rPr>
      </w:pPr>
    </w:p>
    <w:p w:rsidR="00D43AD2" w:rsidRPr="00326B15" w:rsidRDefault="00D43AD2" w:rsidP="00D43AD2">
      <w:pPr>
        <w:widowControl w:val="0"/>
        <w:ind w:left="2880" w:hanging="2880"/>
        <w:jc w:val="both"/>
        <w:rPr>
          <w:sz w:val="20"/>
          <w:szCs w:val="20"/>
          <w:lang w:val="fr-CA"/>
        </w:rPr>
      </w:pPr>
      <w:r w:rsidRPr="00326B15">
        <w:rPr>
          <w:sz w:val="20"/>
          <w:szCs w:val="20"/>
          <w:lang w:val="fr-CA"/>
        </w:rPr>
        <w:t>Avocats :</w:t>
      </w:r>
      <w:r w:rsidRPr="00326B15">
        <w:rPr>
          <w:sz w:val="20"/>
          <w:szCs w:val="20"/>
          <w:lang w:val="fr-CA"/>
        </w:rPr>
        <w:tab/>
        <w:t>Christopher Darnay pour l’appelant</w:t>
      </w:r>
    </w:p>
    <w:p w:rsidR="00D43AD2" w:rsidRPr="00326B15" w:rsidRDefault="00D43AD2" w:rsidP="00D43AD2">
      <w:pPr>
        <w:widowControl w:val="0"/>
        <w:ind w:left="2880" w:hanging="2880"/>
        <w:jc w:val="both"/>
        <w:rPr>
          <w:sz w:val="20"/>
          <w:szCs w:val="20"/>
          <w:lang w:val="fr-CA"/>
        </w:rPr>
      </w:pPr>
      <w:r w:rsidRPr="00326B15">
        <w:rPr>
          <w:sz w:val="20"/>
          <w:szCs w:val="20"/>
          <w:lang w:val="fr-CA"/>
        </w:rPr>
        <w:tab/>
        <w:t>John M. Gordon, c.r., pour l’intimée</w:t>
      </w:r>
    </w:p>
    <w:p w:rsidR="00F164B3" w:rsidRPr="00DD0B49" w:rsidRDefault="00F164B3" w:rsidP="00F164B3">
      <w:pPr>
        <w:tabs>
          <w:tab w:val="left" w:pos="-1440"/>
          <w:tab w:val="left" w:pos="-720"/>
        </w:tabs>
        <w:jc w:val="both"/>
        <w:rPr>
          <w:sz w:val="20"/>
          <w:szCs w:val="20"/>
          <w:lang w:val="fr-CA"/>
        </w:rPr>
      </w:pPr>
    </w:p>
    <w:p w:rsidR="00F164B3" w:rsidRDefault="00A47393" w:rsidP="00F164B3">
      <w:pPr>
        <w:tabs>
          <w:tab w:val="left" w:pos="-1440"/>
          <w:tab w:val="left" w:pos="-720"/>
        </w:tabs>
        <w:jc w:val="both"/>
        <w:rPr>
          <w:sz w:val="20"/>
          <w:szCs w:val="20"/>
          <w:lang w:val="fr-CA"/>
        </w:rPr>
      </w:pPr>
      <w:r>
        <w:rPr>
          <w:sz w:val="20"/>
          <w:szCs w:val="20"/>
          <w:lang w:val="fr-CA"/>
        </w:rPr>
        <w:pict>
          <v:rect id="_x0000_i1058" style="width:2in;height:1pt" o:hrpct="0" o:hralign="center" o:hrstd="t" o:hrnoshade="t" o:hr="t" fillcolor="black [3213]" stroked="f"/>
        </w:pict>
      </w:r>
    </w:p>
    <w:p w:rsidR="00F164B3" w:rsidRDefault="00F164B3" w:rsidP="00F164B3">
      <w:pPr>
        <w:tabs>
          <w:tab w:val="left" w:pos="-1440"/>
          <w:tab w:val="left" w:pos="-720"/>
        </w:tabs>
        <w:jc w:val="both"/>
        <w:rPr>
          <w:sz w:val="20"/>
          <w:szCs w:val="20"/>
          <w:lang w:val="fr-CA"/>
        </w:rPr>
      </w:pPr>
    </w:p>
    <w:p w:rsidR="003B41C6" w:rsidRDefault="003B41C6">
      <w:pPr>
        <w:rPr>
          <w:sz w:val="20"/>
          <w:szCs w:val="20"/>
          <w:lang w:val="fr-CA"/>
        </w:rPr>
      </w:pPr>
      <w:r>
        <w:rPr>
          <w:sz w:val="20"/>
          <w:szCs w:val="20"/>
          <w:lang w:val="fr-CA"/>
        </w:rPr>
        <w:br w:type="page"/>
      </w:r>
    </w:p>
    <w:p w:rsidR="00345EEB" w:rsidRPr="00345EEB" w:rsidRDefault="001C5DB7" w:rsidP="00345EEB">
      <w:pPr>
        <w:pStyle w:val="SCCLsocParty"/>
        <w:ind w:left="720" w:hanging="720"/>
        <w:jc w:val="both"/>
        <w:rPr>
          <w:b/>
          <w:i/>
          <w:sz w:val="20"/>
          <w:szCs w:val="20"/>
          <w:lang w:val="fr-CA"/>
        </w:rPr>
      </w:pPr>
      <w:r w:rsidRPr="00D755BE">
        <w:rPr>
          <w:b/>
          <w:sz w:val="20"/>
          <w:szCs w:val="20"/>
        </w:rPr>
        <w:lastRenderedPageBreak/>
        <w:fldChar w:fldCharType="begin"/>
      </w:r>
      <w:r w:rsidR="00345EEB" w:rsidRPr="00345EEB">
        <w:rPr>
          <w:b/>
          <w:sz w:val="20"/>
          <w:szCs w:val="20"/>
          <w:lang w:val="fr-CA"/>
        </w:rPr>
        <w:instrText xml:space="preserve"> SEQ CHAPTER \h \r 1</w:instrText>
      </w:r>
      <w:r w:rsidRPr="00D755BE">
        <w:rPr>
          <w:b/>
          <w:sz w:val="20"/>
          <w:szCs w:val="20"/>
        </w:rPr>
        <w:fldChar w:fldCharType="end"/>
      </w:r>
      <w:r w:rsidR="00345EEB" w:rsidRPr="00345EEB">
        <w:rPr>
          <w:b/>
          <w:sz w:val="20"/>
          <w:szCs w:val="20"/>
          <w:lang w:val="fr-CA"/>
        </w:rPr>
        <w:t>35124</w:t>
      </w:r>
      <w:r w:rsidR="00345EEB" w:rsidRPr="00345EEB">
        <w:rPr>
          <w:b/>
          <w:sz w:val="20"/>
          <w:szCs w:val="20"/>
          <w:lang w:val="fr-CA"/>
        </w:rPr>
        <w:tab/>
      </w:r>
      <w:r w:rsidR="00345EEB" w:rsidRPr="00345EEB">
        <w:rPr>
          <w:b/>
          <w:i/>
          <w:sz w:val="20"/>
          <w:szCs w:val="20"/>
          <w:lang w:val="fr-CA"/>
        </w:rPr>
        <w:t>Attorney General of Canada v. Confédération des syndicats nationaux</w:t>
      </w:r>
      <w:r w:rsidR="005606D9">
        <w:rPr>
          <w:b/>
          <w:i/>
          <w:sz w:val="20"/>
          <w:szCs w:val="20"/>
          <w:lang w:val="fr-CA"/>
        </w:rPr>
        <w:t xml:space="preserve"> </w:t>
      </w:r>
      <w:r w:rsidR="00C13215">
        <w:rPr>
          <w:b/>
          <w:i/>
          <w:sz w:val="20"/>
          <w:szCs w:val="20"/>
          <w:lang w:val="fr-CA"/>
        </w:rPr>
        <w:t>and</w:t>
      </w:r>
      <w:r w:rsidR="00345EEB" w:rsidRPr="00345EEB">
        <w:rPr>
          <w:b/>
          <w:i/>
          <w:sz w:val="20"/>
          <w:szCs w:val="20"/>
          <w:lang w:val="fr-CA"/>
        </w:rPr>
        <w:t xml:space="preserve"> Fédération des travailleurs et travailleuses du Québec</w:t>
      </w:r>
    </w:p>
    <w:p w:rsidR="00345EEB" w:rsidRPr="00345EEB" w:rsidRDefault="00345EEB" w:rsidP="00345EEB">
      <w:pPr>
        <w:pStyle w:val="SCCLsocParty"/>
        <w:ind w:left="1440" w:hanging="1440"/>
        <w:jc w:val="left"/>
        <w:rPr>
          <w:sz w:val="20"/>
          <w:szCs w:val="20"/>
          <w:lang w:val="fr-CA"/>
        </w:rPr>
      </w:pPr>
    </w:p>
    <w:p w:rsidR="00345EEB" w:rsidRPr="00D755BE" w:rsidRDefault="00345EEB" w:rsidP="00345EEB">
      <w:pPr>
        <w:jc w:val="both"/>
        <w:rPr>
          <w:sz w:val="20"/>
          <w:szCs w:val="20"/>
        </w:rPr>
      </w:pPr>
      <w:r w:rsidRPr="00D755BE">
        <w:rPr>
          <w:sz w:val="20"/>
          <w:szCs w:val="20"/>
        </w:rPr>
        <w:t xml:space="preserve">Courts - </w:t>
      </w:r>
      <w:r w:rsidRPr="00D755BE">
        <w:rPr>
          <w:i/>
          <w:sz w:val="20"/>
          <w:szCs w:val="20"/>
        </w:rPr>
        <w:t>Res judicata</w:t>
      </w:r>
      <w:r w:rsidRPr="00D755BE">
        <w:rPr>
          <w:sz w:val="20"/>
          <w:szCs w:val="20"/>
        </w:rPr>
        <w:t xml:space="preserve"> - Final judgment in 2008 concerning use of employment insurance system premiums and surpluses - 2010 legislative amendment having effect of erasing balance in account - Constitutionality of erasing system reserve through accounting procedure challenged - Whether unions’ declaratory action had to be dismissed on ground of </w:t>
      </w:r>
      <w:r w:rsidRPr="00D755BE">
        <w:rPr>
          <w:i/>
          <w:sz w:val="20"/>
          <w:szCs w:val="20"/>
        </w:rPr>
        <w:t>res judicata</w:t>
      </w:r>
      <w:r w:rsidRPr="00D755BE">
        <w:rPr>
          <w:sz w:val="20"/>
          <w:szCs w:val="20"/>
        </w:rPr>
        <w:t xml:space="preserve"> - </w:t>
      </w:r>
      <w:r w:rsidRPr="00D755BE">
        <w:rPr>
          <w:i/>
          <w:sz w:val="20"/>
          <w:szCs w:val="20"/>
        </w:rPr>
        <w:t>Jobs and Economic Growth Act</w:t>
      </w:r>
      <w:r w:rsidRPr="00D755BE">
        <w:rPr>
          <w:sz w:val="20"/>
          <w:szCs w:val="20"/>
        </w:rPr>
        <w:t xml:space="preserve">, S.C. 2010, c. 12, ss. 2195, 2196 - </w:t>
      </w:r>
      <w:r w:rsidRPr="00D755BE">
        <w:rPr>
          <w:i/>
          <w:sz w:val="20"/>
          <w:szCs w:val="20"/>
        </w:rPr>
        <w:t>CSN et al. v. A.G. Canada</w:t>
      </w:r>
      <w:r w:rsidRPr="00D755BE">
        <w:rPr>
          <w:sz w:val="20"/>
          <w:szCs w:val="20"/>
        </w:rPr>
        <w:t>, 2008 SCC 68.</w:t>
      </w:r>
    </w:p>
    <w:p w:rsidR="00345EEB" w:rsidRPr="00D755BE" w:rsidRDefault="00345EEB" w:rsidP="00345EEB">
      <w:pPr>
        <w:jc w:val="both"/>
        <w:rPr>
          <w:sz w:val="20"/>
          <w:szCs w:val="20"/>
        </w:rPr>
      </w:pPr>
    </w:p>
    <w:p w:rsidR="00345EEB" w:rsidRPr="00D755BE" w:rsidRDefault="00345EEB" w:rsidP="00345EEB">
      <w:pPr>
        <w:jc w:val="both"/>
        <w:rPr>
          <w:sz w:val="20"/>
          <w:szCs w:val="20"/>
        </w:rPr>
      </w:pPr>
      <w:r w:rsidRPr="00D755BE">
        <w:rPr>
          <w:sz w:val="20"/>
          <w:szCs w:val="20"/>
        </w:rPr>
        <w:t xml:space="preserve">In 1999, the Syndicat national des employés de l’aluminium d’Arvida and the CSN filed actions seeking to have various provisions of the 1996 </w:t>
      </w:r>
      <w:r w:rsidRPr="00D755BE">
        <w:rPr>
          <w:i/>
          <w:sz w:val="20"/>
          <w:szCs w:val="20"/>
        </w:rPr>
        <w:t>Employment Insurance Act</w:t>
      </w:r>
      <w:r w:rsidRPr="00D755BE">
        <w:rPr>
          <w:sz w:val="20"/>
          <w:szCs w:val="20"/>
        </w:rPr>
        <w:t xml:space="preserve"> declared unconstitutional.  At the time, the accumulated surpluses in the Account, whose use for general purposes was challenged, were estimated at more than $40 billion.  In its 2008 decision in </w:t>
      </w:r>
      <w:r w:rsidRPr="00D755BE">
        <w:rPr>
          <w:i/>
          <w:sz w:val="20"/>
          <w:szCs w:val="20"/>
        </w:rPr>
        <w:t>CSN</w:t>
      </w:r>
      <w:r w:rsidRPr="00D755BE">
        <w:rPr>
          <w:sz w:val="20"/>
          <w:szCs w:val="20"/>
        </w:rPr>
        <w:t xml:space="preserve">, the Court declared the premium-setting mechanism used for 2002, 2003 and 2005 unconstitutional: during those years, premiums ceased to be a regulatory charge without being authorized by Parliament as taxes.  In 2010, the </w:t>
      </w:r>
      <w:r w:rsidRPr="00D755BE">
        <w:rPr>
          <w:i/>
          <w:sz w:val="20"/>
          <w:szCs w:val="20"/>
        </w:rPr>
        <w:t>Jobs and Economic Growth Act</w:t>
      </w:r>
      <w:r w:rsidRPr="00D755BE">
        <w:rPr>
          <w:sz w:val="20"/>
          <w:szCs w:val="20"/>
        </w:rPr>
        <w:t xml:space="preserve"> was passed.  It had the effect, among other things, of closing the Employment Insurance Account retroactive to January 1, 2009 and creating a new account, the Employment Insurance Operating Account, without including therein the balance, which by then was over $57 billion.  The CSN and the FTQ filed an action seeking to have that initiative declared unconstitutional.  According to them, erasing the system reserve through an accounting procedure retroactively eliminated its administrative nature and made it inconsistent with s. 91(2A) of the </w:t>
      </w:r>
      <w:r w:rsidRPr="00D755BE">
        <w:rPr>
          <w:i/>
          <w:sz w:val="20"/>
          <w:szCs w:val="20"/>
        </w:rPr>
        <w:t>Constitution Act, 1867</w:t>
      </w:r>
      <w:r w:rsidRPr="00D755BE">
        <w:rPr>
          <w:sz w:val="20"/>
          <w:szCs w:val="20"/>
        </w:rPr>
        <w:t xml:space="preserve">.  The Attorney General of Canada filed an exception to dismiss, arguing that the question raised by the unions in relation to the 2010 Act had in fact been decided by the Court in its 2008 judgment and that the </w:t>
      </w:r>
      <w:r w:rsidRPr="00D755BE">
        <w:rPr>
          <w:i/>
          <w:sz w:val="20"/>
          <w:szCs w:val="20"/>
        </w:rPr>
        <w:t>stare decisis</w:t>
      </w:r>
      <w:r w:rsidRPr="00D755BE">
        <w:rPr>
          <w:sz w:val="20"/>
          <w:szCs w:val="20"/>
        </w:rPr>
        <w:t xml:space="preserve"> rule applied.  He also relied on </w:t>
      </w:r>
      <w:r w:rsidRPr="00D755BE">
        <w:rPr>
          <w:i/>
          <w:sz w:val="20"/>
          <w:szCs w:val="20"/>
        </w:rPr>
        <w:t>Professional Institute of the Public Service of Canada v. A.G. Canada</w:t>
      </w:r>
      <w:r w:rsidRPr="00D755BE">
        <w:rPr>
          <w:sz w:val="20"/>
          <w:szCs w:val="20"/>
        </w:rPr>
        <w:t>, 2012 SCC 71.</w:t>
      </w:r>
    </w:p>
    <w:p w:rsidR="00345EEB" w:rsidRPr="00D755BE" w:rsidRDefault="00345EEB" w:rsidP="00345EEB">
      <w:pPr>
        <w:widowControl w:val="0"/>
        <w:jc w:val="both"/>
        <w:rPr>
          <w:sz w:val="20"/>
          <w:szCs w:val="20"/>
        </w:rPr>
      </w:pPr>
    </w:p>
    <w:p w:rsidR="00345EEB" w:rsidRPr="00D755BE" w:rsidRDefault="00345EEB" w:rsidP="00345EEB">
      <w:pPr>
        <w:widowControl w:val="0"/>
        <w:jc w:val="both"/>
        <w:rPr>
          <w:sz w:val="20"/>
          <w:szCs w:val="20"/>
        </w:rPr>
      </w:pPr>
    </w:p>
    <w:p w:rsidR="00345EEB" w:rsidRPr="00D755BE" w:rsidRDefault="00345EEB" w:rsidP="00345EEB">
      <w:pPr>
        <w:widowControl w:val="0"/>
        <w:ind w:left="2880" w:hanging="2880"/>
        <w:jc w:val="both"/>
        <w:rPr>
          <w:sz w:val="20"/>
          <w:szCs w:val="20"/>
        </w:rPr>
      </w:pPr>
      <w:r w:rsidRPr="00D755BE">
        <w:rPr>
          <w:sz w:val="20"/>
          <w:szCs w:val="20"/>
        </w:rPr>
        <w:t>Origin of the case:</w:t>
      </w:r>
      <w:r w:rsidRPr="00D755BE">
        <w:rPr>
          <w:sz w:val="20"/>
          <w:szCs w:val="20"/>
        </w:rPr>
        <w:tab/>
        <w:t>Quebec</w:t>
      </w:r>
    </w:p>
    <w:p w:rsidR="00345EEB" w:rsidRPr="00D755BE" w:rsidRDefault="00345EEB" w:rsidP="00345EEB">
      <w:pPr>
        <w:widowControl w:val="0"/>
        <w:ind w:left="2880" w:hanging="2880"/>
        <w:jc w:val="both"/>
        <w:rPr>
          <w:sz w:val="20"/>
          <w:szCs w:val="20"/>
        </w:rPr>
      </w:pPr>
    </w:p>
    <w:p w:rsidR="00345EEB" w:rsidRPr="00D755BE" w:rsidRDefault="00345EEB" w:rsidP="00345EEB">
      <w:pPr>
        <w:widowControl w:val="0"/>
        <w:ind w:left="2880" w:hanging="2880"/>
        <w:jc w:val="both"/>
        <w:rPr>
          <w:sz w:val="20"/>
          <w:szCs w:val="20"/>
        </w:rPr>
      </w:pPr>
      <w:r w:rsidRPr="00D755BE">
        <w:rPr>
          <w:sz w:val="20"/>
          <w:szCs w:val="20"/>
        </w:rPr>
        <w:t>File No.:</w:t>
      </w:r>
      <w:r w:rsidRPr="00D755BE">
        <w:rPr>
          <w:sz w:val="20"/>
          <w:szCs w:val="20"/>
        </w:rPr>
        <w:tab/>
        <w:t>35124</w:t>
      </w:r>
    </w:p>
    <w:p w:rsidR="00345EEB" w:rsidRPr="00D755BE" w:rsidRDefault="00345EEB" w:rsidP="00345EEB">
      <w:pPr>
        <w:widowControl w:val="0"/>
        <w:ind w:left="2880" w:hanging="2880"/>
        <w:jc w:val="both"/>
        <w:rPr>
          <w:sz w:val="20"/>
          <w:szCs w:val="20"/>
        </w:rPr>
      </w:pPr>
    </w:p>
    <w:p w:rsidR="00345EEB" w:rsidRPr="00D755BE" w:rsidRDefault="00345EEB" w:rsidP="00345EEB">
      <w:pPr>
        <w:widowControl w:val="0"/>
        <w:ind w:left="2880" w:hanging="2880"/>
        <w:jc w:val="both"/>
        <w:rPr>
          <w:sz w:val="20"/>
          <w:szCs w:val="20"/>
        </w:rPr>
      </w:pPr>
      <w:r w:rsidRPr="00D755BE">
        <w:rPr>
          <w:sz w:val="20"/>
          <w:szCs w:val="20"/>
        </w:rPr>
        <w:t>Judgment of the Court of Appeal:</w:t>
      </w:r>
      <w:r w:rsidRPr="00D755BE">
        <w:rPr>
          <w:sz w:val="20"/>
          <w:szCs w:val="20"/>
        </w:rPr>
        <w:tab/>
        <w:t>October 10, 2012</w:t>
      </w:r>
    </w:p>
    <w:p w:rsidR="00345EEB" w:rsidRPr="00D755BE" w:rsidRDefault="00345EEB" w:rsidP="00345EEB">
      <w:pPr>
        <w:widowControl w:val="0"/>
        <w:ind w:left="2880" w:hanging="2880"/>
        <w:jc w:val="both"/>
        <w:rPr>
          <w:sz w:val="20"/>
          <w:szCs w:val="20"/>
        </w:rPr>
      </w:pPr>
    </w:p>
    <w:p w:rsidR="00345EEB" w:rsidRPr="00675C9C" w:rsidRDefault="00345EEB" w:rsidP="00345EEB">
      <w:pPr>
        <w:widowControl w:val="0"/>
        <w:ind w:left="2880" w:hanging="2880"/>
        <w:jc w:val="both"/>
        <w:rPr>
          <w:sz w:val="20"/>
          <w:szCs w:val="20"/>
          <w:lang w:val="fr-CA"/>
        </w:rPr>
      </w:pPr>
      <w:r w:rsidRPr="00675C9C">
        <w:rPr>
          <w:sz w:val="20"/>
          <w:szCs w:val="20"/>
          <w:lang w:val="fr-CA"/>
        </w:rPr>
        <w:t>Counsel:</w:t>
      </w:r>
      <w:r w:rsidRPr="00675C9C">
        <w:rPr>
          <w:sz w:val="20"/>
          <w:szCs w:val="20"/>
          <w:lang w:val="fr-CA"/>
        </w:rPr>
        <w:tab/>
        <w:t>René LeBlanc for the appellant</w:t>
      </w:r>
    </w:p>
    <w:p w:rsidR="00345EEB" w:rsidRPr="008F1432" w:rsidRDefault="00345EEB" w:rsidP="00345EEB">
      <w:pPr>
        <w:widowControl w:val="0"/>
        <w:ind w:left="2880" w:hanging="2880"/>
        <w:jc w:val="both"/>
        <w:rPr>
          <w:sz w:val="20"/>
          <w:szCs w:val="20"/>
          <w:lang w:val="fr-CA"/>
        </w:rPr>
      </w:pPr>
      <w:r w:rsidRPr="00675C9C">
        <w:rPr>
          <w:sz w:val="20"/>
          <w:szCs w:val="20"/>
          <w:lang w:val="fr-CA"/>
        </w:rPr>
        <w:tab/>
      </w:r>
      <w:r w:rsidR="00D86456" w:rsidRPr="008F1432">
        <w:rPr>
          <w:sz w:val="20"/>
          <w:szCs w:val="20"/>
          <w:lang w:val="fr-CA"/>
        </w:rPr>
        <w:t>Guy</w:t>
      </w:r>
      <w:r w:rsidRPr="008F1432">
        <w:rPr>
          <w:sz w:val="20"/>
          <w:szCs w:val="20"/>
          <w:lang w:val="fr-CA"/>
        </w:rPr>
        <w:t xml:space="preserve"> Martin for the respondent </w:t>
      </w:r>
      <w:r w:rsidR="008F1432" w:rsidRPr="005450DD">
        <w:rPr>
          <w:sz w:val="20"/>
          <w:szCs w:val="20"/>
          <w:lang w:val="fr-CA"/>
        </w:rPr>
        <w:t>C</w:t>
      </w:r>
      <w:r w:rsidR="008F1432">
        <w:rPr>
          <w:sz w:val="20"/>
          <w:szCs w:val="20"/>
          <w:lang w:val="fr-CA"/>
        </w:rPr>
        <w:t>onfédération des syndicats nationaux</w:t>
      </w:r>
    </w:p>
    <w:p w:rsidR="00345EEB" w:rsidRPr="008F1432" w:rsidRDefault="00345EEB" w:rsidP="00345EEB">
      <w:pPr>
        <w:widowControl w:val="0"/>
        <w:ind w:left="2880" w:hanging="2880"/>
        <w:jc w:val="both"/>
        <w:rPr>
          <w:sz w:val="20"/>
          <w:szCs w:val="20"/>
          <w:lang w:val="fr-CA"/>
        </w:rPr>
      </w:pPr>
      <w:r w:rsidRPr="008F1432">
        <w:rPr>
          <w:sz w:val="20"/>
          <w:szCs w:val="20"/>
          <w:lang w:val="fr-CA"/>
        </w:rPr>
        <w:tab/>
      </w:r>
      <w:r w:rsidR="00D86456" w:rsidRPr="008F1432">
        <w:rPr>
          <w:sz w:val="20"/>
          <w:szCs w:val="20"/>
          <w:lang w:val="fr-CA"/>
        </w:rPr>
        <w:t xml:space="preserve">Jean-Guy </w:t>
      </w:r>
      <w:r w:rsidRPr="008F1432">
        <w:rPr>
          <w:sz w:val="20"/>
          <w:szCs w:val="20"/>
          <w:lang w:val="fr-CA"/>
        </w:rPr>
        <w:t xml:space="preserve">Ouellet for the respondent </w:t>
      </w:r>
      <w:r w:rsidR="008F1432" w:rsidRPr="005450DD">
        <w:rPr>
          <w:sz w:val="20"/>
          <w:szCs w:val="20"/>
          <w:lang w:val="fr-CA"/>
        </w:rPr>
        <w:t>F</w:t>
      </w:r>
      <w:r w:rsidR="008F1432">
        <w:rPr>
          <w:sz w:val="20"/>
          <w:szCs w:val="20"/>
          <w:lang w:val="fr-CA"/>
        </w:rPr>
        <w:t xml:space="preserve">édération des travailleurs et travailleuses du </w:t>
      </w:r>
      <w:r w:rsidR="008F1432" w:rsidRPr="005450DD">
        <w:rPr>
          <w:sz w:val="20"/>
          <w:szCs w:val="20"/>
          <w:lang w:val="fr-CA"/>
        </w:rPr>
        <w:t>Q</w:t>
      </w:r>
      <w:r w:rsidR="008F1432">
        <w:rPr>
          <w:sz w:val="20"/>
          <w:szCs w:val="20"/>
          <w:lang w:val="fr-CA"/>
        </w:rPr>
        <w:t>uébec</w:t>
      </w:r>
    </w:p>
    <w:p w:rsidR="00345EEB" w:rsidRPr="008F1432" w:rsidRDefault="00345EEB" w:rsidP="00345EEB">
      <w:pPr>
        <w:widowControl w:val="0"/>
        <w:jc w:val="both"/>
        <w:rPr>
          <w:sz w:val="20"/>
          <w:szCs w:val="20"/>
          <w:lang w:val="fr-CA"/>
        </w:rPr>
      </w:pPr>
    </w:p>
    <w:p w:rsidR="003B41C6" w:rsidRDefault="00A47393" w:rsidP="003B41C6">
      <w:pPr>
        <w:tabs>
          <w:tab w:val="left" w:pos="-1440"/>
          <w:tab w:val="left" w:pos="-720"/>
        </w:tabs>
        <w:jc w:val="both"/>
        <w:rPr>
          <w:sz w:val="20"/>
          <w:szCs w:val="20"/>
          <w:lang w:val="fr-CA"/>
        </w:rPr>
      </w:pPr>
      <w:r>
        <w:rPr>
          <w:sz w:val="20"/>
          <w:szCs w:val="20"/>
          <w:lang w:val="fr-CA"/>
        </w:rPr>
        <w:pict>
          <v:rect id="_x0000_i1059" style="width:2in;height:1pt" o:hrpct="0" o:hralign="center" o:hrstd="t" o:hrnoshade="t" o:hr="t" fillcolor="black [3213]" stroked="f"/>
        </w:pict>
      </w:r>
    </w:p>
    <w:p w:rsidR="003B41C6" w:rsidRDefault="003B41C6" w:rsidP="003B41C6">
      <w:pPr>
        <w:tabs>
          <w:tab w:val="left" w:pos="-1440"/>
          <w:tab w:val="left" w:pos="-720"/>
        </w:tabs>
        <w:jc w:val="both"/>
        <w:rPr>
          <w:sz w:val="20"/>
          <w:szCs w:val="20"/>
          <w:lang w:val="fr-CA"/>
        </w:rPr>
      </w:pPr>
    </w:p>
    <w:p w:rsidR="003B41C6" w:rsidRDefault="003B41C6">
      <w:pPr>
        <w:rPr>
          <w:sz w:val="20"/>
          <w:szCs w:val="20"/>
          <w:lang w:val="fr-CA"/>
        </w:rPr>
      </w:pPr>
    </w:p>
    <w:p w:rsidR="003B41C6" w:rsidRDefault="003B41C6">
      <w:pPr>
        <w:rPr>
          <w:sz w:val="20"/>
          <w:szCs w:val="20"/>
          <w:lang w:val="fr-CA"/>
        </w:rPr>
      </w:pPr>
      <w:r>
        <w:rPr>
          <w:sz w:val="20"/>
          <w:szCs w:val="20"/>
          <w:lang w:val="fr-CA"/>
        </w:rPr>
        <w:br w:type="page"/>
      </w:r>
    </w:p>
    <w:p w:rsidR="006434C2" w:rsidRPr="006434C2" w:rsidRDefault="001C5DB7" w:rsidP="00345EEB">
      <w:pPr>
        <w:pStyle w:val="SCCLsocParty"/>
        <w:ind w:left="720" w:hanging="720"/>
        <w:jc w:val="both"/>
        <w:rPr>
          <w:b/>
          <w:i/>
          <w:sz w:val="20"/>
          <w:szCs w:val="20"/>
          <w:lang w:val="fr-CA"/>
        </w:rPr>
      </w:pPr>
      <w:r w:rsidRPr="005450DD">
        <w:rPr>
          <w:b/>
          <w:sz w:val="20"/>
          <w:szCs w:val="20"/>
        </w:rPr>
        <w:lastRenderedPageBreak/>
        <w:fldChar w:fldCharType="begin"/>
      </w:r>
      <w:r w:rsidR="006434C2" w:rsidRPr="006434C2">
        <w:rPr>
          <w:b/>
          <w:sz w:val="20"/>
          <w:szCs w:val="20"/>
          <w:lang w:val="fr-CA"/>
        </w:rPr>
        <w:instrText xml:space="preserve"> SEQ CHAPTER \h \r 1</w:instrText>
      </w:r>
      <w:r w:rsidRPr="005450DD">
        <w:rPr>
          <w:b/>
          <w:sz w:val="20"/>
          <w:szCs w:val="20"/>
        </w:rPr>
        <w:fldChar w:fldCharType="end"/>
      </w:r>
      <w:r w:rsidR="006434C2" w:rsidRPr="006434C2">
        <w:rPr>
          <w:b/>
          <w:sz w:val="20"/>
          <w:szCs w:val="20"/>
          <w:lang w:val="fr-CA"/>
        </w:rPr>
        <w:t>35124</w:t>
      </w:r>
      <w:r w:rsidR="006434C2" w:rsidRPr="006434C2">
        <w:rPr>
          <w:b/>
          <w:sz w:val="20"/>
          <w:szCs w:val="20"/>
          <w:lang w:val="fr-CA"/>
        </w:rPr>
        <w:tab/>
      </w:r>
      <w:r w:rsidR="006434C2" w:rsidRPr="006434C2">
        <w:rPr>
          <w:b/>
          <w:i/>
          <w:sz w:val="20"/>
          <w:szCs w:val="20"/>
          <w:lang w:val="fr-CA"/>
        </w:rPr>
        <w:t>Procureur général du Canada c. Confédération des syndicats nationaux</w:t>
      </w:r>
      <w:r w:rsidR="00C13215">
        <w:rPr>
          <w:b/>
          <w:i/>
          <w:sz w:val="20"/>
          <w:szCs w:val="20"/>
          <w:lang w:val="fr-CA"/>
        </w:rPr>
        <w:t xml:space="preserve"> et</w:t>
      </w:r>
      <w:r w:rsidR="006434C2" w:rsidRPr="006434C2">
        <w:rPr>
          <w:b/>
          <w:i/>
          <w:sz w:val="20"/>
          <w:szCs w:val="20"/>
          <w:lang w:val="fr-CA"/>
        </w:rPr>
        <w:t xml:space="preserve"> Fédération des travailleurs et travailleuses du Québec</w:t>
      </w:r>
    </w:p>
    <w:p w:rsidR="006434C2" w:rsidRPr="006434C2" w:rsidRDefault="006434C2" w:rsidP="006434C2">
      <w:pPr>
        <w:pStyle w:val="SCCLsocParty"/>
        <w:ind w:left="1440" w:hanging="1440"/>
        <w:jc w:val="left"/>
        <w:rPr>
          <w:sz w:val="20"/>
          <w:szCs w:val="20"/>
          <w:lang w:val="fr-CA"/>
        </w:rPr>
      </w:pPr>
    </w:p>
    <w:p w:rsidR="006434C2" w:rsidRPr="005450DD" w:rsidRDefault="006434C2" w:rsidP="006434C2">
      <w:pPr>
        <w:jc w:val="both"/>
        <w:rPr>
          <w:sz w:val="20"/>
          <w:szCs w:val="20"/>
          <w:lang w:val="fr-CA"/>
        </w:rPr>
      </w:pPr>
      <w:r w:rsidRPr="005450DD">
        <w:rPr>
          <w:sz w:val="20"/>
          <w:szCs w:val="20"/>
          <w:lang w:val="fr-CA"/>
        </w:rPr>
        <w:t xml:space="preserve">Tribunaux - Chose jugée - Jugement final de 2008 sur l’utilisation des cotisations et surplus du régime d’assurance-emploi - Modification législative de 2010 à l’effet d’effacer le solde créditeur du compte - Contestation de la constitutionnalité de l’effacement comptable de la réserve du régime - L’action déclaratoire des syndicats est-elle irrecevable au motif de chose jugée? - </w:t>
      </w:r>
      <w:r w:rsidRPr="005450DD">
        <w:rPr>
          <w:i/>
          <w:sz w:val="20"/>
          <w:szCs w:val="20"/>
          <w:lang w:val="fr-CA"/>
        </w:rPr>
        <w:t>Loi sur l’emploi et la croissance économique</w:t>
      </w:r>
      <w:r w:rsidRPr="005450DD">
        <w:rPr>
          <w:sz w:val="20"/>
          <w:szCs w:val="20"/>
          <w:lang w:val="fr-CA"/>
        </w:rPr>
        <w:t xml:space="preserve">, L.C. 2010, ch. 12, art. 2195, 2196 - </w:t>
      </w:r>
      <w:r w:rsidRPr="005450DD">
        <w:rPr>
          <w:i/>
          <w:sz w:val="20"/>
          <w:szCs w:val="20"/>
          <w:lang w:val="fr-CA"/>
        </w:rPr>
        <w:t>CSN et al. c. P. g. Canada</w:t>
      </w:r>
      <w:r w:rsidRPr="005450DD">
        <w:rPr>
          <w:sz w:val="20"/>
          <w:szCs w:val="20"/>
          <w:lang w:val="fr-CA"/>
        </w:rPr>
        <w:t>, 2008 CSC 68.</w:t>
      </w:r>
    </w:p>
    <w:p w:rsidR="006434C2" w:rsidRPr="005450DD" w:rsidRDefault="006434C2" w:rsidP="006434C2">
      <w:pPr>
        <w:jc w:val="both"/>
        <w:rPr>
          <w:sz w:val="20"/>
          <w:szCs w:val="20"/>
          <w:lang w:val="fr-CA"/>
        </w:rPr>
      </w:pPr>
    </w:p>
    <w:p w:rsidR="006434C2" w:rsidRPr="005450DD" w:rsidRDefault="006434C2" w:rsidP="006434C2">
      <w:pPr>
        <w:jc w:val="both"/>
        <w:rPr>
          <w:sz w:val="20"/>
          <w:szCs w:val="20"/>
          <w:lang w:val="fr-CA"/>
        </w:rPr>
      </w:pPr>
      <w:r w:rsidRPr="005450DD">
        <w:rPr>
          <w:sz w:val="20"/>
          <w:szCs w:val="20"/>
          <w:lang w:val="fr-CA"/>
        </w:rPr>
        <w:t xml:space="preserve">En 1999, le Syndicat national des employés de l’aluminium d’Arvida et la CSN déposent des recours visant à faire déclarer inconstitutionnelles diverses dispositions de la </w:t>
      </w:r>
      <w:r w:rsidRPr="005450DD">
        <w:rPr>
          <w:i/>
          <w:sz w:val="20"/>
          <w:szCs w:val="20"/>
          <w:lang w:val="fr-CA"/>
        </w:rPr>
        <w:t>Loi sur l’assurance-emploi</w:t>
      </w:r>
      <w:r w:rsidRPr="005450DD">
        <w:rPr>
          <w:sz w:val="20"/>
          <w:szCs w:val="20"/>
          <w:lang w:val="fr-CA"/>
        </w:rPr>
        <w:t xml:space="preserve"> de 1996.  Les surplus accumulés au Compte, dont l’utilisation à des fins générales est contestée, sont alors évalués à plus de 40 milliards de dollars.  Dans l’arrêt </w:t>
      </w:r>
      <w:r w:rsidRPr="005450DD">
        <w:rPr>
          <w:i/>
          <w:sz w:val="20"/>
          <w:szCs w:val="20"/>
          <w:lang w:val="fr-CA"/>
        </w:rPr>
        <w:t>CSN</w:t>
      </w:r>
      <w:r w:rsidRPr="005450DD">
        <w:rPr>
          <w:sz w:val="20"/>
          <w:szCs w:val="20"/>
          <w:lang w:val="fr-CA"/>
        </w:rPr>
        <w:t xml:space="preserve"> de 2008, la Cour déclare inconstitutionnel le mécanisme de cotisation utilisé pour les années 2002, 2003 et 2005 : au cours de ces années, les cotisations ont perdu leur caractère de prélèvement réglementaire sans pour autant être autorisées par le Parlement en tant que taxes.  En 2010, la </w:t>
      </w:r>
      <w:r w:rsidRPr="005450DD">
        <w:rPr>
          <w:i/>
          <w:sz w:val="20"/>
          <w:szCs w:val="20"/>
          <w:lang w:val="fr-CA"/>
        </w:rPr>
        <w:t>Loi sur l’emploi et la croissance économique</w:t>
      </w:r>
      <w:r w:rsidRPr="005450DD">
        <w:rPr>
          <w:sz w:val="20"/>
          <w:szCs w:val="20"/>
          <w:lang w:val="fr-CA"/>
        </w:rPr>
        <w:t xml:space="preserve"> est adoptée.  Elle a notamment pour effet de fermer le Compte d’assurance-emploi rétroactivement au 1er janvier 2009 et de créer un nouveau compte, le Compte des opérations de l’assurance-emploi, sans que le solde créditeur, qui s’élève désormais à plus de 57 milliards de dollars, n’y soit inscrit.  La CSN et la FTQ déposent un recours pour faire déclarer cette initiative inconstitutionnelle.  Selon elles, l’effacement comptable de la réserve du régime abolit rétroactivement son caractère administratif et le rend incompatible avec l’art. 91(2 A) de la </w:t>
      </w:r>
      <w:r w:rsidRPr="005450DD">
        <w:rPr>
          <w:i/>
          <w:sz w:val="20"/>
          <w:szCs w:val="20"/>
          <w:lang w:val="fr-CA"/>
        </w:rPr>
        <w:t>Loi constitutionnelle de 1867</w:t>
      </w:r>
      <w:r w:rsidRPr="005450DD">
        <w:rPr>
          <w:sz w:val="20"/>
          <w:szCs w:val="20"/>
          <w:lang w:val="fr-CA"/>
        </w:rPr>
        <w:t xml:space="preserve">.  Le procureur général du Canada présente un moyen d’irrecevabilité.  Il soutient que la question soulevée par les syndicats en marge de la loi de 2010 se trouve en réalité tranchée par la Cour dans son jugement de 2008 et que la règle du </w:t>
      </w:r>
      <w:r w:rsidRPr="005450DD">
        <w:rPr>
          <w:i/>
          <w:sz w:val="20"/>
          <w:szCs w:val="20"/>
          <w:lang w:val="fr-CA"/>
        </w:rPr>
        <w:t>stare decisis</w:t>
      </w:r>
      <w:r w:rsidRPr="005450DD">
        <w:rPr>
          <w:sz w:val="20"/>
          <w:szCs w:val="20"/>
          <w:lang w:val="fr-CA"/>
        </w:rPr>
        <w:t xml:space="preserve"> s’applique.  Il invoque également  l’arrêt </w:t>
      </w:r>
      <w:r w:rsidRPr="005450DD">
        <w:rPr>
          <w:i/>
          <w:sz w:val="20"/>
          <w:szCs w:val="20"/>
          <w:lang w:val="fr-CA"/>
        </w:rPr>
        <w:t>Institut professionnel de la fonction publique du Canada c. P. g. Canada</w:t>
      </w:r>
      <w:r w:rsidRPr="005450DD">
        <w:rPr>
          <w:sz w:val="20"/>
          <w:szCs w:val="20"/>
          <w:lang w:val="fr-CA"/>
        </w:rPr>
        <w:t>, 2012 CSC 71.</w:t>
      </w:r>
    </w:p>
    <w:p w:rsidR="006434C2" w:rsidRPr="005450DD" w:rsidRDefault="006434C2" w:rsidP="006434C2">
      <w:pPr>
        <w:widowControl w:val="0"/>
        <w:jc w:val="both"/>
        <w:rPr>
          <w:sz w:val="20"/>
          <w:szCs w:val="20"/>
          <w:lang w:val="fr-CA"/>
        </w:rPr>
      </w:pPr>
    </w:p>
    <w:p w:rsidR="006434C2" w:rsidRPr="005450DD" w:rsidRDefault="006434C2" w:rsidP="00345EEB">
      <w:pPr>
        <w:widowControl w:val="0"/>
        <w:ind w:left="2880" w:hanging="2880"/>
        <w:jc w:val="both"/>
        <w:rPr>
          <w:sz w:val="20"/>
          <w:szCs w:val="20"/>
          <w:lang w:val="fr-CA"/>
        </w:rPr>
      </w:pPr>
    </w:p>
    <w:p w:rsidR="006434C2" w:rsidRPr="005450DD" w:rsidRDefault="006434C2" w:rsidP="00345EEB">
      <w:pPr>
        <w:widowControl w:val="0"/>
        <w:ind w:left="2880" w:hanging="2880"/>
        <w:jc w:val="both"/>
        <w:rPr>
          <w:sz w:val="20"/>
          <w:szCs w:val="20"/>
          <w:lang w:val="fr-CA"/>
        </w:rPr>
      </w:pPr>
      <w:r w:rsidRPr="005450DD">
        <w:rPr>
          <w:sz w:val="20"/>
          <w:szCs w:val="20"/>
          <w:lang w:val="fr-CA"/>
        </w:rPr>
        <w:t>Origine:</w:t>
      </w:r>
      <w:r w:rsidRPr="005450DD">
        <w:rPr>
          <w:sz w:val="20"/>
          <w:szCs w:val="20"/>
          <w:lang w:val="fr-CA"/>
        </w:rPr>
        <w:tab/>
        <w:t>Québec</w:t>
      </w:r>
    </w:p>
    <w:p w:rsidR="006434C2" w:rsidRPr="005450DD" w:rsidRDefault="006434C2" w:rsidP="00345EEB">
      <w:pPr>
        <w:widowControl w:val="0"/>
        <w:ind w:left="2880" w:hanging="2880"/>
        <w:jc w:val="both"/>
        <w:rPr>
          <w:sz w:val="20"/>
          <w:szCs w:val="20"/>
          <w:lang w:val="fr-CA"/>
        </w:rPr>
      </w:pPr>
    </w:p>
    <w:p w:rsidR="006434C2" w:rsidRPr="005450DD" w:rsidRDefault="006434C2" w:rsidP="00345EEB">
      <w:pPr>
        <w:widowControl w:val="0"/>
        <w:ind w:left="2880" w:hanging="2880"/>
        <w:jc w:val="both"/>
        <w:rPr>
          <w:sz w:val="20"/>
          <w:szCs w:val="20"/>
          <w:lang w:val="fr-CA"/>
        </w:rPr>
      </w:pPr>
      <w:r w:rsidRPr="005450DD">
        <w:rPr>
          <w:sz w:val="20"/>
          <w:szCs w:val="20"/>
          <w:lang w:val="fr-CA"/>
        </w:rPr>
        <w:t>N</w:t>
      </w:r>
      <w:r w:rsidRPr="005450DD">
        <w:rPr>
          <w:sz w:val="20"/>
          <w:szCs w:val="20"/>
          <w:vertAlign w:val="superscript"/>
          <w:lang w:val="fr-CA"/>
        </w:rPr>
        <w:t>o</w:t>
      </w:r>
      <w:r w:rsidRPr="005450DD">
        <w:rPr>
          <w:sz w:val="20"/>
          <w:szCs w:val="20"/>
          <w:lang w:val="fr-CA"/>
        </w:rPr>
        <w:t xml:space="preserve"> du greffe:</w:t>
      </w:r>
      <w:r w:rsidRPr="005450DD">
        <w:rPr>
          <w:sz w:val="20"/>
          <w:szCs w:val="20"/>
          <w:lang w:val="fr-CA"/>
        </w:rPr>
        <w:tab/>
        <w:t>35124</w:t>
      </w:r>
    </w:p>
    <w:p w:rsidR="006434C2" w:rsidRPr="005450DD" w:rsidRDefault="006434C2" w:rsidP="00345EEB">
      <w:pPr>
        <w:widowControl w:val="0"/>
        <w:ind w:left="2880" w:hanging="2880"/>
        <w:jc w:val="both"/>
        <w:rPr>
          <w:sz w:val="20"/>
          <w:szCs w:val="20"/>
          <w:lang w:val="fr-CA"/>
        </w:rPr>
      </w:pPr>
    </w:p>
    <w:p w:rsidR="006434C2" w:rsidRPr="005450DD" w:rsidRDefault="006434C2" w:rsidP="00345EEB">
      <w:pPr>
        <w:widowControl w:val="0"/>
        <w:ind w:left="2880" w:hanging="2880"/>
        <w:jc w:val="both"/>
        <w:rPr>
          <w:sz w:val="20"/>
          <w:szCs w:val="20"/>
          <w:lang w:val="fr-CA"/>
        </w:rPr>
      </w:pPr>
      <w:r w:rsidRPr="005450DD">
        <w:rPr>
          <w:sz w:val="20"/>
          <w:szCs w:val="20"/>
          <w:lang w:val="fr-CA"/>
        </w:rPr>
        <w:t>Arrêt de la Cour d’appel:</w:t>
      </w:r>
      <w:r w:rsidRPr="005450DD">
        <w:rPr>
          <w:sz w:val="20"/>
          <w:szCs w:val="20"/>
          <w:lang w:val="fr-CA"/>
        </w:rPr>
        <w:tab/>
        <w:t>Le 10 octobre 2012</w:t>
      </w:r>
    </w:p>
    <w:p w:rsidR="006434C2" w:rsidRPr="005450DD" w:rsidRDefault="006434C2" w:rsidP="00345EEB">
      <w:pPr>
        <w:widowControl w:val="0"/>
        <w:ind w:left="2880" w:hanging="2880"/>
        <w:jc w:val="both"/>
        <w:rPr>
          <w:sz w:val="20"/>
          <w:szCs w:val="20"/>
          <w:lang w:val="fr-CA"/>
        </w:rPr>
      </w:pPr>
    </w:p>
    <w:p w:rsidR="006434C2" w:rsidRPr="005450DD" w:rsidRDefault="006434C2" w:rsidP="00345EEB">
      <w:pPr>
        <w:widowControl w:val="0"/>
        <w:ind w:left="2880" w:hanging="2880"/>
        <w:jc w:val="both"/>
        <w:rPr>
          <w:sz w:val="20"/>
          <w:szCs w:val="20"/>
          <w:lang w:val="fr-CA"/>
        </w:rPr>
      </w:pPr>
      <w:r w:rsidRPr="005450DD">
        <w:rPr>
          <w:sz w:val="20"/>
          <w:szCs w:val="20"/>
          <w:lang w:val="fr-CA"/>
        </w:rPr>
        <w:t>Avocats:</w:t>
      </w:r>
      <w:r w:rsidRPr="005450DD">
        <w:rPr>
          <w:sz w:val="20"/>
          <w:szCs w:val="20"/>
          <w:lang w:val="fr-CA"/>
        </w:rPr>
        <w:tab/>
        <w:t>René LeBlanc pour l’appelant</w:t>
      </w:r>
    </w:p>
    <w:p w:rsidR="006434C2" w:rsidRPr="005450DD" w:rsidRDefault="006434C2" w:rsidP="00345EEB">
      <w:pPr>
        <w:widowControl w:val="0"/>
        <w:ind w:left="2880" w:hanging="2880"/>
        <w:jc w:val="both"/>
        <w:rPr>
          <w:sz w:val="20"/>
          <w:szCs w:val="20"/>
          <w:lang w:val="fr-CA"/>
        </w:rPr>
      </w:pPr>
      <w:r w:rsidRPr="005450DD">
        <w:rPr>
          <w:sz w:val="20"/>
          <w:szCs w:val="20"/>
          <w:lang w:val="fr-CA"/>
        </w:rPr>
        <w:tab/>
      </w:r>
      <w:r w:rsidR="00D86456">
        <w:rPr>
          <w:sz w:val="20"/>
          <w:szCs w:val="20"/>
          <w:lang w:val="fr-CA"/>
        </w:rPr>
        <w:t xml:space="preserve">Guy </w:t>
      </w:r>
      <w:r w:rsidRPr="005450DD">
        <w:rPr>
          <w:sz w:val="20"/>
          <w:szCs w:val="20"/>
          <w:lang w:val="fr-CA"/>
        </w:rPr>
        <w:t>Laroche pour l’intimée C</w:t>
      </w:r>
      <w:r w:rsidR="008F1432">
        <w:rPr>
          <w:sz w:val="20"/>
          <w:szCs w:val="20"/>
          <w:lang w:val="fr-CA"/>
        </w:rPr>
        <w:t>onfédération des syndicats nationaux</w:t>
      </w:r>
    </w:p>
    <w:p w:rsidR="006434C2" w:rsidRPr="005450DD" w:rsidRDefault="006434C2" w:rsidP="00345EEB">
      <w:pPr>
        <w:widowControl w:val="0"/>
        <w:ind w:left="2880" w:hanging="2880"/>
        <w:jc w:val="both"/>
        <w:rPr>
          <w:sz w:val="20"/>
          <w:szCs w:val="20"/>
          <w:lang w:val="fr-CA"/>
        </w:rPr>
      </w:pPr>
      <w:r w:rsidRPr="005450DD">
        <w:rPr>
          <w:sz w:val="20"/>
          <w:szCs w:val="20"/>
          <w:lang w:val="fr-CA"/>
        </w:rPr>
        <w:tab/>
      </w:r>
      <w:r w:rsidR="00D86456">
        <w:rPr>
          <w:sz w:val="20"/>
          <w:szCs w:val="20"/>
          <w:lang w:val="fr-CA"/>
        </w:rPr>
        <w:t xml:space="preserve">Jean-Guy </w:t>
      </w:r>
      <w:r w:rsidRPr="005450DD">
        <w:rPr>
          <w:sz w:val="20"/>
          <w:szCs w:val="20"/>
          <w:lang w:val="fr-CA"/>
        </w:rPr>
        <w:t>Ouellet pour l’intimée F</w:t>
      </w:r>
      <w:r w:rsidR="008F1432">
        <w:rPr>
          <w:sz w:val="20"/>
          <w:szCs w:val="20"/>
          <w:lang w:val="fr-CA"/>
        </w:rPr>
        <w:t xml:space="preserve">édération des travailleurs et travailleuses du </w:t>
      </w:r>
      <w:r w:rsidRPr="005450DD">
        <w:rPr>
          <w:sz w:val="20"/>
          <w:szCs w:val="20"/>
          <w:lang w:val="fr-CA"/>
        </w:rPr>
        <w:t>Q</w:t>
      </w:r>
      <w:r w:rsidR="008F1432">
        <w:rPr>
          <w:sz w:val="20"/>
          <w:szCs w:val="20"/>
          <w:lang w:val="fr-CA"/>
        </w:rPr>
        <w:t>uébec</w:t>
      </w:r>
    </w:p>
    <w:p w:rsidR="006434C2" w:rsidRPr="005450DD" w:rsidRDefault="006434C2" w:rsidP="006434C2">
      <w:pPr>
        <w:widowControl w:val="0"/>
        <w:jc w:val="both"/>
        <w:rPr>
          <w:sz w:val="20"/>
          <w:szCs w:val="20"/>
          <w:lang w:val="fr-CA"/>
        </w:rPr>
      </w:pPr>
    </w:p>
    <w:p w:rsidR="003B41C6" w:rsidRDefault="00A47393" w:rsidP="003B41C6">
      <w:pPr>
        <w:tabs>
          <w:tab w:val="left" w:pos="-1440"/>
          <w:tab w:val="left" w:pos="-720"/>
        </w:tabs>
        <w:jc w:val="both"/>
        <w:rPr>
          <w:sz w:val="20"/>
          <w:szCs w:val="20"/>
          <w:lang w:val="fr-CA"/>
        </w:rPr>
      </w:pPr>
      <w:r>
        <w:rPr>
          <w:sz w:val="20"/>
          <w:szCs w:val="20"/>
          <w:lang w:val="fr-CA"/>
        </w:rPr>
        <w:pict>
          <v:rect id="_x0000_i1060" style="width:2in;height:1pt" o:hrpct="0" o:hralign="center" o:hrstd="t" o:hrnoshade="t" o:hr="t" fillcolor="black [3213]" stroked="f"/>
        </w:pict>
      </w:r>
    </w:p>
    <w:p w:rsidR="003B41C6" w:rsidRDefault="003B41C6" w:rsidP="003B41C6">
      <w:pPr>
        <w:tabs>
          <w:tab w:val="left" w:pos="-1440"/>
          <w:tab w:val="left" w:pos="-720"/>
        </w:tabs>
        <w:jc w:val="both"/>
        <w:rPr>
          <w:sz w:val="20"/>
          <w:szCs w:val="20"/>
          <w:lang w:val="fr-CA"/>
        </w:rPr>
      </w:pPr>
    </w:p>
    <w:p w:rsidR="00F164B3" w:rsidRDefault="00F164B3">
      <w:pPr>
        <w:rPr>
          <w:sz w:val="20"/>
          <w:szCs w:val="20"/>
          <w:lang w:val="fr-CA"/>
        </w:rPr>
      </w:pPr>
    </w:p>
    <w:p w:rsidR="00F164B3" w:rsidRDefault="00F164B3">
      <w:pPr>
        <w:rPr>
          <w:sz w:val="20"/>
          <w:szCs w:val="20"/>
          <w:lang w:val="fr-CA"/>
        </w:rPr>
      </w:pPr>
      <w:r>
        <w:rPr>
          <w:sz w:val="20"/>
          <w:szCs w:val="20"/>
          <w:lang w:val="fr-CA"/>
        </w:rPr>
        <w:br w:type="page"/>
      </w:r>
    </w:p>
    <w:p w:rsidR="00D43AD2" w:rsidRPr="00491174" w:rsidRDefault="001C5DB7" w:rsidP="00D43AD2">
      <w:pPr>
        <w:widowControl w:val="0"/>
        <w:ind w:left="720" w:hanging="720"/>
        <w:jc w:val="both"/>
        <w:rPr>
          <w:sz w:val="20"/>
          <w:szCs w:val="20"/>
        </w:rPr>
      </w:pPr>
      <w:r w:rsidRPr="00E97563">
        <w:rPr>
          <w:b/>
          <w:sz w:val="20"/>
          <w:szCs w:val="20"/>
        </w:rPr>
        <w:lastRenderedPageBreak/>
        <w:fldChar w:fldCharType="begin"/>
      </w:r>
      <w:r w:rsidR="00D43AD2" w:rsidRPr="00491174">
        <w:rPr>
          <w:b/>
          <w:sz w:val="20"/>
          <w:szCs w:val="20"/>
        </w:rPr>
        <w:instrText xml:space="preserve"> SEQ CHAPTER \h \r 1</w:instrText>
      </w:r>
      <w:r w:rsidRPr="00E97563">
        <w:rPr>
          <w:b/>
          <w:sz w:val="20"/>
          <w:szCs w:val="20"/>
        </w:rPr>
        <w:fldChar w:fldCharType="end"/>
      </w:r>
      <w:r w:rsidR="00D43AD2" w:rsidRPr="00491174">
        <w:rPr>
          <w:b/>
          <w:sz w:val="20"/>
          <w:szCs w:val="20"/>
        </w:rPr>
        <w:t>35372</w:t>
      </w:r>
      <w:r w:rsidR="00D43AD2" w:rsidRPr="00491174">
        <w:rPr>
          <w:sz w:val="20"/>
          <w:szCs w:val="20"/>
        </w:rPr>
        <w:tab/>
      </w:r>
      <w:r w:rsidR="00491174" w:rsidRPr="00491174">
        <w:rPr>
          <w:b/>
          <w:i/>
          <w:sz w:val="20"/>
          <w:szCs w:val="20"/>
        </w:rPr>
        <w:t>Her Majesty the Queen</w:t>
      </w:r>
      <w:r w:rsidR="00D43AD2" w:rsidRPr="00491174">
        <w:rPr>
          <w:b/>
          <w:i/>
          <w:sz w:val="20"/>
          <w:szCs w:val="20"/>
        </w:rPr>
        <w:t xml:space="preserve"> v. </w:t>
      </w:r>
      <w:r w:rsidR="00491174" w:rsidRPr="00491174">
        <w:rPr>
          <w:b/>
          <w:i/>
          <w:sz w:val="20"/>
          <w:szCs w:val="20"/>
        </w:rPr>
        <w:t xml:space="preserve">Guy </w:t>
      </w:r>
      <w:r w:rsidR="00D43AD2" w:rsidRPr="00491174">
        <w:rPr>
          <w:b/>
          <w:i/>
          <w:sz w:val="20"/>
          <w:szCs w:val="20"/>
        </w:rPr>
        <w:t>Auclair</w:t>
      </w:r>
      <w:r w:rsidR="00D43AD2" w:rsidRPr="00491174">
        <w:rPr>
          <w:i/>
          <w:sz w:val="20"/>
          <w:szCs w:val="20"/>
        </w:rPr>
        <w:t xml:space="preserve"> </w:t>
      </w:r>
      <w:r w:rsidR="00D43AD2" w:rsidRPr="00491174">
        <w:rPr>
          <w:b/>
          <w:i/>
          <w:sz w:val="20"/>
          <w:szCs w:val="20"/>
        </w:rPr>
        <w:t>et al.</w:t>
      </w:r>
    </w:p>
    <w:p w:rsidR="00D43AD2" w:rsidRPr="00491174" w:rsidRDefault="00D43AD2" w:rsidP="00D43AD2">
      <w:pPr>
        <w:widowControl w:val="0"/>
        <w:jc w:val="both"/>
        <w:rPr>
          <w:sz w:val="20"/>
          <w:szCs w:val="20"/>
        </w:rPr>
      </w:pPr>
    </w:p>
    <w:p w:rsidR="00D43AD2" w:rsidRPr="00E97563" w:rsidRDefault="00D43AD2" w:rsidP="00D43AD2">
      <w:pPr>
        <w:widowControl w:val="0"/>
        <w:jc w:val="both"/>
        <w:rPr>
          <w:sz w:val="20"/>
          <w:szCs w:val="20"/>
        </w:rPr>
      </w:pPr>
      <w:r w:rsidRPr="00E97563">
        <w:rPr>
          <w:i/>
          <w:sz w:val="20"/>
          <w:szCs w:val="20"/>
        </w:rPr>
        <w:t xml:space="preserve">Charter of rights </w:t>
      </w:r>
      <w:r w:rsidRPr="00E97563">
        <w:rPr>
          <w:sz w:val="20"/>
          <w:szCs w:val="20"/>
        </w:rPr>
        <w:t xml:space="preserve">- Criminal law - Right to be tried within reasonable time - Courts - Excess of jurisdiction - Whether trial judge erred in finding certain anticipated delays unreasonable without taking certain relevant factors into account - Whether trial judge committed error equivalent to excess of jurisdiction in creating situation that had unfair and irremediable effect on prosecution’s position - </w:t>
      </w:r>
      <w:r w:rsidRPr="00E97563">
        <w:rPr>
          <w:i/>
          <w:sz w:val="20"/>
          <w:szCs w:val="20"/>
        </w:rPr>
        <w:t>Canadian Charter of Rights and Freedoms</w:t>
      </w:r>
      <w:r w:rsidRPr="00E97563">
        <w:rPr>
          <w:sz w:val="20"/>
          <w:szCs w:val="20"/>
        </w:rPr>
        <w:t>, s. 11(</w:t>
      </w:r>
      <w:r w:rsidRPr="00E97563">
        <w:rPr>
          <w:i/>
          <w:sz w:val="20"/>
          <w:szCs w:val="20"/>
        </w:rPr>
        <w:t>b</w:t>
      </w:r>
      <w:r w:rsidRPr="00E97563">
        <w:rPr>
          <w:sz w:val="20"/>
          <w:szCs w:val="20"/>
        </w:rPr>
        <w:t xml:space="preserve">).  </w:t>
      </w:r>
    </w:p>
    <w:p w:rsidR="00D43AD2" w:rsidRPr="00E97563" w:rsidRDefault="00D43AD2" w:rsidP="00D43AD2">
      <w:pPr>
        <w:widowControl w:val="0"/>
        <w:jc w:val="both"/>
        <w:rPr>
          <w:sz w:val="20"/>
          <w:szCs w:val="20"/>
        </w:rPr>
      </w:pPr>
    </w:p>
    <w:p w:rsidR="00D43AD2" w:rsidRPr="00E97563" w:rsidRDefault="00D43AD2" w:rsidP="00D43AD2">
      <w:pPr>
        <w:pStyle w:val="paragraphe1"/>
        <w:spacing w:before="0" w:after="0"/>
        <w:rPr>
          <w:rFonts w:ascii="Times New Roman" w:hAnsi="Times New Roman" w:cs="Times New Roman"/>
          <w:sz w:val="20"/>
          <w:szCs w:val="20"/>
          <w:lang w:val="en-CA"/>
        </w:rPr>
      </w:pPr>
      <w:r w:rsidRPr="00E97563">
        <w:rPr>
          <w:rFonts w:ascii="Times New Roman" w:hAnsi="Times New Roman" w:cs="Times New Roman"/>
          <w:sz w:val="20"/>
          <w:szCs w:val="20"/>
          <w:lang w:val="en-CA"/>
        </w:rPr>
        <w:t xml:space="preserve">In April 2009, a police operation known as Operation </w:t>
      </w:r>
      <w:r w:rsidRPr="00E97563">
        <w:rPr>
          <w:rFonts w:ascii="Times New Roman" w:hAnsi="Times New Roman" w:cs="Times New Roman"/>
          <w:i/>
          <w:iCs/>
          <w:sz w:val="20"/>
          <w:szCs w:val="20"/>
          <w:lang w:val="en-CA"/>
        </w:rPr>
        <w:t>SharQ</w:t>
      </w:r>
      <w:r w:rsidRPr="00E97563">
        <w:rPr>
          <w:rFonts w:ascii="Times New Roman" w:hAnsi="Times New Roman" w:cs="Times New Roman"/>
          <w:sz w:val="20"/>
          <w:szCs w:val="20"/>
          <w:lang w:val="en-CA"/>
        </w:rPr>
        <w:t xml:space="preserve"> led to the arrest of more than 150 people identified by the prosecution as members of the Hells Angels or as being associated in some way with the organization.  On October 5, 2009, the Director of Criminal and Penal Prosecutions authorized the preferring of a direct indictment against these persons on 29 counts, including one of conspiracy to commit murder, 22 of murder and others concerning various offences related to drug trafficking.  The charges covered a period of nearly 20 years and were the result of more than 70 police investigations.  The trial judge ordered a stay of proceedings for the counts concerning the offences of conspiracy to traffic in and trafficking in narcotics, participation in activities of a criminal organization and commission of an indictable offence for a criminal organization.  On appeal, the appellant argued, </w:t>
      </w:r>
      <w:r w:rsidRPr="00E97563">
        <w:rPr>
          <w:rFonts w:ascii="Times New Roman" w:hAnsi="Times New Roman" w:cs="Times New Roman"/>
          <w:i/>
          <w:sz w:val="20"/>
          <w:szCs w:val="20"/>
          <w:lang w:val="en-CA"/>
        </w:rPr>
        <w:t>inter alia</w:t>
      </w:r>
      <w:r w:rsidRPr="00E97563">
        <w:rPr>
          <w:rFonts w:ascii="Times New Roman" w:hAnsi="Times New Roman" w:cs="Times New Roman"/>
          <w:sz w:val="20"/>
          <w:szCs w:val="20"/>
          <w:lang w:val="en-CA"/>
        </w:rPr>
        <w:t xml:space="preserve">, that the trial judge had erred in ordering the stay on the counts other than conspiracy to murder and murder on the basis that the delays, to which anticipated delays were added, were unreasonable.  Doyon J.A., with whom Gagnon J.A. agreed in concurring reasons, dismissed the appeal.  Doyon J.A. could not find that the trial judge had decided the issue of the stay of proceedings without giving the parties a chance to be heard, nor could he find that the trial judge had exceeded his jurisdiction by causing irreparable harm to the prosecution without having heard it first.  Lévesque J.A., dissenting, would have allowed the appeal, set aside all the orders, and ordered that each of the accused stand trial on the above-mentioned counts and that each of the accused whose names appeared on these counts be placed in the situation he was in on May 31, 2001, before the stay was ordered.  He reached this conclusion because, in his opinion, the trial judge had erred regarding the anticipated reasonable delays, since he considered the judge’s conclusions with respect to these delays to be based on an assessment that was fragmented, premature, flimsy and speculative.  Lévesque J.A. also found that the judge had committed an error with respect to his jurisdiction by rendering decisions that caused irreparable harm to the prosecution without having heard it first.  </w:t>
      </w:r>
    </w:p>
    <w:p w:rsidR="00D43AD2" w:rsidRPr="00E97563" w:rsidRDefault="00D43AD2" w:rsidP="00D43AD2">
      <w:pPr>
        <w:widowControl w:val="0"/>
        <w:jc w:val="both"/>
        <w:rPr>
          <w:sz w:val="20"/>
          <w:szCs w:val="20"/>
        </w:rPr>
      </w:pPr>
    </w:p>
    <w:p w:rsidR="00D43AD2" w:rsidRPr="00E97563" w:rsidRDefault="00D43AD2" w:rsidP="00D43AD2">
      <w:pPr>
        <w:widowControl w:val="0"/>
        <w:jc w:val="both"/>
        <w:rPr>
          <w:sz w:val="20"/>
          <w:szCs w:val="20"/>
        </w:rPr>
      </w:pPr>
    </w:p>
    <w:p w:rsidR="00D43AD2" w:rsidRPr="00E97563" w:rsidRDefault="00D43AD2" w:rsidP="00D43AD2">
      <w:pPr>
        <w:widowControl w:val="0"/>
        <w:ind w:left="2880" w:hanging="2880"/>
        <w:jc w:val="both"/>
        <w:rPr>
          <w:sz w:val="20"/>
          <w:szCs w:val="20"/>
        </w:rPr>
      </w:pPr>
      <w:r w:rsidRPr="00E97563">
        <w:rPr>
          <w:sz w:val="20"/>
          <w:szCs w:val="20"/>
        </w:rPr>
        <w:t>Origin of the case:</w:t>
      </w:r>
      <w:r w:rsidRPr="00E97563">
        <w:rPr>
          <w:sz w:val="20"/>
          <w:szCs w:val="20"/>
        </w:rPr>
        <w:tab/>
        <w:t>Quebec</w:t>
      </w:r>
    </w:p>
    <w:p w:rsidR="00D43AD2" w:rsidRPr="00E97563" w:rsidRDefault="00D43AD2" w:rsidP="00D43AD2">
      <w:pPr>
        <w:widowControl w:val="0"/>
        <w:ind w:left="2880" w:hanging="2880"/>
        <w:jc w:val="both"/>
        <w:rPr>
          <w:sz w:val="20"/>
          <w:szCs w:val="20"/>
        </w:rPr>
      </w:pPr>
    </w:p>
    <w:p w:rsidR="00D43AD2" w:rsidRPr="00E97563" w:rsidRDefault="00D43AD2" w:rsidP="00D43AD2">
      <w:pPr>
        <w:widowControl w:val="0"/>
        <w:ind w:left="2880" w:hanging="2880"/>
        <w:jc w:val="both"/>
        <w:rPr>
          <w:sz w:val="20"/>
          <w:szCs w:val="20"/>
        </w:rPr>
      </w:pPr>
      <w:r w:rsidRPr="00E97563">
        <w:rPr>
          <w:sz w:val="20"/>
          <w:szCs w:val="20"/>
        </w:rPr>
        <w:t>File No.:</w:t>
      </w:r>
      <w:r w:rsidRPr="00E97563">
        <w:rPr>
          <w:sz w:val="20"/>
          <w:szCs w:val="20"/>
        </w:rPr>
        <w:tab/>
        <w:t>35372</w:t>
      </w:r>
    </w:p>
    <w:p w:rsidR="00D43AD2" w:rsidRPr="00E97563" w:rsidRDefault="00D43AD2" w:rsidP="00D43AD2">
      <w:pPr>
        <w:widowControl w:val="0"/>
        <w:ind w:left="2880" w:hanging="2880"/>
        <w:jc w:val="both"/>
        <w:rPr>
          <w:sz w:val="20"/>
          <w:szCs w:val="20"/>
        </w:rPr>
      </w:pPr>
    </w:p>
    <w:p w:rsidR="00D43AD2" w:rsidRPr="00E97563" w:rsidRDefault="00D43AD2" w:rsidP="00D43AD2">
      <w:pPr>
        <w:widowControl w:val="0"/>
        <w:ind w:left="2880" w:hanging="2880"/>
        <w:jc w:val="both"/>
        <w:rPr>
          <w:sz w:val="20"/>
          <w:szCs w:val="20"/>
        </w:rPr>
      </w:pPr>
      <w:r w:rsidRPr="00E97563">
        <w:rPr>
          <w:sz w:val="20"/>
          <w:szCs w:val="20"/>
        </w:rPr>
        <w:t>Judgment of the Court of Appeal:</w:t>
      </w:r>
      <w:r w:rsidRPr="00E97563">
        <w:rPr>
          <w:sz w:val="20"/>
          <w:szCs w:val="20"/>
        </w:rPr>
        <w:tab/>
        <w:t>April 25, 2013</w:t>
      </w:r>
    </w:p>
    <w:p w:rsidR="00D43AD2" w:rsidRPr="00E97563" w:rsidRDefault="00D43AD2" w:rsidP="00D43AD2">
      <w:pPr>
        <w:widowControl w:val="0"/>
        <w:ind w:left="2880" w:hanging="2880"/>
        <w:jc w:val="both"/>
        <w:rPr>
          <w:sz w:val="20"/>
          <w:szCs w:val="20"/>
        </w:rPr>
      </w:pPr>
    </w:p>
    <w:p w:rsidR="00D43AD2" w:rsidRPr="00E97563" w:rsidRDefault="00D43AD2" w:rsidP="00D43AD2">
      <w:pPr>
        <w:widowControl w:val="0"/>
        <w:ind w:left="2880" w:hanging="2880"/>
        <w:jc w:val="both"/>
        <w:rPr>
          <w:sz w:val="20"/>
          <w:szCs w:val="20"/>
        </w:rPr>
      </w:pPr>
      <w:r w:rsidRPr="00E97563">
        <w:rPr>
          <w:sz w:val="20"/>
          <w:szCs w:val="20"/>
        </w:rPr>
        <w:t>Counsel:</w:t>
      </w:r>
      <w:r w:rsidRPr="00E97563">
        <w:rPr>
          <w:sz w:val="20"/>
          <w:szCs w:val="20"/>
        </w:rPr>
        <w:tab/>
        <w:t>Marc Cigana and Andrée Vézina for the appellant</w:t>
      </w:r>
    </w:p>
    <w:p w:rsidR="00D43AD2" w:rsidRPr="00E97563" w:rsidRDefault="00D43AD2" w:rsidP="00D43AD2">
      <w:pPr>
        <w:widowControl w:val="0"/>
        <w:ind w:left="2880" w:hanging="2880"/>
        <w:jc w:val="both"/>
        <w:rPr>
          <w:sz w:val="20"/>
          <w:szCs w:val="20"/>
        </w:rPr>
      </w:pPr>
      <w:r>
        <w:rPr>
          <w:sz w:val="20"/>
          <w:szCs w:val="20"/>
        </w:rPr>
        <w:tab/>
      </w:r>
      <w:r w:rsidRPr="00E97563">
        <w:rPr>
          <w:sz w:val="20"/>
          <w:szCs w:val="20"/>
        </w:rPr>
        <w:t>Christian Desrosiers, Louis Belleau and Annie Lahaise for the respondent</w:t>
      </w:r>
    </w:p>
    <w:p w:rsidR="00F164B3" w:rsidRPr="00DD0B49" w:rsidRDefault="00F164B3" w:rsidP="00F164B3">
      <w:pPr>
        <w:tabs>
          <w:tab w:val="left" w:pos="-1440"/>
          <w:tab w:val="left" w:pos="-720"/>
        </w:tabs>
        <w:jc w:val="both"/>
        <w:rPr>
          <w:sz w:val="20"/>
          <w:szCs w:val="20"/>
          <w:lang w:val="fr-CA"/>
        </w:rPr>
      </w:pPr>
    </w:p>
    <w:p w:rsidR="00F164B3" w:rsidRDefault="00A47393" w:rsidP="00F164B3">
      <w:pPr>
        <w:tabs>
          <w:tab w:val="left" w:pos="-1440"/>
          <w:tab w:val="left" w:pos="-720"/>
        </w:tabs>
        <w:jc w:val="both"/>
        <w:rPr>
          <w:sz w:val="20"/>
          <w:szCs w:val="20"/>
          <w:lang w:val="fr-CA"/>
        </w:rPr>
      </w:pPr>
      <w:r>
        <w:rPr>
          <w:sz w:val="20"/>
          <w:szCs w:val="20"/>
          <w:lang w:val="fr-CA"/>
        </w:rPr>
        <w:pict>
          <v:rect id="_x0000_i1061" style="width:2in;height:1pt" o:hrpct="0" o:hralign="center" o:hrstd="t" o:hrnoshade="t" o:hr="t" fillcolor="black [3213]" stroked="f"/>
        </w:pict>
      </w:r>
    </w:p>
    <w:p w:rsidR="00F164B3" w:rsidRDefault="00F164B3" w:rsidP="00F164B3">
      <w:pPr>
        <w:tabs>
          <w:tab w:val="left" w:pos="-1440"/>
          <w:tab w:val="left" w:pos="-720"/>
        </w:tabs>
        <w:jc w:val="both"/>
        <w:rPr>
          <w:sz w:val="20"/>
          <w:szCs w:val="20"/>
          <w:lang w:val="fr-CA"/>
        </w:rPr>
      </w:pPr>
    </w:p>
    <w:p w:rsidR="00F164B3" w:rsidRDefault="00F164B3" w:rsidP="000B3C9A">
      <w:pPr>
        <w:tabs>
          <w:tab w:val="left" w:pos="-1440"/>
          <w:tab w:val="left" w:pos="-720"/>
        </w:tabs>
        <w:jc w:val="both"/>
        <w:rPr>
          <w:sz w:val="20"/>
          <w:szCs w:val="20"/>
          <w:lang w:val="fr-CA"/>
        </w:rPr>
      </w:pPr>
    </w:p>
    <w:p w:rsidR="00F164B3" w:rsidRDefault="00F164B3" w:rsidP="000B3C9A">
      <w:pPr>
        <w:tabs>
          <w:tab w:val="left" w:pos="-1440"/>
          <w:tab w:val="left" w:pos="-720"/>
        </w:tabs>
        <w:jc w:val="both"/>
        <w:rPr>
          <w:sz w:val="20"/>
          <w:szCs w:val="20"/>
          <w:lang w:val="fr-CA"/>
        </w:rPr>
      </w:pPr>
    </w:p>
    <w:p w:rsidR="00F164B3" w:rsidRDefault="00F164B3" w:rsidP="000B3C9A">
      <w:pPr>
        <w:tabs>
          <w:tab w:val="left" w:pos="-1440"/>
          <w:tab w:val="left" w:pos="-720"/>
        </w:tabs>
        <w:jc w:val="both"/>
        <w:rPr>
          <w:sz w:val="20"/>
          <w:szCs w:val="20"/>
          <w:lang w:val="fr-CA"/>
        </w:rPr>
      </w:pPr>
    </w:p>
    <w:p w:rsidR="00F164B3" w:rsidRDefault="00F164B3">
      <w:pPr>
        <w:rPr>
          <w:sz w:val="20"/>
          <w:szCs w:val="20"/>
          <w:lang w:val="fr-CA"/>
        </w:rPr>
      </w:pPr>
      <w:r>
        <w:rPr>
          <w:sz w:val="20"/>
          <w:szCs w:val="20"/>
          <w:lang w:val="fr-CA"/>
        </w:rPr>
        <w:br w:type="page"/>
      </w:r>
    </w:p>
    <w:p w:rsidR="00D43AD2" w:rsidRPr="00A86791" w:rsidRDefault="001C5DB7" w:rsidP="00D43AD2">
      <w:pPr>
        <w:widowControl w:val="0"/>
        <w:ind w:left="720" w:hanging="720"/>
        <w:jc w:val="both"/>
        <w:rPr>
          <w:sz w:val="20"/>
          <w:szCs w:val="20"/>
          <w:lang w:val="fr-CA"/>
        </w:rPr>
      </w:pPr>
      <w:r w:rsidRPr="00A86791">
        <w:rPr>
          <w:b/>
          <w:sz w:val="20"/>
          <w:szCs w:val="20"/>
          <w:lang w:val="fr-CA"/>
        </w:rPr>
        <w:lastRenderedPageBreak/>
        <w:fldChar w:fldCharType="begin"/>
      </w:r>
      <w:r w:rsidR="00D43AD2" w:rsidRPr="00A86791">
        <w:rPr>
          <w:b/>
          <w:sz w:val="20"/>
          <w:szCs w:val="20"/>
          <w:lang w:val="fr-CA"/>
        </w:rPr>
        <w:instrText xml:space="preserve"> SEQ CHAPTER \h \r 1</w:instrText>
      </w:r>
      <w:r w:rsidRPr="00A86791">
        <w:rPr>
          <w:b/>
          <w:sz w:val="20"/>
          <w:szCs w:val="20"/>
          <w:lang w:val="fr-CA"/>
        </w:rPr>
        <w:fldChar w:fldCharType="end"/>
      </w:r>
      <w:r w:rsidR="00D43AD2" w:rsidRPr="00A86791">
        <w:rPr>
          <w:b/>
          <w:sz w:val="20"/>
          <w:szCs w:val="20"/>
          <w:lang w:val="fr-CA"/>
        </w:rPr>
        <w:t>35372</w:t>
      </w:r>
      <w:r w:rsidR="00D43AD2" w:rsidRPr="00A86791">
        <w:rPr>
          <w:sz w:val="20"/>
          <w:szCs w:val="20"/>
          <w:lang w:val="fr-CA"/>
        </w:rPr>
        <w:tab/>
      </w:r>
      <w:r w:rsidR="00A82B30">
        <w:rPr>
          <w:b/>
          <w:i/>
          <w:sz w:val="20"/>
          <w:szCs w:val="20"/>
          <w:lang w:val="fr-CA"/>
        </w:rPr>
        <w:t>Sa Majesté la Reine</w:t>
      </w:r>
      <w:r w:rsidR="00D43AD2" w:rsidRPr="00A86791">
        <w:rPr>
          <w:b/>
          <w:i/>
          <w:sz w:val="20"/>
          <w:szCs w:val="20"/>
          <w:lang w:val="fr-CA"/>
        </w:rPr>
        <w:t xml:space="preserve"> c. </w:t>
      </w:r>
      <w:r w:rsidR="00491174">
        <w:rPr>
          <w:b/>
          <w:i/>
          <w:sz w:val="20"/>
          <w:szCs w:val="20"/>
          <w:lang w:val="fr-CA"/>
        </w:rPr>
        <w:t xml:space="preserve">Guy </w:t>
      </w:r>
      <w:r w:rsidR="00D43AD2" w:rsidRPr="00A86791">
        <w:rPr>
          <w:b/>
          <w:i/>
          <w:sz w:val="20"/>
          <w:szCs w:val="20"/>
          <w:lang w:val="fr-CA"/>
        </w:rPr>
        <w:t>Auclair</w:t>
      </w:r>
      <w:r w:rsidR="00D43AD2" w:rsidRPr="00A86791">
        <w:rPr>
          <w:i/>
          <w:sz w:val="20"/>
          <w:szCs w:val="20"/>
          <w:lang w:val="fr-CA"/>
        </w:rPr>
        <w:t xml:space="preserve"> </w:t>
      </w:r>
      <w:r w:rsidR="00D43AD2" w:rsidRPr="00A86791">
        <w:rPr>
          <w:b/>
          <w:i/>
          <w:sz w:val="20"/>
          <w:szCs w:val="20"/>
          <w:lang w:val="fr-CA"/>
        </w:rPr>
        <w:t>et a</w:t>
      </w:r>
      <w:r w:rsidR="0085514F">
        <w:rPr>
          <w:b/>
          <w:i/>
          <w:sz w:val="20"/>
          <w:szCs w:val="20"/>
          <w:lang w:val="fr-CA"/>
        </w:rPr>
        <w:t>utres</w:t>
      </w:r>
    </w:p>
    <w:p w:rsidR="00D43AD2" w:rsidRPr="00A86791" w:rsidRDefault="00D43AD2" w:rsidP="00D43AD2">
      <w:pPr>
        <w:widowControl w:val="0"/>
        <w:jc w:val="both"/>
        <w:rPr>
          <w:sz w:val="20"/>
          <w:szCs w:val="20"/>
          <w:lang w:val="fr-CA"/>
        </w:rPr>
      </w:pPr>
    </w:p>
    <w:p w:rsidR="00D43AD2" w:rsidRPr="00A86791" w:rsidRDefault="00D43AD2" w:rsidP="00D43AD2">
      <w:pPr>
        <w:widowControl w:val="0"/>
        <w:jc w:val="both"/>
        <w:rPr>
          <w:sz w:val="20"/>
          <w:szCs w:val="20"/>
          <w:lang w:val="fr-CA"/>
        </w:rPr>
      </w:pPr>
      <w:r w:rsidRPr="00A86791">
        <w:rPr>
          <w:i/>
          <w:sz w:val="20"/>
          <w:szCs w:val="20"/>
          <w:lang w:val="fr-CA"/>
        </w:rPr>
        <w:t xml:space="preserve">Charte des droits </w:t>
      </w:r>
      <w:r w:rsidRPr="00A86791">
        <w:rPr>
          <w:sz w:val="20"/>
          <w:szCs w:val="20"/>
          <w:lang w:val="fr-CA"/>
        </w:rPr>
        <w:noBreakHyphen/>
        <w:t xml:space="preserve"> Droit criminel </w:t>
      </w:r>
      <w:r w:rsidRPr="00A86791">
        <w:rPr>
          <w:sz w:val="20"/>
          <w:szCs w:val="20"/>
          <w:lang w:val="fr-CA"/>
        </w:rPr>
        <w:noBreakHyphen/>
        <w:t xml:space="preserve"> Procès dans un délai raisonnable </w:t>
      </w:r>
      <w:r w:rsidRPr="00A86791">
        <w:rPr>
          <w:sz w:val="20"/>
          <w:szCs w:val="20"/>
          <w:lang w:val="fr-CA"/>
        </w:rPr>
        <w:noBreakHyphen/>
        <w:t xml:space="preserve"> Tribunaux </w:t>
      </w:r>
      <w:r w:rsidRPr="00A86791">
        <w:rPr>
          <w:sz w:val="20"/>
          <w:szCs w:val="20"/>
          <w:lang w:val="fr-CA"/>
        </w:rPr>
        <w:noBreakHyphen/>
        <w:t xml:space="preserve"> Excès de compétence </w:t>
      </w:r>
      <w:r w:rsidRPr="00A86791">
        <w:rPr>
          <w:sz w:val="20"/>
          <w:szCs w:val="20"/>
          <w:lang w:val="fr-CA"/>
        </w:rPr>
        <w:noBreakHyphen/>
        <w:t xml:space="preserve"> Le juge de première instance a</w:t>
      </w:r>
      <w:r w:rsidRPr="00A86791">
        <w:rPr>
          <w:sz w:val="20"/>
          <w:szCs w:val="20"/>
          <w:lang w:val="fr-CA"/>
        </w:rPr>
        <w:noBreakHyphen/>
        <w:t>t</w:t>
      </w:r>
      <w:r w:rsidRPr="00A86791">
        <w:rPr>
          <w:sz w:val="20"/>
          <w:szCs w:val="20"/>
          <w:lang w:val="fr-CA"/>
        </w:rPr>
        <w:noBreakHyphen/>
        <w:t xml:space="preserve">il commis une erreur en considérant comme déraisonnables certains délais anticipés sans avoir tenu compte de certains facteurs applicables? </w:t>
      </w:r>
      <w:r w:rsidRPr="00A86791">
        <w:rPr>
          <w:sz w:val="20"/>
          <w:szCs w:val="20"/>
          <w:lang w:val="fr-CA"/>
        </w:rPr>
        <w:noBreakHyphen/>
        <w:t xml:space="preserve"> Le juge de première instance a</w:t>
      </w:r>
      <w:r w:rsidRPr="00A86791">
        <w:rPr>
          <w:sz w:val="20"/>
          <w:szCs w:val="20"/>
          <w:lang w:val="fr-CA"/>
        </w:rPr>
        <w:noBreakHyphen/>
        <w:t>t</w:t>
      </w:r>
      <w:r w:rsidRPr="00A86791">
        <w:rPr>
          <w:sz w:val="20"/>
          <w:szCs w:val="20"/>
          <w:lang w:val="fr-CA"/>
        </w:rPr>
        <w:noBreakHyphen/>
        <w:t xml:space="preserve">il commis une erreur équivalant à un excès de compétence en créant une situation qui a affecté inéquitablement et irrémédiablement la position de la poursuite? </w:t>
      </w:r>
      <w:r w:rsidRPr="00A86791">
        <w:rPr>
          <w:sz w:val="20"/>
          <w:szCs w:val="20"/>
          <w:lang w:val="fr-CA"/>
        </w:rPr>
        <w:noBreakHyphen/>
        <w:t xml:space="preserve"> </w:t>
      </w:r>
      <w:r w:rsidRPr="00A86791">
        <w:rPr>
          <w:i/>
          <w:sz w:val="20"/>
          <w:szCs w:val="20"/>
          <w:lang w:val="fr-CA"/>
        </w:rPr>
        <w:t>Charte canadienne des droits et libertés</w:t>
      </w:r>
      <w:r w:rsidRPr="00A86791">
        <w:rPr>
          <w:sz w:val="20"/>
          <w:szCs w:val="20"/>
          <w:lang w:val="fr-CA"/>
        </w:rPr>
        <w:t>, art. 11</w:t>
      </w:r>
      <w:r w:rsidRPr="00A86791">
        <w:rPr>
          <w:i/>
          <w:sz w:val="20"/>
          <w:szCs w:val="20"/>
          <w:lang w:val="fr-CA"/>
        </w:rPr>
        <w:t>b</w:t>
      </w:r>
      <w:r w:rsidRPr="00A86791">
        <w:rPr>
          <w:sz w:val="20"/>
          <w:szCs w:val="20"/>
          <w:lang w:val="fr-CA"/>
        </w:rPr>
        <w:t xml:space="preserve">).  </w:t>
      </w:r>
    </w:p>
    <w:p w:rsidR="00D43AD2" w:rsidRPr="00A86791" w:rsidRDefault="00D43AD2" w:rsidP="00D43AD2">
      <w:pPr>
        <w:widowControl w:val="0"/>
        <w:jc w:val="both"/>
        <w:rPr>
          <w:sz w:val="20"/>
          <w:szCs w:val="20"/>
          <w:lang w:val="fr-CA"/>
        </w:rPr>
      </w:pPr>
    </w:p>
    <w:p w:rsidR="00D43AD2" w:rsidRPr="00A86791" w:rsidRDefault="00D43AD2" w:rsidP="00D43AD2">
      <w:pPr>
        <w:pStyle w:val="paragraphe1"/>
        <w:rPr>
          <w:rFonts w:ascii="Times New Roman" w:hAnsi="Times New Roman" w:cs="Times New Roman"/>
          <w:sz w:val="20"/>
          <w:szCs w:val="20"/>
          <w:lang w:val="fr-CA"/>
        </w:rPr>
      </w:pPr>
      <w:r w:rsidRPr="00A86791">
        <w:rPr>
          <w:rFonts w:ascii="Times New Roman" w:hAnsi="Times New Roman" w:cs="Times New Roman"/>
          <w:sz w:val="20"/>
          <w:szCs w:val="20"/>
          <w:lang w:val="fr-FR"/>
        </w:rPr>
        <w:t xml:space="preserve">En avril 2009, une opération policière, l’opération </w:t>
      </w:r>
      <w:r w:rsidRPr="00A86791">
        <w:rPr>
          <w:rFonts w:ascii="Times New Roman" w:hAnsi="Times New Roman" w:cs="Times New Roman"/>
          <w:i/>
          <w:iCs/>
          <w:sz w:val="20"/>
          <w:szCs w:val="20"/>
          <w:lang w:val="fr-FR"/>
        </w:rPr>
        <w:t>SharQ</w:t>
      </w:r>
      <w:r w:rsidRPr="00A86791">
        <w:rPr>
          <w:rFonts w:ascii="Times New Roman" w:hAnsi="Times New Roman" w:cs="Times New Roman"/>
          <w:sz w:val="20"/>
          <w:szCs w:val="20"/>
          <w:lang w:val="fr-FR"/>
        </w:rPr>
        <w:t xml:space="preserve">, mène à l’arrestation de plus de 150 personnes que la poursuite identifie comme étant des Hells Angels ou reliées d’une autre façon à l’organisation.  Le 5 octobre 2009, le directeur des poursuites criminelles et pénales autorise contre ces personnes le dépôt d’un acte d’accusation direct comportant 29 chefs d’accusation dont un complot de meurtre, 22 meurtres et diverses infractions reliées au commerce de la drogue.  Ces accusations couvrent une période de près de 20 ans et sont le résultat de plus 70 enquêtes policières.  </w:t>
      </w:r>
      <w:r w:rsidRPr="00A86791">
        <w:rPr>
          <w:rFonts w:ascii="Times New Roman" w:hAnsi="Times New Roman" w:cs="Times New Roman"/>
          <w:sz w:val="20"/>
          <w:szCs w:val="20"/>
          <w:lang w:val="fr-CA"/>
        </w:rPr>
        <w:t xml:space="preserve">Le juge de première instance décrète un </w:t>
      </w:r>
      <w:r w:rsidRPr="00A86791">
        <w:rPr>
          <w:rFonts w:ascii="Times New Roman" w:hAnsi="Times New Roman" w:cs="Times New Roman"/>
          <w:sz w:val="20"/>
          <w:szCs w:val="20"/>
          <w:lang w:val="fr-FR"/>
        </w:rPr>
        <w:t xml:space="preserve">arrêt des procédures pour les chefs d’accusation concernant les infractions relatives aux actes de complot pour trafic et de trafic de stupéfiants, de participation aux activités de gang et d’avoir commis un acte criminel au profit d’une organisation criminelle.  </w:t>
      </w:r>
      <w:r w:rsidRPr="00A86791">
        <w:rPr>
          <w:rFonts w:ascii="Times New Roman" w:hAnsi="Times New Roman" w:cs="Times New Roman"/>
          <w:sz w:val="20"/>
          <w:szCs w:val="20"/>
          <w:lang w:val="fr-CA"/>
        </w:rPr>
        <w:t xml:space="preserve">En appel, l’appelante a plaidé notamment que le juge de première instance a erré en </w:t>
      </w:r>
      <w:r w:rsidRPr="00A86791">
        <w:rPr>
          <w:rFonts w:ascii="Times New Roman" w:hAnsi="Times New Roman" w:cs="Times New Roman"/>
          <w:sz w:val="20"/>
          <w:szCs w:val="20"/>
          <w:lang w:val="fr-FR"/>
        </w:rPr>
        <w:t xml:space="preserve">ordonnant l’arrêt des procédures relativement aux chefs autres que le complot de meurtre et de meurtre, au motif que les délais, auxquels s’ajoutaient des délais anticipés, étaient déraisonnables.  Le juge Doyon de la Cour d’appel, appuyé par le juge Gagnon dans une opinion concordante, rejette l’appel.  Le juge Doyon ne peut conclure que le juge de première instance a décidé de la question de l’arrêt des procédures sans même donner aux parties l’occasion d’être entendues et ne peut aussi conclure que ce dernier a excédé sa compétence en causant un dommage irréparable à la poursuite sans l’avoir entendue au préalable.  </w:t>
      </w:r>
      <w:r w:rsidRPr="00A86791">
        <w:rPr>
          <w:rFonts w:ascii="Times New Roman" w:hAnsi="Times New Roman" w:cs="Times New Roman"/>
          <w:sz w:val="20"/>
          <w:szCs w:val="20"/>
          <w:lang w:val="fr-CA"/>
        </w:rPr>
        <w:t>Le juge Lévesque, dissident, aurait accueilli l’appel, annuler toutes les ordonnances, ordonner que chacun des accusés subisse son procès relativement aux chefs d’accusation susmentionnés et que chacun des accusés dont le nom apparaît sur ces chefs d’accusation soit placé dans la situation où il se trouvait le 31 mai 2001, avant l’ordonnance de l’arrêt des procédures.  Il parvient à cette conclusion car le juge de première instance, selon lui, a commis une erreur en ce qui a trait aux délais raisonnables anticipés car ceux</w:t>
      </w:r>
      <w:r w:rsidRPr="00A86791">
        <w:rPr>
          <w:rFonts w:ascii="Times New Roman" w:hAnsi="Times New Roman" w:cs="Times New Roman"/>
          <w:sz w:val="20"/>
          <w:szCs w:val="20"/>
          <w:lang w:val="fr-CA"/>
        </w:rPr>
        <w:noBreakHyphen/>
        <w:t xml:space="preserve">ci reposent, à son avis, sur une appréciation parcellaire, prématurée et fragile fondée sur des spéculations.  De plus, le juge Lévesque estime que le juge a commis une erreur touchant à sa compétence en rendant des décisions qui ont causé un dommage irréparable à la poursuite sans l’avoir entendue au préalable.  </w:t>
      </w:r>
    </w:p>
    <w:p w:rsidR="00D43AD2" w:rsidRPr="00A86791" w:rsidRDefault="00D43AD2" w:rsidP="00D43AD2">
      <w:pPr>
        <w:widowControl w:val="0"/>
        <w:jc w:val="both"/>
        <w:rPr>
          <w:sz w:val="20"/>
          <w:szCs w:val="20"/>
          <w:lang w:val="fr-CA"/>
        </w:rPr>
      </w:pPr>
    </w:p>
    <w:p w:rsidR="00D43AD2" w:rsidRPr="00A86791" w:rsidRDefault="00D43AD2" w:rsidP="00D43AD2">
      <w:pPr>
        <w:widowControl w:val="0"/>
        <w:jc w:val="both"/>
        <w:rPr>
          <w:sz w:val="20"/>
          <w:szCs w:val="20"/>
          <w:lang w:val="fr-CA"/>
        </w:rPr>
      </w:pPr>
    </w:p>
    <w:p w:rsidR="00D43AD2" w:rsidRPr="00A86791" w:rsidRDefault="00D43AD2" w:rsidP="00D43AD2">
      <w:pPr>
        <w:widowControl w:val="0"/>
        <w:ind w:left="2880" w:hanging="2880"/>
        <w:jc w:val="both"/>
        <w:rPr>
          <w:sz w:val="20"/>
          <w:szCs w:val="20"/>
          <w:lang w:val="fr-CA"/>
        </w:rPr>
      </w:pPr>
      <w:r w:rsidRPr="00A86791">
        <w:rPr>
          <w:sz w:val="20"/>
          <w:szCs w:val="20"/>
          <w:lang w:val="fr-CA"/>
        </w:rPr>
        <w:t>Origine :</w:t>
      </w:r>
      <w:r w:rsidRPr="00A86791">
        <w:rPr>
          <w:sz w:val="20"/>
          <w:szCs w:val="20"/>
          <w:lang w:val="fr-CA"/>
        </w:rPr>
        <w:tab/>
        <w:t>Québec</w:t>
      </w:r>
    </w:p>
    <w:p w:rsidR="00D43AD2" w:rsidRPr="00A86791" w:rsidRDefault="00D43AD2" w:rsidP="00D43AD2">
      <w:pPr>
        <w:widowControl w:val="0"/>
        <w:ind w:left="2880" w:hanging="2880"/>
        <w:jc w:val="both"/>
        <w:rPr>
          <w:sz w:val="20"/>
          <w:szCs w:val="20"/>
          <w:lang w:val="fr-CA"/>
        </w:rPr>
      </w:pPr>
    </w:p>
    <w:p w:rsidR="00D43AD2" w:rsidRPr="00A86791" w:rsidRDefault="00D43AD2" w:rsidP="00D43AD2">
      <w:pPr>
        <w:widowControl w:val="0"/>
        <w:ind w:left="2880" w:hanging="2880"/>
        <w:jc w:val="both"/>
        <w:rPr>
          <w:sz w:val="20"/>
          <w:szCs w:val="20"/>
          <w:lang w:val="fr-CA"/>
        </w:rPr>
      </w:pPr>
      <w:r w:rsidRPr="00A86791">
        <w:rPr>
          <w:sz w:val="20"/>
          <w:szCs w:val="20"/>
          <w:lang w:val="fr-CA"/>
        </w:rPr>
        <w:t>N</w:t>
      </w:r>
      <w:r w:rsidRPr="00A86791">
        <w:rPr>
          <w:sz w:val="20"/>
          <w:szCs w:val="20"/>
          <w:vertAlign w:val="superscript"/>
          <w:lang w:val="fr-CA"/>
        </w:rPr>
        <w:t xml:space="preserve">o </w:t>
      </w:r>
      <w:r w:rsidRPr="00A86791">
        <w:rPr>
          <w:sz w:val="20"/>
          <w:szCs w:val="20"/>
          <w:lang w:val="fr-CA"/>
        </w:rPr>
        <w:t>du greffe :</w:t>
      </w:r>
      <w:r w:rsidRPr="00A86791">
        <w:rPr>
          <w:sz w:val="20"/>
          <w:szCs w:val="20"/>
          <w:lang w:val="fr-CA"/>
        </w:rPr>
        <w:tab/>
        <w:t>35372</w:t>
      </w:r>
    </w:p>
    <w:p w:rsidR="00D43AD2" w:rsidRPr="00A86791" w:rsidRDefault="00D43AD2" w:rsidP="00D43AD2">
      <w:pPr>
        <w:widowControl w:val="0"/>
        <w:ind w:left="2880" w:hanging="2880"/>
        <w:jc w:val="both"/>
        <w:rPr>
          <w:sz w:val="20"/>
          <w:szCs w:val="20"/>
          <w:lang w:val="fr-CA"/>
        </w:rPr>
      </w:pPr>
    </w:p>
    <w:p w:rsidR="00D43AD2" w:rsidRPr="00A86791" w:rsidRDefault="00D43AD2" w:rsidP="00D43AD2">
      <w:pPr>
        <w:widowControl w:val="0"/>
        <w:ind w:left="2880" w:hanging="2880"/>
        <w:jc w:val="both"/>
        <w:rPr>
          <w:sz w:val="20"/>
          <w:szCs w:val="20"/>
          <w:lang w:val="fr-CA"/>
        </w:rPr>
      </w:pPr>
      <w:r w:rsidRPr="00A86791">
        <w:rPr>
          <w:sz w:val="20"/>
          <w:szCs w:val="20"/>
          <w:lang w:val="fr-CA"/>
        </w:rPr>
        <w:t>Arrêt de la Cour d’appel :</w:t>
      </w:r>
      <w:r w:rsidRPr="00A86791">
        <w:rPr>
          <w:sz w:val="20"/>
          <w:szCs w:val="20"/>
          <w:lang w:val="fr-CA"/>
        </w:rPr>
        <w:tab/>
        <w:t>le 25 avril 2013</w:t>
      </w:r>
    </w:p>
    <w:p w:rsidR="00D43AD2" w:rsidRPr="00A86791" w:rsidRDefault="00D43AD2" w:rsidP="00D43AD2">
      <w:pPr>
        <w:widowControl w:val="0"/>
        <w:ind w:left="2880" w:hanging="2880"/>
        <w:jc w:val="both"/>
        <w:rPr>
          <w:sz w:val="20"/>
          <w:szCs w:val="20"/>
          <w:lang w:val="fr-CA"/>
        </w:rPr>
      </w:pPr>
    </w:p>
    <w:p w:rsidR="00D43AD2" w:rsidRPr="00A86791" w:rsidRDefault="00D43AD2" w:rsidP="00D43AD2">
      <w:pPr>
        <w:widowControl w:val="0"/>
        <w:ind w:left="2880" w:hanging="2880"/>
        <w:jc w:val="both"/>
        <w:rPr>
          <w:sz w:val="20"/>
          <w:szCs w:val="20"/>
          <w:lang w:val="fr-CA"/>
        </w:rPr>
      </w:pPr>
      <w:r w:rsidRPr="00A86791">
        <w:rPr>
          <w:sz w:val="20"/>
          <w:szCs w:val="20"/>
          <w:lang w:val="fr-CA"/>
        </w:rPr>
        <w:t>Avocats :</w:t>
      </w:r>
      <w:r w:rsidRPr="00A86791">
        <w:rPr>
          <w:sz w:val="20"/>
          <w:szCs w:val="20"/>
          <w:lang w:val="fr-CA"/>
        </w:rPr>
        <w:tab/>
        <w:t>Marc Cigana et Andrée Vézina pour l’appelant</w:t>
      </w:r>
    </w:p>
    <w:p w:rsidR="00D43AD2" w:rsidRPr="00A86791" w:rsidRDefault="00D43AD2" w:rsidP="00D43AD2">
      <w:pPr>
        <w:widowControl w:val="0"/>
        <w:ind w:left="2880" w:hanging="2880"/>
        <w:jc w:val="both"/>
        <w:rPr>
          <w:sz w:val="20"/>
          <w:szCs w:val="20"/>
          <w:lang w:val="fr-CA"/>
        </w:rPr>
      </w:pPr>
      <w:r>
        <w:rPr>
          <w:sz w:val="20"/>
          <w:szCs w:val="20"/>
          <w:lang w:val="fr-CA"/>
        </w:rPr>
        <w:tab/>
      </w:r>
      <w:r w:rsidRPr="00A86791">
        <w:rPr>
          <w:sz w:val="20"/>
          <w:szCs w:val="20"/>
          <w:lang w:val="fr-CA"/>
        </w:rPr>
        <w:t>Christian Desrosiers, Louis Belleau et Annie Lahaise pour l’intimé</w:t>
      </w:r>
    </w:p>
    <w:p w:rsidR="00F164B3" w:rsidRPr="00DD0B49" w:rsidRDefault="00F164B3" w:rsidP="00F164B3">
      <w:pPr>
        <w:tabs>
          <w:tab w:val="left" w:pos="-1440"/>
          <w:tab w:val="left" w:pos="-720"/>
        </w:tabs>
        <w:jc w:val="both"/>
        <w:rPr>
          <w:sz w:val="20"/>
          <w:szCs w:val="20"/>
          <w:lang w:val="fr-CA"/>
        </w:rPr>
      </w:pPr>
    </w:p>
    <w:p w:rsidR="00F164B3" w:rsidRDefault="00A47393" w:rsidP="00F164B3">
      <w:pPr>
        <w:tabs>
          <w:tab w:val="left" w:pos="-1440"/>
          <w:tab w:val="left" w:pos="-720"/>
        </w:tabs>
        <w:jc w:val="both"/>
        <w:rPr>
          <w:sz w:val="20"/>
          <w:szCs w:val="20"/>
          <w:lang w:val="fr-CA"/>
        </w:rPr>
      </w:pPr>
      <w:r>
        <w:rPr>
          <w:sz w:val="20"/>
          <w:szCs w:val="20"/>
          <w:lang w:val="fr-CA"/>
        </w:rPr>
        <w:pict>
          <v:rect id="_x0000_i1062" style="width:2in;height:1pt" o:hrpct="0" o:hralign="center" o:hrstd="t" o:hrnoshade="t" o:hr="t" fillcolor="black [3213]" stroked="f"/>
        </w:pict>
      </w:r>
    </w:p>
    <w:p w:rsidR="00F164B3" w:rsidRDefault="00F164B3" w:rsidP="00F164B3">
      <w:pPr>
        <w:tabs>
          <w:tab w:val="left" w:pos="-1440"/>
          <w:tab w:val="left" w:pos="-720"/>
        </w:tabs>
        <w:jc w:val="both"/>
        <w:rPr>
          <w:sz w:val="20"/>
          <w:szCs w:val="20"/>
          <w:lang w:val="fr-CA"/>
        </w:rPr>
      </w:pPr>
    </w:p>
    <w:p w:rsidR="00F164B3" w:rsidRDefault="00F164B3">
      <w:pPr>
        <w:rPr>
          <w:sz w:val="20"/>
          <w:szCs w:val="20"/>
          <w:lang w:val="fr-CA"/>
        </w:rPr>
      </w:pPr>
    </w:p>
    <w:p w:rsidR="00F164B3" w:rsidRDefault="00F164B3">
      <w:pPr>
        <w:rPr>
          <w:sz w:val="20"/>
          <w:szCs w:val="20"/>
          <w:lang w:val="fr-CA"/>
        </w:rPr>
      </w:pPr>
      <w:r>
        <w:rPr>
          <w:sz w:val="20"/>
          <w:szCs w:val="20"/>
          <w:lang w:val="fr-CA"/>
        </w:rPr>
        <w:br w:type="page"/>
      </w:r>
    </w:p>
    <w:p w:rsidR="00D43AD2" w:rsidRPr="008437A5" w:rsidRDefault="001C5DB7" w:rsidP="00D43AD2">
      <w:pPr>
        <w:widowControl w:val="0"/>
        <w:ind w:left="720" w:hanging="720"/>
        <w:jc w:val="both"/>
        <w:rPr>
          <w:sz w:val="20"/>
          <w:szCs w:val="20"/>
        </w:rPr>
      </w:pPr>
      <w:r w:rsidRPr="008437A5">
        <w:rPr>
          <w:b/>
          <w:sz w:val="20"/>
          <w:szCs w:val="20"/>
        </w:rPr>
        <w:lastRenderedPageBreak/>
        <w:fldChar w:fldCharType="begin"/>
      </w:r>
      <w:r w:rsidR="00D43AD2" w:rsidRPr="008437A5">
        <w:rPr>
          <w:b/>
          <w:sz w:val="20"/>
          <w:szCs w:val="20"/>
        </w:rPr>
        <w:instrText xml:space="preserve"> SEQ CHAPTER \h \r 1</w:instrText>
      </w:r>
      <w:r w:rsidRPr="008437A5">
        <w:rPr>
          <w:b/>
          <w:sz w:val="20"/>
          <w:szCs w:val="20"/>
        </w:rPr>
        <w:fldChar w:fldCharType="end"/>
      </w:r>
      <w:r w:rsidR="00D43AD2" w:rsidRPr="008437A5">
        <w:rPr>
          <w:b/>
          <w:sz w:val="20"/>
          <w:szCs w:val="20"/>
        </w:rPr>
        <w:t>35361</w:t>
      </w:r>
      <w:r w:rsidR="00D43AD2" w:rsidRPr="008437A5">
        <w:rPr>
          <w:sz w:val="20"/>
          <w:szCs w:val="20"/>
        </w:rPr>
        <w:tab/>
      </w:r>
      <w:r w:rsidR="00D43AD2" w:rsidRPr="008437A5">
        <w:rPr>
          <w:b/>
          <w:i/>
          <w:sz w:val="20"/>
          <w:szCs w:val="20"/>
        </w:rPr>
        <w:t>Gary Edward Yelle v. Her Majesty the Queen</w:t>
      </w:r>
    </w:p>
    <w:p w:rsidR="00D43AD2" w:rsidRPr="008437A5" w:rsidRDefault="00D43AD2" w:rsidP="00D43AD2">
      <w:pPr>
        <w:widowControl w:val="0"/>
        <w:jc w:val="both"/>
        <w:rPr>
          <w:sz w:val="20"/>
          <w:szCs w:val="20"/>
        </w:rPr>
      </w:pPr>
    </w:p>
    <w:p w:rsidR="00D43AD2" w:rsidRPr="008437A5" w:rsidRDefault="00D43AD2" w:rsidP="00D43AD2">
      <w:pPr>
        <w:widowControl w:val="0"/>
        <w:jc w:val="both"/>
        <w:rPr>
          <w:sz w:val="20"/>
          <w:szCs w:val="20"/>
        </w:rPr>
      </w:pPr>
      <w:r w:rsidRPr="008437A5">
        <w:rPr>
          <w:sz w:val="20"/>
          <w:szCs w:val="20"/>
        </w:rPr>
        <w:t xml:space="preserve">Criminal law </w:t>
      </w:r>
      <w:r w:rsidRPr="008437A5">
        <w:rPr>
          <w:sz w:val="20"/>
          <w:szCs w:val="20"/>
        </w:rPr>
        <w:noBreakHyphen/>
        <w:t xml:space="preserve"> Sexual Assault </w:t>
      </w:r>
      <w:r w:rsidRPr="008437A5">
        <w:rPr>
          <w:sz w:val="20"/>
          <w:szCs w:val="20"/>
        </w:rPr>
        <w:noBreakHyphen/>
        <w:t xml:space="preserve"> Lesser and included offence of assault </w:t>
      </w:r>
      <w:r w:rsidRPr="008437A5">
        <w:rPr>
          <w:sz w:val="20"/>
          <w:szCs w:val="20"/>
        </w:rPr>
        <w:noBreakHyphen/>
        <w:t xml:space="preserve"> Whether the verdict was unreasonable.</w:t>
      </w:r>
    </w:p>
    <w:p w:rsidR="00D43AD2" w:rsidRPr="008437A5" w:rsidRDefault="00D43AD2" w:rsidP="00D43AD2">
      <w:pPr>
        <w:widowControl w:val="0"/>
        <w:jc w:val="both"/>
        <w:rPr>
          <w:sz w:val="20"/>
          <w:szCs w:val="20"/>
        </w:rPr>
      </w:pPr>
    </w:p>
    <w:p w:rsidR="00D43AD2" w:rsidRPr="008437A5" w:rsidRDefault="00D43AD2" w:rsidP="00D43AD2">
      <w:pPr>
        <w:widowControl w:val="0"/>
        <w:jc w:val="both"/>
        <w:rPr>
          <w:sz w:val="20"/>
          <w:szCs w:val="20"/>
        </w:rPr>
      </w:pPr>
      <w:r w:rsidRPr="008437A5">
        <w:rPr>
          <w:sz w:val="20"/>
          <w:szCs w:val="20"/>
        </w:rPr>
        <w:t xml:space="preserve">The appellant, Mr. Yelle, was charged with sexual assault and uttering threats, but the jury found him guilty of the lesser and included offence of assault.  The Crown’s position was that the Mr. Yelle struck the complainant only to facilitate sexual intercourse.  Photographs of the complainant’s injuries were tendered at trial, but there was no DNA evidence tendered to support the charges.  There were also significant inconsistencies with the complainant’s evidence.  Mr. Yelle appealed, arguing that the verdict was unreasonable and that the charge to the jury failed to include a warning regarding the reliability of the complainant and an instruction on the lesser offence of assault.  The majority of the Court of Appeal dismissed the appeal.  Martin J.A., dissenting, would have allowed the appeal and entered an acquittal.  In his view, it was unreasonable for the jury to disbelieve everything the complainant said and acquit Mr. Yelle of the only charges he was facing, but then convict him of the included offence of assault.  Martin J.A. explained that the only explanation offered for the alleged assault was that Mr. Yelle struck the complainant to facilitate sexual intercourse, and that it followed that if the strikes to the complainant occurred, Mr. Yelle should have been convicted, not acquitted, of sexual assault. </w:t>
      </w:r>
    </w:p>
    <w:p w:rsidR="00D43AD2" w:rsidRPr="008437A5" w:rsidRDefault="00D43AD2" w:rsidP="00D43AD2">
      <w:pPr>
        <w:widowControl w:val="0"/>
        <w:jc w:val="both"/>
        <w:rPr>
          <w:sz w:val="20"/>
          <w:szCs w:val="20"/>
        </w:rPr>
      </w:pPr>
    </w:p>
    <w:p w:rsidR="00D43AD2" w:rsidRPr="008437A5" w:rsidRDefault="00D43AD2" w:rsidP="00D43AD2">
      <w:pPr>
        <w:widowControl w:val="0"/>
        <w:jc w:val="both"/>
        <w:rPr>
          <w:sz w:val="20"/>
          <w:szCs w:val="20"/>
        </w:rPr>
      </w:pPr>
    </w:p>
    <w:p w:rsidR="00D43AD2" w:rsidRPr="008437A5" w:rsidRDefault="00D43AD2" w:rsidP="00D43AD2">
      <w:pPr>
        <w:widowControl w:val="0"/>
        <w:ind w:left="2880" w:hanging="2880"/>
        <w:jc w:val="both"/>
        <w:rPr>
          <w:sz w:val="20"/>
          <w:szCs w:val="20"/>
        </w:rPr>
      </w:pPr>
      <w:r w:rsidRPr="008437A5">
        <w:rPr>
          <w:sz w:val="20"/>
          <w:szCs w:val="20"/>
        </w:rPr>
        <w:t>Origin of the case:</w:t>
      </w:r>
      <w:r w:rsidRPr="008437A5">
        <w:rPr>
          <w:sz w:val="20"/>
          <w:szCs w:val="20"/>
        </w:rPr>
        <w:tab/>
        <w:t>Northwest Territories</w:t>
      </w:r>
    </w:p>
    <w:p w:rsidR="00D43AD2" w:rsidRPr="008437A5" w:rsidRDefault="00D43AD2" w:rsidP="00D43AD2">
      <w:pPr>
        <w:widowControl w:val="0"/>
        <w:ind w:left="2880" w:hanging="2880"/>
        <w:jc w:val="both"/>
        <w:rPr>
          <w:sz w:val="20"/>
          <w:szCs w:val="20"/>
        </w:rPr>
      </w:pPr>
    </w:p>
    <w:p w:rsidR="00D43AD2" w:rsidRPr="008437A5" w:rsidRDefault="00D43AD2" w:rsidP="00D43AD2">
      <w:pPr>
        <w:widowControl w:val="0"/>
        <w:ind w:left="2880" w:hanging="2880"/>
        <w:jc w:val="both"/>
        <w:rPr>
          <w:sz w:val="20"/>
          <w:szCs w:val="20"/>
        </w:rPr>
      </w:pPr>
      <w:r w:rsidRPr="008437A5">
        <w:rPr>
          <w:sz w:val="20"/>
          <w:szCs w:val="20"/>
        </w:rPr>
        <w:t>File No.:</w:t>
      </w:r>
      <w:r w:rsidRPr="008437A5">
        <w:rPr>
          <w:sz w:val="20"/>
          <w:szCs w:val="20"/>
        </w:rPr>
        <w:tab/>
        <w:t>35361</w:t>
      </w:r>
    </w:p>
    <w:p w:rsidR="00D43AD2" w:rsidRPr="008437A5" w:rsidRDefault="00D43AD2" w:rsidP="00D43AD2">
      <w:pPr>
        <w:widowControl w:val="0"/>
        <w:ind w:left="2880" w:hanging="2880"/>
        <w:jc w:val="both"/>
        <w:rPr>
          <w:sz w:val="20"/>
          <w:szCs w:val="20"/>
        </w:rPr>
      </w:pPr>
    </w:p>
    <w:p w:rsidR="00D43AD2" w:rsidRPr="008437A5" w:rsidRDefault="00D43AD2" w:rsidP="00D43AD2">
      <w:pPr>
        <w:widowControl w:val="0"/>
        <w:ind w:left="2880" w:hanging="2880"/>
        <w:jc w:val="both"/>
        <w:rPr>
          <w:sz w:val="20"/>
          <w:szCs w:val="20"/>
        </w:rPr>
      </w:pPr>
      <w:r w:rsidRPr="008437A5">
        <w:rPr>
          <w:sz w:val="20"/>
          <w:szCs w:val="20"/>
        </w:rPr>
        <w:t>Judgment of the Court of Appeal:</w:t>
      </w:r>
      <w:r w:rsidRPr="008437A5">
        <w:rPr>
          <w:sz w:val="20"/>
          <w:szCs w:val="20"/>
        </w:rPr>
        <w:tab/>
        <w:t>April 16, 2013</w:t>
      </w:r>
    </w:p>
    <w:p w:rsidR="00D43AD2" w:rsidRPr="008437A5" w:rsidRDefault="00D43AD2" w:rsidP="00D43AD2">
      <w:pPr>
        <w:widowControl w:val="0"/>
        <w:ind w:left="2880" w:hanging="2880"/>
        <w:jc w:val="both"/>
        <w:rPr>
          <w:sz w:val="20"/>
          <w:szCs w:val="20"/>
        </w:rPr>
      </w:pPr>
    </w:p>
    <w:p w:rsidR="00D43AD2" w:rsidRPr="008437A5" w:rsidRDefault="00D43AD2" w:rsidP="00D43AD2">
      <w:pPr>
        <w:widowControl w:val="0"/>
        <w:ind w:left="2880" w:hanging="2880"/>
        <w:jc w:val="both"/>
        <w:rPr>
          <w:sz w:val="20"/>
          <w:szCs w:val="20"/>
        </w:rPr>
      </w:pPr>
      <w:r w:rsidRPr="008437A5">
        <w:rPr>
          <w:sz w:val="20"/>
          <w:szCs w:val="20"/>
        </w:rPr>
        <w:t>Counsel:</w:t>
      </w:r>
      <w:r w:rsidRPr="008437A5">
        <w:rPr>
          <w:sz w:val="20"/>
          <w:szCs w:val="20"/>
        </w:rPr>
        <w:tab/>
        <w:t>Charles B. Davison for the appellant</w:t>
      </w:r>
    </w:p>
    <w:p w:rsidR="00D43AD2" w:rsidRPr="008437A5" w:rsidRDefault="00D43AD2" w:rsidP="00D43AD2">
      <w:pPr>
        <w:widowControl w:val="0"/>
        <w:ind w:left="2880" w:hanging="2880"/>
        <w:jc w:val="both"/>
        <w:rPr>
          <w:sz w:val="20"/>
          <w:szCs w:val="20"/>
        </w:rPr>
      </w:pPr>
      <w:r w:rsidRPr="008437A5">
        <w:rPr>
          <w:sz w:val="20"/>
          <w:szCs w:val="20"/>
        </w:rPr>
        <w:tab/>
        <w:t>Marc Lecorre for the respondent</w:t>
      </w:r>
    </w:p>
    <w:p w:rsidR="00F164B3" w:rsidRPr="008C582F" w:rsidRDefault="00F164B3" w:rsidP="00F164B3">
      <w:pPr>
        <w:tabs>
          <w:tab w:val="left" w:pos="-1440"/>
          <w:tab w:val="left" w:pos="-720"/>
        </w:tabs>
        <w:jc w:val="both"/>
        <w:rPr>
          <w:sz w:val="20"/>
          <w:szCs w:val="20"/>
        </w:rPr>
      </w:pPr>
    </w:p>
    <w:p w:rsidR="00F164B3" w:rsidRDefault="00A47393" w:rsidP="00F164B3">
      <w:pPr>
        <w:tabs>
          <w:tab w:val="left" w:pos="-1440"/>
          <w:tab w:val="left" w:pos="-720"/>
        </w:tabs>
        <w:jc w:val="both"/>
        <w:rPr>
          <w:sz w:val="20"/>
          <w:szCs w:val="20"/>
          <w:lang w:val="fr-CA"/>
        </w:rPr>
      </w:pPr>
      <w:r>
        <w:rPr>
          <w:sz w:val="20"/>
          <w:szCs w:val="20"/>
          <w:lang w:val="fr-CA"/>
        </w:rPr>
        <w:pict>
          <v:rect id="_x0000_i1063" style="width:2in;height:1pt" o:hrpct="0" o:hralign="center" o:hrstd="t" o:hrnoshade="t" o:hr="t" fillcolor="black [3213]" stroked="f"/>
        </w:pict>
      </w:r>
    </w:p>
    <w:p w:rsidR="00F164B3" w:rsidRDefault="00F164B3" w:rsidP="00F164B3">
      <w:pPr>
        <w:tabs>
          <w:tab w:val="left" w:pos="-1440"/>
          <w:tab w:val="left" w:pos="-720"/>
        </w:tabs>
        <w:jc w:val="both"/>
        <w:rPr>
          <w:sz w:val="20"/>
          <w:szCs w:val="20"/>
          <w:lang w:val="fr-CA"/>
        </w:rPr>
      </w:pPr>
    </w:p>
    <w:p w:rsidR="00F164B3" w:rsidRDefault="00F164B3">
      <w:pPr>
        <w:rPr>
          <w:sz w:val="20"/>
          <w:szCs w:val="20"/>
          <w:lang w:val="fr-CA"/>
        </w:rPr>
      </w:pPr>
    </w:p>
    <w:p w:rsidR="00F164B3" w:rsidRDefault="00F164B3">
      <w:pPr>
        <w:rPr>
          <w:sz w:val="20"/>
          <w:szCs w:val="20"/>
          <w:lang w:val="fr-CA"/>
        </w:rPr>
      </w:pPr>
      <w:r>
        <w:rPr>
          <w:sz w:val="20"/>
          <w:szCs w:val="20"/>
          <w:lang w:val="fr-CA"/>
        </w:rPr>
        <w:br w:type="page"/>
      </w:r>
    </w:p>
    <w:p w:rsidR="00D43AD2" w:rsidRPr="006E637D" w:rsidRDefault="001C5DB7" w:rsidP="00D43AD2">
      <w:pPr>
        <w:widowControl w:val="0"/>
        <w:ind w:left="720" w:hanging="720"/>
        <w:jc w:val="both"/>
        <w:rPr>
          <w:sz w:val="20"/>
          <w:szCs w:val="20"/>
          <w:lang w:val="fr-CA"/>
        </w:rPr>
      </w:pPr>
      <w:r w:rsidRPr="006E637D">
        <w:rPr>
          <w:b/>
          <w:sz w:val="20"/>
          <w:szCs w:val="20"/>
          <w:lang w:val="fr-CA"/>
        </w:rPr>
        <w:lastRenderedPageBreak/>
        <w:fldChar w:fldCharType="begin"/>
      </w:r>
      <w:r w:rsidR="00D43AD2" w:rsidRPr="006E637D">
        <w:rPr>
          <w:b/>
          <w:sz w:val="20"/>
          <w:szCs w:val="20"/>
          <w:lang w:val="fr-CA"/>
        </w:rPr>
        <w:instrText xml:space="preserve"> SEQ CHAPTER \h \r 1</w:instrText>
      </w:r>
      <w:r w:rsidRPr="006E637D">
        <w:rPr>
          <w:b/>
          <w:sz w:val="20"/>
          <w:szCs w:val="20"/>
          <w:lang w:val="fr-CA"/>
        </w:rPr>
        <w:fldChar w:fldCharType="end"/>
      </w:r>
      <w:r w:rsidR="00D43AD2" w:rsidRPr="006E637D">
        <w:rPr>
          <w:b/>
          <w:sz w:val="20"/>
          <w:szCs w:val="20"/>
          <w:lang w:val="fr-CA"/>
        </w:rPr>
        <w:t>35361</w:t>
      </w:r>
      <w:r w:rsidR="00D43AD2" w:rsidRPr="006E637D">
        <w:rPr>
          <w:sz w:val="20"/>
          <w:szCs w:val="20"/>
          <w:lang w:val="fr-CA"/>
        </w:rPr>
        <w:tab/>
      </w:r>
      <w:r w:rsidR="00D43AD2" w:rsidRPr="006E637D">
        <w:rPr>
          <w:b/>
          <w:i/>
          <w:sz w:val="20"/>
          <w:szCs w:val="20"/>
          <w:lang w:val="fr-CA"/>
        </w:rPr>
        <w:t>Gary Edward Yelle c. Sa Majesté la Reine</w:t>
      </w:r>
    </w:p>
    <w:p w:rsidR="00D43AD2" w:rsidRPr="006E637D" w:rsidRDefault="00D43AD2" w:rsidP="00D43AD2">
      <w:pPr>
        <w:widowControl w:val="0"/>
        <w:jc w:val="both"/>
        <w:rPr>
          <w:sz w:val="20"/>
          <w:szCs w:val="20"/>
          <w:lang w:val="fr-CA"/>
        </w:rPr>
      </w:pPr>
    </w:p>
    <w:p w:rsidR="00D43AD2" w:rsidRPr="006E637D" w:rsidRDefault="00D43AD2" w:rsidP="00D43AD2">
      <w:pPr>
        <w:widowControl w:val="0"/>
        <w:jc w:val="both"/>
        <w:rPr>
          <w:sz w:val="20"/>
          <w:szCs w:val="20"/>
          <w:lang w:val="fr-CA"/>
        </w:rPr>
      </w:pPr>
      <w:r w:rsidRPr="006E637D">
        <w:rPr>
          <w:sz w:val="20"/>
          <w:szCs w:val="20"/>
          <w:lang w:val="fr-CA"/>
        </w:rPr>
        <w:t xml:space="preserve">Droit criminel </w:t>
      </w:r>
      <w:r w:rsidRPr="006E637D">
        <w:rPr>
          <w:sz w:val="20"/>
          <w:szCs w:val="20"/>
          <w:lang w:val="fr-CA"/>
        </w:rPr>
        <w:noBreakHyphen/>
        <w:t xml:space="preserve"> Agression sexuelle </w:t>
      </w:r>
      <w:r w:rsidRPr="006E637D">
        <w:rPr>
          <w:sz w:val="20"/>
          <w:szCs w:val="20"/>
          <w:lang w:val="fr-CA"/>
        </w:rPr>
        <w:noBreakHyphen/>
        <w:t xml:space="preserve"> Infraction moindre et incluse de voies de fait </w:t>
      </w:r>
      <w:r w:rsidRPr="006E637D">
        <w:rPr>
          <w:sz w:val="20"/>
          <w:szCs w:val="20"/>
          <w:lang w:val="fr-CA"/>
        </w:rPr>
        <w:noBreakHyphen/>
        <w:t xml:space="preserve"> Le verdict était</w:t>
      </w:r>
      <w:r w:rsidRPr="006E637D">
        <w:rPr>
          <w:sz w:val="20"/>
          <w:szCs w:val="20"/>
          <w:lang w:val="fr-CA"/>
        </w:rPr>
        <w:noBreakHyphen/>
        <w:t>il déraisonnable?</w:t>
      </w:r>
    </w:p>
    <w:p w:rsidR="00D43AD2" w:rsidRPr="006E637D" w:rsidRDefault="00D43AD2" w:rsidP="00D43AD2">
      <w:pPr>
        <w:widowControl w:val="0"/>
        <w:jc w:val="both"/>
        <w:rPr>
          <w:sz w:val="20"/>
          <w:szCs w:val="20"/>
          <w:lang w:val="fr-CA"/>
        </w:rPr>
      </w:pPr>
    </w:p>
    <w:p w:rsidR="00D43AD2" w:rsidRPr="006E637D" w:rsidRDefault="00DC287B" w:rsidP="00D43AD2">
      <w:pPr>
        <w:widowControl w:val="0"/>
        <w:jc w:val="both"/>
        <w:rPr>
          <w:sz w:val="20"/>
          <w:szCs w:val="20"/>
          <w:lang w:val="fr-CA"/>
        </w:rPr>
      </w:pPr>
      <w:r w:rsidRPr="00C00278">
        <w:rPr>
          <w:sz w:val="20"/>
          <w:szCs w:val="20"/>
          <w:lang w:val="fr-CA"/>
        </w:rPr>
        <w:t xml:space="preserve">L’appelant, M. Yelle, a été déclaré coupable d’agression sexuelle et d’avoir proféré des menaces, mais le jury l’a déclaré coupable d’une infraction moindre et incluse de voies de fait.  Le ministère public a soutenu que M. Yelle n’aurait frappé la plaignante que pour faciliter les rapports sexuels.  Des photographies des blessures de la plaignante ont été produites au procès, mais aucune preuve génétique n’a été produite au soutien des accusations.  Il y avait aussi des incohérences importantes quant au témoignage de la plaignante.  Monsieur Yelle a interjeté appel, plaidant que le verdict était déraisonnable et que l’exposé au jury ne comportait aucune mise en garde sur la fiabilité de la plaignante ni de directives portant sur l’infraction moindre de voies de fait.  Les juges majoritaires de la Cour d’appel ont rejeté l’appel.  Le juge Martin, dissident, aurait accueilli l’appel et prononcé un verdict d’acquittement.  À son avis, il était déraisonnable que le jury ne croie pas tout ce que la plaignante avait dit et acquitte M. Yelle relativement à toutes les accusations portées contre lui, mais le déclare ensuite coupable de l’infraction incluse de voies de fait. Selon le juge Martin, la seule explication offerte relativement aux voies de fait présumées était que M. Yelle avait frappé la plaignante pour faciliter les rapports sexuels et que si la plaignante avait effectivement été frappée, M. Yelle aurait dû être déclaré coupable — et non acquitté — d’agression sexuelle. </w:t>
      </w:r>
      <w:r w:rsidR="00D43AD2" w:rsidRPr="006E637D">
        <w:rPr>
          <w:sz w:val="20"/>
          <w:szCs w:val="20"/>
          <w:lang w:val="fr-CA"/>
        </w:rPr>
        <w:t xml:space="preserve"> </w:t>
      </w:r>
    </w:p>
    <w:p w:rsidR="00D43AD2" w:rsidRPr="006E637D" w:rsidRDefault="00D43AD2" w:rsidP="00D43AD2">
      <w:pPr>
        <w:widowControl w:val="0"/>
        <w:jc w:val="both"/>
        <w:rPr>
          <w:sz w:val="20"/>
          <w:szCs w:val="20"/>
          <w:lang w:val="fr-CA"/>
        </w:rPr>
      </w:pPr>
    </w:p>
    <w:p w:rsidR="00D43AD2" w:rsidRPr="006E637D" w:rsidRDefault="00D43AD2" w:rsidP="00D43AD2">
      <w:pPr>
        <w:widowControl w:val="0"/>
        <w:jc w:val="both"/>
        <w:rPr>
          <w:sz w:val="20"/>
          <w:szCs w:val="20"/>
          <w:lang w:val="fr-CA"/>
        </w:rPr>
      </w:pPr>
    </w:p>
    <w:p w:rsidR="00D43AD2" w:rsidRPr="006E637D" w:rsidRDefault="00D43AD2" w:rsidP="00D43AD2">
      <w:pPr>
        <w:widowControl w:val="0"/>
        <w:ind w:left="2880" w:hanging="2880"/>
        <w:jc w:val="both"/>
        <w:rPr>
          <w:sz w:val="20"/>
          <w:szCs w:val="20"/>
          <w:lang w:val="fr-CA"/>
        </w:rPr>
      </w:pPr>
      <w:r w:rsidRPr="006E637D">
        <w:rPr>
          <w:sz w:val="20"/>
          <w:szCs w:val="20"/>
          <w:lang w:val="fr-CA"/>
        </w:rPr>
        <w:t>Origine :</w:t>
      </w:r>
      <w:r w:rsidRPr="006E637D">
        <w:rPr>
          <w:sz w:val="20"/>
          <w:szCs w:val="20"/>
          <w:lang w:val="fr-CA"/>
        </w:rPr>
        <w:tab/>
        <w:t>Territoires du Nord</w:t>
      </w:r>
      <w:r w:rsidRPr="006E637D">
        <w:rPr>
          <w:sz w:val="20"/>
          <w:szCs w:val="20"/>
          <w:lang w:val="fr-CA"/>
        </w:rPr>
        <w:noBreakHyphen/>
        <w:t>Ouest</w:t>
      </w:r>
    </w:p>
    <w:p w:rsidR="00D43AD2" w:rsidRPr="006E637D" w:rsidRDefault="00D43AD2" w:rsidP="00D43AD2">
      <w:pPr>
        <w:widowControl w:val="0"/>
        <w:ind w:left="2880" w:hanging="2880"/>
        <w:jc w:val="both"/>
        <w:rPr>
          <w:sz w:val="20"/>
          <w:szCs w:val="20"/>
          <w:lang w:val="fr-CA"/>
        </w:rPr>
      </w:pPr>
    </w:p>
    <w:p w:rsidR="00D43AD2" w:rsidRPr="006E637D" w:rsidRDefault="00D43AD2" w:rsidP="00D43AD2">
      <w:pPr>
        <w:widowControl w:val="0"/>
        <w:ind w:left="2880" w:hanging="2880"/>
        <w:jc w:val="both"/>
        <w:rPr>
          <w:sz w:val="20"/>
          <w:szCs w:val="20"/>
          <w:lang w:val="fr-CA"/>
        </w:rPr>
      </w:pPr>
      <w:r w:rsidRPr="006E637D">
        <w:rPr>
          <w:sz w:val="20"/>
          <w:szCs w:val="20"/>
          <w:lang w:val="fr-CA"/>
        </w:rPr>
        <w:t>N</w:t>
      </w:r>
      <w:r w:rsidRPr="006E637D">
        <w:rPr>
          <w:sz w:val="20"/>
          <w:szCs w:val="20"/>
          <w:vertAlign w:val="superscript"/>
          <w:lang w:val="fr-CA"/>
        </w:rPr>
        <w:t>o</w:t>
      </w:r>
      <w:r w:rsidRPr="006E637D">
        <w:rPr>
          <w:sz w:val="20"/>
          <w:szCs w:val="20"/>
          <w:lang w:val="fr-CA"/>
        </w:rPr>
        <w:t xml:space="preserve"> du greffe :</w:t>
      </w:r>
      <w:r w:rsidRPr="006E637D">
        <w:rPr>
          <w:sz w:val="20"/>
          <w:szCs w:val="20"/>
          <w:lang w:val="fr-CA"/>
        </w:rPr>
        <w:tab/>
        <w:t>35361</w:t>
      </w:r>
    </w:p>
    <w:p w:rsidR="00D43AD2" w:rsidRPr="006E637D" w:rsidRDefault="00D43AD2" w:rsidP="00D43AD2">
      <w:pPr>
        <w:widowControl w:val="0"/>
        <w:ind w:left="2880" w:hanging="2880"/>
        <w:jc w:val="both"/>
        <w:rPr>
          <w:sz w:val="20"/>
          <w:szCs w:val="20"/>
          <w:lang w:val="fr-CA"/>
        </w:rPr>
      </w:pPr>
    </w:p>
    <w:p w:rsidR="00D43AD2" w:rsidRPr="006E637D" w:rsidRDefault="00D43AD2" w:rsidP="00D43AD2">
      <w:pPr>
        <w:widowControl w:val="0"/>
        <w:ind w:left="2880" w:hanging="2880"/>
        <w:jc w:val="both"/>
        <w:rPr>
          <w:sz w:val="20"/>
          <w:szCs w:val="20"/>
          <w:lang w:val="fr-CA"/>
        </w:rPr>
      </w:pPr>
      <w:r w:rsidRPr="006E637D">
        <w:rPr>
          <w:sz w:val="20"/>
          <w:szCs w:val="20"/>
          <w:lang w:val="fr-CA"/>
        </w:rPr>
        <w:t>Arrêt de la Cour d’appel :</w:t>
      </w:r>
      <w:r w:rsidRPr="006E637D">
        <w:rPr>
          <w:sz w:val="20"/>
          <w:szCs w:val="20"/>
          <w:lang w:val="fr-CA"/>
        </w:rPr>
        <w:tab/>
        <w:t>le 16 avril 2013</w:t>
      </w:r>
    </w:p>
    <w:p w:rsidR="00D43AD2" w:rsidRPr="006E637D" w:rsidRDefault="00D43AD2" w:rsidP="00D43AD2">
      <w:pPr>
        <w:widowControl w:val="0"/>
        <w:ind w:left="2880" w:hanging="2880"/>
        <w:jc w:val="both"/>
        <w:rPr>
          <w:sz w:val="20"/>
          <w:szCs w:val="20"/>
          <w:lang w:val="fr-CA"/>
        </w:rPr>
      </w:pPr>
    </w:p>
    <w:p w:rsidR="00D43AD2" w:rsidRPr="006E637D" w:rsidRDefault="00D43AD2" w:rsidP="00D43AD2">
      <w:pPr>
        <w:widowControl w:val="0"/>
        <w:ind w:left="2880" w:hanging="2880"/>
        <w:jc w:val="both"/>
        <w:rPr>
          <w:sz w:val="20"/>
          <w:szCs w:val="20"/>
          <w:lang w:val="fr-CA"/>
        </w:rPr>
      </w:pPr>
      <w:r w:rsidRPr="006E637D">
        <w:rPr>
          <w:sz w:val="20"/>
          <w:szCs w:val="20"/>
          <w:lang w:val="fr-CA"/>
        </w:rPr>
        <w:t>Avocats :</w:t>
      </w:r>
      <w:r w:rsidRPr="006E637D">
        <w:rPr>
          <w:sz w:val="20"/>
          <w:szCs w:val="20"/>
          <w:lang w:val="fr-CA"/>
        </w:rPr>
        <w:tab/>
        <w:t>Charles B. Davison pour l’appelant</w:t>
      </w:r>
    </w:p>
    <w:p w:rsidR="00D43AD2" w:rsidRPr="006E637D" w:rsidRDefault="00D43AD2" w:rsidP="00D43AD2">
      <w:pPr>
        <w:widowControl w:val="0"/>
        <w:ind w:left="2880" w:hanging="2880"/>
        <w:jc w:val="both"/>
        <w:rPr>
          <w:sz w:val="20"/>
          <w:szCs w:val="20"/>
          <w:lang w:val="fr-CA"/>
        </w:rPr>
      </w:pPr>
      <w:r w:rsidRPr="006E637D">
        <w:rPr>
          <w:sz w:val="20"/>
          <w:szCs w:val="20"/>
          <w:lang w:val="fr-CA"/>
        </w:rPr>
        <w:tab/>
        <w:t>Marc Lecorre pour l’intimée</w:t>
      </w:r>
    </w:p>
    <w:p w:rsidR="00F164B3" w:rsidRPr="00DD0B49" w:rsidRDefault="00F164B3" w:rsidP="00F164B3">
      <w:pPr>
        <w:tabs>
          <w:tab w:val="left" w:pos="-1440"/>
          <w:tab w:val="left" w:pos="-720"/>
        </w:tabs>
        <w:jc w:val="both"/>
        <w:rPr>
          <w:sz w:val="20"/>
          <w:szCs w:val="20"/>
          <w:lang w:val="fr-CA"/>
        </w:rPr>
      </w:pPr>
    </w:p>
    <w:p w:rsidR="00F164B3" w:rsidRDefault="00A47393" w:rsidP="00F164B3">
      <w:pPr>
        <w:tabs>
          <w:tab w:val="left" w:pos="-1440"/>
          <w:tab w:val="left" w:pos="-720"/>
        </w:tabs>
        <w:jc w:val="both"/>
        <w:rPr>
          <w:sz w:val="20"/>
          <w:szCs w:val="20"/>
          <w:lang w:val="fr-CA"/>
        </w:rPr>
      </w:pPr>
      <w:r>
        <w:rPr>
          <w:sz w:val="20"/>
          <w:szCs w:val="20"/>
          <w:lang w:val="fr-CA"/>
        </w:rPr>
        <w:pict>
          <v:rect id="_x0000_i1064" style="width:2in;height:1pt" o:hrpct="0" o:hralign="center" o:hrstd="t" o:hrnoshade="t" o:hr="t" fillcolor="black [3213]" stroked="f"/>
        </w:pict>
      </w:r>
    </w:p>
    <w:p w:rsidR="00F164B3" w:rsidRDefault="00F164B3" w:rsidP="00F164B3">
      <w:pPr>
        <w:tabs>
          <w:tab w:val="left" w:pos="-1440"/>
          <w:tab w:val="left" w:pos="-720"/>
        </w:tabs>
        <w:jc w:val="both"/>
        <w:rPr>
          <w:sz w:val="20"/>
          <w:szCs w:val="20"/>
          <w:lang w:val="fr-CA"/>
        </w:rPr>
      </w:pPr>
    </w:p>
    <w:p w:rsidR="00F164B3" w:rsidRDefault="00F164B3">
      <w:pPr>
        <w:rPr>
          <w:sz w:val="20"/>
          <w:szCs w:val="20"/>
          <w:lang w:val="fr-CA"/>
        </w:rPr>
      </w:pPr>
    </w:p>
    <w:p w:rsidR="00F164B3" w:rsidRDefault="00F164B3">
      <w:pPr>
        <w:rPr>
          <w:sz w:val="20"/>
          <w:szCs w:val="20"/>
          <w:lang w:val="fr-CA"/>
        </w:rPr>
      </w:pPr>
      <w:r>
        <w:rPr>
          <w:sz w:val="20"/>
          <w:szCs w:val="20"/>
          <w:lang w:val="fr-CA"/>
        </w:rPr>
        <w:br w:type="page"/>
      </w:r>
    </w:p>
    <w:p w:rsidR="003B41C6" w:rsidRPr="00BE38FE" w:rsidRDefault="001C5DB7" w:rsidP="003B41C6">
      <w:pPr>
        <w:widowControl w:val="0"/>
        <w:ind w:left="720" w:hanging="720"/>
        <w:jc w:val="both"/>
        <w:rPr>
          <w:sz w:val="20"/>
          <w:szCs w:val="20"/>
        </w:rPr>
      </w:pPr>
      <w:r w:rsidRPr="00BE38FE">
        <w:rPr>
          <w:b/>
          <w:sz w:val="20"/>
          <w:szCs w:val="20"/>
        </w:rPr>
        <w:lastRenderedPageBreak/>
        <w:fldChar w:fldCharType="begin"/>
      </w:r>
      <w:r w:rsidR="003B41C6" w:rsidRPr="00BE38FE">
        <w:rPr>
          <w:b/>
          <w:sz w:val="20"/>
          <w:szCs w:val="20"/>
        </w:rPr>
        <w:instrText xml:space="preserve"> SEQ CHAPTER \h \r 1</w:instrText>
      </w:r>
      <w:r w:rsidRPr="00BE38FE">
        <w:rPr>
          <w:b/>
          <w:sz w:val="20"/>
          <w:szCs w:val="20"/>
        </w:rPr>
        <w:fldChar w:fldCharType="end"/>
      </w:r>
      <w:r w:rsidR="003B41C6" w:rsidRPr="00BE38FE">
        <w:rPr>
          <w:b/>
          <w:sz w:val="20"/>
          <w:szCs w:val="20"/>
        </w:rPr>
        <w:t>35411</w:t>
      </w:r>
      <w:r w:rsidR="003B41C6" w:rsidRPr="00BE38FE">
        <w:rPr>
          <w:sz w:val="20"/>
          <w:szCs w:val="20"/>
        </w:rPr>
        <w:tab/>
      </w:r>
      <w:r w:rsidR="003B41C6" w:rsidRPr="00BE38FE">
        <w:rPr>
          <w:b/>
          <w:i/>
          <w:sz w:val="20"/>
          <w:szCs w:val="20"/>
        </w:rPr>
        <w:t>Andy Koczab v. Her Majesty the Queen</w:t>
      </w:r>
    </w:p>
    <w:p w:rsidR="003B41C6" w:rsidRPr="00BE38FE" w:rsidRDefault="003B41C6" w:rsidP="003B41C6">
      <w:pPr>
        <w:widowControl w:val="0"/>
        <w:jc w:val="both"/>
        <w:rPr>
          <w:sz w:val="20"/>
          <w:szCs w:val="20"/>
        </w:rPr>
      </w:pPr>
    </w:p>
    <w:p w:rsidR="003B41C6" w:rsidRPr="00BE38FE" w:rsidRDefault="003B41C6" w:rsidP="003B41C6">
      <w:pPr>
        <w:widowControl w:val="0"/>
        <w:jc w:val="both"/>
        <w:rPr>
          <w:sz w:val="20"/>
          <w:szCs w:val="20"/>
        </w:rPr>
      </w:pPr>
      <w:r w:rsidRPr="00BE38FE">
        <w:rPr>
          <w:i/>
          <w:sz w:val="20"/>
          <w:szCs w:val="20"/>
        </w:rPr>
        <w:t>Charter of rights</w:t>
      </w:r>
      <w:r w:rsidRPr="00BE38FE">
        <w:rPr>
          <w:sz w:val="20"/>
          <w:szCs w:val="20"/>
        </w:rPr>
        <w:t xml:space="preserve"> </w:t>
      </w:r>
      <w:r w:rsidRPr="00BE38FE">
        <w:rPr>
          <w:sz w:val="20"/>
          <w:szCs w:val="20"/>
        </w:rPr>
        <w:noBreakHyphen/>
        <w:t xml:space="preserve"> Criminal law </w:t>
      </w:r>
      <w:r w:rsidRPr="00BE38FE">
        <w:rPr>
          <w:sz w:val="20"/>
          <w:szCs w:val="20"/>
        </w:rPr>
        <w:noBreakHyphen/>
        <w:t xml:space="preserve"> Psychological detention </w:t>
      </w:r>
      <w:r w:rsidRPr="00BE38FE">
        <w:rPr>
          <w:sz w:val="20"/>
          <w:szCs w:val="20"/>
        </w:rPr>
        <w:noBreakHyphen/>
        <w:t xml:space="preserve"> Exclusion of evidence </w:t>
      </w:r>
      <w:r w:rsidRPr="00BE38FE">
        <w:rPr>
          <w:sz w:val="20"/>
          <w:szCs w:val="20"/>
        </w:rPr>
        <w:noBreakHyphen/>
        <w:t xml:space="preserve"> Whether majority of Court of Appeal erred by reversing trial judge’s findings that appellant was psychologically detained and that his s. 10 </w:t>
      </w:r>
      <w:r w:rsidRPr="00BE38FE">
        <w:rPr>
          <w:i/>
          <w:sz w:val="20"/>
          <w:szCs w:val="20"/>
        </w:rPr>
        <w:t>Charter</w:t>
      </w:r>
      <w:r w:rsidRPr="00BE38FE">
        <w:rPr>
          <w:sz w:val="20"/>
          <w:szCs w:val="20"/>
        </w:rPr>
        <w:t xml:space="preserve"> rights were violated </w:t>
      </w:r>
      <w:r w:rsidRPr="00BE38FE">
        <w:rPr>
          <w:sz w:val="20"/>
          <w:szCs w:val="20"/>
        </w:rPr>
        <w:noBreakHyphen/>
        <w:t xml:space="preserve"> Whether majority of Court of Appeal erred by reversing trial judge’s finding that evidence should be excluded </w:t>
      </w:r>
      <w:r w:rsidRPr="00BE38FE">
        <w:rPr>
          <w:sz w:val="20"/>
          <w:szCs w:val="20"/>
        </w:rPr>
        <w:noBreakHyphen/>
        <w:t xml:space="preserve"> </w:t>
      </w:r>
      <w:r w:rsidRPr="00BE38FE">
        <w:rPr>
          <w:i/>
          <w:sz w:val="20"/>
          <w:szCs w:val="20"/>
        </w:rPr>
        <w:t>Canadian Charter of Rights and Freedoms</w:t>
      </w:r>
      <w:r w:rsidRPr="00BE38FE">
        <w:rPr>
          <w:sz w:val="20"/>
          <w:szCs w:val="20"/>
        </w:rPr>
        <w:t>, ss. 10 and 24(2).</w:t>
      </w:r>
    </w:p>
    <w:p w:rsidR="003B41C6" w:rsidRPr="00BE38FE" w:rsidRDefault="003B41C6" w:rsidP="003B41C6">
      <w:pPr>
        <w:widowControl w:val="0"/>
        <w:jc w:val="both"/>
        <w:rPr>
          <w:sz w:val="20"/>
          <w:szCs w:val="20"/>
        </w:rPr>
      </w:pPr>
    </w:p>
    <w:p w:rsidR="003B41C6" w:rsidRPr="00BE38FE" w:rsidRDefault="003B41C6" w:rsidP="003B41C6">
      <w:pPr>
        <w:widowControl w:val="0"/>
        <w:jc w:val="both"/>
        <w:rPr>
          <w:sz w:val="20"/>
          <w:szCs w:val="20"/>
        </w:rPr>
      </w:pPr>
      <w:r w:rsidRPr="00BE38FE">
        <w:rPr>
          <w:sz w:val="20"/>
          <w:szCs w:val="20"/>
        </w:rPr>
        <w:t xml:space="preserve">The appellant was acquitted of one count of trafficking cocaine and one count of possession for the purpose of trafficking cocaine.  The drugs were discovered in a hidden compartment in the appellant’s vehicle after he was pulled over for speeding.  The trial judge found that the appellant’s s. 10 </w:t>
      </w:r>
      <w:r w:rsidRPr="00BE38FE">
        <w:rPr>
          <w:i/>
          <w:sz w:val="20"/>
          <w:szCs w:val="20"/>
        </w:rPr>
        <w:t>Charter</w:t>
      </w:r>
      <w:r w:rsidRPr="00BE38FE">
        <w:rPr>
          <w:sz w:val="20"/>
          <w:szCs w:val="20"/>
        </w:rPr>
        <w:t xml:space="preserve"> rights had been violated because while he was psychologically detained, the officer asked him several questions which he answered without having been advised of the reasons for his detention or his right to counsel.  Following a s. 24(2) </w:t>
      </w:r>
      <w:r w:rsidRPr="00BE38FE">
        <w:rPr>
          <w:i/>
          <w:sz w:val="20"/>
          <w:szCs w:val="20"/>
        </w:rPr>
        <w:t>Charter</w:t>
      </w:r>
      <w:r w:rsidRPr="00BE38FE">
        <w:rPr>
          <w:sz w:val="20"/>
          <w:szCs w:val="20"/>
        </w:rPr>
        <w:t xml:space="preserve"> analysis, the evidence was excluded and the appellant was acquitted.  A majority of the Court of Appeal allowed the Crown’s appeal and ordered a new trial.  In its view, the trial judge improperly focussed on the officer’s non</w:t>
      </w:r>
      <w:r w:rsidRPr="00BE38FE">
        <w:rPr>
          <w:sz w:val="20"/>
          <w:szCs w:val="20"/>
        </w:rPr>
        <w:noBreakHyphen/>
        <w:t xml:space="preserve">communicated intent to support his </w:t>
      </w:r>
      <w:r w:rsidRPr="00BE38FE">
        <w:rPr>
          <w:i/>
          <w:sz w:val="20"/>
          <w:szCs w:val="20"/>
        </w:rPr>
        <w:t>Charter</w:t>
      </w:r>
      <w:r w:rsidRPr="00BE38FE">
        <w:rPr>
          <w:sz w:val="20"/>
          <w:szCs w:val="20"/>
        </w:rPr>
        <w:t xml:space="preserve"> detention ruling, and he failed to correctly apply the detainee</w:t>
      </w:r>
      <w:r w:rsidRPr="00BE38FE">
        <w:rPr>
          <w:sz w:val="20"/>
          <w:szCs w:val="20"/>
        </w:rPr>
        <w:noBreakHyphen/>
        <w:t>centered objective analysis.  Monnin J.A., dissenting, would have dismissed the appeal.</w:t>
      </w:r>
    </w:p>
    <w:p w:rsidR="003B41C6" w:rsidRPr="00BE38FE" w:rsidRDefault="003B41C6" w:rsidP="003B41C6">
      <w:pPr>
        <w:widowControl w:val="0"/>
        <w:jc w:val="both"/>
        <w:rPr>
          <w:sz w:val="20"/>
          <w:szCs w:val="20"/>
        </w:rPr>
      </w:pPr>
    </w:p>
    <w:p w:rsidR="003B41C6" w:rsidRPr="00BE38FE" w:rsidRDefault="003B41C6" w:rsidP="003B41C6">
      <w:pPr>
        <w:widowControl w:val="0"/>
        <w:jc w:val="both"/>
        <w:rPr>
          <w:sz w:val="20"/>
          <w:szCs w:val="20"/>
        </w:rPr>
      </w:pPr>
    </w:p>
    <w:p w:rsidR="003B41C6" w:rsidRPr="00BE38FE" w:rsidRDefault="003B41C6" w:rsidP="003B41C6">
      <w:pPr>
        <w:widowControl w:val="0"/>
        <w:ind w:left="2880" w:hanging="2880"/>
        <w:jc w:val="both"/>
        <w:rPr>
          <w:sz w:val="20"/>
          <w:szCs w:val="20"/>
        </w:rPr>
      </w:pPr>
      <w:r w:rsidRPr="00BE38FE">
        <w:rPr>
          <w:sz w:val="20"/>
          <w:szCs w:val="20"/>
        </w:rPr>
        <w:t>Origin of the case:</w:t>
      </w:r>
      <w:r w:rsidRPr="00BE38FE">
        <w:rPr>
          <w:sz w:val="20"/>
          <w:szCs w:val="20"/>
        </w:rPr>
        <w:tab/>
        <w:t>Manitoba</w:t>
      </w:r>
    </w:p>
    <w:p w:rsidR="003B41C6" w:rsidRPr="00BE38FE" w:rsidRDefault="003B41C6" w:rsidP="003B41C6">
      <w:pPr>
        <w:widowControl w:val="0"/>
        <w:ind w:left="2880" w:hanging="2880"/>
        <w:jc w:val="both"/>
        <w:rPr>
          <w:sz w:val="20"/>
          <w:szCs w:val="20"/>
        </w:rPr>
      </w:pPr>
    </w:p>
    <w:p w:rsidR="003B41C6" w:rsidRPr="00BE38FE" w:rsidRDefault="003B41C6" w:rsidP="003B41C6">
      <w:pPr>
        <w:widowControl w:val="0"/>
        <w:ind w:left="2880" w:hanging="2880"/>
        <w:jc w:val="both"/>
        <w:rPr>
          <w:sz w:val="20"/>
          <w:szCs w:val="20"/>
        </w:rPr>
      </w:pPr>
      <w:r w:rsidRPr="00BE38FE">
        <w:rPr>
          <w:sz w:val="20"/>
          <w:szCs w:val="20"/>
        </w:rPr>
        <w:t>File No.:</w:t>
      </w:r>
      <w:r w:rsidRPr="00BE38FE">
        <w:rPr>
          <w:sz w:val="20"/>
          <w:szCs w:val="20"/>
        </w:rPr>
        <w:tab/>
        <w:t>35411</w:t>
      </w:r>
    </w:p>
    <w:p w:rsidR="003B41C6" w:rsidRPr="00BE38FE" w:rsidRDefault="003B41C6" w:rsidP="003B41C6">
      <w:pPr>
        <w:widowControl w:val="0"/>
        <w:ind w:left="2880" w:hanging="2880"/>
        <w:jc w:val="both"/>
        <w:rPr>
          <w:sz w:val="20"/>
          <w:szCs w:val="20"/>
        </w:rPr>
      </w:pPr>
    </w:p>
    <w:p w:rsidR="003B41C6" w:rsidRPr="00BE38FE" w:rsidRDefault="003B41C6" w:rsidP="003B41C6">
      <w:pPr>
        <w:widowControl w:val="0"/>
        <w:ind w:left="2880" w:hanging="2880"/>
        <w:jc w:val="both"/>
        <w:rPr>
          <w:sz w:val="20"/>
          <w:szCs w:val="20"/>
        </w:rPr>
      </w:pPr>
      <w:r w:rsidRPr="00BE38FE">
        <w:rPr>
          <w:sz w:val="20"/>
          <w:szCs w:val="20"/>
        </w:rPr>
        <w:t>Judgment of the Court of Appeal:</w:t>
      </w:r>
      <w:r w:rsidRPr="00BE38FE">
        <w:rPr>
          <w:sz w:val="20"/>
          <w:szCs w:val="20"/>
        </w:rPr>
        <w:tab/>
        <w:t>May 30, 2013</w:t>
      </w:r>
    </w:p>
    <w:p w:rsidR="003B41C6" w:rsidRPr="00BE38FE" w:rsidRDefault="003B41C6" w:rsidP="003B41C6">
      <w:pPr>
        <w:widowControl w:val="0"/>
        <w:ind w:left="2880" w:hanging="2880"/>
        <w:jc w:val="both"/>
        <w:rPr>
          <w:sz w:val="20"/>
          <w:szCs w:val="20"/>
        </w:rPr>
      </w:pPr>
    </w:p>
    <w:p w:rsidR="003B41C6" w:rsidRPr="00BE38FE" w:rsidRDefault="003B41C6" w:rsidP="003B41C6">
      <w:pPr>
        <w:widowControl w:val="0"/>
        <w:ind w:left="2880" w:hanging="2880"/>
        <w:jc w:val="both"/>
        <w:rPr>
          <w:sz w:val="20"/>
          <w:szCs w:val="20"/>
        </w:rPr>
      </w:pPr>
      <w:r w:rsidRPr="00BE38FE">
        <w:rPr>
          <w:sz w:val="20"/>
          <w:szCs w:val="20"/>
        </w:rPr>
        <w:t>Counsel:</w:t>
      </w:r>
      <w:r w:rsidRPr="00BE38FE">
        <w:rPr>
          <w:sz w:val="20"/>
          <w:szCs w:val="20"/>
        </w:rPr>
        <w:tab/>
        <w:t>Sheldon Pinx, Q.C. for the appellant</w:t>
      </w:r>
    </w:p>
    <w:p w:rsidR="003B41C6" w:rsidRPr="00BE38FE" w:rsidRDefault="003B41C6" w:rsidP="003B41C6">
      <w:pPr>
        <w:widowControl w:val="0"/>
        <w:ind w:left="2880" w:hanging="2880"/>
        <w:jc w:val="both"/>
        <w:rPr>
          <w:sz w:val="20"/>
          <w:szCs w:val="20"/>
        </w:rPr>
      </w:pPr>
      <w:r w:rsidRPr="00BE38FE">
        <w:rPr>
          <w:sz w:val="20"/>
          <w:szCs w:val="20"/>
        </w:rPr>
        <w:tab/>
        <w:t>Michael Foote for the respondent</w:t>
      </w:r>
    </w:p>
    <w:p w:rsidR="00F164B3" w:rsidRPr="003B41C6" w:rsidRDefault="00F164B3" w:rsidP="00F164B3">
      <w:pPr>
        <w:tabs>
          <w:tab w:val="left" w:pos="-1440"/>
          <w:tab w:val="left" w:pos="-720"/>
        </w:tabs>
        <w:jc w:val="both"/>
        <w:rPr>
          <w:sz w:val="20"/>
          <w:szCs w:val="20"/>
        </w:rPr>
      </w:pPr>
    </w:p>
    <w:p w:rsidR="00F164B3" w:rsidRDefault="00A47393" w:rsidP="00F164B3">
      <w:pPr>
        <w:tabs>
          <w:tab w:val="left" w:pos="-1440"/>
          <w:tab w:val="left" w:pos="-720"/>
        </w:tabs>
        <w:jc w:val="both"/>
        <w:rPr>
          <w:sz w:val="20"/>
          <w:szCs w:val="20"/>
          <w:lang w:val="fr-CA"/>
        </w:rPr>
      </w:pPr>
      <w:r>
        <w:rPr>
          <w:sz w:val="20"/>
          <w:szCs w:val="20"/>
          <w:lang w:val="fr-CA"/>
        </w:rPr>
        <w:pict>
          <v:rect id="_x0000_i1065" style="width:2in;height:1pt" o:hrpct="0" o:hralign="center" o:hrstd="t" o:hrnoshade="t" o:hr="t" fillcolor="black [3213]" stroked="f"/>
        </w:pict>
      </w:r>
    </w:p>
    <w:p w:rsidR="00F164B3" w:rsidRDefault="00F164B3" w:rsidP="00F164B3">
      <w:pPr>
        <w:tabs>
          <w:tab w:val="left" w:pos="-1440"/>
          <w:tab w:val="left" w:pos="-720"/>
        </w:tabs>
        <w:jc w:val="both"/>
        <w:rPr>
          <w:sz w:val="20"/>
          <w:szCs w:val="20"/>
          <w:lang w:val="fr-CA"/>
        </w:rPr>
      </w:pPr>
    </w:p>
    <w:p w:rsidR="003B41C6" w:rsidRDefault="003B41C6">
      <w:pPr>
        <w:rPr>
          <w:sz w:val="20"/>
          <w:szCs w:val="20"/>
          <w:lang w:val="fr-CA"/>
        </w:rPr>
      </w:pPr>
      <w:r>
        <w:rPr>
          <w:sz w:val="20"/>
          <w:szCs w:val="20"/>
          <w:lang w:val="fr-CA"/>
        </w:rPr>
        <w:br w:type="page"/>
      </w:r>
    </w:p>
    <w:p w:rsidR="003B41C6" w:rsidRPr="00BE0DB4" w:rsidRDefault="001C5DB7" w:rsidP="003B41C6">
      <w:pPr>
        <w:widowControl w:val="0"/>
        <w:ind w:left="720" w:hanging="720"/>
        <w:jc w:val="both"/>
        <w:rPr>
          <w:sz w:val="20"/>
          <w:szCs w:val="20"/>
          <w:lang w:val="fr-CA"/>
        </w:rPr>
      </w:pPr>
      <w:r w:rsidRPr="00BE0DB4">
        <w:rPr>
          <w:b/>
          <w:sz w:val="20"/>
          <w:szCs w:val="20"/>
          <w:lang w:val="fr-CA"/>
        </w:rPr>
        <w:lastRenderedPageBreak/>
        <w:fldChar w:fldCharType="begin"/>
      </w:r>
      <w:r w:rsidR="003B41C6" w:rsidRPr="00BE0DB4">
        <w:rPr>
          <w:b/>
          <w:sz w:val="20"/>
          <w:szCs w:val="20"/>
          <w:lang w:val="fr-CA"/>
        </w:rPr>
        <w:instrText xml:space="preserve"> SEQ CHAPTER \h \r 1</w:instrText>
      </w:r>
      <w:r w:rsidRPr="00BE0DB4">
        <w:rPr>
          <w:b/>
          <w:sz w:val="20"/>
          <w:szCs w:val="20"/>
          <w:lang w:val="fr-CA"/>
        </w:rPr>
        <w:fldChar w:fldCharType="end"/>
      </w:r>
      <w:r w:rsidR="003B41C6" w:rsidRPr="00BE0DB4">
        <w:rPr>
          <w:b/>
          <w:sz w:val="20"/>
          <w:szCs w:val="20"/>
          <w:lang w:val="fr-CA"/>
        </w:rPr>
        <w:t>35411</w:t>
      </w:r>
      <w:r w:rsidR="003B41C6" w:rsidRPr="00BE0DB4">
        <w:rPr>
          <w:sz w:val="20"/>
          <w:szCs w:val="20"/>
          <w:lang w:val="fr-CA"/>
        </w:rPr>
        <w:tab/>
      </w:r>
      <w:r w:rsidR="003B41C6" w:rsidRPr="00BE0DB4">
        <w:rPr>
          <w:b/>
          <w:i/>
          <w:sz w:val="20"/>
          <w:szCs w:val="20"/>
          <w:lang w:val="fr-CA"/>
        </w:rPr>
        <w:t>Andy Koczab c. Sa Majesté la Reine</w:t>
      </w:r>
    </w:p>
    <w:p w:rsidR="003B41C6" w:rsidRPr="00BE0DB4" w:rsidRDefault="003B41C6" w:rsidP="003B41C6">
      <w:pPr>
        <w:widowControl w:val="0"/>
        <w:jc w:val="both"/>
        <w:rPr>
          <w:sz w:val="20"/>
          <w:szCs w:val="20"/>
          <w:lang w:val="fr-CA"/>
        </w:rPr>
      </w:pPr>
    </w:p>
    <w:p w:rsidR="003B41C6" w:rsidRPr="00BE0DB4" w:rsidRDefault="003B41C6" w:rsidP="003B41C6">
      <w:pPr>
        <w:widowControl w:val="0"/>
        <w:jc w:val="both"/>
        <w:rPr>
          <w:sz w:val="20"/>
          <w:szCs w:val="20"/>
          <w:lang w:val="fr-CA"/>
        </w:rPr>
      </w:pPr>
      <w:r w:rsidRPr="00BE0DB4">
        <w:rPr>
          <w:i/>
          <w:sz w:val="20"/>
          <w:szCs w:val="20"/>
          <w:lang w:val="fr-CA"/>
        </w:rPr>
        <w:t>Charte des droits</w:t>
      </w:r>
      <w:r w:rsidRPr="00BE0DB4">
        <w:rPr>
          <w:sz w:val="20"/>
          <w:szCs w:val="20"/>
          <w:lang w:val="fr-CA"/>
        </w:rPr>
        <w:t xml:space="preserve"> </w:t>
      </w:r>
      <w:r w:rsidRPr="00BE0DB4">
        <w:rPr>
          <w:sz w:val="20"/>
          <w:szCs w:val="20"/>
          <w:lang w:val="fr-CA"/>
        </w:rPr>
        <w:noBreakHyphen/>
        <w:t xml:space="preserve"> Droit criminel </w:t>
      </w:r>
      <w:r w:rsidRPr="00BE0DB4">
        <w:rPr>
          <w:sz w:val="20"/>
          <w:szCs w:val="20"/>
          <w:lang w:val="fr-CA"/>
        </w:rPr>
        <w:noBreakHyphen/>
        <w:t xml:space="preserve"> Détention psychologique </w:t>
      </w:r>
      <w:r w:rsidRPr="00BE0DB4">
        <w:rPr>
          <w:sz w:val="20"/>
          <w:szCs w:val="20"/>
          <w:lang w:val="fr-CA"/>
        </w:rPr>
        <w:noBreakHyphen/>
        <w:t xml:space="preserve"> Exclusion de la preuve </w:t>
      </w:r>
      <w:r w:rsidRPr="00BE0DB4">
        <w:rPr>
          <w:sz w:val="20"/>
          <w:szCs w:val="20"/>
          <w:lang w:val="fr-CA"/>
        </w:rPr>
        <w:noBreakHyphen/>
        <w:t xml:space="preserve"> Les juges majoritaires de la Cour d’appel ont</w:t>
      </w:r>
      <w:r w:rsidRPr="00BE0DB4">
        <w:rPr>
          <w:sz w:val="20"/>
          <w:szCs w:val="20"/>
          <w:lang w:val="fr-CA"/>
        </w:rPr>
        <w:noBreakHyphen/>
        <w:t xml:space="preserve">ils eu tort d’infirmer les conclusions du juge du procès selon lesquelles l’appelant avait été détenu psychologiquement et que ses droits garantis par l’art. 10 de la </w:t>
      </w:r>
      <w:r w:rsidRPr="00BE0DB4">
        <w:rPr>
          <w:i/>
          <w:sz w:val="20"/>
          <w:szCs w:val="20"/>
          <w:lang w:val="fr-CA"/>
        </w:rPr>
        <w:t>Charte</w:t>
      </w:r>
      <w:r w:rsidRPr="00BE0DB4">
        <w:rPr>
          <w:sz w:val="20"/>
          <w:szCs w:val="20"/>
          <w:lang w:val="fr-CA"/>
        </w:rPr>
        <w:t xml:space="preserve"> avaient été violés? </w:t>
      </w:r>
      <w:r w:rsidRPr="00BE0DB4">
        <w:rPr>
          <w:sz w:val="20"/>
          <w:szCs w:val="20"/>
          <w:lang w:val="fr-CA"/>
        </w:rPr>
        <w:noBreakHyphen/>
        <w:t xml:space="preserve"> Les juges majoritaires de la Cour d’appel ont</w:t>
      </w:r>
      <w:r w:rsidRPr="00BE0DB4">
        <w:rPr>
          <w:sz w:val="20"/>
          <w:szCs w:val="20"/>
          <w:lang w:val="fr-CA"/>
        </w:rPr>
        <w:noBreakHyphen/>
        <w:t xml:space="preserve">ils eu tort d’infirmer la conclusion du juge du procès selon laquelle la preuve devait être exclue? </w:t>
      </w:r>
      <w:r w:rsidRPr="00BE0DB4">
        <w:rPr>
          <w:sz w:val="20"/>
          <w:szCs w:val="20"/>
          <w:lang w:val="fr-CA"/>
        </w:rPr>
        <w:noBreakHyphen/>
        <w:t xml:space="preserve"> </w:t>
      </w:r>
      <w:r w:rsidRPr="00BE0DB4">
        <w:rPr>
          <w:i/>
          <w:sz w:val="20"/>
          <w:szCs w:val="20"/>
          <w:lang w:val="fr-CA"/>
        </w:rPr>
        <w:t>Charte canadienne des droits et libertés</w:t>
      </w:r>
      <w:r w:rsidRPr="00BE0DB4">
        <w:rPr>
          <w:sz w:val="20"/>
          <w:szCs w:val="20"/>
          <w:lang w:val="fr-CA"/>
        </w:rPr>
        <w:t>, art. 10 et par. 24(2).</w:t>
      </w:r>
    </w:p>
    <w:p w:rsidR="003B41C6" w:rsidRPr="00BE0DB4" w:rsidRDefault="003B41C6" w:rsidP="003B41C6">
      <w:pPr>
        <w:widowControl w:val="0"/>
        <w:jc w:val="both"/>
        <w:rPr>
          <w:sz w:val="20"/>
          <w:szCs w:val="20"/>
          <w:lang w:val="fr-CA"/>
        </w:rPr>
      </w:pPr>
    </w:p>
    <w:p w:rsidR="003B41C6" w:rsidRPr="00BE0DB4" w:rsidRDefault="003B41C6" w:rsidP="003B41C6">
      <w:pPr>
        <w:widowControl w:val="0"/>
        <w:jc w:val="both"/>
        <w:rPr>
          <w:sz w:val="20"/>
          <w:szCs w:val="20"/>
          <w:lang w:val="fr-CA"/>
        </w:rPr>
      </w:pPr>
      <w:r w:rsidRPr="00BE0DB4">
        <w:rPr>
          <w:sz w:val="20"/>
          <w:szCs w:val="20"/>
          <w:lang w:val="fr-CA"/>
        </w:rPr>
        <w:t xml:space="preserve">L’appelant a été acquitté relativement à un chef de trafic de cocaïne et un chef de possession en vue du trafic de cocaïne.  La drogue a été découverte dans un compartiment caché du véhicule de l’appelant après qu’il a été intercepté pour excès de vitesse.  Le juge du procès a conclu que les droits de l’appelant garantis par l’art. 10 de la </w:t>
      </w:r>
      <w:r w:rsidRPr="00BE0DB4">
        <w:rPr>
          <w:i/>
          <w:sz w:val="20"/>
          <w:szCs w:val="20"/>
          <w:lang w:val="fr-CA"/>
        </w:rPr>
        <w:t>Charte</w:t>
      </w:r>
      <w:r w:rsidRPr="00BE0DB4">
        <w:rPr>
          <w:sz w:val="20"/>
          <w:szCs w:val="20"/>
          <w:lang w:val="fr-CA"/>
        </w:rPr>
        <w:t xml:space="preserve"> avaient été violés parce que, pendant qu’il était détenu psychologiquement, l’agent lui avait posé plusieurs questions auxquelles il a répondu sans avoir été informé des raisons de sa détention ou de son droit à l’assistance d’un avocat.  Au terme d’une analyse en application du par. 24(2) de la </w:t>
      </w:r>
      <w:r w:rsidRPr="00BE0DB4">
        <w:rPr>
          <w:i/>
          <w:sz w:val="20"/>
          <w:szCs w:val="20"/>
          <w:lang w:val="fr-CA"/>
        </w:rPr>
        <w:t>Charte</w:t>
      </w:r>
      <w:r w:rsidRPr="00BE0DB4">
        <w:rPr>
          <w:sz w:val="20"/>
          <w:szCs w:val="20"/>
          <w:lang w:val="fr-CA"/>
        </w:rPr>
        <w:t xml:space="preserve">, la preuve a été exclue et l’appelant a été acquitté.  Les juges majoritaires de la Cour d’appel ont accueilli l’appel du ministère public et ordonné un nouveau procès.  À leur avis, le juge du procès a mis à tort l’accent sur l’intention non communiquée de l’agent pour appuyer sa décision fondée sur la </w:t>
      </w:r>
      <w:r w:rsidRPr="00BE0DB4">
        <w:rPr>
          <w:i/>
          <w:sz w:val="20"/>
          <w:szCs w:val="20"/>
          <w:lang w:val="fr-CA"/>
        </w:rPr>
        <w:t>Charte</w:t>
      </w:r>
      <w:r w:rsidRPr="00BE0DB4">
        <w:rPr>
          <w:sz w:val="20"/>
          <w:szCs w:val="20"/>
          <w:lang w:val="fr-CA"/>
        </w:rPr>
        <w:t xml:space="preserve"> et il a omis d’appliquer correctement l’analyse objective axée sur le détenu.  Le juge Monnin, dissident, aurait rejeté l’appel.</w:t>
      </w:r>
    </w:p>
    <w:p w:rsidR="003B41C6" w:rsidRPr="00BE0DB4" w:rsidRDefault="003B41C6" w:rsidP="003B41C6">
      <w:pPr>
        <w:widowControl w:val="0"/>
        <w:jc w:val="both"/>
        <w:rPr>
          <w:sz w:val="20"/>
          <w:szCs w:val="20"/>
          <w:lang w:val="fr-CA"/>
        </w:rPr>
      </w:pPr>
    </w:p>
    <w:p w:rsidR="003B41C6" w:rsidRPr="00BE0DB4" w:rsidRDefault="003B41C6" w:rsidP="003B41C6">
      <w:pPr>
        <w:widowControl w:val="0"/>
        <w:jc w:val="both"/>
        <w:rPr>
          <w:sz w:val="20"/>
          <w:szCs w:val="20"/>
          <w:lang w:val="fr-CA"/>
        </w:rPr>
      </w:pPr>
    </w:p>
    <w:p w:rsidR="003B41C6" w:rsidRPr="00BE0DB4" w:rsidRDefault="003B41C6" w:rsidP="003B41C6">
      <w:pPr>
        <w:widowControl w:val="0"/>
        <w:ind w:left="2880" w:hanging="2880"/>
        <w:jc w:val="both"/>
        <w:rPr>
          <w:sz w:val="20"/>
          <w:szCs w:val="20"/>
          <w:lang w:val="fr-CA"/>
        </w:rPr>
      </w:pPr>
      <w:r w:rsidRPr="00BE0DB4">
        <w:rPr>
          <w:sz w:val="20"/>
          <w:szCs w:val="20"/>
          <w:lang w:val="fr-CA"/>
        </w:rPr>
        <w:t>Origine :</w:t>
      </w:r>
      <w:r w:rsidRPr="00BE0DB4">
        <w:rPr>
          <w:sz w:val="20"/>
          <w:szCs w:val="20"/>
          <w:lang w:val="fr-CA"/>
        </w:rPr>
        <w:tab/>
        <w:t>Manitoba</w:t>
      </w:r>
    </w:p>
    <w:p w:rsidR="003B41C6" w:rsidRPr="00BE0DB4" w:rsidRDefault="003B41C6" w:rsidP="003B41C6">
      <w:pPr>
        <w:widowControl w:val="0"/>
        <w:ind w:left="2880" w:hanging="2880"/>
        <w:jc w:val="both"/>
        <w:rPr>
          <w:sz w:val="20"/>
          <w:szCs w:val="20"/>
          <w:lang w:val="fr-CA"/>
        </w:rPr>
      </w:pPr>
    </w:p>
    <w:p w:rsidR="003B41C6" w:rsidRPr="00BE0DB4" w:rsidRDefault="003B41C6" w:rsidP="003B41C6">
      <w:pPr>
        <w:widowControl w:val="0"/>
        <w:ind w:left="2880" w:hanging="2880"/>
        <w:jc w:val="both"/>
        <w:rPr>
          <w:sz w:val="20"/>
          <w:szCs w:val="20"/>
          <w:lang w:val="fr-CA"/>
        </w:rPr>
      </w:pPr>
      <w:r w:rsidRPr="00BE0DB4">
        <w:rPr>
          <w:sz w:val="20"/>
          <w:szCs w:val="20"/>
          <w:lang w:val="fr-CA"/>
        </w:rPr>
        <w:t>N</w:t>
      </w:r>
      <w:r w:rsidRPr="00BE0DB4">
        <w:rPr>
          <w:sz w:val="20"/>
          <w:szCs w:val="20"/>
          <w:vertAlign w:val="superscript"/>
          <w:lang w:val="fr-CA"/>
        </w:rPr>
        <w:t>o</w:t>
      </w:r>
      <w:r w:rsidRPr="00BE0DB4">
        <w:rPr>
          <w:sz w:val="20"/>
          <w:szCs w:val="20"/>
          <w:lang w:val="fr-CA"/>
        </w:rPr>
        <w:t xml:space="preserve"> du greffe :</w:t>
      </w:r>
      <w:r w:rsidRPr="00BE0DB4">
        <w:rPr>
          <w:sz w:val="20"/>
          <w:szCs w:val="20"/>
          <w:lang w:val="fr-CA"/>
        </w:rPr>
        <w:tab/>
        <w:t>35411</w:t>
      </w:r>
    </w:p>
    <w:p w:rsidR="003B41C6" w:rsidRPr="00BE0DB4" w:rsidRDefault="003B41C6" w:rsidP="003B41C6">
      <w:pPr>
        <w:widowControl w:val="0"/>
        <w:ind w:left="2880" w:hanging="2880"/>
        <w:jc w:val="both"/>
        <w:rPr>
          <w:sz w:val="20"/>
          <w:szCs w:val="20"/>
          <w:lang w:val="fr-CA"/>
        </w:rPr>
      </w:pPr>
    </w:p>
    <w:p w:rsidR="003B41C6" w:rsidRPr="00BE0DB4" w:rsidRDefault="003B41C6" w:rsidP="003B41C6">
      <w:pPr>
        <w:widowControl w:val="0"/>
        <w:ind w:left="2880" w:hanging="2880"/>
        <w:jc w:val="both"/>
        <w:rPr>
          <w:sz w:val="20"/>
          <w:szCs w:val="20"/>
          <w:lang w:val="fr-CA"/>
        </w:rPr>
      </w:pPr>
      <w:r w:rsidRPr="00BE0DB4">
        <w:rPr>
          <w:sz w:val="20"/>
          <w:szCs w:val="20"/>
          <w:lang w:val="fr-CA"/>
        </w:rPr>
        <w:t>Arrêt de la Cour d’appel :</w:t>
      </w:r>
      <w:r w:rsidRPr="00BE0DB4">
        <w:rPr>
          <w:sz w:val="20"/>
          <w:szCs w:val="20"/>
          <w:lang w:val="fr-CA"/>
        </w:rPr>
        <w:tab/>
        <w:t>le 30 mai 2013</w:t>
      </w:r>
    </w:p>
    <w:p w:rsidR="003B41C6" w:rsidRPr="00BE0DB4" w:rsidRDefault="003B41C6" w:rsidP="003B41C6">
      <w:pPr>
        <w:widowControl w:val="0"/>
        <w:ind w:left="2880" w:hanging="2880"/>
        <w:jc w:val="both"/>
        <w:rPr>
          <w:sz w:val="20"/>
          <w:szCs w:val="20"/>
          <w:lang w:val="fr-CA"/>
        </w:rPr>
      </w:pPr>
    </w:p>
    <w:p w:rsidR="003B41C6" w:rsidRPr="00BE0DB4" w:rsidRDefault="003B41C6" w:rsidP="003B41C6">
      <w:pPr>
        <w:widowControl w:val="0"/>
        <w:ind w:left="2880" w:hanging="2880"/>
        <w:jc w:val="both"/>
        <w:rPr>
          <w:sz w:val="20"/>
          <w:szCs w:val="20"/>
          <w:lang w:val="fr-CA"/>
        </w:rPr>
      </w:pPr>
      <w:r w:rsidRPr="00BE0DB4">
        <w:rPr>
          <w:sz w:val="20"/>
          <w:szCs w:val="20"/>
          <w:lang w:val="fr-CA"/>
        </w:rPr>
        <w:t>Avocats :</w:t>
      </w:r>
      <w:r w:rsidRPr="00BE0DB4">
        <w:rPr>
          <w:sz w:val="20"/>
          <w:szCs w:val="20"/>
          <w:lang w:val="fr-CA"/>
        </w:rPr>
        <w:tab/>
        <w:t>Sheldon Pinx, c.r. pour l’appelant</w:t>
      </w:r>
    </w:p>
    <w:p w:rsidR="003B41C6" w:rsidRPr="00BE0DB4" w:rsidRDefault="003B41C6" w:rsidP="003B41C6">
      <w:pPr>
        <w:widowControl w:val="0"/>
        <w:ind w:left="2880" w:hanging="2880"/>
        <w:jc w:val="both"/>
        <w:rPr>
          <w:sz w:val="20"/>
          <w:szCs w:val="20"/>
          <w:lang w:val="fr-CA"/>
        </w:rPr>
      </w:pPr>
      <w:r w:rsidRPr="00BE0DB4">
        <w:rPr>
          <w:sz w:val="20"/>
          <w:szCs w:val="20"/>
          <w:lang w:val="fr-CA"/>
        </w:rPr>
        <w:tab/>
        <w:t>Michael Foote pour l’intimée</w:t>
      </w:r>
    </w:p>
    <w:p w:rsidR="00F164B3" w:rsidRPr="00DD0B49" w:rsidRDefault="00F164B3" w:rsidP="00F164B3">
      <w:pPr>
        <w:tabs>
          <w:tab w:val="left" w:pos="-1440"/>
          <w:tab w:val="left" w:pos="-720"/>
        </w:tabs>
        <w:jc w:val="both"/>
        <w:rPr>
          <w:sz w:val="20"/>
          <w:szCs w:val="20"/>
          <w:lang w:val="fr-CA"/>
        </w:rPr>
      </w:pPr>
    </w:p>
    <w:p w:rsidR="00F164B3" w:rsidRDefault="00A47393" w:rsidP="00F164B3">
      <w:pPr>
        <w:tabs>
          <w:tab w:val="left" w:pos="-1440"/>
          <w:tab w:val="left" w:pos="-720"/>
        </w:tabs>
        <w:jc w:val="both"/>
        <w:rPr>
          <w:sz w:val="20"/>
          <w:szCs w:val="20"/>
          <w:lang w:val="fr-CA"/>
        </w:rPr>
      </w:pPr>
      <w:r>
        <w:rPr>
          <w:sz w:val="20"/>
          <w:szCs w:val="20"/>
          <w:lang w:val="fr-CA"/>
        </w:rPr>
        <w:pict>
          <v:rect id="_x0000_i1066" style="width:2in;height:1pt" o:hrpct="0" o:hralign="center" o:hrstd="t" o:hrnoshade="t" o:hr="t" fillcolor="black [3213]" stroked="f"/>
        </w:pict>
      </w:r>
    </w:p>
    <w:p w:rsidR="00F164B3" w:rsidRDefault="00F164B3">
      <w:pPr>
        <w:rPr>
          <w:sz w:val="20"/>
          <w:szCs w:val="20"/>
          <w:lang w:val="fr-CA"/>
        </w:rPr>
      </w:pPr>
      <w:r>
        <w:rPr>
          <w:sz w:val="20"/>
          <w:szCs w:val="20"/>
          <w:lang w:val="fr-CA"/>
        </w:rPr>
        <w:br w:type="page"/>
      </w:r>
    </w:p>
    <w:p w:rsidR="00281430" w:rsidRPr="00C50D37" w:rsidRDefault="001C5DB7" w:rsidP="00281430">
      <w:pPr>
        <w:widowControl w:val="0"/>
        <w:ind w:left="720" w:hanging="720"/>
        <w:jc w:val="both"/>
        <w:rPr>
          <w:sz w:val="20"/>
          <w:szCs w:val="20"/>
        </w:rPr>
      </w:pPr>
      <w:r w:rsidRPr="00C50D37">
        <w:rPr>
          <w:b/>
          <w:sz w:val="20"/>
          <w:szCs w:val="20"/>
        </w:rPr>
        <w:lastRenderedPageBreak/>
        <w:fldChar w:fldCharType="begin"/>
      </w:r>
      <w:r w:rsidR="00281430" w:rsidRPr="00C50D37">
        <w:rPr>
          <w:b/>
          <w:sz w:val="20"/>
          <w:szCs w:val="20"/>
        </w:rPr>
        <w:instrText xml:space="preserve"> SEQ CHAPTER \h \r 1</w:instrText>
      </w:r>
      <w:r w:rsidRPr="00C50D37">
        <w:rPr>
          <w:b/>
          <w:sz w:val="20"/>
          <w:szCs w:val="20"/>
        </w:rPr>
        <w:fldChar w:fldCharType="end"/>
      </w:r>
      <w:r w:rsidR="00281430" w:rsidRPr="00C50D37">
        <w:rPr>
          <w:b/>
          <w:sz w:val="20"/>
          <w:szCs w:val="20"/>
        </w:rPr>
        <w:t>35115</w:t>
      </w:r>
      <w:r w:rsidR="00281430" w:rsidRPr="00C50D37">
        <w:rPr>
          <w:sz w:val="20"/>
          <w:szCs w:val="20"/>
        </w:rPr>
        <w:tab/>
      </w:r>
      <w:r w:rsidR="00281430" w:rsidRPr="00C50D37">
        <w:rPr>
          <w:b/>
          <w:i/>
          <w:sz w:val="20"/>
          <w:szCs w:val="20"/>
        </w:rPr>
        <w:t>Her Majesty the Queen v. Level Aaron Carvery</w:t>
      </w:r>
    </w:p>
    <w:p w:rsidR="00281430" w:rsidRPr="00C50D37" w:rsidRDefault="00281430" w:rsidP="00281430">
      <w:pPr>
        <w:widowControl w:val="0"/>
        <w:jc w:val="both"/>
        <w:rPr>
          <w:sz w:val="20"/>
          <w:szCs w:val="20"/>
        </w:rPr>
      </w:pPr>
    </w:p>
    <w:p w:rsidR="00281430" w:rsidRPr="00C50D37" w:rsidRDefault="00281430" w:rsidP="00281430">
      <w:pPr>
        <w:widowControl w:val="0"/>
        <w:jc w:val="both"/>
        <w:rPr>
          <w:sz w:val="20"/>
          <w:szCs w:val="20"/>
        </w:rPr>
      </w:pPr>
      <w:r w:rsidRPr="00C50D37">
        <w:rPr>
          <w:sz w:val="20"/>
          <w:szCs w:val="20"/>
        </w:rPr>
        <w:t>Criminal law - Sentencing -</w:t>
      </w:r>
      <w:r w:rsidRPr="00C50D37">
        <w:rPr>
          <w:i/>
          <w:sz w:val="20"/>
          <w:szCs w:val="20"/>
        </w:rPr>
        <w:t xml:space="preserve"> </w:t>
      </w:r>
      <w:r w:rsidRPr="00C50D37">
        <w:rPr>
          <w:sz w:val="20"/>
          <w:szCs w:val="20"/>
        </w:rPr>
        <w:t xml:space="preserve">Credit for pre-sentence custody - Whether the Court of Appeal erred in holding that a remand prisoner’s “loss” of remission or parole eligibility is a circumstance within s. 719(3.1) of the </w:t>
      </w:r>
      <w:r w:rsidRPr="00C50D37">
        <w:rPr>
          <w:i/>
          <w:sz w:val="20"/>
          <w:szCs w:val="20"/>
        </w:rPr>
        <w:t>Criminal Code</w:t>
      </w:r>
      <w:r w:rsidRPr="00C50D37">
        <w:rPr>
          <w:sz w:val="20"/>
          <w:szCs w:val="20"/>
        </w:rPr>
        <w:t>, R.S.C. 1985, c. C-46, that can justify enhanced credit at sentencing (at a ratio of up to 1.5:1) for time spent in pre-sentencing custody.</w:t>
      </w:r>
    </w:p>
    <w:p w:rsidR="00281430" w:rsidRPr="00C50D37" w:rsidRDefault="00281430" w:rsidP="00281430">
      <w:pPr>
        <w:widowControl w:val="0"/>
        <w:jc w:val="both"/>
        <w:rPr>
          <w:sz w:val="20"/>
          <w:szCs w:val="20"/>
        </w:rPr>
      </w:pPr>
    </w:p>
    <w:p w:rsidR="00281430" w:rsidRPr="00C50D37" w:rsidRDefault="00281430" w:rsidP="00281430">
      <w:pPr>
        <w:widowControl w:val="0"/>
        <w:jc w:val="both"/>
        <w:rPr>
          <w:sz w:val="20"/>
          <w:szCs w:val="20"/>
        </w:rPr>
      </w:pPr>
      <w:r w:rsidRPr="00C50D37">
        <w:rPr>
          <w:sz w:val="20"/>
          <w:szCs w:val="20"/>
        </w:rPr>
        <w:t>The respondent pled guilty to the charge of possession of cocaine for the purpose of trafficking and breach of his recognizance.  The respondent spent nine and a half months in custody before being sentenced.  The trial judge concluded that the respondent should be credited at a ratio of 1.5 days for every day in pre-sentence custody.  The Court of Appeal held that the trial judge committed no reversible error in granting the respondent a credit of 1:5 to 1 for time spent in custody prior to being sentenced.</w:t>
      </w:r>
    </w:p>
    <w:p w:rsidR="00281430" w:rsidRPr="00C50D37" w:rsidRDefault="00281430" w:rsidP="00281430">
      <w:pPr>
        <w:widowControl w:val="0"/>
        <w:jc w:val="both"/>
        <w:rPr>
          <w:sz w:val="20"/>
          <w:szCs w:val="20"/>
        </w:rPr>
      </w:pPr>
    </w:p>
    <w:p w:rsidR="00281430" w:rsidRPr="00C50D37" w:rsidRDefault="00281430" w:rsidP="00281430">
      <w:pPr>
        <w:widowControl w:val="0"/>
        <w:jc w:val="both"/>
        <w:rPr>
          <w:sz w:val="20"/>
          <w:szCs w:val="20"/>
        </w:rPr>
      </w:pPr>
    </w:p>
    <w:p w:rsidR="00281430" w:rsidRPr="00C50D37" w:rsidRDefault="00281430" w:rsidP="00281430">
      <w:pPr>
        <w:widowControl w:val="0"/>
        <w:ind w:left="2880" w:hanging="2880"/>
        <w:jc w:val="both"/>
        <w:rPr>
          <w:sz w:val="20"/>
          <w:szCs w:val="20"/>
        </w:rPr>
      </w:pPr>
      <w:r w:rsidRPr="00C50D37">
        <w:rPr>
          <w:sz w:val="20"/>
          <w:szCs w:val="20"/>
        </w:rPr>
        <w:t>Origin of the case:</w:t>
      </w:r>
      <w:r w:rsidRPr="00C50D37">
        <w:rPr>
          <w:sz w:val="20"/>
          <w:szCs w:val="20"/>
        </w:rPr>
        <w:tab/>
        <w:t>Nova Scotia</w:t>
      </w:r>
    </w:p>
    <w:p w:rsidR="00281430" w:rsidRPr="00C50D37" w:rsidRDefault="00281430" w:rsidP="00281430">
      <w:pPr>
        <w:widowControl w:val="0"/>
        <w:ind w:left="2880" w:hanging="2880"/>
        <w:jc w:val="both"/>
        <w:rPr>
          <w:sz w:val="20"/>
          <w:szCs w:val="20"/>
        </w:rPr>
      </w:pPr>
    </w:p>
    <w:p w:rsidR="00281430" w:rsidRPr="00C50D37" w:rsidRDefault="00281430" w:rsidP="00281430">
      <w:pPr>
        <w:widowControl w:val="0"/>
        <w:ind w:left="2880" w:hanging="2880"/>
        <w:jc w:val="both"/>
        <w:rPr>
          <w:sz w:val="20"/>
          <w:szCs w:val="20"/>
        </w:rPr>
      </w:pPr>
      <w:r w:rsidRPr="00C50D37">
        <w:rPr>
          <w:sz w:val="20"/>
          <w:szCs w:val="20"/>
        </w:rPr>
        <w:t>File No.:</w:t>
      </w:r>
      <w:r w:rsidRPr="00C50D37">
        <w:rPr>
          <w:sz w:val="20"/>
          <w:szCs w:val="20"/>
        </w:rPr>
        <w:tab/>
        <w:t>35115</w:t>
      </w:r>
    </w:p>
    <w:p w:rsidR="00281430" w:rsidRPr="00C50D37" w:rsidRDefault="00281430" w:rsidP="00281430">
      <w:pPr>
        <w:widowControl w:val="0"/>
        <w:ind w:left="2880" w:hanging="2880"/>
        <w:jc w:val="both"/>
        <w:rPr>
          <w:sz w:val="20"/>
          <w:szCs w:val="20"/>
        </w:rPr>
      </w:pPr>
    </w:p>
    <w:p w:rsidR="00281430" w:rsidRPr="00C50D37" w:rsidRDefault="00281430" w:rsidP="00281430">
      <w:pPr>
        <w:widowControl w:val="0"/>
        <w:ind w:left="2880" w:hanging="2880"/>
        <w:jc w:val="both"/>
        <w:rPr>
          <w:sz w:val="20"/>
          <w:szCs w:val="20"/>
        </w:rPr>
      </w:pPr>
      <w:r w:rsidRPr="00C50D37">
        <w:rPr>
          <w:sz w:val="20"/>
          <w:szCs w:val="20"/>
        </w:rPr>
        <w:t>Judgment of the Court of Appeal:</w:t>
      </w:r>
      <w:r w:rsidRPr="00C50D37">
        <w:rPr>
          <w:sz w:val="20"/>
          <w:szCs w:val="20"/>
        </w:rPr>
        <w:tab/>
        <w:t>October 3, 2012</w:t>
      </w:r>
    </w:p>
    <w:p w:rsidR="00281430" w:rsidRPr="00C50D37" w:rsidRDefault="00281430" w:rsidP="00281430">
      <w:pPr>
        <w:widowControl w:val="0"/>
        <w:ind w:left="2880" w:hanging="2880"/>
        <w:jc w:val="both"/>
        <w:rPr>
          <w:sz w:val="20"/>
          <w:szCs w:val="20"/>
        </w:rPr>
      </w:pPr>
    </w:p>
    <w:p w:rsidR="00281430" w:rsidRPr="00C50D37" w:rsidRDefault="00281430" w:rsidP="00281430">
      <w:pPr>
        <w:widowControl w:val="0"/>
        <w:ind w:left="2880" w:hanging="2880"/>
        <w:jc w:val="both"/>
        <w:rPr>
          <w:sz w:val="20"/>
          <w:szCs w:val="20"/>
        </w:rPr>
      </w:pPr>
      <w:r w:rsidRPr="00C50D37">
        <w:rPr>
          <w:sz w:val="20"/>
          <w:szCs w:val="20"/>
        </w:rPr>
        <w:t>Counsel:</w:t>
      </w:r>
      <w:r w:rsidRPr="00C50D37">
        <w:rPr>
          <w:sz w:val="20"/>
          <w:szCs w:val="20"/>
        </w:rPr>
        <w:tab/>
        <w:t>David Schermbrucker and Bradley Reitz for the appellant</w:t>
      </w:r>
    </w:p>
    <w:p w:rsidR="00281430" w:rsidRPr="00C50D37" w:rsidRDefault="00281430" w:rsidP="00281430">
      <w:pPr>
        <w:widowControl w:val="0"/>
        <w:ind w:left="2880" w:hanging="2880"/>
        <w:jc w:val="both"/>
        <w:rPr>
          <w:sz w:val="20"/>
          <w:szCs w:val="20"/>
        </w:rPr>
      </w:pPr>
      <w:r w:rsidRPr="00C50D37">
        <w:rPr>
          <w:sz w:val="20"/>
          <w:szCs w:val="20"/>
        </w:rPr>
        <w:tab/>
        <w:t>Luke A. Craggs for the respondent</w:t>
      </w:r>
    </w:p>
    <w:p w:rsidR="00F164B3" w:rsidRPr="00281430" w:rsidRDefault="00F164B3" w:rsidP="00F164B3">
      <w:pPr>
        <w:tabs>
          <w:tab w:val="left" w:pos="-1440"/>
          <w:tab w:val="left" w:pos="-720"/>
        </w:tabs>
        <w:jc w:val="both"/>
        <w:rPr>
          <w:sz w:val="20"/>
          <w:szCs w:val="20"/>
        </w:rPr>
      </w:pPr>
    </w:p>
    <w:p w:rsidR="00F164B3" w:rsidRDefault="00A47393" w:rsidP="00F164B3">
      <w:pPr>
        <w:tabs>
          <w:tab w:val="left" w:pos="-1440"/>
          <w:tab w:val="left" w:pos="-720"/>
        </w:tabs>
        <w:jc w:val="both"/>
        <w:rPr>
          <w:sz w:val="20"/>
          <w:szCs w:val="20"/>
          <w:lang w:val="fr-CA"/>
        </w:rPr>
      </w:pPr>
      <w:r>
        <w:rPr>
          <w:sz w:val="20"/>
          <w:szCs w:val="20"/>
          <w:lang w:val="fr-CA"/>
        </w:rPr>
        <w:pict>
          <v:rect id="_x0000_i1067" style="width:2in;height:1pt" o:hrpct="0" o:hralign="center" o:hrstd="t" o:hrnoshade="t" o:hr="t" fillcolor="black [3213]" stroked="f"/>
        </w:pict>
      </w:r>
    </w:p>
    <w:p w:rsidR="00F164B3" w:rsidRDefault="00F164B3" w:rsidP="00F164B3">
      <w:pPr>
        <w:tabs>
          <w:tab w:val="left" w:pos="-1440"/>
          <w:tab w:val="left" w:pos="-720"/>
        </w:tabs>
        <w:jc w:val="both"/>
        <w:rPr>
          <w:sz w:val="20"/>
          <w:szCs w:val="20"/>
          <w:lang w:val="fr-CA"/>
        </w:rPr>
      </w:pPr>
    </w:p>
    <w:p w:rsidR="00F164B3" w:rsidRDefault="00F164B3">
      <w:pPr>
        <w:rPr>
          <w:sz w:val="20"/>
          <w:szCs w:val="20"/>
          <w:lang w:val="fr-CA"/>
        </w:rPr>
      </w:pPr>
    </w:p>
    <w:p w:rsidR="00F164B3" w:rsidRDefault="00F164B3">
      <w:pPr>
        <w:rPr>
          <w:sz w:val="20"/>
          <w:szCs w:val="20"/>
          <w:lang w:val="fr-CA"/>
        </w:rPr>
      </w:pPr>
      <w:r>
        <w:rPr>
          <w:sz w:val="20"/>
          <w:szCs w:val="20"/>
          <w:lang w:val="fr-CA"/>
        </w:rPr>
        <w:br w:type="page"/>
      </w:r>
    </w:p>
    <w:p w:rsidR="00281430" w:rsidRPr="001D32CA" w:rsidRDefault="001C5DB7" w:rsidP="00281430">
      <w:pPr>
        <w:widowControl w:val="0"/>
        <w:ind w:left="720" w:hanging="720"/>
        <w:jc w:val="both"/>
        <w:rPr>
          <w:sz w:val="20"/>
          <w:szCs w:val="20"/>
          <w:lang w:val="fr-CA"/>
        </w:rPr>
      </w:pPr>
      <w:r w:rsidRPr="001D32CA">
        <w:rPr>
          <w:b/>
          <w:sz w:val="20"/>
          <w:szCs w:val="20"/>
          <w:lang w:val="fr-CA"/>
        </w:rPr>
        <w:lastRenderedPageBreak/>
        <w:fldChar w:fldCharType="begin"/>
      </w:r>
      <w:r w:rsidR="00281430" w:rsidRPr="001D32CA">
        <w:rPr>
          <w:b/>
          <w:sz w:val="20"/>
          <w:szCs w:val="20"/>
          <w:lang w:val="fr-CA"/>
        </w:rPr>
        <w:instrText xml:space="preserve"> SEQ CHAPTER \h \r 1</w:instrText>
      </w:r>
      <w:r w:rsidRPr="001D32CA">
        <w:rPr>
          <w:b/>
          <w:sz w:val="20"/>
          <w:szCs w:val="20"/>
          <w:lang w:val="fr-CA"/>
        </w:rPr>
        <w:fldChar w:fldCharType="end"/>
      </w:r>
      <w:r w:rsidR="00281430" w:rsidRPr="001D32CA">
        <w:rPr>
          <w:b/>
          <w:sz w:val="20"/>
          <w:szCs w:val="20"/>
          <w:lang w:val="fr-CA"/>
        </w:rPr>
        <w:t>35115</w:t>
      </w:r>
      <w:r w:rsidR="00281430" w:rsidRPr="001D32CA">
        <w:rPr>
          <w:sz w:val="20"/>
          <w:szCs w:val="20"/>
          <w:lang w:val="fr-CA"/>
        </w:rPr>
        <w:tab/>
      </w:r>
      <w:r w:rsidR="00281430" w:rsidRPr="001D32CA">
        <w:rPr>
          <w:b/>
          <w:i/>
          <w:sz w:val="20"/>
          <w:szCs w:val="20"/>
          <w:lang w:val="fr-CA"/>
        </w:rPr>
        <w:t>Sa Majesté la Reine c. Level Aaron Carvery</w:t>
      </w:r>
    </w:p>
    <w:p w:rsidR="00281430" w:rsidRPr="001D32CA" w:rsidRDefault="00281430" w:rsidP="00281430">
      <w:pPr>
        <w:widowControl w:val="0"/>
        <w:jc w:val="both"/>
        <w:rPr>
          <w:sz w:val="20"/>
          <w:szCs w:val="20"/>
          <w:lang w:val="fr-CA"/>
        </w:rPr>
      </w:pPr>
    </w:p>
    <w:p w:rsidR="00281430" w:rsidRPr="001D32CA" w:rsidRDefault="00281430" w:rsidP="00281430">
      <w:pPr>
        <w:widowControl w:val="0"/>
        <w:jc w:val="both"/>
        <w:rPr>
          <w:sz w:val="20"/>
          <w:szCs w:val="20"/>
          <w:lang w:val="fr-CA"/>
        </w:rPr>
      </w:pPr>
      <w:r w:rsidRPr="001D32CA">
        <w:rPr>
          <w:sz w:val="20"/>
          <w:szCs w:val="20"/>
          <w:lang w:val="fr-CA"/>
        </w:rPr>
        <w:t>Droit criminel - Détermination de la peine - Réduction pour la période passée sous garde avant la sentence - La Cour d’appel a-t-elle eu tort de conclure que la « perte » que subit un prévenu en détention provisoire de la possibilité de réduction de peine ou de libération conditionnelle est une circonstance visée par le par. 719(3.1) du</w:t>
      </w:r>
      <w:r w:rsidRPr="001D32CA">
        <w:rPr>
          <w:i/>
          <w:sz w:val="20"/>
          <w:szCs w:val="20"/>
          <w:lang w:val="fr-CA"/>
        </w:rPr>
        <w:t xml:space="preserve"> Code criminel</w:t>
      </w:r>
      <w:r w:rsidRPr="001D32CA">
        <w:rPr>
          <w:sz w:val="20"/>
          <w:szCs w:val="20"/>
          <w:lang w:val="fr-CA"/>
        </w:rPr>
        <w:t xml:space="preserve"> qui peut justifier une réduction de peine plus importante au prononcé de la sentence (à raison d’un maximum de 1,5 jour pour chaque jour passé sous garde avant la sentence)?</w:t>
      </w:r>
    </w:p>
    <w:p w:rsidR="00281430" w:rsidRPr="001D32CA" w:rsidRDefault="00281430" w:rsidP="00281430">
      <w:pPr>
        <w:widowControl w:val="0"/>
        <w:jc w:val="both"/>
        <w:rPr>
          <w:sz w:val="20"/>
          <w:szCs w:val="20"/>
          <w:lang w:val="fr-CA"/>
        </w:rPr>
      </w:pPr>
    </w:p>
    <w:p w:rsidR="00281430" w:rsidRPr="001D32CA" w:rsidRDefault="00281430" w:rsidP="00281430">
      <w:pPr>
        <w:widowControl w:val="0"/>
        <w:jc w:val="both"/>
        <w:rPr>
          <w:sz w:val="20"/>
          <w:szCs w:val="20"/>
          <w:lang w:val="fr-CA"/>
        </w:rPr>
      </w:pPr>
      <w:r w:rsidRPr="001D32CA">
        <w:rPr>
          <w:sz w:val="20"/>
          <w:szCs w:val="20"/>
          <w:lang w:val="fr-CA"/>
        </w:rPr>
        <w:t>L’intimé a plaidé coupable à des accusations de possession de cocaïne aux fins d’en faire le trafic et d’inobservation d’un engagement.  L’intimé a passé neuf mois et demi sous garde avant la sentence.  La juge du procès a conclu que la durée de sa peine devait être réduite à raison de 1,5 jour pour chaque jour de détention présentencielle.  La Cour d’appel a statué que la juge du procès n’avait commis aucune erreur justifiant l’infirmation de sa décision de réduire la peine à raison de 1,5 jour pour chaque jour passé sous garde avant la sentence.</w:t>
      </w:r>
    </w:p>
    <w:p w:rsidR="00281430" w:rsidRPr="001D32CA" w:rsidRDefault="00281430" w:rsidP="00281430">
      <w:pPr>
        <w:widowControl w:val="0"/>
        <w:jc w:val="both"/>
        <w:rPr>
          <w:sz w:val="20"/>
          <w:szCs w:val="20"/>
          <w:lang w:val="fr-CA"/>
        </w:rPr>
      </w:pPr>
    </w:p>
    <w:p w:rsidR="00281430" w:rsidRPr="001D32CA" w:rsidRDefault="00281430" w:rsidP="00281430">
      <w:pPr>
        <w:widowControl w:val="0"/>
        <w:jc w:val="both"/>
        <w:rPr>
          <w:sz w:val="20"/>
          <w:szCs w:val="20"/>
          <w:lang w:val="fr-CA"/>
        </w:rPr>
      </w:pPr>
    </w:p>
    <w:p w:rsidR="00281430" w:rsidRPr="001D32CA" w:rsidRDefault="00281430" w:rsidP="00281430">
      <w:pPr>
        <w:widowControl w:val="0"/>
        <w:ind w:left="2880" w:hanging="2880"/>
        <w:jc w:val="both"/>
        <w:rPr>
          <w:sz w:val="20"/>
          <w:szCs w:val="20"/>
          <w:lang w:val="fr-CA"/>
        </w:rPr>
      </w:pPr>
      <w:r w:rsidRPr="001D32CA">
        <w:rPr>
          <w:sz w:val="20"/>
          <w:szCs w:val="20"/>
          <w:lang w:val="fr-CA"/>
        </w:rPr>
        <w:t>Origine :</w:t>
      </w:r>
      <w:r w:rsidRPr="001D32CA">
        <w:rPr>
          <w:sz w:val="20"/>
          <w:szCs w:val="20"/>
          <w:lang w:val="fr-CA"/>
        </w:rPr>
        <w:tab/>
        <w:t>Nouvelle-Écosse</w:t>
      </w:r>
    </w:p>
    <w:p w:rsidR="00281430" w:rsidRPr="001D32CA" w:rsidRDefault="00281430" w:rsidP="00281430">
      <w:pPr>
        <w:widowControl w:val="0"/>
        <w:ind w:left="2880" w:hanging="2880"/>
        <w:jc w:val="both"/>
        <w:rPr>
          <w:sz w:val="20"/>
          <w:szCs w:val="20"/>
          <w:lang w:val="fr-CA"/>
        </w:rPr>
      </w:pPr>
    </w:p>
    <w:p w:rsidR="00281430" w:rsidRPr="001D32CA" w:rsidRDefault="00281430" w:rsidP="00281430">
      <w:pPr>
        <w:widowControl w:val="0"/>
        <w:ind w:left="2880" w:hanging="2880"/>
        <w:jc w:val="both"/>
        <w:rPr>
          <w:sz w:val="20"/>
          <w:szCs w:val="20"/>
          <w:lang w:val="fr-CA"/>
        </w:rPr>
      </w:pPr>
      <w:r w:rsidRPr="001D32CA">
        <w:rPr>
          <w:sz w:val="20"/>
          <w:szCs w:val="20"/>
          <w:lang w:val="fr-CA"/>
        </w:rPr>
        <w:t>N</w:t>
      </w:r>
      <w:r w:rsidRPr="001D32CA">
        <w:rPr>
          <w:sz w:val="20"/>
          <w:szCs w:val="20"/>
          <w:vertAlign w:val="superscript"/>
          <w:lang w:val="fr-CA"/>
        </w:rPr>
        <w:t>o</w:t>
      </w:r>
      <w:r w:rsidRPr="001D32CA">
        <w:rPr>
          <w:sz w:val="20"/>
          <w:szCs w:val="20"/>
          <w:lang w:val="fr-CA"/>
        </w:rPr>
        <w:t xml:space="preserve"> du greffe :</w:t>
      </w:r>
      <w:r w:rsidRPr="001D32CA">
        <w:rPr>
          <w:sz w:val="20"/>
          <w:szCs w:val="20"/>
          <w:lang w:val="fr-CA"/>
        </w:rPr>
        <w:tab/>
        <w:t>35115</w:t>
      </w:r>
    </w:p>
    <w:p w:rsidR="00281430" w:rsidRPr="001D32CA" w:rsidRDefault="00281430" w:rsidP="00281430">
      <w:pPr>
        <w:widowControl w:val="0"/>
        <w:ind w:left="2880" w:hanging="2880"/>
        <w:jc w:val="both"/>
        <w:rPr>
          <w:sz w:val="20"/>
          <w:szCs w:val="20"/>
          <w:lang w:val="fr-CA"/>
        </w:rPr>
      </w:pPr>
    </w:p>
    <w:p w:rsidR="00281430" w:rsidRPr="001D32CA" w:rsidRDefault="00281430" w:rsidP="00281430">
      <w:pPr>
        <w:widowControl w:val="0"/>
        <w:ind w:left="2880" w:hanging="2880"/>
        <w:jc w:val="both"/>
        <w:rPr>
          <w:sz w:val="20"/>
          <w:szCs w:val="20"/>
          <w:lang w:val="fr-CA"/>
        </w:rPr>
      </w:pPr>
      <w:r w:rsidRPr="001D32CA">
        <w:rPr>
          <w:sz w:val="20"/>
          <w:szCs w:val="20"/>
          <w:lang w:val="fr-CA"/>
        </w:rPr>
        <w:t>Arrêt de la Cour d’appel :</w:t>
      </w:r>
      <w:r w:rsidRPr="001D32CA">
        <w:rPr>
          <w:sz w:val="20"/>
          <w:szCs w:val="20"/>
          <w:lang w:val="fr-CA"/>
        </w:rPr>
        <w:tab/>
        <w:t>le 3 octobre 2012</w:t>
      </w:r>
    </w:p>
    <w:p w:rsidR="00281430" w:rsidRPr="001D32CA" w:rsidRDefault="00281430" w:rsidP="00281430">
      <w:pPr>
        <w:widowControl w:val="0"/>
        <w:ind w:left="2880" w:hanging="2880"/>
        <w:jc w:val="both"/>
        <w:rPr>
          <w:sz w:val="20"/>
          <w:szCs w:val="20"/>
          <w:lang w:val="fr-CA"/>
        </w:rPr>
      </w:pPr>
    </w:p>
    <w:p w:rsidR="00281430" w:rsidRPr="001D32CA" w:rsidRDefault="00281430" w:rsidP="00281430">
      <w:pPr>
        <w:widowControl w:val="0"/>
        <w:ind w:left="2880" w:hanging="2880"/>
        <w:jc w:val="both"/>
        <w:rPr>
          <w:sz w:val="20"/>
          <w:szCs w:val="20"/>
          <w:lang w:val="fr-CA"/>
        </w:rPr>
      </w:pPr>
      <w:r w:rsidRPr="001D32CA">
        <w:rPr>
          <w:sz w:val="20"/>
          <w:szCs w:val="20"/>
          <w:lang w:val="fr-CA"/>
        </w:rPr>
        <w:t>Avocats :</w:t>
      </w:r>
      <w:r w:rsidRPr="001D32CA">
        <w:rPr>
          <w:sz w:val="20"/>
          <w:szCs w:val="20"/>
          <w:lang w:val="fr-CA"/>
        </w:rPr>
        <w:tab/>
        <w:t>David Schermbrucker et Bradley Reitz pour l’appelante</w:t>
      </w:r>
    </w:p>
    <w:p w:rsidR="00281430" w:rsidRPr="001D32CA" w:rsidRDefault="00281430" w:rsidP="00281430">
      <w:pPr>
        <w:widowControl w:val="0"/>
        <w:ind w:left="2880" w:hanging="2880"/>
        <w:jc w:val="both"/>
        <w:rPr>
          <w:sz w:val="20"/>
          <w:szCs w:val="20"/>
          <w:lang w:val="fr-CA"/>
        </w:rPr>
      </w:pPr>
      <w:r w:rsidRPr="001D32CA">
        <w:rPr>
          <w:sz w:val="20"/>
          <w:szCs w:val="20"/>
          <w:lang w:val="fr-CA"/>
        </w:rPr>
        <w:tab/>
        <w:t>Luke A. Craggs pour l’intimé</w:t>
      </w:r>
    </w:p>
    <w:p w:rsidR="00F164B3" w:rsidRPr="00DD0B49" w:rsidRDefault="00F164B3" w:rsidP="00F164B3">
      <w:pPr>
        <w:tabs>
          <w:tab w:val="left" w:pos="-1440"/>
          <w:tab w:val="left" w:pos="-720"/>
        </w:tabs>
        <w:jc w:val="both"/>
        <w:rPr>
          <w:sz w:val="20"/>
          <w:szCs w:val="20"/>
          <w:lang w:val="fr-CA"/>
        </w:rPr>
      </w:pPr>
    </w:p>
    <w:p w:rsidR="00F164B3" w:rsidRDefault="00A47393" w:rsidP="00F164B3">
      <w:pPr>
        <w:tabs>
          <w:tab w:val="left" w:pos="-1440"/>
          <w:tab w:val="left" w:pos="-720"/>
        </w:tabs>
        <w:jc w:val="both"/>
        <w:rPr>
          <w:sz w:val="20"/>
          <w:szCs w:val="20"/>
          <w:lang w:val="fr-CA"/>
        </w:rPr>
      </w:pPr>
      <w:r>
        <w:rPr>
          <w:sz w:val="20"/>
          <w:szCs w:val="20"/>
          <w:lang w:val="fr-CA"/>
        </w:rPr>
        <w:pict>
          <v:rect id="_x0000_i1068" style="width:2in;height:1pt" o:hrpct="0" o:hralign="center" o:hrstd="t" o:hrnoshade="t" o:hr="t" fillcolor="black [3213]" stroked="f"/>
        </w:pict>
      </w:r>
    </w:p>
    <w:p w:rsidR="00F164B3" w:rsidRDefault="00F164B3" w:rsidP="00F164B3">
      <w:pPr>
        <w:tabs>
          <w:tab w:val="left" w:pos="-1440"/>
          <w:tab w:val="left" w:pos="-720"/>
        </w:tabs>
        <w:jc w:val="both"/>
        <w:rPr>
          <w:sz w:val="20"/>
          <w:szCs w:val="20"/>
          <w:lang w:val="fr-CA"/>
        </w:rPr>
      </w:pPr>
    </w:p>
    <w:p w:rsidR="00F164B3" w:rsidRDefault="00F164B3">
      <w:pPr>
        <w:rPr>
          <w:sz w:val="20"/>
          <w:szCs w:val="20"/>
          <w:lang w:val="fr-CA"/>
        </w:rPr>
      </w:pPr>
    </w:p>
    <w:p w:rsidR="00F164B3" w:rsidRDefault="00F164B3">
      <w:pPr>
        <w:rPr>
          <w:sz w:val="20"/>
          <w:szCs w:val="20"/>
          <w:lang w:val="fr-CA"/>
        </w:rPr>
      </w:pPr>
      <w:r>
        <w:rPr>
          <w:sz w:val="20"/>
          <w:szCs w:val="20"/>
          <w:lang w:val="fr-CA"/>
        </w:rPr>
        <w:br w:type="page"/>
      </w:r>
    </w:p>
    <w:p w:rsidR="00281430" w:rsidRPr="004F4D58" w:rsidRDefault="001C5DB7" w:rsidP="00281430">
      <w:pPr>
        <w:widowControl w:val="0"/>
        <w:ind w:left="720" w:hanging="720"/>
        <w:jc w:val="both"/>
        <w:rPr>
          <w:sz w:val="20"/>
          <w:szCs w:val="20"/>
        </w:rPr>
      </w:pPr>
      <w:r w:rsidRPr="004F4D58">
        <w:rPr>
          <w:b/>
          <w:sz w:val="20"/>
          <w:szCs w:val="20"/>
        </w:rPr>
        <w:lastRenderedPageBreak/>
        <w:fldChar w:fldCharType="begin"/>
      </w:r>
      <w:r w:rsidR="00281430" w:rsidRPr="004F4D58">
        <w:rPr>
          <w:b/>
          <w:sz w:val="20"/>
          <w:szCs w:val="20"/>
        </w:rPr>
        <w:instrText xml:space="preserve"> SEQ CHAPTER \h \r 1</w:instrText>
      </w:r>
      <w:r w:rsidRPr="004F4D58">
        <w:rPr>
          <w:b/>
          <w:sz w:val="20"/>
          <w:szCs w:val="20"/>
        </w:rPr>
        <w:fldChar w:fldCharType="end"/>
      </w:r>
      <w:r w:rsidR="00281430" w:rsidRPr="004F4D58">
        <w:rPr>
          <w:b/>
          <w:sz w:val="20"/>
          <w:szCs w:val="20"/>
        </w:rPr>
        <w:t>35339</w:t>
      </w:r>
      <w:r w:rsidR="00281430" w:rsidRPr="004F4D58">
        <w:rPr>
          <w:sz w:val="20"/>
          <w:szCs w:val="20"/>
        </w:rPr>
        <w:tab/>
      </w:r>
      <w:r w:rsidR="00281430" w:rsidRPr="004F4D58">
        <w:rPr>
          <w:b/>
          <w:i/>
          <w:sz w:val="20"/>
          <w:szCs w:val="20"/>
        </w:rPr>
        <w:t>Her Majesty the Queen v. Sean Summers</w:t>
      </w:r>
    </w:p>
    <w:p w:rsidR="00281430" w:rsidRPr="004F4D58" w:rsidRDefault="00281430" w:rsidP="00281430">
      <w:pPr>
        <w:widowControl w:val="0"/>
        <w:jc w:val="both"/>
        <w:rPr>
          <w:sz w:val="20"/>
          <w:szCs w:val="20"/>
        </w:rPr>
      </w:pPr>
    </w:p>
    <w:p w:rsidR="00281430" w:rsidRPr="004F4D58" w:rsidRDefault="00281430" w:rsidP="00281430">
      <w:pPr>
        <w:widowControl w:val="0"/>
        <w:jc w:val="both"/>
        <w:rPr>
          <w:sz w:val="20"/>
          <w:szCs w:val="20"/>
        </w:rPr>
      </w:pPr>
      <w:r w:rsidRPr="004F4D58">
        <w:rPr>
          <w:sz w:val="20"/>
          <w:szCs w:val="20"/>
        </w:rPr>
        <w:t xml:space="preserve">Criminal law - Sentencing - Credit for pre-trial custody - Whether the Court of Appeal erred in finding that the unavailability of earned remission or parole to those in remand custody is a “circumstance” that may justify granting enhanced credit for pre-sentence custody under s. 719(3.1) of the </w:t>
      </w:r>
      <w:r w:rsidRPr="004F4D58">
        <w:rPr>
          <w:i/>
          <w:sz w:val="20"/>
          <w:szCs w:val="20"/>
        </w:rPr>
        <w:t>Criminal Code</w:t>
      </w:r>
      <w:r w:rsidRPr="004F4D58">
        <w:rPr>
          <w:sz w:val="20"/>
          <w:szCs w:val="20"/>
        </w:rPr>
        <w:t xml:space="preserve">. </w:t>
      </w:r>
    </w:p>
    <w:p w:rsidR="00281430" w:rsidRPr="004F4D58" w:rsidRDefault="00281430" w:rsidP="00281430">
      <w:pPr>
        <w:widowControl w:val="0"/>
        <w:jc w:val="both"/>
        <w:rPr>
          <w:sz w:val="20"/>
          <w:szCs w:val="20"/>
        </w:rPr>
      </w:pPr>
    </w:p>
    <w:p w:rsidR="00281430" w:rsidRPr="004F4D58" w:rsidRDefault="00281430" w:rsidP="00281430">
      <w:pPr>
        <w:widowControl w:val="0"/>
        <w:jc w:val="both"/>
        <w:rPr>
          <w:sz w:val="20"/>
          <w:szCs w:val="20"/>
        </w:rPr>
      </w:pPr>
      <w:r w:rsidRPr="004F4D58">
        <w:rPr>
          <w:sz w:val="20"/>
          <w:szCs w:val="20"/>
        </w:rPr>
        <w:t>The respondent was charged with manslaughter in connection with the shaking death of his infant daughter. After spending 10.5 months in pre-trial custody, the respondent pleaded guilty to the offence.  The sentencing judge determined that the sentence should be 6 years and eight months, which included credit of 1.5 to one credit for pre-trial custody.  The Court of Appeal dismissed the sentence appeal.</w:t>
      </w:r>
    </w:p>
    <w:p w:rsidR="00281430" w:rsidRPr="004F4D58" w:rsidRDefault="00281430" w:rsidP="00281430">
      <w:pPr>
        <w:widowControl w:val="0"/>
        <w:jc w:val="both"/>
        <w:rPr>
          <w:sz w:val="20"/>
          <w:szCs w:val="20"/>
        </w:rPr>
      </w:pPr>
    </w:p>
    <w:p w:rsidR="00281430" w:rsidRPr="004F4D58" w:rsidRDefault="00281430" w:rsidP="00281430">
      <w:pPr>
        <w:widowControl w:val="0"/>
        <w:jc w:val="both"/>
        <w:rPr>
          <w:sz w:val="20"/>
          <w:szCs w:val="20"/>
        </w:rPr>
      </w:pPr>
    </w:p>
    <w:p w:rsidR="00281430" w:rsidRPr="004F4D58" w:rsidRDefault="00281430" w:rsidP="00281430">
      <w:pPr>
        <w:widowControl w:val="0"/>
        <w:ind w:left="2880" w:hanging="2880"/>
        <w:jc w:val="both"/>
        <w:rPr>
          <w:sz w:val="20"/>
          <w:szCs w:val="20"/>
        </w:rPr>
      </w:pPr>
      <w:r w:rsidRPr="004F4D58">
        <w:rPr>
          <w:sz w:val="20"/>
          <w:szCs w:val="20"/>
        </w:rPr>
        <w:t>Origin of the case:</w:t>
      </w:r>
      <w:r w:rsidRPr="004F4D58">
        <w:rPr>
          <w:sz w:val="20"/>
          <w:szCs w:val="20"/>
        </w:rPr>
        <w:tab/>
        <w:t>Ontario</w:t>
      </w:r>
    </w:p>
    <w:p w:rsidR="00281430" w:rsidRPr="004F4D58" w:rsidRDefault="00281430" w:rsidP="00281430">
      <w:pPr>
        <w:widowControl w:val="0"/>
        <w:ind w:left="2880" w:hanging="2880"/>
        <w:jc w:val="both"/>
        <w:rPr>
          <w:sz w:val="20"/>
          <w:szCs w:val="20"/>
        </w:rPr>
      </w:pPr>
    </w:p>
    <w:p w:rsidR="00281430" w:rsidRPr="004F4D58" w:rsidRDefault="00281430" w:rsidP="00281430">
      <w:pPr>
        <w:widowControl w:val="0"/>
        <w:ind w:left="2880" w:hanging="2880"/>
        <w:jc w:val="both"/>
        <w:rPr>
          <w:sz w:val="20"/>
          <w:szCs w:val="20"/>
        </w:rPr>
      </w:pPr>
      <w:r w:rsidRPr="004F4D58">
        <w:rPr>
          <w:sz w:val="20"/>
          <w:szCs w:val="20"/>
        </w:rPr>
        <w:t>File No.:</w:t>
      </w:r>
      <w:r w:rsidRPr="004F4D58">
        <w:rPr>
          <w:sz w:val="20"/>
          <w:szCs w:val="20"/>
        </w:rPr>
        <w:tab/>
        <w:t>35339</w:t>
      </w:r>
    </w:p>
    <w:p w:rsidR="00281430" w:rsidRPr="004F4D58" w:rsidRDefault="00281430" w:rsidP="00281430">
      <w:pPr>
        <w:widowControl w:val="0"/>
        <w:ind w:left="2880" w:hanging="2880"/>
        <w:jc w:val="both"/>
        <w:rPr>
          <w:sz w:val="20"/>
          <w:szCs w:val="20"/>
        </w:rPr>
      </w:pPr>
    </w:p>
    <w:p w:rsidR="00281430" w:rsidRPr="004F4D58" w:rsidRDefault="00281430" w:rsidP="00281430">
      <w:pPr>
        <w:widowControl w:val="0"/>
        <w:ind w:left="2880" w:hanging="2880"/>
        <w:jc w:val="both"/>
        <w:rPr>
          <w:sz w:val="20"/>
          <w:szCs w:val="20"/>
        </w:rPr>
      </w:pPr>
      <w:r w:rsidRPr="004F4D58">
        <w:rPr>
          <w:sz w:val="20"/>
          <w:szCs w:val="20"/>
        </w:rPr>
        <w:t>Judgment of the Court of Appeal:</w:t>
      </w:r>
      <w:r w:rsidRPr="004F4D58">
        <w:rPr>
          <w:sz w:val="20"/>
          <w:szCs w:val="20"/>
        </w:rPr>
        <w:tab/>
        <w:t>March 12, 2013</w:t>
      </w:r>
    </w:p>
    <w:p w:rsidR="00281430" w:rsidRPr="004F4D58" w:rsidRDefault="00281430" w:rsidP="00281430">
      <w:pPr>
        <w:widowControl w:val="0"/>
        <w:ind w:left="2880" w:hanging="2880"/>
        <w:jc w:val="both"/>
        <w:rPr>
          <w:sz w:val="20"/>
          <w:szCs w:val="20"/>
        </w:rPr>
      </w:pPr>
    </w:p>
    <w:p w:rsidR="00281430" w:rsidRPr="004F4D58" w:rsidRDefault="00281430" w:rsidP="00281430">
      <w:pPr>
        <w:widowControl w:val="0"/>
        <w:ind w:left="2880" w:hanging="2880"/>
        <w:jc w:val="both"/>
        <w:rPr>
          <w:sz w:val="20"/>
          <w:szCs w:val="20"/>
        </w:rPr>
      </w:pPr>
      <w:r w:rsidRPr="004F4D58">
        <w:rPr>
          <w:sz w:val="20"/>
          <w:szCs w:val="20"/>
        </w:rPr>
        <w:t>Counsel:</w:t>
      </w:r>
      <w:r w:rsidRPr="004F4D58">
        <w:rPr>
          <w:sz w:val="20"/>
          <w:szCs w:val="20"/>
        </w:rPr>
        <w:tab/>
        <w:t>Gregory J. Tweney and Molly Flanagan for the appellant</w:t>
      </w:r>
    </w:p>
    <w:p w:rsidR="00281430" w:rsidRPr="004F4D58" w:rsidRDefault="00281430" w:rsidP="00281430">
      <w:pPr>
        <w:widowControl w:val="0"/>
        <w:ind w:left="2880" w:hanging="2880"/>
        <w:jc w:val="both"/>
        <w:rPr>
          <w:sz w:val="20"/>
          <w:szCs w:val="20"/>
        </w:rPr>
      </w:pPr>
      <w:r w:rsidRPr="004F4D58">
        <w:rPr>
          <w:sz w:val="20"/>
          <w:szCs w:val="20"/>
        </w:rPr>
        <w:tab/>
        <w:t>Timothy Breen for the respondent</w:t>
      </w:r>
    </w:p>
    <w:p w:rsidR="00F164B3" w:rsidRPr="00C667BD" w:rsidRDefault="00F164B3" w:rsidP="00F164B3">
      <w:pPr>
        <w:tabs>
          <w:tab w:val="left" w:pos="-1440"/>
          <w:tab w:val="left" w:pos="-720"/>
        </w:tabs>
        <w:jc w:val="both"/>
        <w:rPr>
          <w:sz w:val="20"/>
          <w:szCs w:val="20"/>
        </w:rPr>
      </w:pPr>
    </w:p>
    <w:p w:rsidR="00F164B3" w:rsidRDefault="00A47393" w:rsidP="00F164B3">
      <w:pPr>
        <w:tabs>
          <w:tab w:val="left" w:pos="-1440"/>
          <w:tab w:val="left" w:pos="-720"/>
        </w:tabs>
        <w:jc w:val="both"/>
        <w:rPr>
          <w:sz w:val="20"/>
          <w:szCs w:val="20"/>
          <w:lang w:val="fr-CA"/>
        </w:rPr>
      </w:pPr>
      <w:r>
        <w:rPr>
          <w:sz w:val="20"/>
          <w:szCs w:val="20"/>
          <w:lang w:val="fr-CA"/>
        </w:rPr>
        <w:pict>
          <v:rect id="_x0000_i1069" style="width:2in;height:1pt" o:hrpct="0" o:hralign="center" o:hrstd="t" o:hrnoshade="t" o:hr="t" fillcolor="black [3213]" stroked="f"/>
        </w:pict>
      </w:r>
    </w:p>
    <w:p w:rsidR="00F164B3" w:rsidRDefault="00F164B3" w:rsidP="00F164B3">
      <w:pPr>
        <w:tabs>
          <w:tab w:val="left" w:pos="-1440"/>
          <w:tab w:val="left" w:pos="-720"/>
        </w:tabs>
        <w:jc w:val="both"/>
        <w:rPr>
          <w:sz w:val="20"/>
          <w:szCs w:val="20"/>
          <w:lang w:val="fr-CA"/>
        </w:rPr>
      </w:pPr>
    </w:p>
    <w:p w:rsidR="00F164B3" w:rsidRDefault="00F164B3">
      <w:pPr>
        <w:rPr>
          <w:sz w:val="20"/>
          <w:szCs w:val="20"/>
          <w:lang w:val="fr-CA"/>
        </w:rPr>
      </w:pPr>
    </w:p>
    <w:p w:rsidR="00F164B3" w:rsidRDefault="00F164B3">
      <w:pPr>
        <w:rPr>
          <w:sz w:val="20"/>
          <w:szCs w:val="20"/>
          <w:lang w:val="fr-CA"/>
        </w:rPr>
      </w:pPr>
      <w:r>
        <w:rPr>
          <w:sz w:val="20"/>
          <w:szCs w:val="20"/>
          <w:lang w:val="fr-CA"/>
        </w:rPr>
        <w:br w:type="page"/>
      </w:r>
    </w:p>
    <w:p w:rsidR="00C667BD" w:rsidRPr="003E3A64" w:rsidRDefault="001C5DB7" w:rsidP="00C667BD">
      <w:pPr>
        <w:widowControl w:val="0"/>
        <w:ind w:left="720" w:hanging="720"/>
        <w:jc w:val="both"/>
        <w:rPr>
          <w:sz w:val="20"/>
          <w:szCs w:val="20"/>
          <w:lang w:val="fr-CA"/>
        </w:rPr>
      </w:pPr>
      <w:r w:rsidRPr="003E3A64">
        <w:rPr>
          <w:b/>
          <w:sz w:val="20"/>
          <w:szCs w:val="20"/>
          <w:lang w:val="fr-CA"/>
        </w:rPr>
        <w:lastRenderedPageBreak/>
        <w:fldChar w:fldCharType="begin"/>
      </w:r>
      <w:r w:rsidR="00C667BD" w:rsidRPr="003E3A64">
        <w:rPr>
          <w:b/>
          <w:sz w:val="20"/>
          <w:szCs w:val="20"/>
          <w:lang w:val="fr-CA"/>
        </w:rPr>
        <w:instrText xml:space="preserve"> SEQ CHAPTER \h \r 1</w:instrText>
      </w:r>
      <w:r w:rsidRPr="003E3A64">
        <w:rPr>
          <w:b/>
          <w:sz w:val="20"/>
          <w:szCs w:val="20"/>
          <w:lang w:val="fr-CA"/>
        </w:rPr>
        <w:fldChar w:fldCharType="end"/>
      </w:r>
      <w:r w:rsidR="00C667BD" w:rsidRPr="003E3A64">
        <w:rPr>
          <w:b/>
          <w:sz w:val="20"/>
          <w:szCs w:val="20"/>
          <w:lang w:val="fr-CA"/>
        </w:rPr>
        <w:t>35339</w:t>
      </w:r>
      <w:r w:rsidR="00C667BD" w:rsidRPr="003E3A64">
        <w:rPr>
          <w:sz w:val="20"/>
          <w:szCs w:val="20"/>
          <w:lang w:val="fr-CA"/>
        </w:rPr>
        <w:tab/>
      </w:r>
      <w:r w:rsidR="00C667BD" w:rsidRPr="003E3A64">
        <w:rPr>
          <w:b/>
          <w:i/>
          <w:sz w:val="20"/>
          <w:szCs w:val="20"/>
          <w:lang w:val="fr-CA"/>
        </w:rPr>
        <w:t>Sa Majesté la Reine c. Sean Summers</w:t>
      </w:r>
    </w:p>
    <w:p w:rsidR="00C667BD" w:rsidRPr="003E3A64" w:rsidRDefault="00C667BD" w:rsidP="00C667BD">
      <w:pPr>
        <w:widowControl w:val="0"/>
        <w:jc w:val="both"/>
        <w:rPr>
          <w:sz w:val="20"/>
          <w:szCs w:val="20"/>
          <w:lang w:val="fr-CA"/>
        </w:rPr>
      </w:pPr>
    </w:p>
    <w:p w:rsidR="00C667BD" w:rsidRPr="003E3A64" w:rsidRDefault="00C667BD" w:rsidP="00C667BD">
      <w:pPr>
        <w:widowControl w:val="0"/>
        <w:jc w:val="both"/>
        <w:rPr>
          <w:sz w:val="20"/>
          <w:szCs w:val="20"/>
          <w:lang w:val="fr-CA"/>
        </w:rPr>
      </w:pPr>
      <w:r w:rsidRPr="003E3A64">
        <w:rPr>
          <w:sz w:val="20"/>
          <w:szCs w:val="20"/>
          <w:lang w:val="fr-CA"/>
        </w:rPr>
        <w:t xml:space="preserve">Droit criminel - Détermination de la peine - Réduction pour la période passée sous garde avant le procès - La Cour d’appel a-t-elle eu tort de conclure que l’impossibilité pour ceux qui sont en détention provisoire avant le prononcé de la sentence d’obtenir une réduction de peine méritée ou une libération conditionnelle constitue une « circonstance » qui peut justifier l’allocation d’une réduction plus importante de la peine pour tenir compte de la période passée sous garde avant le prononcé de la sentence en application du par. 719(3.1) du </w:t>
      </w:r>
      <w:r w:rsidRPr="003E3A64">
        <w:rPr>
          <w:i/>
          <w:sz w:val="20"/>
          <w:szCs w:val="20"/>
          <w:lang w:val="fr-CA"/>
        </w:rPr>
        <w:t>Code criminel</w:t>
      </w:r>
      <w:r w:rsidRPr="003E3A64">
        <w:rPr>
          <w:sz w:val="20"/>
          <w:szCs w:val="20"/>
          <w:lang w:val="fr-CA"/>
        </w:rPr>
        <w:t xml:space="preserve">? </w:t>
      </w:r>
    </w:p>
    <w:p w:rsidR="00C667BD" w:rsidRPr="003E3A64" w:rsidRDefault="00C667BD" w:rsidP="00C667BD">
      <w:pPr>
        <w:widowControl w:val="0"/>
        <w:jc w:val="both"/>
        <w:rPr>
          <w:sz w:val="20"/>
          <w:szCs w:val="20"/>
          <w:lang w:val="fr-CA"/>
        </w:rPr>
      </w:pPr>
    </w:p>
    <w:p w:rsidR="00C667BD" w:rsidRPr="003E3A64" w:rsidRDefault="00C667BD" w:rsidP="00C667BD">
      <w:pPr>
        <w:widowControl w:val="0"/>
        <w:jc w:val="both"/>
        <w:rPr>
          <w:sz w:val="20"/>
          <w:szCs w:val="20"/>
          <w:lang w:val="fr-CA"/>
        </w:rPr>
      </w:pPr>
      <w:r w:rsidRPr="003E3A64">
        <w:rPr>
          <w:sz w:val="20"/>
          <w:szCs w:val="20"/>
          <w:lang w:val="fr-CA"/>
        </w:rPr>
        <w:t>L’intimé a été accusé d’homicide involontaire coupable en lien avec le décès par secouement de sa fille en bas âge.  Après avoir passé 10,5 mois sous garde avant son procès, l’intimé a plaidé coupable à l’infraction.  Le juge chargé de prononcer la peine a imposé une peine de six ans et huit mois qui comprenait une réduction de peine pour tenir compte de la période passée sous garde avant le procès, c’est-à-dire un jour et demi de réduction pour chaque jour passé sous garde.  La Cour d’appel a rejeté l’appel de la peine.</w:t>
      </w:r>
    </w:p>
    <w:p w:rsidR="00C667BD" w:rsidRPr="003E3A64" w:rsidRDefault="00C667BD" w:rsidP="00C667BD">
      <w:pPr>
        <w:widowControl w:val="0"/>
        <w:jc w:val="both"/>
        <w:rPr>
          <w:sz w:val="20"/>
          <w:szCs w:val="20"/>
          <w:lang w:val="fr-CA"/>
        </w:rPr>
      </w:pPr>
    </w:p>
    <w:p w:rsidR="00C667BD" w:rsidRPr="003E3A64" w:rsidRDefault="00C667BD" w:rsidP="00C667BD">
      <w:pPr>
        <w:widowControl w:val="0"/>
        <w:jc w:val="both"/>
        <w:rPr>
          <w:sz w:val="20"/>
          <w:szCs w:val="20"/>
          <w:lang w:val="fr-CA"/>
        </w:rPr>
      </w:pPr>
    </w:p>
    <w:p w:rsidR="00C667BD" w:rsidRPr="003E3A64" w:rsidRDefault="00C667BD" w:rsidP="00C667BD">
      <w:pPr>
        <w:widowControl w:val="0"/>
        <w:ind w:left="2880" w:hanging="2880"/>
        <w:jc w:val="both"/>
        <w:rPr>
          <w:sz w:val="20"/>
          <w:szCs w:val="20"/>
          <w:lang w:val="fr-CA"/>
        </w:rPr>
      </w:pPr>
      <w:r w:rsidRPr="003E3A64">
        <w:rPr>
          <w:sz w:val="20"/>
          <w:szCs w:val="20"/>
          <w:lang w:val="fr-CA"/>
        </w:rPr>
        <w:t>Origine :</w:t>
      </w:r>
      <w:r w:rsidRPr="003E3A64">
        <w:rPr>
          <w:sz w:val="20"/>
          <w:szCs w:val="20"/>
          <w:lang w:val="fr-CA"/>
        </w:rPr>
        <w:tab/>
        <w:t>Ontario</w:t>
      </w:r>
    </w:p>
    <w:p w:rsidR="00C667BD" w:rsidRPr="003E3A64" w:rsidRDefault="00C667BD" w:rsidP="00C667BD">
      <w:pPr>
        <w:widowControl w:val="0"/>
        <w:ind w:left="2880" w:hanging="2880"/>
        <w:jc w:val="both"/>
        <w:rPr>
          <w:sz w:val="20"/>
          <w:szCs w:val="20"/>
          <w:lang w:val="fr-CA"/>
        </w:rPr>
      </w:pPr>
    </w:p>
    <w:p w:rsidR="00C667BD" w:rsidRPr="003E3A64" w:rsidRDefault="00C667BD" w:rsidP="00C667BD">
      <w:pPr>
        <w:widowControl w:val="0"/>
        <w:ind w:left="2880" w:hanging="2880"/>
        <w:jc w:val="both"/>
        <w:rPr>
          <w:sz w:val="20"/>
          <w:szCs w:val="20"/>
          <w:lang w:val="fr-CA"/>
        </w:rPr>
      </w:pPr>
      <w:r w:rsidRPr="003E3A64">
        <w:rPr>
          <w:sz w:val="20"/>
          <w:szCs w:val="20"/>
          <w:lang w:val="fr-CA"/>
        </w:rPr>
        <w:t>N</w:t>
      </w:r>
      <w:r w:rsidRPr="003E3A64">
        <w:rPr>
          <w:sz w:val="20"/>
          <w:szCs w:val="20"/>
          <w:vertAlign w:val="superscript"/>
          <w:lang w:val="fr-CA"/>
        </w:rPr>
        <w:t>o</w:t>
      </w:r>
      <w:r w:rsidRPr="003E3A64">
        <w:rPr>
          <w:sz w:val="20"/>
          <w:szCs w:val="20"/>
          <w:lang w:val="fr-CA"/>
        </w:rPr>
        <w:t xml:space="preserve"> du greffe :</w:t>
      </w:r>
      <w:r w:rsidRPr="003E3A64">
        <w:rPr>
          <w:sz w:val="20"/>
          <w:szCs w:val="20"/>
          <w:lang w:val="fr-CA"/>
        </w:rPr>
        <w:tab/>
        <w:t>35339</w:t>
      </w:r>
    </w:p>
    <w:p w:rsidR="00C667BD" w:rsidRPr="003E3A64" w:rsidRDefault="00C667BD" w:rsidP="00C667BD">
      <w:pPr>
        <w:widowControl w:val="0"/>
        <w:ind w:left="2880" w:hanging="2880"/>
        <w:jc w:val="both"/>
        <w:rPr>
          <w:sz w:val="20"/>
          <w:szCs w:val="20"/>
          <w:lang w:val="fr-CA"/>
        </w:rPr>
      </w:pPr>
    </w:p>
    <w:p w:rsidR="00C667BD" w:rsidRPr="003E3A64" w:rsidRDefault="00C667BD" w:rsidP="00C667BD">
      <w:pPr>
        <w:widowControl w:val="0"/>
        <w:ind w:left="2880" w:hanging="2880"/>
        <w:jc w:val="both"/>
        <w:rPr>
          <w:sz w:val="20"/>
          <w:szCs w:val="20"/>
          <w:lang w:val="fr-CA"/>
        </w:rPr>
      </w:pPr>
      <w:r w:rsidRPr="003E3A64">
        <w:rPr>
          <w:sz w:val="20"/>
          <w:szCs w:val="20"/>
          <w:lang w:val="fr-CA"/>
        </w:rPr>
        <w:t>Arrêt de la Cour d’appel :</w:t>
      </w:r>
      <w:r w:rsidRPr="003E3A64">
        <w:rPr>
          <w:sz w:val="20"/>
          <w:szCs w:val="20"/>
          <w:lang w:val="fr-CA"/>
        </w:rPr>
        <w:tab/>
        <w:t>le 12 mars 2013</w:t>
      </w:r>
    </w:p>
    <w:p w:rsidR="00C667BD" w:rsidRPr="003E3A64" w:rsidRDefault="00C667BD" w:rsidP="00C667BD">
      <w:pPr>
        <w:widowControl w:val="0"/>
        <w:ind w:left="2880" w:hanging="2880"/>
        <w:jc w:val="both"/>
        <w:rPr>
          <w:sz w:val="20"/>
          <w:szCs w:val="20"/>
          <w:lang w:val="fr-CA"/>
        </w:rPr>
      </w:pPr>
    </w:p>
    <w:p w:rsidR="00C667BD" w:rsidRPr="003E3A64" w:rsidRDefault="00C667BD" w:rsidP="00C667BD">
      <w:pPr>
        <w:widowControl w:val="0"/>
        <w:ind w:left="2880" w:hanging="2880"/>
        <w:jc w:val="both"/>
        <w:rPr>
          <w:sz w:val="20"/>
          <w:szCs w:val="20"/>
          <w:lang w:val="fr-CA"/>
        </w:rPr>
      </w:pPr>
      <w:r w:rsidRPr="003E3A64">
        <w:rPr>
          <w:sz w:val="20"/>
          <w:szCs w:val="20"/>
          <w:lang w:val="fr-CA"/>
        </w:rPr>
        <w:t>Avocats :</w:t>
      </w:r>
      <w:r w:rsidRPr="003E3A64">
        <w:rPr>
          <w:sz w:val="20"/>
          <w:szCs w:val="20"/>
          <w:lang w:val="fr-CA"/>
        </w:rPr>
        <w:tab/>
        <w:t>Gregory J. Tweney et Molly Flanagan pour l’appelante</w:t>
      </w:r>
    </w:p>
    <w:p w:rsidR="00C667BD" w:rsidRPr="003E3A64" w:rsidRDefault="00C667BD" w:rsidP="00C667BD">
      <w:pPr>
        <w:widowControl w:val="0"/>
        <w:ind w:left="2880" w:hanging="2880"/>
        <w:jc w:val="both"/>
        <w:rPr>
          <w:sz w:val="20"/>
          <w:szCs w:val="20"/>
          <w:lang w:val="fr-CA"/>
        </w:rPr>
      </w:pPr>
      <w:r w:rsidRPr="003E3A64">
        <w:rPr>
          <w:sz w:val="20"/>
          <w:szCs w:val="20"/>
          <w:lang w:val="fr-CA"/>
        </w:rPr>
        <w:tab/>
        <w:t>Timothy Breen pour l’intimé</w:t>
      </w:r>
    </w:p>
    <w:p w:rsidR="00F164B3" w:rsidRPr="00DD0B49" w:rsidRDefault="00F164B3" w:rsidP="00F164B3">
      <w:pPr>
        <w:tabs>
          <w:tab w:val="left" w:pos="-1440"/>
          <w:tab w:val="left" w:pos="-720"/>
        </w:tabs>
        <w:jc w:val="both"/>
        <w:rPr>
          <w:sz w:val="20"/>
          <w:szCs w:val="20"/>
          <w:lang w:val="fr-CA"/>
        </w:rPr>
      </w:pPr>
    </w:p>
    <w:p w:rsidR="00F164B3" w:rsidRDefault="00A47393" w:rsidP="00F164B3">
      <w:pPr>
        <w:tabs>
          <w:tab w:val="left" w:pos="-1440"/>
          <w:tab w:val="left" w:pos="-720"/>
        </w:tabs>
        <w:jc w:val="both"/>
        <w:rPr>
          <w:sz w:val="20"/>
          <w:szCs w:val="20"/>
          <w:lang w:val="fr-CA"/>
        </w:rPr>
      </w:pPr>
      <w:r>
        <w:rPr>
          <w:sz w:val="20"/>
          <w:szCs w:val="20"/>
          <w:lang w:val="fr-CA"/>
        </w:rPr>
        <w:pict>
          <v:rect id="_x0000_i1070" style="width:2in;height:1pt" o:hrpct="0" o:hralign="center" o:hrstd="t" o:hrnoshade="t" o:hr="t" fillcolor="black [3213]" stroked="f"/>
        </w:pict>
      </w:r>
    </w:p>
    <w:p w:rsidR="00F164B3" w:rsidRDefault="00F164B3" w:rsidP="00F164B3">
      <w:pPr>
        <w:tabs>
          <w:tab w:val="left" w:pos="-1440"/>
          <w:tab w:val="left" w:pos="-720"/>
        </w:tabs>
        <w:jc w:val="both"/>
        <w:rPr>
          <w:sz w:val="20"/>
          <w:szCs w:val="20"/>
          <w:lang w:val="fr-CA"/>
        </w:rPr>
      </w:pPr>
    </w:p>
    <w:p w:rsidR="00F164B3" w:rsidRDefault="00F164B3">
      <w:pPr>
        <w:rPr>
          <w:sz w:val="20"/>
          <w:szCs w:val="20"/>
          <w:lang w:val="fr-CA"/>
        </w:rPr>
      </w:pPr>
      <w:r>
        <w:rPr>
          <w:sz w:val="20"/>
          <w:szCs w:val="20"/>
          <w:lang w:val="fr-CA"/>
        </w:rPr>
        <w:br w:type="page"/>
      </w:r>
    </w:p>
    <w:p w:rsidR="00A774EB" w:rsidRPr="00470DCE" w:rsidRDefault="001C5DB7" w:rsidP="00A774EB">
      <w:pPr>
        <w:widowControl w:val="0"/>
        <w:ind w:left="720" w:hanging="720"/>
        <w:jc w:val="both"/>
        <w:rPr>
          <w:sz w:val="20"/>
          <w:szCs w:val="20"/>
        </w:rPr>
      </w:pPr>
      <w:r w:rsidRPr="00470DCE">
        <w:rPr>
          <w:b/>
          <w:sz w:val="20"/>
          <w:szCs w:val="20"/>
        </w:rPr>
        <w:lastRenderedPageBreak/>
        <w:fldChar w:fldCharType="begin"/>
      </w:r>
      <w:r w:rsidR="00A774EB" w:rsidRPr="00470DCE">
        <w:rPr>
          <w:b/>
          <w:sz w:val="20"/>
          <w:szCs w:val="20"/>
        </w:rPr>
        <w:instrText xml:space="preserve"> SEQ CHAPTER \h \r 1</w:instrText>
      </w:r>
      <w:r w:rsidRPr="00470DCE">
        <w:rPr>
          <w:b/>
          <w:sz w:val="20"/>
          <w:szCs w:val="20"/>
        </w:rPr>
        <w:fldChar w:fldCharType="end"/>
      </w:r>
      <w:r w:rsidR="00A774EB" w:rsidRPr="00470DCE">
        <w:rPr>
          <w:b/>
          <w:sz w:val="20"/>
          <w:szCs w:val="20"/>
        </w:rPr>
        <w:t>35487</w:t>
      </w:r>
      <w:r w:rsidR="00A774EB" w:rsidRPr="00470DCE">
        <w:rPr>
          <w:sz w:val="20"/>
          <w:szCs w:val="20"/>
        </w:rPr>
        <w:tab/>
      </w:r>
      <w:r w:rsidR="00A774EB" w:rsidRPr="00470DCE">
        <w:rPr>
          <w:b/>
          <w:i/>
          <w:sz w:val="20"/>
          <w:szCs w:val="20"/>
        </w:rPr>
        <w:t>Calvin Clarke v. Her Majesty the Queen</w:t>
      </w:r>
    </w:p>
    <w:p w:rsidR="00A774EB" w:rsidRPr="00470DCE" w:rsidRDefault="00A774EB" w:rsidP="00A774EB">
      <w:pPr>
        <w:widowControl w:val="0"/>
        <w:jc w:val="both"/>
        <w:rPr>
          <w:sz w:val="20"/>
          <w:szCs w:val="20"/>
        </w:rPr>
      </w:pPr>
    </w:p>
    <w:p w:rsidR="00A774EB" w:rsidRPr="00470DCE" w:rsidRDefault="00A774EB" w:rsidP="00A774EB">
      <w:pPr>
        <w:widowControl w:val="0"/>
        <w:jc w:val="both"/>
        <w:rPr>
          <w:sz w:val="20"/>
          <w:szCs w:val="20"/>
        </w:rPr>
      </w:pPr>
      <w:r w:rsidRPr="00470DCE">
        <w:rPr>
          <w:sz w:val="20"/>
          <w:szCs w:val="20"/>
        </w:rPr>
        <w:t xml:space="preserve">Criminal law - Sentencing - Credit for pre-sentence custody - Whether the </w:t>
      </w:r>
      <w:r w:rsidRPr="00470DCE">
        <w:rPr>
          <w:i/>
          <w:sz w:val="20"/>
          <w:szCs w:val="20"/>
        </w:rPr>
        <w:t>Truth in Sentencing Act</w:t>
      </w:r>
      <w:r w:rsidRPr="00470DCE">
        <w:rPr>
          <w:sz w:val="20"/>
          <w:szCs w:val="20"/>
        </w:rPr>
        <w:t>, S.C. 2009, c. 29, operates retrospectively.</w:t>
      </w:r>
    </w:p>
    <w:p w:rsidR="00A774EB" w:rsidRPr="00470DCE" w:rsidRDefault="00A774EB" w:rsidP="00A774EB">
      <w:pPr>
        <w:widowControl w:val="0"/>
        <w:jc w:val="both"/>
        <w:rPr>
          <w:sz w:val="20"/>
          <w:szCs w:val="20"/>
        </w:rPr>
      </w:pPr>
    </w:p>
    <w:p w:rsidR="00A774EB" w:rsidRPr="00470DCE" w:rsidRDefault="00A774EB" w:rsidP="00A774EB">
      <w:pPr>
        <w:widowControl w:val="0"/>
        <w:jc w:val="both"/>
        <w:rPr>
          <w:sz w:val="20"/>
          <w:szCs w:val="20"/>
        </w:rPr>
      </w:pPr>
      <w:r w:rsidRPr="00470DCE">
        <w:rPr>
          <w:sz w:val="20"/>
          <w:szCs w:val="20"/>
        </w:rPr>
        <w:t xml:space="preserve">The appellant pled guilty to break and enter and numerous firearms-related offences.  He committed the offences for which he was convicted before the </w:t>
      </w:r>
      <w:r w:rsidRPr="00470DCE">
        <w:rPr>
          <w:i/>
          <w:sz w:val="20"/>
          <w:szCs w:val="20"/>
        </w:rPr>
        <w:t>Truth in Sentencing Act</w:t>
      </w:r>
      <w:r w:rsidRPr="00470DCE">
        <w:rPr>
          <w:sz w:val="20"/>
          <w:szCs w:val="20"/>
        </w:rPr>
        <w:t xml:space="preserve">, S.C. 2009, c. 29, came into force.  The critical provision of the </w:t>
      </w:r>
      <w:r w:rsidRPr="00470DCE">
        <w:rPr>
          <w:i/>
          <w:sz w:val="20"/>
          <w:szCs w:val="20"/>
        </w:rPr>
        <w:t>Act</w:t>
      </w:r>
      <w:r w:rsidRPr="00470DCE">
        <w:rPr>
          <w:sz w:val="20"/>
          <w:szCs w:val="20"/>
        </w:rPr>
        <w:t xml:space="preserve"> is s. 5 which states that the limits on credit for pre-sentence custody in the subsections enacted by s. 3 “apply only to persons charged after the day on which those subsections come into force”.  Those subsections came into force on February 22, 2010 and the appellant was charged after that date.  The sentencing judge held that the </w:t>
      </w:r>
      <w:r w:rsidRPr="00470DCE">
        <w:rPr>
          <w:i/>
          <w:sz w:val="20"/>
          <w:szCs w:val="20"/>
        </w:rPr>
        <w:t>Act</w:t>
      </w:r>
      <w:r w:rsidRPr="00470DCE">
        <w:rPr>
          <w:sz w:val="20"/>
          <w:szCs w:val="20"/>
        </w:rPr>
        <w:t xml:space="preserve"> applied and gave the appellant the maximum credit the </w:t>
      </w:r>
      <w:r w:rsidRPr="00470DCE">
        <w:rPr>
          <w:i/>
          <w:sz w:val="20"/>
          <w:szCs w:val="20"/>
        </w:rPr>
        <w:t>Act</w:t>
      </w:r>
      <w:r w:rsidRPr="00470DCE">
        <w:rPr>
          <w:sz w:val="20"/>
          <w:szCs w:val="20"/>
        </w:rPr>
        <w:t xml:space="preserve"> permits: one-and-a-half days’ credit for each day spent in pre-sentence custody.  The Court of Appeal dismissed the sentence appeal.</w:t>
      </w:r>
    </w:p>
    <w:p w:rsidR="00A774EB" w:rsidRPr="00470DCE" w:rsidRDefault="00A774EB" w:rsidP="00A774EB">
      <w:pPr>
        <w:widowControl w:val="0"/>
        <w:jc w:val="both"/>
        <w:rPr>
          <w:sz w:val="20"/>
          <w:szCs w:val="20"/>
        </w:rPr>
      </w:pPr>
    </w:p>
    <w:p w:rsidR="00A774EB" w:rsidRPr="00470DCE" w:rsidRDefault="00A774EB" w:rsidP="00A774EB">
      <w:pPr>
        <w:widowControl w:val="0"/>
        <w:jc w:val="both"/>
        <w:rPr>
          <w:sz w:val="20"/>
          <w:szCs w:val="20"/>
        </w:rPr>
      </w:pPr>
    </w:p>
    <w:p w:rsidR="00A774EB" w:rsidRPr="00470DCE" w:rsidRDefault="00A774EB" w:rsidP="00A774EB">
      <w:pPr>
        <w:widowControl w:val="0"/>
        <w:ind w:left="2880" w:hanging="2880"/>
        <w:jc w:val="both"/>
        <w:rPr>
          <w:sz w:val="20"/>
          <w:szCs w:val="20"/>
        </w:rPr>
      </w:pPr>
      <w:r w:rsidRPr="00470DCE">
        <w:rPr>
          <w:sz w:val="20"/>
          <w:szCs w:val="20"/>
        </w:rPr>
        <w:t>Origin of the case:</w:t>
      </w:r>
      <w:r w:rsidRPr="00470DCE">
        <w:rPr>
          <w:sz w:val="20"/>
          <w:szCs w:val="20"/>
        </w:rPr>
        <w:tab/>
        <w:t>Ontario</w:t>
      </w:r>
    </w:p>
    <w:p w:rsidR="00A774EB" w:rsidRPr="00470DCE" w:rsidRDefault="00A774EB" w:rsidP="00A774EB">
      <w:pPr>
        <w:widowControl w:val="0"/>
        <w:ind w:left="2880" w:hanging="2880"/>
        <w:jc w:val="both"/>
        <w:rPr>
          <w:sz w:val="20"/>
          <w:szCs w:val="20"/>
        </w:rPr>
      </w:pPr>
    </w:p>
    <w:p w:rsidR="00A774EB" w:rsidRPr="00470DCE" w:rsidRDefault="00A774EB" w:rsidP="00A774EB">
      <w:pPr>
        <w:widowControl w:val="0"/>
        <w:ind w:left="2880" w:hanging="2880"/>
        <w:jc w:val="both"/>
        <w:rPr>
          <w:sz w:val="20"/>
          <w:szCs w:val="20"/>
        </w:rPr>
      </w:pPr>
      <w:r w:rsidRPr="00470DCE">
        <w:rPr>
          <w:sz w:val="20"/>
          <w:szCs w:val="20"/>
        </w:rPr>
        <w:t>File No.:</w:t>
      </w:r>
      <w:r w:rsidRPr="00470DCE">
        <w:rPr>
          <w:sz w:val="20"/>
          <w:szCs w:val="20"/>
        </w:rPr>
        <w:tab/>
        <w:t>35487</w:t>
      </w:r>
    </w:p>
    <w:p w:rsidR="00A774EB" w:rsidRPr="00470DCE" w:rsidRDefault="00A774EB" w:rsidP="00A774EB">
      <w:pPr>
        <w:widowControl w:val="0"/>
        <w:ind w:left="2880" w:hanging="2880"/>
        <w:jc w:val="both"/>
        <w:rPr>
          <w:sz w:val="20"/>
          <w:szCs w:val="20"/>
        </w:rPr>
      </w:pPr>
    </w:p>
    <w:p w:rsidR="00A774EB" w:rsidRPr="00470DCE" w:rsidRDefault="00A774EB" w:rsidP="00A774EB">
      <w:pPr>
        <w:widowControl w:val="0"/>
        <w:ind w:left="2880" w:hanging="2880"/>
        <w:jc w:val="both"/>
        <w:rPr>
          <w:sz w:val="20"/>
          <w:szCs w:val="20"/>
        </w:rPr>
      </w:pPr>
      <w:r w:rsidRPr="00470DCE">
        <w:rPr>
          <w:sz w:val="20"/>
          <w:szCs w:val="20"/>
        </w:rPr>
        <w:t>Judgment of the Court of Appeal:</w:t>
      </w:r>
      <w:r w:rsidRPr="00470DCE">
        <w:rPr>
          <w:sz w:val="20"/>
          <w:szCs w:val="20"/>
        </w:rPr>
        <w:tab/>
        <w:t>January 11, 2013</w:t>
      </w:r>
    </w:p>
    <w:p w:rsidR="00A774EB" w:rsidRPr="00470DCE" w:rsidRDefault="00A774EB" w:rsidP="00A774EB">
      <w:pPr>
        <w:widowControl w:val="0"/>
        <w:ind w:left="2880" w:hanging="2880"/>
        <w:jc w:val="both"/>
        <w:rPr>
          <w:sz w:val="20"/>
          <w:szCs w:val="20"/>
        </w:rPr>
      </w:pPr>
    </w:p>
    <w:p w:rsidR="00A774EB" w:rsidRPr="00470DCE" w:rsidRDefault="00A774EB" w:rsidP="00A774EB">
      <w:pPr>
        <w:widowControl w:val="0"/>
        <w:ind w:left="2880" w:hanging="2880"/>
        <w:jc w:val="both"/>
        <w:rPr>
          <w:sz w:val="20"/>
          <w:szCs w:val="20"/>
        </w:rPr>
      </w:pPr>
      <w:r w:rsidRPr="00470DCE">
        <w:rPr>
          <w:sz w:val="20"/>
          <w:szCs w:val="20"/>
        </w:rPr>
        <w:t>Counsel:</w:t>
      </w:r>
      <w:r w:rsidRPr="00470DCE">
        <w:rPr>
          <w:sz w:val="20"/>
          <w:szCs w:val="20"/>
        </w:rPr>
        <w:tab/>
        <w:t>Diana Lumba for the appellant</w:t>
      </w:r>
    </w:p>
    <w:p w:rsidR="00A774EB" w:rsidRPr="00470DCE" w:rsidRDefault="00A774EB" w:rsidP="00A774EB">
      <w:pPr>
        <w:widowControl w:val="0"/>
        <w:ind w:left="2880" w:hanging="2880"/>
        <w:jc w:val="both"/>
        <w:rPr>
          <w:sz w:val="20"/>
          <w:szCs w:val="20"/>
        </w:rPr>
      </w:pPr>
      <w:r w:rsidRPr="00470DCE">
        <w:rPr>
          <w:sz w:val="20"/>
          <w:szCs w:val="20"/>
        </w:rPr>
        <w:tab/>
        <w:t>Mabel Lai for the respondent</w:t>
      </w:r>
    </w:p>
    <w:p w:rsidR="00F164B3" w:rsidRPr="001A07F1" w:rsidRDefault="00F164B3" w:rsidP="00F164B3">
      <w:pPr>
        <w:tabs>
          <w:tab w:val="left" w:pos="-1440"/>
          <w:tab w:val="left" w:pos="-720"/>
        </w:tabs>
        <w:jc w:val="both"/>
        <w:rPr>
          <w:sz w:val="20"/>
          <w:szCs w:val="20"/>
        </w:rPr>
      </w:pPr>
    </w:p>
    <w:p w:rsidR="00F164B3" w:rsidRDefault="00A47393" w:rsidP="00F164B3">
      <w:pPr>
        <w:tabs>
          <w:tab w:val="left" w:pos="-1440"/>
          <w:tab w:val="left" w:pos="-720"/>
        </w:tabs>
        <w:jc w:val="both"/>
        <w:rPr>
          <w:sz w:val="20"/>
          <w:szCs w:val="20"/>
          <w:lang w:val="fr-CA"/>
        </w:rPr>
      </w:pPr>
      <w:r>
        <w:rPr>
          <w:sz w:val="20"/>
          <w:szCs w:val="20"/>
          <w:lang w:val="fr-CA"/>
        </w:rPr>
        <w:pict>
          <v:rect id="_x0000_i1071" style="width:2in;height:1pt" o:hrpct="0" o:hralign="center" o:hrstd="t" o:hrnoshade="t" o:hr="t" fillcolor="black [3213]" stroked="f"/>
        </w:pict>
      </w:r>
    </w:p>
    <w:p w:rsidR="00F164B3" w:rsidRDefault="00F164B3" w:rsidP="00F164B3">
      <w:pPr>
        <w:tabs>
          <w:tab w:val="left" w:pos="-1440"/>
          <w:tab w:val="left" w:pos="-720"/>
        </w:tabs>
        <w:jc w:val="both"/>
        <w:rPr>
          <w:sz w:val="20"/>
          <w:szCs w:val="20"/>
          <w:lang w:val="fr-CA"/>
        </w:rPr>
      </w:pPr>
    </w:p>
    <w:p w:rsidR="00F164B3" w:rsidRDefault="00F164B3">
      <w:pPr>
        <w:rPr>
          <w:sz w:val="20"/>
          <w:szCs w:val="20"/>
          <w:lang w:val="fr-CA"/>
        </w:rPr>
      </w:pPr>
      <w:r>
        <w:rPr>
          <w:sz w:val="20"/>
          <w:szCs w:val="20"/>
          <w:lang w:val="fr-CA"/>
        </w:rPr>
        <w:br w:type="page"/>
      </w:r>
    </w:p>
    <w:p w:rsidR="001A07F1" w:rsidRPr="00A11BF7" w:rsidRDefault="001C5DB7" w:rsidP="001A07F1">
      <w:pPr>
        <w:widowControl w:val="0"/>
        <w:ind w:left="720" w:hanging="720"/>
        <w:jc w:val="both"/>
        <w:rPr>
          <w:sz w:val="20"/>
          <w:szCs w:val="20"/>
          <w:lang w:val="fr-CA"/>
        </w:rPr>
      </w:pPr>
      <w:r w:rsidRPr="00A11BF7">
        <w:rPr>
          <w:b/>
          <w:sz w:val="20"/>
          <w:szCs w:val="20"/>
          <w:lang w:val="fr-CA"/>
        </w:rPr>
        <w:lastRenderedPageBreak/>
        <w:fldChar w:fldCharType="begin"/>
      </w:r>
      <w:r w:rsidR="001A07F1" w:rsidRPr="00A11BF7">
        <w:rPr>
          <w:b/>
          <w:sz w:val="20"/>
          <w:szCs w:val="20"/>
          <w:lang w:val="fr-CA"/>
        </w:rPr>
        <w:instrText xml:space="preserve"> SEQ CHAPTER \h \r 1</w:instrText>
      </w:r>
      <w:r w:rsidRPr="00A11BF7">
        <w:rPr>
          <w:b/>
          <w:sz w:val="20"/>
          <w:szCs w:val="20"/>
          <w:lang w:val="fr-CA"/>
        </w:rPr>
        <w:fldChar w:fldCharType="end"/>
      </w:r>
      <w:r w:rsidR="001A07F1" w:rsidRPr="00A11BF7">
        <w:rPr>
          <w:b/>
          <w:sz w:val="20"/>
          <w:szCs w:val="20"/>
          <w:lang w:val="fr-CA"/>
        </w:rPr>
        <w:t>35487</w:t>
      </w:r>
      <w:r w:rsidR="001A07F1" w:rsidRPr="00A11BF7">
        <w:rPr>
          <w:sz w:val="20"/>
          <w:szCs w:val="20"/>
          <w:lang w:val="fr-CA"/>
        </w:rPr>
        <w:tab/>
      </w:r>
      <w:r w:rsidR="001A07F1" w:rsidRPr="00A11BF7">
        <w:rPr>
          <w:b/>
          <w:i/>
          <w:sz w:val="20"/>
          <w:szCs w:val="20"/>
          <w:lang w:val="fr-CA"/>
        </w:rPr>
        <w:t>Calvin Clarke c. Sa Majesté la Reine</w:t>
      </w:r>
    </w:p>
    <w:p w:rsidR="001A07F1" w:rsidRPr="00A11BF7" w:rsidRDefault="001A07F1" w:rsidP="001A07F1">
      <w:pPr>
        <w:widowControl w:val="0"/>
        <w:jc w:val="both"/>
        <w:rPr>
          <w:sz w:val="20"/>
          <w:szCs w:val="20"/>
          <w:lang w:val="fr-CA"/>
        </w:rPr>
      </w:pPr>
    </w:p>
    <w:p w:rsidR="001A07F1" w:rsidRPr="00A11BF7" w:rsidRDefault="001A07F1" w:rsidP="001A07F1">
      <w:pPr>
        <w:widowControl w:val="0"/>
        <w:jc w:val="both"/>
        <w:rPr>
          <w:sz w:val="20"/>
          <w:szCs w:val="20"/>
          <w:lang w:val="fr-CA"/>
        </w:rPr>
      </w:pPr>
      <w:r w:rsidRPr="00A11BF7">
        <w:rPr>
          <w:sz w:val="20"/>
          <w:szCs w:val="20"/>
          <w:lang w:val="fr-CA"/>
        </w:rPr>
        <w:t xml:space="preserve">Droit criminel - Détermination de la peine - Réduction pour la période passée sous garde avant la sentence - La </w:t>
      </w:r>
      <w:r w:rsidRPr="00A11BF7">
        <w:rPr>
          <w:i/>
          <w:sz w:val="20"/>
          <w:szCs w:val="20"/>
          <w:lang w:val="fr-CA"/>
        </w:rPr>
        <w:t>Loi sur l’adéquation de la peine et du crime</w:t>
      </w:r>
      <w:r w:rsidRPr="00A11BF7">
        <w:rPr>
          <w:sz w:val="20"/>
          <w:szCs w:val="20"/>
          <w:lang w:val="fr-CA"/>
        </w:rPr>
        <w:t>, L.C. 2009, ch. 29, s’applique-t-elle rétrospectivement?</w:t>
      </w:r>
    </w:p>
    <w:p w:rsidR="001A07F1" w:rsidRPr="00A11BF7" w:rsidRDefault="001A07F1" w:rsidP="001A07F1">
      <w:pPr>
        <w:widowControl w:val="0"/>
        <w:jc w:val="both"/>
        <w:rPr>
          <w:sz w:val="20"/>
          <w:szCs w:val="20"/>
          <w:lang w:val="fr-CA"/>
        </w:rPr>
      </w:pPr>
    </w:p>
    <w:p w:rsidR="001A07F1" w:rsidRPr="00A11BF7" w:rsidRDefault="001A07F1" w:rsidP="001A07F1">
      <w:pPr>
        <w:widowControl w:val="0"/>
        <w:jc w:val="both"/>
        <w:rPr>
          <w:sz w:val="20"/>
          <w:szCs w:val="20"/>
          <w:lang w:val="fr-CA"/>
        </w:rPr>
      </w:pPr>
      <w:r w:rsidRPr="00A11BF7">
        <w:rPr>
          <w:sz w:val="20"/>
          <w:szCs w:val="20"/>
          <w:lang w:val="fr-CA"/>
        </w:rPr>
        <w:t xml:space="preserve">L’appelant a reconnu sa culpabilité à l’infraction d’entrée par effraction et à de nombreuses infractions liées aux armes à feu.  Il a commis les infractions dont il a été reconnu coupable avant l’entrée en vigueur de la </w:t>
      </w:r>
      <w:r w:rsidRPr="00A11BF7">
        <w:rPr>
          <w:i/>
          <w:sz w:val="20"/>
          <w:szCs w:val="20"/>
          <w:lang w:val="fr-CA"/>
        </w:rPr>
        <w:t>Loi sur l’adéquation de la peine et du crime</w:t>
      </w:r>
      <w:r w:rsidRPr="00A11BF7">
        <w:rPr>
          <w:sz w:val="20"/>
          <w:szCs w:val="20"/>
          <w:lang w:val="fr-CA"/>
        </w:rPr>
        <w:t xml:space="preserve">, L.C. 2009, ch. 29.  La disposition capitale de la </w:t>
      </w:r>
      <w:r w:rsidRPr="00A11BF7">
        <w:rPr>
          <w:i/>
          <w:sz w:val="20"/>
          <w:szCs w:val="20"/>
          <w:lang w:val="fr-CA"/>
        </w:rPr>
        <w:t>Loi</w:t>
      </w:r>
      <w:r w:rsidRPr="00A11BF7">
        <w:rPr>
          <w:sz w:val="20"/>
          <w:szCs w:val="20"/>
          <w:lang w:val="fr-CA"/>
        </w:rPr>
        <w:t xml:space="preserve"> est l’art. 5, qui précise que la limitation, prévue aux paragraphes édictés par l’art. 3, du temps alloué pour la détention présentencielle « ne s’appliqu[e] qu’à l’égard des personnes inculpées après l[’]entrée en vigueur [de ces paragraphes] ».  Ceux-ci sont entrés en vigueur le 22 février 2010 et l’appelant a été inculpé après cette date.  Le juge chargé de la détermination de la peine a conclu à l’application de la </w:t>
      </w:r>
      <w:r w:rsidRPr="00A11BF7">
        <w:rPr>
          <w:i/>
          <w:sz w:val="20"/>
          <w:szCs w:val="20"/>
          <w:lang w:val="fr-CA"/>
        </w:rPr>
        <w:t>Loi</w:t>
      </w:r>
      <w:r w:rsidRPr="00A11BF7">
        <w:rPr>
          <w:sz w:val="20"/>
          <w:szCs w:val="20"/>
          <w:lang w:val="fr-CA"/>
        </w:rPr>
        <w:t xml:space="preserve"> et a accordé à l’appelant le crédit maximum autorisé par la </w:t>
      </w:r>
      <w:r w:rsidRPr="00A11BF7">
        <w:rPr>
          <w:i/>
          <w:sz w:val="20"/>
          <w:szCs w:val="20"/>
          <w:lang w:val="fr-CA"/>
        </w:rPr>
        <w:t>Loi</w:t>
      </w:r>
      <w:r w:rsidRPr="00A11BF7">
        <w:rPr>
          <w:sz w:val="20"/>
          <w:szCs w:val="20"/>
          <w:lang w:val="fr-CA"/>
        </w:rPr>
        <w:t> : un jour et demi pour chaque jour passé en détention présentencielle.  La Cour d’appel a rejeté l’appel formé contre la peine.</w:t>
      </w:r>
    </w:p>
    <w:p w:rsidR="001A07F1" w:rsidRPr="00A11BF7" w:rsidRDefault="001A07F1" w:rsidP="001A07F1">
      <w:pPr>
        <w:widowControl w:val="0"/>
        <w:jc w:val="both"/>
        <w:rPr>
          <w:sz w:val="20"/>
          <w:szCs w:val="20"/>
          <w:lang w:val="fr-CA"/>
        </w:rPr>
      </w:pPr>
    </w:p>
    <w:p w:rsidR="001A07F1" w:rsidRPr="00A11BF7" w:rsidRDefault="001A07F1" w:rsidP="001A07F1">
      <w:pPr>
        <w:widowControl w:val="0"/>
        <w:jc w:val="both"/>
        <w:rPr>
          <w:sz w:val="20"/>
          <w:szCs w:val="20"/>
          <w:lang w:val="fr-CA"/>
        </w:rPr>
      </w:pPr>
    </w:p>
    <w:p w:rsidR="001A07F1" w:rsidRPr="00A11BF7" w:rsidRDefault="001A07F1" w:rsidP="001A07F1">
      <w:pPr>
        <w:widowControl w:val="0"/>
        <w:ind w:left="2880" w:hanging="2880"/>
        <w:jc w:val="both"/>
        <w:rPr>
          <w:sz w:val="20"/>
          <w:szCs w:val="20"/>
          <w:lang w:val="fr-CA"/>
        </w:rPr>
      </w:pPr>
      <w:r w:rsidRPr="00A11BF7">
        <w:rPr>
          <w:sz w:val="20"/>
          <w:szCs w:val="20"/>
          <w:lang w:val="fr-CA"/>
        </w:rPr>
        <w:t>Origine :</w:t>
      </w:r>
      <w:r w:rsidRPr="00A11BF7">
        <w:rPr>
          <w:sz w:val="20"/>
          <w:szCs w:val="20"/>
          <w:lang w:val="fr-CA"/>
        </w:rPr>
        <w:tab/>
        <w:t>Ontario</w:t>
      </w:r>
    </w:p>
    <w:p w:rsidR="001A07F1" w:rsidRPr="00A11BF7" w:rsidRDefault="001A07F1" w:rsidP="001A07F1">
      <w:pPr>
        <w:widowControl w:val="0"/>
        <w:ind w:left="2880" w:hanging="2880"/>
        <w:jc w:val="both"/>
        <w:rPr>
          <w:sz w:val="20"/>
          <w:szCs w:val="20"/>
          <w:lang w:val="fr-CA"/>
        </w:rPr>
      </w:pPr>
    </w:p>
    <w:p w:rsidR="001A07F1" w:rsidRPr="00A11BF7" w:rsidRDefault="001A07F1" w:rsidP="001A07F1">
      <w:pPr>
        <w:widowControl w:val="0"/>
        <w:ind w:left="2880" w:hanging="2880"/>
        <w:jc w:val="both"/>
        <w:rPr>
          <w:sz w:val="20"/>
          <w:szCs w:val="20"/>
          <w:lang w:val="fr-CA"/>
        </w:rPr>
      </w:pPr>
      <w:r w:rsidRPr="00A11BF7">
        <w:rPr>
          <w:sz w:val="20"/>
          <w:szCs w:val="20"/>
          <w:lang w:val="fr-CA"/>
        </w:rPr>
        <w:t>N</w:t>
      </w:r>
      <w:r w:rsidRPr="00A11BF7">
        <w:rPr>
          <w:sz w:val="20"/>
          <w:szCs w:val="20"/>
          <w:vertAlign w:val="superscript"/>
          <w:lang w:val="fr-CA"/>
        </w:rPr>
        <w:t>o</w:t>
      </w:r>
      <w:r w:rsidRPr="00A11BF7">
        <w:rPr>
          <w:sz w:val="20"/>
          <w:szCs w:val="20"/>
          <w:lang w:val="fr-CA"/>
        </w:rPr>
        <w:t xml:space="preserve"> du greffe :</w:t>
      </w:r>
      <w:r w:rsidRPr="00A11BF7">
        <w:rPr>
          <w:sz w:val="20"/>
          <w:szCs w:val="20"/>
          <w:lang w:val="fr-CA"/>
        </w:rPr>
        <w:tab/>
        <w:t>35487</w:t>
      </w:r>
    </w:p>
    <w:p w:rsidR="001A07F1" w:rsidRPr="00A11BF7" w:rsidRDefault="001A07F1" w:rsidP="001A07F1">
      <w:pPr>
        <w:widowControl w:val="0"/>
        <w:ind w:left="2880" w:hanging="2880"/>
        <w:jc w:val="both"/>
        <w:rPr>
          <w:sz w:val="20"/>
          <w:szCs w:val="20"/>
          <w:lang w:val="fr-CA"/>
        </w:rPr>
      </w:pPr>
    </w:p>
    <w:p w:rsidR="001A07F1" w:rsidRPr="00A11BF7" w:rsidRDefault="001A07F1" w:rsidP="001A07F1">
      <w:pPr>
        <w:widowControl w:val="0"/>
        <w:ind w:left="2880" w:hanging="2880"/>
        <w:jc w:val="both"/>
        <w:rPr>
          <w:sz w:val="20"/>
          <w:szCs w:val="20"/>
          <w:lang w:val="fr-CA"/>
        </w:rPr>
      </w:pPr>
      <w:r w:rsidRPr="00A11BF7">
        <w:rPr>
          <w:sz w:val="20"/>
          <w:szCs w:val="20"/>
          <w:lang w:val="fr-CA"/>
        </w:rPr>
        <w:t>Arrêt de la Cour d’appel :</w:t>
      </w:r>
      <w:r w:rsidRPr="00A11BF7">
        <w:rPr>
          <w:sz w:val="20"/>
          <w:szCs w:val="20"/>
          <w:lang w:val="fr-CA"/>
        </w:rPr>
        <w:tab/>
        <w:t>le 11 janvier 2013</w:t>
      </w:r>
    </w:p>
    <w:p w:rsidR="001A07F1" w:rsidRPr="00A11BF7" w:rsidRDefault="001A07F1" w:rsidP="001A07F1">
      <w:pPr>
        <w:widowControl w:val="0"/>
        <w:ind w:left="2880" w:hanging="2880"/>
        <w:jc w:val="both"/>
        <w:rPr>
          <w:sz w:val="20"/>
          <w:szCs w:val="20"/>
          <w:lang w:val="fr-CA"/>
        </w:rPr>
      </w:pPr>
    </w:p>
    <w:p w:rsidR="001A07F1" w:rsidRPr="00A11BF7" w:rsidRDefault="001A07F1" w:rsidP="001A07F1">
      <w:pPr>
        <w:widowControl w:val="0"/>
        <w:ind w:left="2880" w:hanging="2880"/>
        <w:jc w:val="both"/>
        <w:rPr>
          <w:sz w:val="20"/>
          <w:szCs w:val="20"/>
          <w:lang w:val="fr-CA"/>
        </w:rPr>
      </w:pPr>
      <w:r w:rsidRPr="00A11BF7">
        <w:rPr>
          <w:sz w:val="20"/>
          <w:szCs w:val="20"/>
          <w:lang w:val="fr-CA"/>
        </w:rPr>
        <w:t>Avocats :</w:t>
      </w:r>
      <w:r w:rsidRPr="00A11BF7">
        <w:rPr>
          <w:sz w:val="20"/>
          <w:szCs w:val="20"/>
          <w:lang w:val="fr-CA"/>
        </w:rPr>
        <w:tab/>
        <w:t>Diana Lumba pour l’appelant</w:t>
      </w:r>
    </w:p>
    <w:p w:rsidR="001A07F1" w:rsidRPr="00A11BF7" w:rsidRDefault="001A07F1" w:rsidP="001A07F1">
      <w:pPr>
        <w:widowControl w:val="0"/>
        <w:ind w:left="2880" w:hanging="2880"/>
        <w:jc w:val="both"/>
        <w:rPr>
          <w:sz w:val="20"/>
          <w:szCs w:val="20"/>
          <w:lang w:val="fr-CA"/>
        </w:rPr>
      </w:pPr>
      <w:r w:rsidRPr="00A11BF7">
        <w:rPr>
          <w:sz w:val="20"/>
          <w:szCs w:val="20"/>
          <w:lang w:val="fr-CA"/>
        </w:rPr>
        <w:tab/>
        <w:t>Mabel Lai pour l’intimée</w:t>
      </w:r>
    </w:p>
    <w:p w:rsidR="00F164B3" w:rsidRPr="00DD0B49" w:rsidRDefault="00F164B3" w:rsidP="00F164B3">
      <w:pPr>
        <w:tabs>
          <w:tab w:val="left" w:pos="-1440"/>
          <w:tab w:val="left" w:pos="-720"/>
        </w:tabs>
        <w:jc w:val="both"/>
        <w:rPr>
          <w:sz w:val="20"/>
          <w:szCs w:val="20"/>
          <w:lang w:val="fr-CA"/>
        </w:rPr>
      </w:pPr>
    </w:p>
    <w:p w:rsidR="00F164B3" w:rsidRDefault="00A47393" w:rsidP="00F164B3">
      <w:pPr>
        <w:tabs>
          <w:tab w:val="left" w:pos="-1440"/>
          <w:tab w:val="left" w:pos="-720"/>
        </w:tabs>
        <w:jc w:val="both"/>
        <w:rPr>
          <w:sz w:val="20"/>
          <w:szCs w:val="20"/>
          <w:lang w:val="fr-CA"/>
        </w:rPr>
      </w:pPr>
      <w:r>
        <w:rPr>
          <w:sz w:val="20"/>
          <w:szCs w:val="20"/>
          <w:lang w:val="fr-CA"/>
        </w:rPr>
        <w:pict>
          <v:rect id="_x0000_i1072" style="width:2in;height:1pt" o:hrpct="0" o:hralign="center" o:hrstd="t" o:hrnoshade="t" o:hr="t" fillcolor="black [3213]" stroked="f"/>
        </w:pict>
      </w:r>
    </w:p>
    <w:p w:rsidR="00F164B3" w:rsidRDefault="00F164B3" w:rsidP="00F164B3">
      <w:pPr>
        <w:tabs>
          <w:tab w:val="left" w:pos="-1440"/>
          <w:tab w:val="left" w:pos="-720"/>
        </w:tabs>
        <w:jc w:val="both"/>
        <w:rPr>
          <w:sz w:val="20"/>
          <w:szCs w:val="20"/>
          <w:lang w:val="fr-CA"/>
        </w:rPr>
      </w:pPr>
    </w:p>
    <w:p w:rsidR="00F164B3" w:rsidRDefault="00F164B3" w:rsidP="00F164B3">
      <w:pPr>
        <w:tabs>
          <w:tab w:val="left" w:pos="-1440"/>
          <w:tab w:val="left" w:pos="-720"/>
        </w:tabs>
        <w:jc w:val="both"/>
        <w:rPr>
          <w:sz w:val="20"/>
          <w:szCs w:val="20"/>
          <w:lang w:val="fr-CA"/>
        </w:rPr>
      </w:pPr>
    </w:p>
    <w:p w:rsidR="00F164B3" w:rsidRDefault="00F164B3" w:rsidP="00F164B3">
      <w:pPr>
        <w:tabs>
          <w:tab w:val="left" w:pos="-1440"/>
          <w:tab w:val="left" w:pos="-720"/>
        </w:tabs>
        <w:jc w:val="both"/>
        <w:rPr>
          <w:sz w:val="20"/>
          <w:szCs w:val="20"/>
          <w:lang w:val="fr-CA"/>
        </w:rPr>
      </w:pPr>
    </w:p>
    <w:p w:rsidR="00F164B3" w:rsidRDefault="00F164B3" w:rsidP="00F164B3">
      <w:pPr>
        <w:tabs>
          <w:tab w:val="left" w:pos="-1440"/>
          <w:tab w:val="left" w:pos="-720"/>
        </w:tabs>
        <w:jc w:val="both"/>
        <w:rPr>
          <w:sz w:val="20"/>
          <w:szCs w:val="20"/>
          <w:lang w:val="fr-CA"/>
        </w:rPr>
      </w:pPr>
    </w:p>
    <w:p w:rsidR="00F164B3" w:rsidRDefault="00F164B3" w:rsidP="00F164B3">
      <w:pPr>
        <w:tabs>
          <w:tab w:val="left" w:pos="-1440"/>
          <w:tab w:val="left" w:pos="-720"/>
        </w:tabs>
        <w:jc w:val="both"/>
        <w:rPr>
          <w:sz w:val="20"/>
          <w:szCs w:val="20"/>
          <w:lang w:val="fr-CA"/>
        </w:rPr>
      </w:pPr>
    </w:p>
    <w:p w:rsidR="00F164B3" w:rsidRPr="00DD0B49" w:rsidRDefault="00F164B3"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0" w:type="auto"/>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990"/>
        <w:gridCol w:w="4080"/>
      </w:tblGrid>
      <w:tr w:rsidR="006B6926" w:rsidRPr="00A47393" w:rsidTr="0085476B">
        <w:tc>
          <w:tcPr>
            <w:tcW w:w="4320" w:type="dxa"/>
            <w:shd w:val="clear" w:color="auto" w:fill="auto"/>
            <w:tcMar>
              <w:left w:w="0" w:type="dxa"/>
              <w:right w:w="0" w:type="dxa"/>
            </w:tcMar>
          </w:tcPr>
          <w:p w:rsidR="006B6926" w:rsidRPr="00932DB4" w:rsidRDefault="006B6926" w:rsidP="006B6926">
            <w:pPr>
              <w:keepNext/>
              <w:keepLines/>
              <w:rPr>
                <w:b/>
                <w:szCs w:val="24"/>
              </w:rPr>
            </w:pPr>
            <w:r w:rsidRPr="00932DB4">
              <w:rPr>
                <w:b/>
                <w:szCs w:val="24"/>
              </w:rPr>
              <w:lastRenderedPageBreak/>
              <w:t>NOTICES TO THE PROFESSION</w:t>
            </w:r>
          </w:p>
        </w:tc>
        <w:tc>
          <w:tcPr>
            <w:tcW w:w="990" w:type="dxa"/>
            <w:shd w:val="clear" w:color="auto" w:fill="auto"/>
            <w:tcMar>
              <w:left w:w="0" w:type="dxa"/>
              <w:right w:w="0" w:type="dxa"/>
            </w:tcMar>
          </w:tcPr>
          <w:p w:rsidR="006B6926" w:rsidRPr="00932DB4" w:rsidRDefault="006B6926" w:rsidP="006B69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6B6926" w:rsidRDefault="006B6926" w:rsidP="006B6926">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85476B" w:rsidRPr="00932DB4" w:rsidRDefault="0085476B" w:rsidP="006B6926">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6B6926" w:rsidRPr="00932DB4" w:rsidRDefault="006B6926" w:rsidP="0085476B">
            <w:pPr>
              <w:keepLines/>
              <w:tabs>
                <w:tab w:val="left" w:pos="-1440"/>
                <w:tab w:val="left" w:pos="-720"/>
              </w:tabs>
              <w:rPr>
                <w:b/>
                <w:szCs w:val="24"/>
                <w:lang w:val="fr-CA"/>
              </w:rPr>
            </w:pPr>
            <w:r w:rsidRPr="00932DB4">
              <w:rPr>
                <w:b/>
                <w:szCs w:val="24"/>
                <w:lang w:val="fr-CA"/>
              </w:rPr>
              <w:t>AVIS À LA COMMUNAUTÉ JURIDIQUE</w:t>
            </w:r>
          </w:p>
        </w:tc>
      </w:tr>
    </w:tbl>
    <w:p w:rsidR="006B6926" w:rsidRPr="00C50A5C" w:rsidRDefault="006B6926" w:rsidP="006B6926">
      <w:pPr>
        <w:rPr>
          <w:sz w:val="20"/>
          <w:szCs w:val="20"/>
          <w:lang w:val="fr-CA"/>
        </w:rPr>
      </w:pPr>
    </w:p>
    <w:tbl>
      <w:tblPr>
        <w:tblStyle w:val="TableGrid"/>
        <w:tblW w:w="936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76"/>
        <w:gridCol w:w="4464"/>
      </w:tblGrid>
      <w:tr w:rsidR="006B6926" w:rsidRPr="00A47393" w:rsidTr="001B4CA6">
        <w:tc>
          <w:tcPr>
            <w:tcW w:w="4320" w:type="dxa"/>
          </w:tcPr>
          <w:p w:rsidR="007A6D33" w:rsidRPr="001C2EEC" w:rsidRDefault="006B6926" w:rsidP="007A6D33">
            <w:pPr>
              <w:jc w:val="both"/>
              <w:rPr>
                <w:sz w:val="18"/>
                <w:szCs w:val="18"/>
              </w:rPr>
            </w:pPr>
            <w:r w:rsidRPr="001C2EEC">
              <w:rPr>
                <w:sz w:val="18"/>
                <w:szCs w:val="18"/>
              </w:rPr>
              <w:t xml:space="preserve">Counsel are </w:t>
            </w:r>
            <w:r w:rsidR="007A6D33" w:rsidRPr="001C2EEC">
              <w:rPr>
                <w:sz w:val="18"/>
                <w:szCs w:val="18"/>
              </w:rPr>
              <w:t xml:space="preserve">notified </w:t>
            </w:r>
            <w:r w:rsidRPr="001C2EEC">
              <w:rPr>
                <w:sz w:val="18"/>
                <w:szCs w:val="18"/>
              </w:rPr>
              <w:t>that t</w:t>
            </w:r>
            <w:r w:rsidR="007A6D33" w:rsidRPr="001C2EEC">
              <w:rPr>
                <w:sz w:val="18"/>
                <w:szCs w:val="18"/>
              </w:rPr>
              <w:t xml:space="preserve">he </w:t>
            </w:r>
            <w:r w:rsidR="007A6D33" w:rsidRPr="001C2EEC">
              <w:rPr>
                <w:i/>
                <w:sz w:val="18"/>
                <w:szCs w:val="18"/>
              </w:rPr>
              <w:t>Rules Amending the Rules of the Supreme Court of Canada</w:t>
            </w:r>
            <w:r w:rsidR="007A6D33" w:rsidRPr="001C2EEC">
              <w:rPr>
                <w:sz w:val="18"/>
                <w:szCs w:val="18"/>
              </w:rPr>
              <w:t xml:space="preserve">, SOR/2013-175, were published in Part II of the </w:t>
            </w:r>
            <w:r w:rsidR="007A6D33" w:rsidRPr="001C2EEC">
              <w:rPr>
                <w:i/>
                <w:sz w:val="18"/>
                <w:szCs w:val="18"/>
              </w:rPr>
              <w:t>Canada Gazette</w:t>
            </w:r>
            <w:r w:rsidR="007A6D33" w:rsidRPr="001C2EEC">
              <w:rPr>
                <w:sz w:val="18"/>
                <w:szCs w:val="18"/>
              </w:rPr>
              <w:t xml:space="preserve"> on October 23, 2013.  The amendments, which will come into force on January 1, 2014, apply to all cases</w:t>
            </w:r>
            <w:r w:rsidR="00AE091C">
              <w:rPr>
                <w:sz w:val="18"/>
                <w:szCs w:val="18"/>
              </w:rPr>
              <w:t>.</w:t>
            </w:r>
          </w:p>
          <w:p w:rsidR="007A6D33" w:rsidRPr="001C2EEC" w:rsidRDefault="007A6D33" w:rsidP="007A6D33">
            <w:pPr>
              <w:jc w:val="both"/>
              <w:rPr>
                <w:sz w:val="18"/>
                <w:szCs w:val="18"/>
              </w:rPr>
            </w:pPr>
          </w:p>
          <w:p w:rsidR="006B6926" w:rsidRPr="001C2EEC" w:rsidRDefault="006B6926" w:rsidP="00BE649D">
            <w:pPr>
              <w:jc w:val="both"/>
              <w:rPr>
                <w:sz w:val="18"/>
                <w:szCs w:val="18"/>
              </w:rPr>
            </w:pPr>
          </w:p>
        </w:tc>
        <w:tc>
          <w:tcPr>
            <w:tcW w:w="576" w:type="dxa"/>
          </w:tcPr>
          <w:p w:rsidR="006B6926" w:rsidRPr="001C2EEC" w:rsidRDefault="006B6926" w:rsidP="00C50A5C">
            <w:pPr>
              <w:jc w:val="center"/>
              <w:rPr>
                <w:sz w:val="18"/>
                <w:szCs w:val="18"/>
              </w:rPr>
            </w:pPr>
          </w:p>
        </w:tc>
        <w:tc>
          <w:tcPr>
            <w:tcW w:w="4464" w:type="dxa"/>
          </w:tcPr>
          <w:p w:rsidR="00BE649D" w:rsidRPr="001C2EEC" w:rsidRDefault="006B6926" w:rsidP="007A6D33">
            <w:pPr>
              <w:jc w:val="both"/>
              <w:rPr>
                <w:sz w:val="18"/>
                <w:szCs w:val="18"/>
                <w:lang w:val="fr-CA"/>
              </w:rPr>
            </w:pPr>
            <w:r w:rsidRPr="00A47393">
              <w:rPr>
                <w:sz w:val="18"/>
                <w:szCs w:val="18"/>
                <w:lang w:val="fr-CA"/>
              </w:rPr>
              <w:br w:type="page"/>
            </w:r>
            <w:r w:rsidRPr="001C2EEC">
              <w:rPr>
                <w:sz w:val="18"/>
                <w:szCs w:val="18"/>
                <w:lang w:val="fr-CA"/>
              </w:rPr>
              <w:t xml:space="preserve">Les avocats sont </w:t>
            </w:r>
            <w:r w:rsidR="007A6D33" w:rsidRPr="001C2EEC">
              <w:rPr>
                <w:sz w:val="18"/>
                <w:szCs w:val="18"/>
                <w:lang w:val="fr-CA"/>
              </w:rPr>
              <w:t>pr</w:t>
            </w:r>
            <w:r w:rsidRPr="001C2EEC">
              <w:rPr>
                <w:sz w:val="18"/>
                <w:szCs w:val="18"/>
                <w:lang w:val="fr-CA"/>
              </w:rPr>
              <w:t xml:space="preserve">iés </w:t>
            </w:r>
            <w:r w:rsidR="007A6D33" w:rsidRPr="001C2EEC">
              <w:rPr>
                <w:sz w:val="18"/>
                <w:szCs w:val="18"/>
                <w:lang w:val="fr-CA"/>
              </w:rPr>
              <w:t>de</w:t>
            </w:r>
            <w:r w:rsidRPr="001C2EEC">
              <w:rPr>
                <w:sz w:val="18"/>
                <w:szCs w:val="18"/>
                <w:lang w:val="fr-CA"/>
              </w:rPr>
              <w:t xml:space="preserve"> n</w:t>
            </w:r>
            <w:r w:rsidR="007A6D33" w:rsidRPr="001C2EEC">
              <w:rPr>
                <w:sz w:val="18"/>
                <w:szCs w:val="18"/>
                <w:lang w:val="fr-CA"/>
              </w:rPr>
              <w:t xml:space="preserve">oter que les </w:t>
            </w:r>
            <w:r w:rsidR="007A6D33" w:rsidRPr="001C2EEC">
              <w:rPr>
                <w:i/>
                <w:sz w:val="18"/>
                <w:szCs w:val="18"/>
                <w:lang w:val="fr-CA"/>
              </w:rPr>
              <w:t>Règles modifiant les Règles</w:t>
            </w:r>
            <w:r w:rsidR="00BE649D" w:rsidRPr="001C2EEC">
              <w:rPr>
                <w:i/>
                <w:sz w:val="18"/>
                <w:szCs w:val="18"/>
                <w:lang w:val="fr-CA"/>
              </w:rPr>
              <w:t xml:space="preserve"> de la Cour suprême du Canada</w:t>
            </w:r>
            <w:r w:rsidR="00BE649D" w:rsidRPr="001C2EEC">
              <w:rPr>
                <w:sz w:val="18"/>
                <w:szCs w:val="18"/>
                <w:lang w:val="fr-CA"/>
              </w:rPr>
              <w:t xml:space="preserve"> figurent dans le règlement DORS/2013-175 publié dans la partie II de la </w:t>
            </w:r>
            <w:r w:rsidR="00BE649D" w:rsidRPr="001C2EEC">
              <w:rPr>
                <w:i/>
                <w:sz w:val="18"/>
                <w:szCs w:val="18"/>
                <w:lang w:val="fr-CA"/>
              </w:rPr>
              <w:t>Gazette du Canada</w:t>
            </w:r>
            <w:r w:rsidR="00BE649D" w:rsidRPr="001C2EEC">
              <w:rPr>
                <w:sz w:val="18"/>
                <w:szCs w:val="18"/>
                <w:lang w:val="fr-CA"/>
              </w:rPr>
              <w:t>, le 23 octobre 2013.  Les modifications, qui entrent en vigueur le 1</w:t>
            </w:r>
            <w:r w:rsidR="00BE649D" w:rsidRPr="001C2EEC">
              <w:rPr>
                <w:sz w:val="18"/>
                <w:szCs w:val="18"/>
                <w:vertAlign w:val="superscript"/>
                <w:lang w:val="fr-CA"/>
              </w:rPr>
              <w:t>er</w:t>
            </w:r>
            <w:r w:rsidR="00BE649D" w:rsidRPr="001C2EEC">
              <w:rPr>
                <w:sz w:val="18"/>
                <w:szCs w:val="18"/>
                <w:lang w:val="fr-CA"/>
              </w:rPr>
              <w:t xml:space="preserve"> janvier 2014, seront applicables à toutes les instances.</w:t>
            </w:r>
          </w:p>
          <w:p w:rsidR="006B6926" w:rsidRPr="001C2EEC" w:rsidRDefault="006B6926" w:rsidP="007A6D33">
            <w:pPr>
              <w:jc w:val="both"/>
              <w:rPr>
                <w:sz w:val="18"/>
                <w:szCs w:val="18"/>
                <w:u w:val="single"/>
                <w:lang w:val="fr-CA"/>
              </w:rPr>
            </w:pPr>
          </w:p>
        </w:tc>
      </w:tr>
      <w:tr w:rsidR="00BE649D" w:rsidRPr="00A47393" w:rsidTr="001B4CA6">
        <w:tc>
          <w:tcPr>
            <w:tcW w:w="4320" w:type="dxa"/>
          </w:tcPr>
          <w:p w:rsidR="00BE649D" w:rsidRPr="001C2EEC" w:rsidRDefault="00BE649D" w:rsidP="00BE649D">
            <w:pPr>
              <w:jc w:val="both"/>
              <w:rPr>
                <w:sz w:val="18"/>
                <w:szCs w:val="18"/>
              </w:rPr>
            </w:pPr>
            <w:r w:rsidRPr="001C2EEC">
              <w:rPr>
                <w:sz w:val="18"/>
                <w:szCs w:val="18"/>
              </w:rPr>
              <w:t xml:space="preserve">The Rules and a guide to the amendments are available at </w:t>
            </w:r>
            <w:hyperlink r:id="rId41" w:history="1">
              <w:r w:rsidRPr="001C2EEC">
                <w:rPr>
                  <w:rStyle w:val="Hyperlink"/>
                  <w:sz w:val="18"/>
                  <w:szCs w:val="18"/>
                </w:rPr>
                <w:t>www.scc-csc.</w:t>
              </w:r>
              <w:r w:rsidR="00A47393">
                <w:rPr>
                  <w:rStyle w:val="Hyperlink"/>
                  <w:sz w:val="18"/>
                  <w:szCs w:val="18"/>
                </w:rPr>
                <w:t>ca</w:t>
              </w:r>
            </w:hyperlink>
            <w:r w:rsidRPr="001C2EEC">
              <w:rPr>
                <w:sz w:val="18"/>
                <w:szCs w:val="18"/>
              </w:rPr>
              <w:t>.</w:t>
            </w:r>
          </w:p>
          <w:p w:rsidR="00BE649D" w:rsidRPr="001C2EEC" w:rsidRDefault="00BE649D" w:rsidP="007A6D33">
            <w:pPr>
              <w:jc w:val="both"/>
              <w:rPr>
                <w:sz w:val="18"/>
                <w:szCs w:val="18"/>
              </w:rPr>
            </w:pPr>
          </w:p>
        </w:tc>
        <w:tc>
          <w:tcPr>
            <w:tcW w:w="576" w:type="dxa"/>
          </w:tcPr>
          <w:p w:rsidR="00BE649D" w:rsidRPr="001C2EEC" w:rsidRDefault="00BE649D" w:rsidP="00C50A5C">
            <w:pPr>
              <w:jc w:val="center"/>
              <w:rPr>
                <w:sz w:val="18"/>
                <w:szCs w:val="18"/>
              </w:rPr>
            </w:pPr>
          </w:p>
        </w:tc>
        <w:tc>
          <w:tcPr>
            <w:tcW w:w="4464" w:type="dxa"/>
          </w:tcPr>
          <w:p w:rsidR="00BE649D" w:rsidRPr="001C2EEC" w:rsidRDefault="005D7540" w:rsidP="007A6D33">
            <w:pPr>
              <w:jc w:val="both"/>
              <w:rPr>
                <w:sz w:val="18"/>
                <w:szCs w:val="18"/>
                <w:lang w:val="fr-CA"/>
              </w:rPr>
            </w:pPr>
            <w:r w:rsidRPr="001C2EEC">
              <w:rPr>
                <w:sz w:val="18"/>
                <w:szCs w:val="18"/>
                <w:lang w:val="fr-CA"/>
              </w:rPr>
              <w:t xml:space="preserve">Vous pouvez consulter les Règles ainsi qu’un guide des modifications au </w:t>
            </w:r>
            <w:hyperlink r:id="rId42" w:history="1">
              <w:r w:rsidRPr="001C2EEC">
                <w:rPr>
                  <w:rStyle w:val="Hyperlink"/>
                  <w:sz w:val="18"/>
                  <w:szCs w:val="18"/>
                  <w:lang w:val="fr-CA"/>
                </w:rPr>
                <w:t>www.scc-csc.</w:t>
              </w:r>
              <w:r w:rsidR="00A47393">
                <w:rPr>
                  <w:rStyle w:val="Hyperlink"/>
                  <w:sz w:val="18"/>
                  <w:szCs w:val="18"/>
                  <w:lang w:val="fr-CA"/>
                </w:rPr>
                <w:t>ca</w:t>
              </w:r>
            </w:hyperlink>
            <w:r w:rsidRPr="001C2EEC">
              <w:rPr>
                <w:sz w:val="18"/>
                <w:szCs w:val="18"/>
                <w:lang w:val="fr-CA"/>
              </w:rPr>
              <w:t>.</w:t>
            </w:r>
          </w:p>
          <w:p w:rsidR="005D7540" w:rsidRPr="001C2EEC" w:rsidRDefault="005D7540" w:rsidP="007A6D33">
            <w:pPr>
              <w:jc w:val="both"/>
              <w:rPr>
                <w:sz w:val="18"/>
                <w:szCs w:val="18"/>
                <w:lang w:val="fr-CA"/>
              </w:rPr>
            </w:pPr>
          </w:p>
        </w:tc>
      </w:tr>
      <w:tr w:rsidR="00E939BB" w:rsidRPr="00A47393" w:rsidTr="001B4CA6">
        <w:tc>
          <w:tcPr>
            <w:tcW w:w="4320" w:type="dxa"/>
          </w:tcPr>
          <w:p w:rsidR="00E939BB" w:rsidRPr="001C2EEC" w:rsidRDefault="008906D6" w:rsidP="0021662B">
            <w:pPr>
              <w:jc w:val="both"/>
              <w:rPr>
                <w:sz w:val="18"/>
                <w:szCs w:val="18"/>
              </w:rPr>
            </w:pPr>
            <w:r w:rsidRPr="001C2EEC">
              <w:rPr>
                <w:sz w:val="18"/>
                <w:szCs w:val="18"/>
              </w:rPr>
              <w:t xml:space="preserve">These amendments include some significant changes to the Court’s practice.  One of these changes requires a party represented by counsel to file the electronic version </w:t>
            </w:r>
            <w:r w:rsidRPr="001C2EEC">
              <w:rPr>
                <w:sz w:val="18"/>
                <w:szCs w:val="18"/>
                <w:lang w:val="en-GB"/>
              </w:rPr>
              <w:t>– in addition to a paper copy</w:t>
            </w:r>
            <w:r w:rsidRPr="001C2EEC">
              <w:rPr>
                <w:sz w:val="18"/>
                <w:szCs w:val="18"/>
              </w:rPr>
              <w:t xml:space="preserve"> </w:t>
            </w:r>
            <w:r w:rsidRPr="001C2EEC">
              <w:rPr>
                <w:sz w:val="18"/>
                <w:szCs w:val="18"/>
                <w:lang w:val="en-GB"/>
              </w:rPr>
              <w:t>– of the memorandum of argument in an application for leave to appeal or in any response to or reply with respect to such an application.  Another requires a motion related to an application for leave or a motion to a judge or the Registrar to be filed in electronic format in addition to the paper copy; this also applies to responses and replies.  Service of electronic documents may be made by email if the parties so agree.  The notice of name and certificates of counsel respecting publication bans or sealing orders and potential conflicts of interest are no</w:t>
            </w:r>
            <w:r w:rsidR="008E2C8B">
              <w:rPr>
                <w:sz w:val="18"/>
                <w:szCs w:val="18"/>
                <w:lang w:val="en-GB"/>
              </w:rPr>
              <w:t>w</w:t>
            </w:r>
            <w:r w:rsidRPr="001C2EEC">
              <w:rPr>
                <w:sz w:val="18"/>
                <w:szCs w:val="18"/>
                <w:lang w:val="en-GB"/>
              </w:rPr>
              <w:t xml:space="preserve"> to be filed as separate documents.  Finally, the Court Registry will open one hour earlier, at 8:00 a.m. ET.</w:t>
            </w:r>
          </w:p>
        </w:tc>
        <w:tc>
          <w:tcPr>
            <w:tcW w:w="576" w:type="dxa"/>
          </w:tcPr>
          <w:p w:rsidR="00E939BB" w:rsidRPr="001C2EEC" w:rsidRDefault="00E939BB" w:rsidP="00C50A5C">
            <w:pPr>
              <w:jc w:val="center"/>
              <w:rPr>
                <w:sz w:val="18"/>
                <w:szCs w:val="18"/>
              </w:rPr>
            </w:pPr>
          </w:p>
        </w:tc>
        <w:tc>
          <w:tcPr>
            <w:tcW w:w="4464" w:type="dxa"/>
          </w:tcPr>
          <w:p w:rsidR="00E939BB" w:rsidRPr="001C2EEC" w:rsidRDefault="00E939BB" w:rsidP="008906D6">
            <w:pPr>
              <w:jc w:val="both"/>
              <w:rPr>
                <w:sz w:val="18"/>
                <w:szCs w:val="18"/>
                <w:lang w:val="fr-CA"/>
              </w:rPr>
            </w:pPr>
            <w:r w:rsidRPr="001C2EEC">
              <w:rPr>
                <w:sz w:val="18"/>
                <w:szCs w:val="18"/>
                <w:lang w:val="fr-CA"/>
              </w:rPr>
              <w:t xml:space="preserve">Ces modifications apportent certains changements importants à la pratique de la Cour.  L’un d’eux exige des parties représentés par procureur qu’elles déposent la version électronique – en plus de la version imprimée  – du mémoire relatif à la demande d’autorisation d’appel ou à toute réponse ou réplique </w:t>
            </w:r>
            <w:r w:rsidR="008906D6" w:rsidRPr="001C2EEC">
              <w:rPr>
                <w:sz w:val="18"/>
                <w:szCs w:val="18"/>
                <w:lang w:val="fr-CA"/>
              </w:rPr>
              <w:t>y afférente.  Suivant un autre changement, toute requête se rapportant à la demande d’autorisation d’appel ou étant présentée à un juge ou au registraire d</w:t>
            </w:r>
            <w:r w:rsidRPr="001C2EEC">
              <w:rPr>
                <w:sz w:val="18"/>
                <w:szCs w:val="18"/>
                <w:lang w:val="fr-CA"/>
              </w:rPr>
              <w:t>oi</w:t>
            </w:r>
            <w:r w:rsidR="008906D6" w:rsidRPr="001C2EEC">
              <w:rPr>
                <w:sz w:val="18"/>
                <w:szCs w:val="18"/>
                <w:lang w:val="fr-CA"/>
              </w:rPr>
              <w:t>t être déposée tant en version électronique qu’en version imprimée; cette obligation s’appli</w:t>
            </w:r>
            <w:r w:rsidRPr="001C2EEC">
              <w:rPr>
                <w:sz w:val="18"/>
                <w:szCs w:val="18"/>
                <w:lang w:val="fr-CA"/>
              </w:rPr>
              <w:t xml:space="preserve">que </w:t>
            </w:r>
            <w:r w:rsidR="008906D6" w:rsidRPr="001C2EEC">
              <w:rPr>
                <w:sz w:val="18"/>
                <w:szCs w:val="18"/>
                <w:lang w:val="fr-CA"/>
              </w:rPr>
              <w:t>aussi aux réponses et aux répliques.  La signification des documents en format électronique peut se faire par courriel si les parties y consentent.  L’avis de dénomination et les attestations des procureurs en ce qui concerne les obligations de non-publication ou les ordonnances de mise sous scellés et les conflits d’intérêts potentiels doivent maintenant être déposés séparément.  Enfin, le greffe ouvrira ses portes une heure plus tôt, soit à 8 h HE.</w:t>
            </w:r>
          </w:p>
          <w:p w:rsidR="008906D6" w:rsidRPr="001C2EEC" w:rsidRDefault="008906D6" w:rsidP="008906D6">
            <w:pPr>
              <w:jc w:val="both"/>
              <w:rPr>
                <w:sz w:val="18"/>
                <w:szCs w:val="18"/>
                <w:lang w:val="fr-CA"/>
              </w:rPr>
            </w:pPr>
          </w:p>
        </w:tc>
      </w:tr>
      <w:tr w:rsidR="00E939BB" w:rsidRPr="00A47393" w:rsidTr="001B4CA6">
        <w:tc>
          <w:tcPr>
            <w:tcW w:w="4320" w:type="dxa"/>
          </w:tcPr>
          <w:p w:rsidR="00E939BB" w:rsidRPr="001C2EEC" w:rsidRDefault="008906D6" w:rsidP="008906D6">
            <w:pPr>
              <w:jc w:val="both"/>
              <w:rPr>
                <w:sz w:val="18"/>
                <w:szCs w:val="18"/>
              </w:rPr>
            </w:pPr>
            <w:r w:rsidRPr="001C2EEC">
              <w:rPr>
                <w:sz w:val="18"/>
                <w:szCs w:val="18"/>
              </w:rPr>
              <w:t xml:space="preserve">The changes are explained fully in the guide referred to above.  The </w:t>
            </w:r>
            <w:r w:rsidRPr="001C2EEC">
              <w:rPr>
                <w:i/>
                <w:sz w:val="18"/>
                <w:szCs w:val="18"/>
              </w:rPr>
              <w:t>Guidelines for Preparing Documents to be Filed with the Supreme Court of Canada (Print and Electronic)</w:t>
            </w:r>
            <w:r w:rsidRPr="001C2EEC">
              <w:rPr>
                <w:sz w:val="18"/>
                <w:szCs w:val="18"/>
              </w:rPr>
              <w:t xml:space="preserve"> issued pursuant to Rule 21 have been updated to reflect the amendments to the Rules.</w:t>
            </w:r>
          </w:p>
        </w:tc>
        <w:tc>
          <w:tcPr>
            <w:tcW w:w="576" w:type="dxa"/>
          </w:tcPr>
          <w:p w:rsidR="00E939BB" w:rsidRPr="001C2EEC" w:rsidRDefault="00E939BB" w:rsidP="00C50A5C">
            <w:pPr>
              <w:jc w:val="center"/>
              <w:rPr>
                <w:sz w:val="18"/>
                <w:szCs w:val="18"/>
              </w:rPr>
            </w:pPr>
          </w:p>
        </w:tc>
        <w:tc>
          <w:tcPr>
            <w:tcW w:w="4464" w:type="dxa"/>
          </w:tcPr>
          <w:p w:rsidR="00E939BB" w:rsidRPr="001C2EEC" w:rsidRDefault="008906D6" w:rsidP="00E939BB">
            <w:pPr>
              <w:jc w:val="both"/>
              <w:rPr>
                <w:sz w:val="18"/>
                <w:szCs w:val="18"/>
                <w:lang w:val="fr-CA"/>
              </w:rPr>
            </w:pPr>
            <w:r w:rsidRPr="001C2EEC">
              <w:rPr>
                <w:sz w:val="18"/>
                <w:szCs w:val="18"/>
                <w:lang w:val="fr-CA"/>
              </w:rPr>
              <w:t>Les changements sont expliqués en d</w:t>
            </w:r>
            <w:r w:rsidR="00582418">
              <w:rPr>
                <w:sz w:val="18"/>
                <w:szCs w:val="18"/>
                <w:lang w:val="fr-CA"/>
              </w:rPr>
              <w:t>é</w:t>
            </w:r>
            <w:r w:rsidRPr="001C2EEC">
              <w:rPr>
                <w:sz w:val="18"/>
                <w:szCs w:val="18"/>
                <w:lang w:val="fr-CA"/>
              </w:rPr>
              <w:t xml:space="preserve">tail dans le guide susmentionné. </w:t>
            </w:r>
            <w:r w:rsidR="00AE091C">
              <w:rPr>
                <w:sz w:val="18"/>
                <w:szCs w:val="18"/>
                <w:lang w:val="fr-CA"/>
              </w:rPr>
              <w:t xml:space="preserve"> </w:t>
            </w:r>
            <w:r w:rsidRPr="001C2EEC">
              <w:rPr>
                <w:sz w:val="18"/>
                <w:szCs w:val="18"/>
                <w:lang w:val="fr-CA"/>
              </w:rPr>
              <w:t xml:space="preserve">Les </w:t>
            </w:r>
            <w:r w:rsidRPr="001C2EEC">
              <w:rPr>
                <w:i/>
                <w:sz w:val="18"/>
                <w:szCs w:val="18"/>
                <w:lang w:val="fr-CA"/>
              </w:rPr>
              <w:t>Lignes directrices pour la préparation des documents à déposer à la Cour suprême du Canada (versions imprimée et électronique)</w:t>
            </w:r>
            <w:r w:rsidRPr="001C2EEC">
              <w:rPr>
                <w:sz w:val="18"/>
                <w:szCs w:val="18"/>
                <w:lang w:val="fr-CA"/>
              </w:rPr>
              <w:t xml:space="preserve"> établies en vertu de la règle</w:t>
            </w:r>
            <w:r w:rsidR="00CE382A" w:rsidRPr="001C2EEC">
              <w:rPr>
                <w:sz w:val="18"/>
                <w:szCs w:val="18"/>
                <w:lang w:val="fr-CA"/>
              </w:rPr>
              <w:t xml:space="preserve"> 21 ont été mises à jour pour faire état des modifications apportées aux Règles.</w:t>
            </w:r>
          </w:p>
          <w:p w:rsidR="00CE382A" w:rsidRPr="001C2EEC" w:rsidRDefault="00CE382A" w:rsidP="00E939BB">
            <w:pPr>
              <w:jc w:val="both"/>
              <w:rPr>
                <w:sz w:val="18"/>
                <w:szCs w:val="18"/>
                <w:lang w:val="fr-CA"/>
              </w:rPr>
            </w:pPr>
          </w:p>
        </w:tc>
      </w:tr>
      <w:tr w:rsidR="00CE382A" w:rsidRPr="00A47393" w:rsidTr="001B4CA6">
        <w:tc>
          <w:tcPr>
            <w:tcW w:w="4320" w:type="dxa"/>
          </w:tcPr>
          <w:p w:rsidR="00CE382A" w:rsidRPr="001C2EEC" w:rsidRDefault="00CE382A" w:rsidP="008906D6">
            <w:pPr>
              <w:jc w:val="both"/>
              <w:rPr>
                <w:sz w:val="18"/>
                <w:szCs w:val="18"/>
              </w:rPr>
            </w:pPr>
            <w:r w:rsidRPr="001C2EEC">
              <w:rPr>
                <w:sz w:val="18"/>
                <w:szCs w:val="18"/>
              </w:rPr>
              <w:t>The Notice to the Profession of July 2012 respecting the filing of electronic documents for applications for leave to appeal is hereby rescinded.</w:t>
            </w:r>
          </w:p>
        </w:tc>
        <w:tc>
          <w:tcPr>
            <w:tcW w:w="576" w:type="dxa"/>
          </w:tcPr>
          <w:p w:rsidR="00CE382A" w:rsidRPr="001C2EEC" w:rsidRDefault="00CE382A" w:rsidP="00C50A5C">
            <w:pPr>
              <w:jc w:val="center"/>
              <w:rPr>
                <w:sz w:val="18"/>
                <w:szCs w:val="18"/>
              </w:rPr>
            </w:pPr>
          </w:p>
        </w:tc>
        <w:tc>
          <w:tcPr>
            <w:tcW w:w="4464" w:type="dxa"/>
          </w:tcPr>
          <w:p w:rsidR="00CE382A" w:rsidRPr="001C2EEC" w:rsidRDefault="00CE382A" w:rsidP="00CE382A">
            <w:pPr>
              <w:jc w:val="both"/>
              <w:rPr>
                <w:sz w:val="18"/>
                <w:szCs w:val="18"/>
                <w:lang w:val="fr-CA"/>
              </w:rPr>
            </w:pPr>
            <w:r w:rsidRPr="001C2EEC">
              <w:rPr>
                <w:sz w:val="18"/>
                <w:szCs w:val="18"/>
                <w:lang w:val="fr-CA"/>
              </w:rPr>
              <w:t>Le présent avis annule l’avis à la communauté juridique de juillet 2012 relatif au dépôt de la version électronique des documents dans les demandes d’autorisation d’appel.</w:t>
            </w:r>
          </w:p>
          <w:p w:rsidR="00CE382A" w:rsidRPr="001C2EEC" w:rsidRDefault="00CE382A" w:rsidP="00CE382A">
            <w:pPr>
              <w:jc w:val="both"/>
              <w:rPr>
                <w:sz w:val="18"/>
                <w:szCs w:val="18"/>
                <w:lang w:val="fr-CA"/>
              </w:rPr>
            </w:pPr>
          </w:p>
        </w:tc>
      </w:tr>
      <w:tr w:rsidR="00BE649D" w:rsidRPr="00A47393" w:rsidTr="001B4CA6">
        <w:tc>
          <w:tcPr>
            <w:tcW w:w="4320" w:type="dxa"/>
          </w:tcPr>
          <w:p w:rsidR="00BE649D" w:rsidRPr="001C2EEC" w:rsidRDefault="00CE382A" w:rsidP="008E2C8B">
            <w:pPr>
              <w:jc w:val="both"/>
              <w:rPr>
                <w:sz w:val="18"/>
                <w:szCs w:val="18"/>
              </w:rPr>
            </w:pPr>
            <w:r w:rsidRPr="001C2EEC">
              <w:rPr>
                <w:sz w:val="18"/>
                <w:szCs w:val="18"/>
              </w:rPr>
              <w:t>For further information, please contact a Registry office</w:t>
            </w:r>
            <w:r w:rsidR="008E2C8B">
              <w:rPr>
                <w:sz w:val="18"/>
                <w:szCs w:val="18"/>
              </w:rPr>
              <w:t>r</w:t>
            </w:r>
            <w:r w:rsidRPr="001C2EEC">
              <w:rPr>
                <w:sz w:val="18"/>
                <w:szCs w:val="18"/>
              </w:rPr>
              <w:t xml:space="preserve"> at 613-996-8666.</w:t>
            </w:r>
          </w:p>
        </w:tc>
        <w:tc>
          <w:tcPr>
            <w:tcW w:w="576" w:type="dxa"/>
          </w:tcPr>
          <w:p w:rsidR="00BE649D" w:rsidRPr="001C2EEC" w:rsidRDefault="00BE649D" w:rsidP="00C50A5C">
            <w:pPr>
              <w:jc w:val="center"/>
              <w:rPr>
                <w:sz w:val="18"/>
                <w:szCs w:val="18"/>
              </w:rPr>
            </w:pPr>
          </w:p>
        </w:tc>
        <w:tc>
          <w:tcPr>
            <w:tcW w:w="4464" w:type="dxa"/>
          </w:tcPr>
          <w:p w:rsidR="00BE649D" w:rsidRPr="001C2EEC" w:rsidRDefault="001C2EEC" w:rsidP="001B3555">
            <w:pPr>
              <w:jc w:val="both"/>
              <w:rPr>
                <w:sz w:val="18"/>
                <w:szCs w:val="18"/>
                <w:lang w:val="fr-CA"/>
              </w:rPr>
            </w:pPr>
            <w:r w:rsidRPr="001C2EEC">
              <w:rPr>
                <w:sz w:val="18"/>
                <w:szCs w:val="18"/>
                <w:lang w:val="fr-CA"/>
              </w:rPr>
              <w:t>Pour tout renseignement supplémentaire, veuillez vous adresser à un préposé du Greffe en composant le 613</w:t>
            </w:r>
            <w:r w:rsidR="001B3555">
              <w:rPr>
                <w:sz w:val="18"/>
                <w:szCs w:val="18"/>
                <w:lang w:val="fr-CA"/>
              </w:rPr>
              <w:noBreakHyphen/>
            </w:r>
            <w:r w:rsidRPr="001C2EEC">
              <w:rPr>
                <w:sz w:val="18"/>
                <w:szCs w:val="18"/>
                <w:lang w:val="fr-CA"/>
              </w:rPr>
              <w:t>966</w:t>
            </w:r>
            <w:r w:rsidR="001B3555">
              <w:rPr>
                <w:sz w:val="18"/>
                <w:szCs w:val="18"/>
                <w:lang w:val="fr-CA"/>
              </w:rPr>
              <w:noBreakHyphen/>
            </w:r>
            <w:r w:rsidRPr="001C2EEC">
              <w:rPr>
                <w:sz w:val="18"/>
                <w:szCs w:val="18"/>
                <w:lang w:val="fr-CA"/>
              </w:rPr>
              <w:t>8666.</w:t>
            </w:r>
          </w:p>
        </w:tc>
      </w:tr>
    </w:tbl>
    <w:p w:rsidR="006B6926" w:rsidRPr="001C2EEC" w:rsidRDefault="006B6926" w:rsidP="006B6926">
      <w:pPr>
        <w:rPr>
          <w:sz w:val="18"/>
          <w:szCs w:val="18"/>
          <w:lang w:val="fr-CA"/>
        </w:rPr>
      </w:pPr>
    </w:p>
    <w:p w:rsidR="006B6926" w:rsidRDefault="006B6926" w:rsidP="006B6926">
      <w:pPr>
        <w:rPr>
          <w:sz w:val="18"/>
          <w:szCs w:val="18"/>
          <w:lang w:val="fr-CA"/>
        </w:rPr>
      </w:pPr>
    </w:p>
    <w:p w:rsidR="00582418" w:rsidRDefault="00582418" w:rsidP="006B6926">
      <w:pPr>
        <w:rPr>
          <w:sz w:val="18"/>
          <w:szCs w:val="18"/>
          <w:lang w:val="fr-CA"/>
        </w:rPr>
      </w:pPr>
    </w:p>
    <w:p w:rsidR="00582418" w:rsidRPr="001C2EEC" w:rsidRDefault="00582418" w:rsidP="006B6926">
      <w:pPr>
        <w:rPr>
          <w:sz w:val="18"/>
          <w:szCs w:val="18"/>
          <w:lang w:val="fr-CA"/>
        </w:rPr>
      </w:pPr>
    </w:p>
    <w:p w:rsidR="006B6926" w:rsidRPr="001C2EEC" w:rsidRDefault="006B6926" w:rsidP="006B6926">
      <w:pPr>
        <w:rPr>
          <w:sz w:val="18"/>
          <w:szCs w:val="18"/>
          <w:lang w:val="fr-CA"/>
        </w:rPr>
      </w:pPr>
    </w:p>
    <w:p w:rsidR="006B6926" w:rsidRPr="00D33AEA" w:rsidRDefault="006B6926" w:rsidP="006B6926">
      <w:pPr>
        <w:jc w:val="center"/>
        <w:rPr>
          <w:sz w:val="18"/>
          <w:szCs w:val="18"/>
          <w:lang w:val="fr-CA"/>
        </w:rPr>
      </w:pPr>
      <w:r w:rsidRPr="00D33AEA">
        <w:rPr>
          <w:sz w:val="18"/>
          <w:szCs w:val="18"/>
          <w:lang w:val="fr-CA"/>
        </w:rPr>
        <w:t>Roger Bilodeau, Q.C. / c.r.</w:t>
      </w:r>
    </w:p>
    <w:p w:rsidR="006B6926" w:rsidRPr="00D33AEA" w:rsidRDefault="006B6926" w:rsidP="006B6926">
      <w:pPr>
        <w:jc w:val="center"/>
        <w:rPr>
          <w:sz w:val="18"/>
          <w:szCs w:val="18"/>
          <w:lang w:val="fr-CA"/>
        </w:rPr>
      </w:pPr>
    </w:p>
    <w:p w:rsidR="006B6926" w:rsidRPr="00D33AEA" w:rsidRDefault="006B6926" w:rsidP="006B6926">
      <w:pPr>
        <w:jc w:val="center"/>
        <w:rPr>
          <w:sz w:val="18"/>
          <w:szCs w:val="18"/>
          <w:lang w:val="fr-CA"/>
        </w:rPr>
      </w:pPr>
      <w:r w:rsidRPr="00D33AEA">
        <w:rPr>
          <w:sz w:val="18"/>
          <w:szCs w:val="18"/>
          <w:lang w:val="fr-CA"/>
        </w:rPr>
        <w:t>Registrar - Registraire</w:t>
      </w:r>
    </w:p>
    <w:p w:rsidR="006B6926" w:rsidRPr="00D33AEA" w:rsidRDefault="006B6926" w:rsidP="006B6926">
      <w:pPr>
        <w:jc w:val="center"/>
        <w:rPr>
          <w:sz w:val="18"/>
          <w:szCs w:val="18"/>
          <w:lang w:val="fr-CA"/>
        </w:rPr>
      </w:pPr>
    </w:p>
    <w:p w:rsidR="006B6926" w:rsidRPr="00D33AEA" w:rsidRDefault="006B6926" w:rsidP="0085476B">
      <w:pPr>
        <w:tabs>
          <w:tab w:val="right" w:pos="9540"/>
        </w:tabs>
        <w:rPr>
          <w:sz w:val="18"/>
          <w:szCs w:val="18"/>
          <w:lang w:val="fr-CA"/>
        </w:rPr>
      </w:pPr>
      <w:r w:rsidRPr="00D33AEA">
        <w:rPr>
          <w:sz w:val="18"/>
          <w:szCs w:val="18"/>
          <w:lang w:val="fr-CA"/>
        </w:rPr>
        <w:t>December 20</w:t>
      </w:r>
      <w:r w:rsidR="00BE649D" w:rsidRPr="00D33AEA">
        <w:rPr>
          <w:sz w:val="18"/>
          <w:szCs w:val="18"/>
          <w:lang w:val="fr-CA"/>
        </w:rPr>
        <w:t>13</w:t>
      </w:r>
      <w:r w:rsidRPr="00D33AEA">
        <w:rPr>
          <w:sz w:val="18"/>
          <w:szCs w:val="18"/>
          <w:lang w:val="fr-CA"/>
        </w:rPr>
        <w:tab/>
        <w:t>décembre 20</w:t>
      </w:r>
      <w:r w:rsidR="00BE649D" w:rsidRPr="00D33AEA">
        <w:rPr>
          <w:sz w:val="18"/>
          <w:szCs w:val="18"/>
          <w:lang w:val="fr-CA"/>
        </w:rPr>
        <w:t>13</w:t>
      </w:r>
    </w:p>
    <w:p w:rsidR="006B6926" w:rsidRPr="001C2EEC" w:rsidRDefault="006B6926" w:rsidP="00782AE4">
      <w:pPr>
        <w:jc w:val="both"/>
        <w:rPr>
          <w:sz w:val="18"/>
          <w:szCs w:val="18"/>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p w:rsidR="0081610A" w:rsidRPr="00D33AEA" w:rsidRDefault="001C5DB7" w:rsidP="0081610A">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lastRenderedPageBreak/>
        <w:fldChar w:fldCharType="begin"/>
      </w:r>
      <w:r w:rsidR="0081610A" w:rsidRPr="00D33AEA">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0081610A" w:rsidRPr="00D33AEA">
        <w:rPr>
          <w:rFonts w:asciiTheme="minorHAnsi" w:hAnsiTheme="minorHAnsi" w:cstheme="minorHAnsi"/>
          <w:b/>
          <w:szCs w:val="24"/>
          <w:lang w:val="fr-CA"/>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D33AEA" w:rsidRDefault="0081610A" w:rsidP="0081610A">
      <w:pPr>
        <w:widowControl w:val="0"/>
        <w:spacing w:line="180" w:lineRule="auto"/>
        <w:rPr>
          <w:rFonts w:asciiTheme="minorHAnsi" w:hAnsiTheme="minorHAnsi" w:cstheme="minorHAnsi"/>
          <w:szCs w:val="24"/>
          <w:lang w:val="fr-CA"/>
        </w:rPr>
      </w:pPr>
    </w:p>
    <w:p w:rsidR="0081610A" w:rsidRPr="00D33AEA" w:rsidRDefault="0081610A" w:rsidP="0081610A">
      <w:pPr>
        <w:widowControl w:val="0"/>
        <w:tabs>
          <w:tab w:val="center" w:pos="5400"/>
          <w:tab w:val="right" w:pos="10440"/>
        </w:tabs>
        <w:rPr>
          <w:rFonts w:ascii="Arial" w:hAnsi="Arial"/>
          <w:sz w:val="18"/>
          <w:lang w:val="fr-CA"/>
        </w:rPr>
      </w:pPr>
      <w:r w:rsidRPr="00D33AEA">
        <w:rPr>
          <w:rFonts w:ascii="Arial" w:hAnsi="Arial"/>
          <w:sz w:val="18"/>
          <w:lang w:val="fr-CA"/>
        </w:rPr>
        <w:tab/>
      </w:r>
      <w:r w:rsidRPr="00D33AEA">
        <w:rPr>
          <w:rFonts w:ascii="Arial" w:hAnsi="Arial"/>
          <w:i/>
          <w:sz w:val="36"/>
          <w:lang w:val="fr-CA"/>
        </w:rPr>
        <w:t xml:space="preserve">- </w:t>
      </w:r>
      <w:r w:rsidRPr="00D33AEA">
        <w:rPr>
          <w:rFonts w:ascii="Arial" w:hAnsi="Arial"/>
          <w:b/>
          <w:i/>
          <w:sz w:val="36"/>
          <w:lang w:val="fr-CA"/>
        </w:rPr>
        <w:t>2013</w:t>
      </w:r>
      <w:r w:rsidRPr="00D33AEA">
        <w:rPr>
          <w:rFonts w:ascii="Arial" w:hAnsi="Arial"/>
          <w:i/>
          <w:sz w:val="36"/>
          <w:lang w:val="fr-CA"/>
        </w:rPr>
        <w:t xml:space="preserve"> -</w:t>
      </w:r>
      <w:r w:rsidRPr="00D33AEA">
        <w:rPr>
          <w:rFonts w:ascii="Arial" w:hAnsi="Arial"/>
          <w:sz w:val="18"/>
          <w:lang w:val="fr-CA"/>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7A6D33">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A6D33">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7A6D33">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A6D33">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7A6D33">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A6D33">
            <w:pPr>
              <w:widowControl w:val="0"/>
              <w:jc w:val="center"/>
              <w:rPr>
                <w:rFonts w:ascii="Arial" w:hAnsi="Arial"/>
                <w:sz w:val="14"/>
              </w:rPr>
            </w:pPr>
            <w:r w:rsidRPr="002E0C7E">
              <w:rPr>
                <w:rFonts w:ascii="Arial" w:hAnsi="Arial"/>
                <w:b/>
                <w:sz w:val="14"/>
              </w:rPr>
              <w:t>DECEMBER - DÉCEMBRE</w:t>
            </w:r>
          </w:p>
        </w:tc>
      </w:tr>
      <w:tr w:rsidR="0081610A" w:rsidRPr="002E0C7E" w:rsidTr="007A6D3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S</w:t>
            </w:r>
          </w:p>
          <w:p w:rsidR="0081610A" w:rsidRPr="002E0C7E" w:rsidRDefault="0081610A" w:rsidP="007A6D33">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M</w:t>
            </w:r>
          </w:p>
          <w:p w:rsidR="0081610A" w:rsidRPr="002E0C7E" w:rsidRDefault="0081610A" w:rsidP="007A6D33">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T</w:t>
            </w:r>
          </w:p>
          <w:p w:rsidR="0081610A" w:rsidRPr="002E0C7E" w:rsidRDefault="0081610A" w:rsidP="007A6D33">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W</w:t>
            </w:r>
          </w:p>
          <w:p w:rsidR="0081610A" w:rsidRPr="002E0C7E" w:rsidRDefault="0081610A" w:rsidP="007A6D33">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T</w:t>
            </w:r>
          </w:p>
          <w:p w:rsidR="0081610A" w:rsidRPr="002E0C7E" w:rsidRDefault="0081610A" w:rsidP="007A6D33">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F</w:t>
            </w:r>
          </w:p>
          <w:p w:rsidR="0081610A" w:rsidRPr="002E0C7E" w:rsidRDefault="0081610A" w:rsidP="007A6D33">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S</w:t>
            </w:r>
          </w:p>
          <w:p w:rsidR="0081610A" w:rsidRPr="002E0C7E" w:rsidRDefault="0081610A" w:rsidP="007A6D3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S</w:t>
            </w:r>
          </w:p>
          <w:p w:rsidR="0081610A" w:rsidRPr="002E0C7E" w:rsidRDefault="0081610A" w:rsidP="007A6D33">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M</w:t>
            </w:r>
          </w:p>
          <w:p w:rsidR="0081610A" w:rsidRPr="002E0C7E" w:rsidRDefault="0081610A" w:rsidP="007A6D33">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T</w:t>
            </w:r>
          </w:p>
          <w:p w:rsidR="0081610A" w:rsidRPr="002E0C7E" w:rsidRDefault="0081610A" w:rsidP="007A6D33">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W</w:t>
            </w:r>
          </w:p>
          <w:p w:rsidR="0081610A" w:rsidRPr="002E0C7E" w:rsidRDefault="0081610A" w:rsidP="007A6D33">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T</w:t>
            </w:r>
          </w:p>
          <w:p w:rsidR="0081610A" w:rsidRPr="002E0C7E" w:rsidRDefault="0081610A" w:rsidP="007A6D33">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F</w:t>
            </w:r>
          </w:p>
          <w:p w:rsidR="0081610A" w:rsidRPr="002E0C7E" w:rsidRDefault="0081610A" w:rsidP="007A6D33">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S</w:t>
            </w:r>
          </w:p>
          <w:p w:rsidR="0081610A" w:rsidRPr="002E0C7E" w:rsidRDefault="0081610A" w:rsidP="007A6D3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S</w:t>
            </w:r>
          </w:p>
          <w:p w:rsidR="0081610A" w:rsidRPr="002E0C7E" w:rsidRDefault="0081610A" w:rsidP="007A6D33">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M</w:t>
            </w:r>
          </w:p>
          <w:p w:rsidR="0081610A" w:rsidRPr="002E0C7E" w:rsidRDefault="0081610A" w:rsidP="007A6D33">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T</w:t>
            </w:r>
          </w:p>
          <w:p w:rsidR="0081610A" w:rsidRPr="002E0C7E" w:rsidRDefault="0081610A" w:rsidP="007A6D33">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W</w:t>
            </w:r>
          </w:p>
          <w:p w:rsidR="0081610A" w:rsidRPr="002E0C7E" w:rsidRDefault="0081610A" w:rsidP="007A6D33">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T</w:t>
            </w:r>
          </w:p>
          <w:p w:rsidR="0081610A" w:rsidRPr="002E0C7E" w:rsidRDefault="0081610A" w:rsidP="007A6D33">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F</w:t>
            </w:r>
          </w:p>
          <w:p w:rsidR="0081610A" w:rsidRPr="002E0C7E" w:rsidRDefault="0081610A" w:rsidP="007A6D33">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S</w:t>
            </w:r>
          </w:p>
          <w:p w:rsidR="0081610A" w:rsidRPr="002E0C7E" w:rsidRDefault="0081610A" w:rsidP="007A6D33">
            <w:pPr>
              <w:widowControl w:val="0"/>
              <w:jc w:val="center"/>
              <w:rPr>
                <w:rFonts w:ascii="Arial" w:hAnsi="Arial"/>
                <w:sz w:val="14"/>
              </w:rPr>
            </w:pPr>
            <w:r w:rsidRPr="002E0C7E">
              <w:rPr>
                <w:rFonts w:ascii="Arial" w:hAnsi="Arial"/>
                <w:sz w:val="14"/>
              </w:rPr>
              <w:t>S</w:t>
            </w:r>
          </w:p>
        </w:tc>
      </w:tr>
      <w:tr w:rsidR="0081610A" w:rsidRPr="002E0C7E" w:rsidTr="007A6D3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7A6D33">
            <w:pPr>
              <w:widowControl w:val="0"/>
              <w:jc w:val="center"/>
              <w:rPr>
                <w:rFonts w:ascii="Arial" w:hAnsi="Arial"/>
                <w:b/>
                <w:sz w:val="14"/>
              </w:rPr>
            </w:pPr>
            <w:r>
              <w:rPr>
                <w:rFonts w:ascii="Arial" w:hAnsi="Arial"/>
                <w:b/>
                <w:sz w:val="14"/>
              </w:rPr>
              <w:t>M</w:t>
            </w:r>
          </w:p>
          <w:p w:rsidR="0081610A" w:rsidRPr="002E0C7E" w:rsidRDefault="0081610A" w:rsidP="007A6D33">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7</w:t>
            </w:r>
          </w:p>
        </w:tc>
      </w:tr>
      <w:tr w:rsidR="0081610A" w:rsidRPr="002E0C7E" w:rsidTr="007A6D33">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7A6D33">
            <w:pPr>
              <w:widowControl w:val="0"/>
              <w:jc w:val="center"/>
              <w:rPr>
                <w:rFonts w:ascii="Arial" w:hAnsi="Arial"/>
                <w:b/>
                <w:sz w:val="14"/>
              </w:rPr>
            </w:pPr>
            <w:r>
              <w:rPr>
                <w:rFonts w:ascii="Arial" w:hAnsi="Arial"/>
                <w:b/>
                <w:sz w:val="14"/>
              </w:rPr>
              <w:t>M</w:t>
            </w:r>
          </w:p>
          <w:p w:rsidR="0081610A" w:rsidRPr="002E0C7E" w:rsidRDefault="0081610A" w:rsidP="007A6D33">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7A6D33">
            <w:pPr>
              <w:widowControl w:val="0"/>
              <w:jc w:val="center"/>
              <w:rPr>
                <w:rFonts w:ascii="Arial" w:hAnsi="Arial"/>
                <w:b/>
                <w:sz w:val="14"/>
              </w:rPr>
            </w:pPr>
          </w:p>
          <w:p w:rsidR="0081610A" w:rsidRPr="002E0C7E" w:rsidRDefault="0081610A" w:rsidP="007A6D3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b/>
                <w:sz w:val="14"/>
              </w:rPr>
              <w:t>M</w:t>
            </w:r>
          </w:p>
          <w:p w:rsidR="0081610A" w:rsidRPr="002E0C7E" w:rsidRDefault="0081610A" w:rsidP="007A6D33">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14</w:t>
            </w:r>
          </w:p>
        </w:tc>
      </w:tr>
      <w:tr w:rsidR="0081610A" w:rsidRPr="002E0C7E" w:rsidTr="007A6D33">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7A6D33">
            <w:pPr>
              <w:widowControl w:val="0"/>
              <w:jc w:val="center"/>
              <w:rPr>
                <w:rFonts w:ascii="Arial" w:hAnsi="Arial"/>
                <w:b/>
                <w:sz w:val="14"/>
              </w:rPr>
            </w:pPr>
            <w:r>
              <w:rPr>
                <w:rFonts w:ascii="Arial" w:hAnsi="Arial"/>
                <w:b/>
                <w:sz w:val="14"/>
              </w:rPr>
              <w:t>H</w:t>
            </w: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7A6D33">
            <w:pPr>
              <w:widowControl w:val="0"/>
              <w:jc w:val="center"/>
              <w:rPr>
                <w:rFonts w:ascii="Arial" w:hAnsi="Arial"/>
                <w:sz w:val="14"/>
              </w:rPr>
            </w:pPr>
            <w:r>
              <w:rPr>
                <w:rFonts w:ascii="Arial" w:hAnsi="Arial"/>
                <w:b/>
                <w:sz w:val="14"/>
              </w:rPr>
              <w:t>H</w:t>
            </w: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7A6D3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7A6D33">
            <w:pPr>
              <w:widowControl w:val="0"/>
              <w:jc w:val="center"/>
              <w:rPr>
                <w:rFonts w:ascii="Arial" w:hAnsi="Arial"/>
                <w:b/>
                <w:sz w:val="14"/>
              </w:rPr>
            </w:pPr>
            <w:r>
              <w:rPr>
                <w:rFonts w:ascii="Arial" w:hAnsi="Arial"/>
                <w:b/>
                <w:sz w:val="14"/>
              </w:rPr>
              <w:t>H</w:t>
            </w:r>
          </w:p>
          <w:p w:rsidR="0081610A" w:rsidRPr="002E0C7E" w:rsidRDefault="0081610A" w:rsidP="007A6D33">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7A6D33">
            <w:pPr>
              <w:widowControl w:val="0"/>
              <w:jc w:val="center"/>
              <w:rPr>
                <w:rFonts w:ascii="Arial" w:hAnsi="Arial"/>
                <w:b/>
                <w:sz w:val="14"/>
              </w:rPr>
            </w:pPr>
            <w:r>
              <w:rPr>
                <w:rFonts w:ascii="Arial" w:hAnsi="Arial"/>
                <w:b/>
                <w:sz w:val="14"/>
              </w:rPr>
              <w:t>H</w:t>
            </w:r>
          </w:p>
          <w:p w:rsidR="0081610A" w:rsidRPr="002E0C7E" w:rsidRDefault="0081610A" w:rsidP="007A6D33">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7A6D33">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7A6D33">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A6D33">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7A6D33">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A6D33">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7A6D33">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A6D33">
            <w:pPr>
              <w:widowControl w:val="0"/>
              <w:jc w:val="center"/>
              <w:rPr>
                <w:rFonts w:ascii="Arial" w:hAnsi="Arial"/>
                <w:sz w:val="14"/>
              </w:rPr>
            </w:pPr>
            <w:r w:rsidRPr="002E0C7E">
              <w:rPr>
                <w:rFonts w:ascii="Arial" w:hAnsi="Arial"/>
                <w:b/>
                <w:sz w:val="14"/>
              </w:rPr>
              <w:t>MARCH - MARS</w:t>
            </w:r>
          </w:p>
        </w:tc>
      </w:tr>
      <w:tr w:rsidR="0081610A" w:rsidRPr="002E0C7E" w:rsidTr="007A6D33">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S</w:t>
            </w:r>
          </w:p>
          <w:p w:rsidR="0081610A" w:rsidRPr="002E0C7E" w:rsidRDefault="0081610A" w:rsidP="007A6D3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M</w:t>
            </w:r>
          </w:p>
          <w:p w:rsidR="0081610A" w:rsidRPr="002E0C7E" w:rsidRDefault="0081610A" w:rsidP="007A6D3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T</w:t>
            </w:r>
          </w:p>
          <w:p w:rsidR="0081610A" w:rsidRPr="002E0C7E" w:rsidRDefault="0081610A" w:rsidP="007A6D3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W</w:t>
            </w:r>
          </w:p>
          <w:p w:rsidR="0081610A" w:rsidRPr="002E0C7E" w:rsidRDefault="0081610A" w:rsidP="007A6D3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T</w:t>
            </w:r>
          </w:p>
          <w:p w:rsidR="0081610A" w:rsidRPr="002E0C7E" w:rsidRDefault="0081610A" w:rsidP="007A6D3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F</w:t>
            </w:r>
          </w:p>
          <w:p w:rsidR="0081610A" w:rsidRPr="002E0C7E" w:rsidRDefault="0081610A" w:rsidP="007A6D3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S</w:t>
            </w:r>
          </w:p>
          <w:p w:rsidR="0081610A" w:rsidRPr="002E0C7E" w:rsidRDefault="0081610A" w:rsidP="007A6D3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S</w:t>
            </w:r>
          </w:p>
          <w:p w:rsidR="0081610A" w:rsidRPr="002E0C7E" w:rsidRDefault="0081610A" w:rsidP="007A6D3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M</w:t>
            </w:r>
          </w:p>
          <w:p w:rsidR="0081610A" w:rsidRPr="002E0C7E" w:rsidRDefault="0081610A" w:rsidP="007A6D3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T</w:t>
            </w:r>
          </w:p>
          <w:p w:rsidR="0081610A" w:rsidRPr="002E0C7E" w:rsidRDefault="0081610A" w:rsidP="007A6D33">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W</w:t>
            </w:r>
          </w:p>
          <w:p w:rsidR="0081610A" w:rsidRPr="002E0C7E" w:rsidRDefault="0081610A" w:rsidP="007A6D3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T</w:t>
            </w:r>
          </w:p>
          <w:p w:rsidR="0081610A" w:rsidRPr="002E0C7E" w:rsidRDefault="0081610A" w:rsidP="007A6D3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F</w:t>
            </w:r>
          </w:p>
          <w:p w:rsidR="0081610A" w:rsidRPr="002E0C7E" w:rsidRDefault="0081610A" w:rsidP="007A6D3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S</w:t>
            </w:r>
          </w:p>
          <w:p w:rsidR="0081610A" w:rsidRPr="002E0C7E" w:rsidRDefault="0081610A" w:rsidP="007A6D3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S</w:t>
            </w:r>
          </w:p>
          <w:p w:rsidR="0081610A" w:rsidRPr="002E0C7E" w:rsidRDefault="0081610A" w:rsidP="007A6D3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M</w:t>
            </w:r>
          </w:p>
          <w:p w:rsidR="0081610A" w:rsidRPr="002E0C7E" w:rsidRDefault="0081610A" w:rsidP="007A6D3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T</w:t>
            </w:r>
          </w:p>
          <w:p w:rsidR="0081610A" w:rsidRPr="002E0C7E" w:rsidRDefault="0081610A" w:rsidP="007A6D3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W</w:t>
            </w:r>
          </w:p>
          <w:p w:rsidR="0081610A" w:rsidRPr="002E0C7E" w:rsidRDefault="0081610A" w:rsidP="007A6D3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T</w:t>
            </w:r>
          </w:p>
          <w:p w:rsidR="0081610A" w:rsidRPr="002E0C7E" w:rsidRDefault="0081610A" w:rsidP="007A6D3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F</w:t>
            </w:r>
          </w:p>
          <w:p w:rsidR="0081610A" w:rsidRPr="002E0C7E" w:rsidRDefault="0081610A" w:rsidP="007A6D33">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S</w:t>
            </w:r>
          </w:p>
          <w:p w:rsidR="0081610A" w:rsidRPr="002E0C7E" w:rsidRDefault="0081610A" w:rsidP="007A6D33">
            <w:pPr>
              <w:widowControl w:val="0"/>
              <w:jc w:val="center"/>
              <w:rPr>
                <w:rFonts w:ascii="Arial" w:hAnsi="Arial"/>
                <w:sz w:val="14"/>
              </w:rPr>
            </w:pPr>
            <w:r w:rsidRPr="002E0C7E">
              <w:rPr>
                <w:rFonts w:ascii="Arial" w:hAnsi="Arial"/>
                <w:sz w:val="14"/>
              </w:rPr>
              <w:t>S</w:t>
            </w:r>
          </w:p>
        </w:tc>
      </w:tr>
      <w:tr w:rsidR="0081610A" w:rsidRPr="002E0C7E" w:rsidTr="007A6D3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7A6D33">
            <w:pPr>
              <w:widowControl w:val="0"/>
              <w:jc w:val="center"/>
              <w:rPr>
                <w:rFonts w:ascii="Arial" w:hAnsi="Arial"/>
                <w:b/>
                <w:sz w:val="14"/>
              </w:rPr>
            </w:pPr>
          </w:p>
          <w:p w:rsidR="0081610A" w:rsidRPr="002E0C7E" w:rsidRDefault="0081610A" w:rsidP="007A6D33">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7A6D33">
            <w:pPr>
              <w:widowControl w:val="0"/>
              <w:jc w:val="center"/>
              <w:rPr>
                <w:rFonts w:ascii="Arial" w:hAnsi="Arial"/>
                <w:b/>
                <w:sz w:val="14"/>
              </w:rPr>
            </w:pPr>
            <w:r>
              <w:rPr>
                <w:rFonts w:ascii="Arial" w:hAnsi="Arial"/>
                <w:b/>
                <w:sz w:val="14"/>
              </w:rPr>
              <w:t>H</w:t>
            </w:r>
          </w:p>
          <w:p w:rsidR="0081610A" w:rsidRPr="002E0C7E" w:rsidRDefault="0081610A" w:rsidP="007A6D33">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w:t>
            </w:r>
          </w:p>
        </w:tc>
      </w:tr>
      <w:tr w:rsidR="0081610A" w:rsidRPr="002E0C7E" w:rsidTr="007A6D3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8</w:t>
            </w:r>
          </w:p>
        </w:tc>
      </w:tr>
      <w:tr w:rsidR="0081610A" w:rsidRPr="002E0C7E" w:rsidTr="007A6D3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7A6D33">
            <w:pPr>
              <w:widowControl w:val="0"/>
              <w:jc w:val="center"/>
              <w:rPr>
                <w:rFonts w:ascii="Arial" w:hAnsi="Arial"/>
                <w:b/>
                <w:sz w:val="14"/>
              </w:rPr>
            </w:pPr>
            <w:r>
              <w:rPr>
                <w:rFonts w:ascii="Arial" w:hAnsi="Arial"/>
                <w:b/>
                <w:sz w:val="14"/>
              </w:rPr>
              <w:t>M</w:t>
            </w: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7A6D33">
            <w:pPr>
              <w:widowControl w:val="0"/>
              <w:jc w:val="center"/>
              <w:rPr>
                <w:rFonts w:ascii="Arial" w:hAnsi="Arial"/>
                <w:b/>
                <w:sz w:val="14"/>
              </w:rPr>
            </w:pPr>
            <w:r>
              <w:rPr>
                <w:rFonts w:ascii="Arial" w:hAnsi="Arial"/>
                <w:b/>
                <w:sz w:val="14"/>
              </w:rPr>
              <w:t>M</w:t>
            </w: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7A6D3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7A6D33">
            <w:pPr>
              <w:widowControl w:val="0"/>
              <w:jc w:val="center"/>
              <w:rPr>
                <w:rFonts w:ascii="Arial" w:hAnsi="Arial"/>
                <w:b/>
                <w:sz w:val="14"/>
              </w:rPr>
            </w:pPr>
            <w:r>
              <w:rPr>
                <w:rFonts w:ascii="Arial" w:hAnsi="Arial"/>
                <w:b/>
                <w:sz w:val="14"/>
              </w:rPr>
              <w:t>M</w:t>
            </w: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7A6D33">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Pr>
                <w:rFonts w:ascii="Arial" w:hAnsi="Arial"/>
                <w:sz w:val="14"/>
              </w:rPr>
              <w:t>23</w:t>
            </w:r>
          </w:p>
          <w:p w:rsidR="0081610A" w:rsidRPr="002E0C7E" w:rsidRDefault="0081610A" w:rsidP="007A6D33">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r>
              <w:rPr>
                <w:rFonts w:ascii="Arial" w:hAnsi="Arial"/>
                <w:sz w:val="14"/>
              </w:rPr>
              <w:t>24</w:t>
            </w:r>
          </w:p>
          <w:p w:rsidR="0081610A" w:rsidRPr="002E0C7E" w:rsidRDefault="0081610A" w:rsidP="007A6D33">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7A6D33">
            <w:pPr>
              <w:widowControl w:val="0"/>
              <w:jc w:val="center"/>
              <w:rPr>
                <w:rFonts w:ascii="Arial" w:hAnsi="Arial"/>
                <w:b/>
                <w:sz w:val="14"/>
              </w:rPr>
            </w:pPr>
          </w:p>
          <w:p w:rsidR="0081610A" w:rsidRPr="002E0C7E" w:rsidRDefault="0081610A" w:rsidP="007A6D33">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7A6D33">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A6D33">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7A6D33">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A6D33">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7A6D33">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7A6D33">
            <w:pPr>
              <w:widowControl w:val="0"/>
              <w:jc w:val="center"/>
              <w:rPr>
                <w:rFonts w:ascii="Arial" w:hAnsi="Arial"/>
                <w:sz w:val="14"/>
              </w:rPr>
            </w:pPr>
            <w:r w:rsidRPr="002E0C7E">
              <w:rPr>
                <w:rFonts w:ascii="Arial" w:hAnsi="Arial"/>
                <w:b/>
                <w:sz w:val="14"/>
              </w:rPr>
              <w:t>JUNE - JUIN</w:t>
            </w:r>
          </w:p>
        </w:tc>
      </w:tr>
      <w:tr w:rsidR="0081610A" w:rsidRPr="002E0C7E" w:rsidTr="007A6D33">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S</w:t>
            </w:r>
          </w:p>
          <w:p w:rsidR="0081610A" w:rsidRPr="002E0C7E" w:rsidRDefault="0081610A" w:rsidP="007A6D3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M</w:t>
            </w:r>
          </w:p>
          <w:p w:rsidR="0081610A" w:rsidRPr="002E0C7E" w:rsidRDefault="0081610A" w:rsidP="007A6D3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T</w:t>
            </w:r>
          </w:p>
          <w:p w:rsidR="0081610A" w:rsidRPr="002E0C7E" w:rsidRDefault="0081610A" w:rsidP="007A6D3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W</w:t>
            </w:r>
          </w:p>
          <w:p w:rsidR="0081610A" w:rsidRPr="002E0C7E" w:rsidRDefault="0081610A" w:rsidP="007A6D3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T</w:t>
            </w:r>
          </w:p>
          <w:p w:rsidR="0081610A" w:rsidRPr="002E0C7E" w:rsidRDefault="0081610A" w:rsidP="007A6D3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F</w:t>
            </w:r>
          </w:p>
          <w:p w:rsidR="0081610A" w:rsidRPr="002E0C7E" w:rsidRDefault="0081610A" w:rsidP="007A6D3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S</w:t>
            </w:r>
          </w:p>
          <w:p w:rsidR="0081610A" w:rsidRPr="002E0C7E" w:rsidRDefault="0081610A" w:rsidP="007A6D33">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S</w:t>
            </w:r>
          </w:p>
          <w:p w:rsidR="0081610A" w:rsidRPr="002E0C7E" w:rsidRDefault="0081610A" w:rsidP="007A6D3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M</w:t>
            </w:r>
          </w:p>
          <w:p w:rsidR="0081610A" w:rsidRPr="002E0C7E" w:rsidRDefault="0081610A" w:rsidP="007A6D3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T</w:t>
            </w:r>
          </w:p>
          <w:p w:rsidR="0081610A" w:rsidRPr="002E0C7E" w:rsidRDefault="0081610A" w:rsidP="007A6D3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W</w:t>
            </w:r>
          </w:p>
          <w:p w:rsidR="0081610A" w:rsidRPr="002E0C7E" w:rsidRDefault="0081610A" w:rsidP="007A6D3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T</w:t>
            </w:r>
          </w:p>
          <w:p w:rsidR="0081610A" w:rsidRPr="002E0C7E" w:rsidRDefault="0081610A" w:rsidP="007A6D3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F</w:t>
            </w:r>
          </w:p>
          <w:p w:rsidR="0081610A" w:rsidRPr="002E0C7E" w:rsidRDefault="0081610A" w:rsidP="007A6D3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S</w:t>
            </w:r>
          </w:p>
          <w:p w:rsidR="0081610A" w:rsidRPr="002E0C7E" w:rsidRDefault="0081610A" w:rsidP="007A6D33">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S</w:t>
            </w:r>
          </w:p>
          <w:p w:rsidR="0081610A" w:rsidRPr="002E0C7E" w:rsidRDefault="0081610A" w:rsidP="007A6D3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M</w:t>
            </w:r>
          </w:p>
          <w:p w:rsidR="0081610A" w:rsidRPr="002E0C7E" w:rsidRDefault="0081610A" w:rsidP="007A6D3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T</w:t>
            </w:r>
          </w:p>
          <w:p w:rsidR="0081610A" w:rsidRPr="002E0C7E" w:rsidRDefault="0081610A" w:rsidP="007A6D3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W</w:t>
            </w:r>
          </w:p>
          <w:p w:rsidR="0081610A" w:rsidRPr="002E0C7E" w:rsidRDefault="0081610A" w:rsidP="007A6D3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T</w:t>
            </w:r>
          </w:p>
          <w:p w:rsidR="0081610A" w:rsidRPr="002E0C7E" w:rsidRDefault="0081610A" w:rsidP="007A6D3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sidRPr="002E0C7E">
              <w:rPr>
                <w:rFonts w:ascii="Arial" w:hAnsi="Arial"/>
                <w:sz w:val="14"/>
              </w:rPr>
              <w:t>F</w:t>
            </w:r>
          </w:p>
          <w:p w:rsidR="0081610A" w:rsidRPr="002E0C7E" w:rsidRDefault="0081610A" w:rsidP="007A6D33">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r>
              <w:rPr>
                <w:rFonts w:ascii="Arial" w:hAnsi="Arial"/>
                <w:sz w:val="14"/>
              </w:rPr>
              <w:t>S</w:t>
            </w:r>
          </w:p>
          <w:p w:rsidR="0081610A" w:rsidRPr="002E0C7E" w:rsidRDefault="0081610A" w:rsidP="007A6D33">
            <w:pPr>
              <w:widowControl w:val="0"/>
              <w:jc w:val="center"/>
              <w:rPr>
                <w:rFonts w:ascii="Arial" w:hAnsi="Arial"/>
                <w:sz w:val="14"/>
              </w:rPr>
            </w:pPr>
            <w:r>
              <w:rPr>
                <w:rFonts w:ascii="Arial" w:hAnsi="Arial"/>
                <w:sz w:val="14"/>
              </w:rPr>
              <w:t>S</w:t>
            </w:r>
          </w:p>
        </w:tc>
      </w:tr>
      <w:tr w:rsidR="0081610A" w:rsidRPr="002E0C7E" w:rsidTr="007A6D33">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b/>
                <w:sz w:val="14"/>
              </w:rPr>
            </w:pPr>
          </w:p>
          <w:p w:rsidR="0081610A" w:rsidRPr="002E0C7E" w:rsidRDefault="0081610A" w:rsidP="007A6D3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7</w:t>
            </w:r>
          </w:p>
        </w:tc>
      </w:tr>
      <w:tr w:rsidR="0081610A" w:rsidRPr="002E0C7E" w:rsidTr="007A6D3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7A6D33">
            <w:pPr>
              <w:widowControl w:val="0"/>
              <w:jc w:val="center"/>
              <w:rPr>
                <w:rFonts w:ascii="Arial" w:hAnsi="Arial"/>
                <w:b/>
                <w:sz w:val="14"/>
              </w:rPr>
            </w:pPr>
          </w:p>
          <w:p w:rsidR="0081610A" w:rsidRPr="002E0C7E" w:rsidRDefault="0081610A" w:rsidP="007A6D3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14</w:t>
            </w:r>
          </w:p>
        </w:tc>
      </w:tr>
      <w:tr w:rsidR="0081610A" w:rsidRPr="002E0C7E" w:rsidTr="007A6D3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7A6D33">
            <w:pPr>
              <w:widowControl w:val="0"/>
              <w:jc w:val="center"/>
              <w:rPr>
                <w:rFonts w:ascii="Arial" w:hAnsi="Arial"/>
                <w:b/>
                <w:sz w:val="14"/>
              </w:rPr>
            </w:pPr>
            <w:r w:rsidRPr="00DB5777">
              <w:rPr>
                <w:rFonts w:ascii="Arial" w:hAnsi="Arial"/>
                <w:b/>
                <w:sz w:val="14"/>
              </w:rPr>
              <w:t>M</w:t>
            </w: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7A6D33">
            <w:pPr>
              <w:widowControl w:val="0"/>
              <w:jc w:val="center"/>
              <w:rPr>
                <w:rFonts w:ascii="Arial" w:hAnsi="Arial"/>
                <w:b/>
                <w:sz w:val="14"/>
              </w:rPr>
            </w:pPr>
            <w:r>
              <w:rPr>
                <w:rFonts w:ascii="Arial" w:hAnsi="Arial"/>
                <w:b/>
                <w:sz w:val="14"/>
              </w:rPr>
              <w:t>H</w:t>
            </w:r>
          </w:p>
          <w:p w:rsidR="0081610A" w:rsidRPr="002E0C7E" w:rsidRDefault="0081610A" w:rsidP="007A6D33">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7A6D33">
            <w:pPr>
              <w:widowControl w:val="0"/>
              <w:jc w:val="center"/>
              <w:rPr>
                <w:rFonts w:ascii="Arial" w:hAnsi="Arial"/>
                <w:b/>
                <w:sz w:val="14"/>
              </w:rPr>
            </w:pPr>
            <w:r w:rsidRPr="002453E3">
              <w:rPr>
                <w:rFonts w:ascii="Arial" w:hAnsi="Arial"/>
                <w:b/>
                <w:sz w:val="14"/>
              </w:rPr>
              <w:t>M</w:t>
            </w: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7A6D33">
            <w:pPr>
              <w:widowControl w:val="0"/>
              <w:jc w:val="center"/>
              <w:rPr>
                <w:rFonts w:ascii="Arial" w:hAnsi="Arial"/>
                <w:b/>
                <w:sz w:val="14"/>
              </w:rPr>
            </w:pPr>
            <w:r w:rsidRPr="006A1E8D">
              <w:rPr>
                <w:rFonts w:ascii="Arial" w:hAnsi="Arial"/>
                <w:b/>
                <w:sz w:val="14"/>
              </w:rPr>
              <w:t>M</w:t>
            </w: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7A6D3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7A6D33">
            <w:pPr>
              <w:widowControl w:val="0"/>
              <w:jc w:val="center"/>
              <w:rPr>
                <w:rFonts w:ascii="Arial" w:hAnsi="Arial"/>
                <w:b/>
                <w:sz w:val="14"/>
              </w:rPr>
            </w:pPr>
            <w:r w:rsidRPr="00CD57C3">
              <w:rPr>
                <w:rFonts w:ascii="Arial" w:hAnsi="Arial"/>
                <w:b/>
                <w:sz w:val="14"/>
              </w:rPr>
              <w:t>H</w:t>
            </w: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7A6D33">
            <w:pPr>
              <w:widowControl w:val="0"/>
              <w:jc w:val="center"/>
              <w:rPr>
                <w:rFonts w:ascii="Arial" w:hAnsi="Arial"/>
                <w:b/>
                <w:sz w:val="14"/>
              </w:rPr>
            </w:pPr>
            <w:r>
              <w:rPr>
                <w:rFonts w:ascii="Arial" w:hAnsi="Arial"/>
                <w:b/>
                <w:sz w:val="14"/>
              </w:rPr>
              <w:t>H</w:t>
            </w:r>
          </w:p>
          <w:p w:rsidR="0081610A" w:rsidRPr="002E0C7E" w:rsidRDefault="0081610A" w:rsidP="007A6D33">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7A6D33">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7A6D33">
            <w:pPr>
              <w:widowControl w:val="0"/>
              <w:jc w:val="center"/>
              <w:rPr>
                <w:rFonts w:ascii="Arial" w:hAnsi="Arial"/>
                <w:sz w:val="14"/>
              </w:rPr>
            </w:pPr>
          </w:p>
          <w:p w:rsidR="0081610A" w:rsidRPr="002E0C7E" w:rsidRDefault="0081610A" w:rsidP="007A6D33">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7A6D33">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7A6D33">
            <w:pPr>
              <w:widowControl w:val="0"/>
              <w:rPr>
                <w:rFonts w:ascii="Arial" w:hAnsi="Arial"/>
                <w:sz w:val="16"/>
              </w:rPr>
            </w:pPr>
            <w:r w:rsidRPr="002E0C7E">
              <w:rPr>
                <w:rFonts w:ascii="Arial" w:hAnsi="Arial"/>
                <w:sz w:val="16"/>
              </w:rPr>
              <w:t>Sittings of the court:</w:t>
            </w:r>
          </w:p>
          <w:p w:rsidR="0081610A" w:rsidRPr="002E0C7E" w:rsidRDefault="0081610A" w:rsidP="007A6D33">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7A6D33">
            <w:pPr>
              <w:widowControl w:val="0"/>
              <w:rPr>
                <w:rFonts w:ascii="Arial" w:hAnsi="Arial"/>
                <w:sz w:val="16"/>
              </w:rPr>
            </w:pPr>
          </w:p>
          <w:p w:rsidR="0081610A" w:rsidRPr="002E0C7E" w:rsidRDefault="0081610A" w:rsidP="007A6D33">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7A6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7A6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7A6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7A6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7A6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7A6D33">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7A6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7A6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7A6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7A6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7A6D33">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7A6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7A6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7A6D33">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7A6D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47"/>
      <w:footerReference w:type="default" r:id="rId48"/>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727" w:rsidRDefault="00563727" w:rsidP="00A87207">
      <w:r>
        <w:separator/>
      </w:r>
    </w:p>
  </w:endnote>
  <w:endnote w:type="continuationSeparator" w:id="0">
    <w:p w:rsidR="00563727" w:rsidRDefault="0056372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456" w:rsidRDefault="00D8645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Default="00A47393" w:rsidP="00EB2B90">
    <w:pPr>
      <w:tabs>
        <w:tab w:val="center" w:pos="4680"/>
      </w:tabs>
    </w:pPr>
    <w:r>
      <w:pict>
        <v:rect id="_x0000_i1042" style="width:480.95pt;height:1pt" o:hralign="center" o:hrstd="t" o:hrnoshade="t" o:hr="t" fillcolor="black [3213]" stroked="f"/>
      </w:pict>
    </w:r>
  </w:p>
  <w:p w:rsidR="00563727" w:rsidRPr="0031432F" w:rsidRDefault="00563727" w:rsidP="00EB2B90">
    <w:pPr>
      <w:tabs>
        <w:tab w:val="center" w:pos="4680"/>
      </w:tabs>
    </w:pPr>
    <w:r>
      <w:tab/>
      <w:t xml:space="preserve">- </w:t>
    </w:r>
    <w:r w:rsidR="00A47393">
      <w:fldChar w:fldCharType="begin"/>
    </w:r>
    <w:r w:rsidR="00A47393">
      <w:instrText xml:space="preserve"> PAGE   \* MERGEFORMAT </w:instrText>
    </w:r>
    <w:r w:rsidR="00A47393">
      <w:fldChar w:fldCharType="separate"/>
    </w:r>
    <w:r w:rsidR="00A47393">
      <w:rPr>
        <w:noProof/>
      </w:rPr>
      <w:t>3</w:t>
    </w:r>
    <w:r w:rsidR="00A47393">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Default="00563727">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563727" w:rsidRDefault="00563727">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563727" w:rsidRDefault="00563727">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Default="00A47393" w:rsidP="0022323B">
    <w:r>
      <w:pict>
        <v:rect id="_x0000_i1045" style="width:480.95pt;height:1pt" o:hralign="center" o:hrstd="t" o:hrnoshade="t" o:hr="t" fillcolor="black [3213]" stroked="f"/>
      </w:pict>
    </w:r>
  </w:p>
  <w:p w:rsidR="00563727" w:rsidRDefault="00563727">
    <w:pPr>
      <w:tabs>
        <w:tab w:val="center" w:pos="4740"/>
      </w:tabs>
      <w:spacing w:line="0" w:lineRule="atLeast"/>
    </w:pPr>
    <w:r>
      <w:tab/>
      <w:t xml:space="preserve">- </w:t>
    </w:r>
    <w:r w:rsidR="00A47393">
      <w:fldChar w:fldCharType="begin"/>
    </w:r>
    <w:r w:rsidR="00A47393">
      <w:instrText xml:space="preserve"> PAGE   \* MERGEFORMAT </w:instrText>
    </w:r>
    <w:r w:rsidR="00A47393">
      <w:fldChar w:fldCharType="separate"/>
    </w:r>
    <w:r w:rsidR="00A47393">
      <w:rPr>
        <w:noProof/>
      </w:rPr>
      <w:t>9</w:t>
    </w:r>
    <w:r w:rsidR="00A47393">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Default="00A47393" w:rsidP="0022323B">
    <w:r>
      <w:pict>
        <v:rect id="_x0000_i1046" style="width:480.95pt;height:1pt" o:hralign="center" o:hrstd="t" o:hrnoshade="t" o:hr="t" fillcolor="black [3213]" stroked="f"/>
      </w:pict>
    </w:r>
  </w:p>
  <w:p w:rsidR="00563727" w:rsidRDefault="00563727" w:rsidP="0022323B">
    <w:pPr>
      <w:tabs>
        <w:tab w:val="center" w:pos="4740"/>
      </w:tabs>
      <w:spacing w:line="0" w:lineRule="atLeast"/>
    </w:pPr>
    <w:r>
      <w:tab/>
      <w:t xml:space="preserve">- </w:t>
    </w:r>
    <w:r w:rsidR="00A47393">
      <w:fldChar w:fldCharType="begin"/>
    </w:r>
    <w:r w:rsidR="00A47393">
      <w:instrText xml:space="preserve"> PAGE   \* MERGEFORMAT </w:instrText>
    </w:r>
    <w:r w:rsidR="00A47393">
      <w:fldChar w:fldCharType="separate"/>
    </w:r>
    <w:r w:rsidR="00A47393">
      <w:rPr>
        <w:noProof/>
      </w:rPr>
      <w:t>8</w:t>
    </w:r>
    <w:r w:rsidR="00A47393">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Default="00A47393" w:rsidP="0022323B">
    <w:r>
      <w:pict>
        <v:rect id="_x0000_i1073" style="width:480.95pt;height:1pt" o:hralign="center" o:hrstd="t" o:hrnoshade="t" o:hr="t" fillcolor="black [3213]" stroked="f"/>
      </w:pict>
    </w:r>
  </w:p>
  <w:p w:rsidR="00563727" w:rsidRDefault="00563727">
    <w:pPr>
      <w:tabs>
        <w:tab w:val="center" w:pos="4740"/>
      </w:tabs>
      <w:spacing w:line="0" w:lineRule="atLeast"/>
    </w:pPr>
    <w:r>
      <w:tab/>
      <w:t xml:space="preserve">- </w:t>
    </w:r>
    <w:r w:rsidR="00A47393">
      <w:fldChar w:fldCharType="begin"/>
    </w:r>
    <w:r w:rsidR="00A47393">
      <w:instrText xml:space="preserve"> PAGE   \* MERGEFORMAT </w:instrText>
    </w:r>
    <w:r w:rsidR="00A47393">
      <w:fldChar w:fldCharType="separate"/>
    </w:r>
    <w:r w:rsidR="00A47393">
      <w:rPr>
        <w:noProof/>
      </w:rPr>
      <w:t>35</w:t>
    </w:r>
    <w:r w:rsidR="00A47393">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Default="00A47393" w:rsidP="0022323B">
    <w:r>
      <w:pict>
        <v:rect id="_x0000_i1074" style="width:480.95pt;height:1pt" o:hralign="center" o:hrstd="t" o:hrnoshade="t" o:hr="t" fillcolor="black [3213]" stroked="f"/>
      </w:pict>
    </w:r>
  </w:p>
  <w:p w:rsidR="00563727" w:rsidRDefault="00563727" w:rsidP="0022323B">
    <w:pPr>
      <w:tabs>
        <w:tab w:val="center" w:pos="4740"/>
      </w:tabs>
      <w:spacing w:line="0" w:lineRule="atLeast"/>
    </w:pPr>
    <w:r>
      <w:tab/>
      <w:t xml:space="preserve">- </w:t>
    </w:r>
    <w:r w:rsidR="00A47393">
      <w:fldChar w:fldCharType="begin"/>
    </w:r>
    <w:r w:rsidR="00A47393">
      <w:instrText xml:space="preserve"> PAGE   \* MERGEFORMAT </w:instrText>
    </w:r>
    <w:r w:rsidR="00A47393">
      <w:fldChar w:fldCharType="separate"/>
    </w:r>
    <w:r w:rsidR="00A47393">
      <w:rPr>
        <w:noProof/>
      </w:rPr>
      <w:t>10</w:t>
    </w:r>
    <w:r w:rsidR="00A47393">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Default="00A47393" w:rsidP="0022323B">
    <w:r>
      <w:pict>
        <v:rect id="_x0000_i1075" style="width:480.95pt;height:1pt" o:hralign="center" o:hrstd="t" o:hrnoshade="t" o:hr="t" fillcolor="black [3213]" stroked="f"/>
      </w:pict>
    </w:r>
  </w:p>
  <w:p w:rsidR="00563727" w:rsidRDefault="00563727">
    <w:pPr>
      <w:tabs>
        <w:tab w:val="center" w:pos="4740"/>
      </w:tabs>
      <w:spacing w:line="0" w:lineRule="atLeast"/>
    </w:pPr>
    <w:r>
      <w:tab/>
      <w:t xml:space="preserve">- </w:t>
    </w:r>
    <w:r w:rsidR="00A47393">
      <w:fldChar w:fldCharType="begin"/>
    </w:r>
    <w:r w:rsidR="00A47393">
      <w:instrText xml:space="preserve"> PAGE   \* MERGEFORMAT </w:instrText>
    </w:r>
    <w:r w:rsidR="00A47393">
      <w:fldChar w:fldCharType="separate"/>
    </w:r>
    <w:r>
      <w:rPr>
        <w:noProof/>
      </w:rPr>
      <w:t>43</w:t>
    </w:r>
    <w:r w:rsidR="00A47393">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Default="00A47393" w:rsidP="0022323B">
    <w:r>
      <w:pict>
        <v:rect id="_x0000_i1076" style="width:480.95pt;height:1pt" o:hralign="center" o:hrstd="t" o:hrnoshade="t" o:hr="t" fillcolor="black [3213]" stroked="f"/>
      </w:pict>
    </w:r>
  </w:p>
  <w:p w:rsidR="00563727" w:rsidRDefault="00563727" w:rsidP="0022323B">
    <w:pPr>
      <w:tabs>
        <w:tab w:val="center" w:pos="4740"/>
      </w:tabs>
      <w:spacing w:line="0" w:lineRule="atLeast"/>
    </w:pPr>
    <w:r>
      <w:tab/>
      <w:t xml:space="preserve">- </w:t>
    </w:r>
    <w:r w:rsidR="00A47393">
      <w:fldChar w:fldCharType="begin"/>
    </w:r>
    <w:r w:rsidR="00A47393">
      <w:instrText xml:space="preserve"> PAGE   \* MERGEFORMAT </w:instrText>
    </w:r>
    <w:r w:rsidR="00A47393">
      <w:fldChar w:fldCharType="separate"/>
    </w:r>
    <w:r w:rsidR="00A47393">
      <w:rPr>
        <w:noProof/>
      </w:rPr>
      <w:t>36</w:t>
    </w:r>
    <w:r w:rsidR="00A47393">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Pr="00924065" w:rsidRDefault="00563727"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456" w:rsidRDefault="00D864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456" w:rsidRDefault="00D864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Default="00A47393" w:rsidP="00A87207">
    <w:pPr>
      <w:pStyle w:val="Footer"/>
    </w:pPr>
    <w:r>
      <w:pict>
        <v:rect id="_x0000_i1032" style="width:480.95pt;height:1pt" o:hralign="center" o:hrstd="t" o:hrnoshade="t" o:hr="t" fillcolor="black [3213]" stroked="f"/>
      </w:pict>
    </w:r>
  </w:p>
  <w:p w:rsidR="00563727" w:rsidRPr="00B7374B" w:rsidRDefault="00563727" w:rsidP="00B7374B">
    <w:pPr>
      <w:tabs>
        <w:tab w:val="center" w:pos="4680"/>
      </w:tabs>
      <w:rPr>
        <w:szCs w:val="24"/>
      </w:rPr>
    </w:pPr>
    <w:r w:rsidRPr="00954D22">
      <w:rPr>
        <w:szCs w:val="24"/>
      </w:rPr>
      <w:tab/>
      <w:t xml:space="preserve">- </w:t>
    </w:r>
    <w:r w:rsidR="001C5DB7" w:rsidRPr="00954D22">
      <w:rPr>
        <w:szCs w:val="24"/>
      </w:rPr>
      <w:fldChar w:fldCharType="begin"/>
    </w:r>
    <w:r w:rsidRPr="00954D22">
      <w:rPr>
        <w:szCs w:val="24"/>
      </w:rPr>
      <w:instrText xml:space="preserve"> PAGE   \* MERGEFORMAT </w:instrText>
    </w:r>
    <w:r w:rsidR="001C5DB7" w:rsidRPr="00954D22">
      <w:rPr>
        <w:szCs w:val="24"/>
      </w:rPr>
      <w:fldChar w:fldCharType="separate"/>
    </w:r>
    <w:r>
      <w:rPr>
        <w:noProof/>
        <w:szCs w:val="24"/>
      </w:rPr>
      <w:t>2</w:t>
    </w:r>
    <w:r w:rsidR="001C5DB7"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Default="00A47393" w:rsidP="00755F22">
    <w:pPr>
      <w:tabs>
        <w:tab w:val="left" w:pos="-1440"/>
        <w:tab w:val="left" w:pos="-720"/>
      </w:tabs>
    </w:pPr>
    <w:r>
      <w:pict>
        <v:rect id="_x0000_i1033" style="width:480.95pt;height:1pt" o:hralign="center" o:hrstd="t" o:hrnoshade="t" o:hr="t" fillcolor="black [3213]" stroked="f"/>
      </w:pict>
    </w:r>
  </w:p>
  <w:p w:rsidR="00563727" w:rsidRPr="00954D22" w:rsidRDefault="00563727" w:rsidP="00B7374B">
    <w:pPr>
      <w:tabs>
        <w:tab w:val="center" w:pos="4680"/>
      </w:tabs>
      <w:rPr>
        <w:szCs w:val="24"/>
      </w:rPr>
    </w:pPr>
    <w:r w:rsidRPr="00954D22">
      <w:rPr>
        <w:szCs w:val="24"/>
      </w:rPr>
      <w:tab/>
      <w:t xml:space="preserve">- </w:t>
    </w:r>
    <w:r w:rsidR="001C5DB7">
      <w:rPr>
        <w:szCs w:val="24"/>
      </w:rPr>
      <w:fldChar w:fldCharType="begin"/>
    </w:r>
    <w:r>
      <w:rPr>
        <w:szCs w:val="24"/>
      </w:rPr>
      <w:instrText xml:space="preserve"> PAGE   \* MERGEFORMAT </w:instrText>
    </w:r>
    <w:r w:rsidR="001C5DB7">
      <w:rPr>
        <w:szCs w:val="24"/>
      </w:rPr>
      <w:fldChar w:fldCharType="separate"/>
    </w:r>
    <w:r w:rsidR="00A47393">
      <w:rPr>
        <w:noProof/>
        <w:szCs w:val="24"/>
      </w:rPr>
      <w:t>1</w:t>
    </w:r>
    <w:r w:rsidR="001C5DB7">
      <w:rPr>
        <w:szCs w:val="24"/>
      </w:rPr>
      <w:fldChar w:fldCharType="end"/>
    </w:r>
    <w:r w:rsidRPr="00954D22">
      <w:rPr>
        <w:szCs w:val="24"/>
      </w:rPr>
      <w:t xml:space="preserve"> -</w:t>
    </w:r>
  </w:p>
  <w:p w:rsidR="00563727" w:rsidRDefault="0056372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Default="00A47393" w:rsidP="00A87207">
    <w:pPr>
      <w:pStyle w:val="Footer"/>
    </w:pPr>
    <w:r>
      <w:pict>
        <v:rect id="_x0000_i1035" style="width:480.95pt;height:1pt" o:hralign="center" o:hrstd="t" o:hrnoshade="t" o:hr="t" fillcolor="black [3213]" stroked="f"/>
      </w:pict>
    </w:r>
  </w:p>
  <w:p w:rsidR="00563727" w:rsidRPr="00B7374B" w:rsidRDefault="00563727" w:rsidP="00B7374B">
    <w:pPr>
      <w:tabs>
        <w:tab w:val="center" w:pos="4680"/>
      </w:tabs>
      <w:rPr>
        <w:szCs w:val="24"/>
      </w:rPr>
    </w:pPr>
    <w:r w:rsidRPr="00954D22">
      <w:rPr>
        <w:szCs w:val="24"/>
      </w:rPr>
      <w:tab/>
      <w:t xml:space="preserve">- </w:t>
    </w:r>
    <w:r w:rsidR="001C5DB7" w:rsidRPr="00954D22">
      <w:rPr>
        <w:szCs w:val="24"/>
      </w:rPr>
      <w:fldChar w:fldCharType="begin"/>
    </w:r>
    <w:r w:rsidRPr="00954D22">
      <w:rPr>
        <w:szCs w:val="24"/>
      </w:rPr>
      <w:instrText xml:space="preserve"> PAGE   \* MERGEFORMAT </w:instrText>
    </w:r>
    <w:r w:rsidR="001C5DB7" w:rsidRPr="00954D22">
      <w:rPr>
        <w:szCs w:val="24"/>
      </w:rPr>
      <w:fldChar w:fldCharType="separate"/>
    </w:r>
    <w:r>
      <w:rPr>
        <w:noProof/>
        <w:szCs w:val="24"/>
      </w:rPr>
      <w:t>503</w:t>
    </w:r>
    <w:r w:rsidR="001C5DB7"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Default="00A4739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pt" o:hralign="center" o:hrstd="t" o:hrnoshade="t" o:hr="t" fillcolor="black [3213]" stroked="f"/>
      </w:pict>
    </w:r>
  </w:p>
  <w:p w:rsidR="00563727" w:rsidRPr="00954D22" w:rsidRDefault="00563727" w:rsidP="00B7374B">
    <w:pPr>
      <w:tabs>
        <w:tab w:val="center" w:pos="4680"/>
      </w:tabs>
      <w:rPr>
        <w:szCs w:val="24"/>
      </w:rPr>
    </w:pPr>
    <w:r w:rsidRPr="00954D22">
      <w:rPr>
        <w:szCs w:val="24"/>
      </w:rPr>
      <w:tab/>
      <w:t xml:space="preserve">- </w:t>
    </w:r>
    <w:r w:rsidR="001C5DB7" w:rsidRPr="00954D22">
      <w:rPr>
        <w:szCs w:val="24"/>
      </w:rPr>
      <w:fldChar w:fldCharType="begin"/>
    </w:r>
    <w:r w:rsidRPr="00954D22">
      <w:rPr>
        <w:szCs w:val="24"/>
      </w:rPr>
      <w:instrText xml:space="preserve"> PAGE   \* MERGEFORMAT </w:instrText>
    </w:r>
    <w:r w:rsidR="001C5DB7" w:rsidRPr="00954D22">
      <w:rPr>
        <w:szCs w:val="24"/>
      </w:rPr>
      <w:fldChar w:fldCharType="separate"/>
    </w:r>
    <w:r w:rsidR="00A47393">
      <w:rPr>
        <w:noProof/>
        <w:szCs w:val="24"/>
      </w:rPr>
      <w:t>2</w:t>
    </w:r>
    <w:r w:rsidR="001C5DB7"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Default="00563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63727" w:rsidRDefault="00563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63727" w:rsidRDefault="00563727">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Default="00A47393" w:rsidP="00755F22">
    <w:pPr>
      <w:tabs>
        <w:tab w:val="left" w:pos="-1440"/>
        <w:tab w:val="left" w:pos="-720"/>
      </w:tabs>
    </w:pPr>
    <w:r>
      <w:pict>
        <v:rect id="_x0000_i1041" style="width:480.95pt;height:1pt" o:hralign="center" o:hrstd="t" o:hrnoshade="t" o:hr="t" fillcolor="black [3213]" stroked="f"/>
      </w:pict>
    </w:r>
  </w:p>
  <w:p w:rsidR="00563727" w:rsidRDefault="00563727" w:rsidP="00EB2B90">
    <w:pPr>
      <w:tabs>
        <w:tab w:val="center" w:pos="4680"/>
      </w:tabs>
    </w:pPr>
    <w:r>
      <w:tab/>
      <w:t xml:space="preserve">- </w:t>
    </w:r>
    <w:r w:rsidR="00A47393">
      <w:fldChar w:fldCharType="begin"/>
    </w:r>
    <w:r w:rsidR="00A47393">
      <w:instrText xml:space="preserve"> PAGE   \* MERGEFORMAT </w:instrText>
    </w:r>
    <w:r w:rsidR="00A47393">
      <w:fldChar w:fldCharType="separate"/>
    </w:r>
    <w:r w:rsidR="00A47393">
      <w:rPr>
        <w:noProof/>
      </w:rPr>
      <w:t>7</w:t>
    </w:r>
    <w:r w:rsidR="00A47393">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727" w:rsidRDefault="00563727" w:rsidP="00A87207">
      <w:r>
        <w:separator/>
      </w:r>
    </w:p>
  </w:footnote>
  <w:footnote w:type="continuationSeparator" w:id="0">
    <w:p w:rsidR="00563727" w:rsidRDefault="0056372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456" w:rsidRDefault="00D8645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Default="0056372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63727">
      <w:tc>
        <w:tcPr>
          <w:tcW w:w="4200" w:type="dxa"/>
          <w:tcMar>
            <w:left w:w="0" w:type="dxa"/>
            <w:right w:w="0" w:type="dxa"/>
          </w:tcMar>
        </w:tcPr>
        <w:p w:rsidR="00563727" w:rsidRDefault="00563727">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563727" w:rsidRDefault="00563727">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563727" w:rsidRDefault="00563727">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563727" w:rsidRDefault="00563727">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563727" w:rsidRDefault="00563727">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563727" w:rsidRDefault="00563727">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63727" w:rsidRPr="00C50A5C" w:rsidTr="00245129">
      <w:tc>
        <w:tcPr>
          <w:tcW w:w="4200" w:type="dxa"/>
          <w:tcMar>
            <w:left w:w="0" w:type="dxa"/>
            <w:right w:w="0" w:type="dxa"/>
          </w:tcMar>
        </w:tcPr>
        <w:p w:rsidR="00563727" w:rsidRPr="00C50A5C" w:rsidRDefault="00563727" w:rsidP="00F1613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 xml:space="preserve">AGENDA FOR </w:t>
          </w:r>
          <w:r>
            <w:rPr>
              <w:sz w:val="20"/>
              <w:szCs w:val="20"/>
            </w:rPr>
            <w:t>J</w:t>
          </w:r>
          <w:r w:rsidRPr="00C50A5C">
            <w:rPr>
              <w:sz w:val="20"/>
              <w:szCs w:val="20"/>
            </w:rPr>
            <w:t>A</w:t>
          </w:r>
          <w:r>
            <w:rPr>
              <w:sz w:val="20"/>
              <w:szCs w:val="20"/>
            </w:rPr>
            <w:t>NUARY 2014</w:t>
          </w:r>
        </w:p>
      </w:tc>
      <w:tc>
        <w:tcPr>
          <w:tcW w:w="1200" w:type="dxa"/>
          <w:tcMar>
            <w:left w:w="0" w:type="dxa"/>
            <w:right w:w="0" w:type="dxa"/>
          </w:tcMar>
        </w:tcPr>
        <w:p w:rsidR="00563727" w:rsidRPr="00C50A5C" w:rsidRDefault="00563727"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563727" w:rsidRPr="00C50A5C" w:rsidRDefault="00563727"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563727" w:rsidRPr="00C50A5C" w:rsidRDefault="00563727" w:rsidP="00F1613A">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 xml:space="preserve">CALENDRIER DE </w:t>
          </w:r>
          <w:r>
            <w:rPr>
              <w:sz w:val="20"/>
              <w:szCs w:val="20"/>
              <w:lang w:val="fr-CA"/>
            </w:rPr>
            <w:t>J</w:t>
          </w:r>
          <w:r w:rsidRPr="00C50A5C">
            <w:rPr>
              <w:sz w:val="20"/>
              <w:szCs w:val="20"/>
              <w:lang w:val="fr-CA"/>
            </w:rPr>
            <w:t>A</w:t>
          </w:r>
          <w:r>
            <w:rPr>
              <w:sz w:val="20"/>
              <w:szCs w:val="20"/>
              <w:lang w:val="fr-CA"/>
            </w:rPr>
            <w:t>NVI</w:t>
          </w:r>
          <w:r w:rsidRPr="00C50A5C">
            <w:rPr>
              <w:sz w:val="20"/>
              <w:szCs w:val="20"/>
              <w:lang w:val="fr-CA"/>
            </w:rPr>
            <w:t>E</w:t>
          </w:r>
          <w:r>
            <w:rPr>
              <w:sz w:val="20"/>
              <w:szCs w:val="20"/>
              <w:lang w:val="fr-CA"/>
            </w:rPr>
            <w:t>R 2014</w:t>
          </w:r>
        </w:p>
      </w:tc>
    </w:tr>
  </w:tbl>
  <w:p w:rsidR="00563727" w:rsidRDefault="00563727"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Default="0056372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63727" w:rsidRPr="005F263E" w:rsidTr="00245129">
      <w:tc>
        <w:tcPr>
          <w:tcW w:w="4200" w:type="dxa"/>
          <w:tcMar>
            <w:left w:w="0" w:type="dxa"/>
            <w:right w:w="0" w:type="dxa"/>
          </w:tcMar>
        </w:tcPr>
        <w:p w:rsidR="00563727" w:rsidRPr="005F263E" w:rsidRDefault="00563727"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563727" w:rsidRPr="005F263E" w:rsidRDefault="00563727" w:rsidP="00245129">
          <w:pPr>
            <w:keepNext/>
            <w:keepLines/>
            <w:tabs>
              <w:tab w:val="left" w:pos="-1440"/>
              <w:tab w:val="left" w:pos="-720"/>
            </w:tabs>
            <w:jc w:val="center"/>
            <w:rPr>
              <w:sz w:val="20"/>
              <w:szCs w:val="20"/>
            </w:rPr>
          </w:pPr>
        </w:p>
        <w:p w:rsidR="00563727" w:rsidRPr="005F263E" w:rsidRDefault="00563727" w:rsidP="00245129">
          <w:pPr>
            <w:keepNext/>
            <w:keepLines/>
            <w:tabs>
              <w:tab w:val="left" w:pos="-1440"/>
              <w:tab w:val="left" w:pos="-720"/>
            </w:tabs>
            <w:jc w:val="center"/>
            <w:rPr>
              <w:sz w:val="20"/>
              <w:szCs w:val="20"/>
            </w:rPr>
          </w:pPr>
        </w:p>
      </w:tc>
      <w:tc>
        <w:tcPr>
          <w:tcW w:w="4080" w:type="dxa"/>
          <w:tcMar>
            <w:left w:w="0" w:type="dxa"/>
            <w:right w:w="0" w:type="dxa"/>
          </w:tcMar>
        </w:tcPr>
        <w:p w:rsidR="00563727" w:rsidRPr="005F263E" w:rsidRDefault="00563727" w:rsidP="00245129">
          <w:pPr>
            <w:keepLines/>
            <w:tabs>
              <w:tab w:val="left" w:pos="-1440"/>
              <w:tab w:val="left" w:pos="-720"/>
            </w:tabs>
            <w:rPr>
              <w:sz w:val="20"/>
              <w:szCs w:val="20"/>
            </w:rPr>
          </w:pPr>
          <w:r w:rsidRPr="005F263E">
            <w:rPr>
              <w:sz w:val="20"/>
              <w:szCs w:val="20"/>
            </w:rPr>
            <w:t>RÉSUMÉS DES AFFAIRES</w:t>
          </w:r>
        </w:p>
      </w:tc>
    </w:tr>
  </w:tbl>
  <w:p w:rsidR="00563727" w:rsidRDefault="00563727" w:rsidP="005F263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Default="0056372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63727" w:rsidRPr="00A47393" w:rsidTr="00245129">
      <w:tc>
        <w:tcPr>
          <w:tcW w:w="4200" w:type="dxa"/>
          <w:tcMar>
            <w:left w:w="0" w:type="dxa"/>
            <w:right w:w="0" w:type="dxa"/>
          </w:tcMar>
        </w:tcPr>
        <w:p w:rsidR="00563727" w:rsidRPr="006B6926" w:rsidRDefault="00563727" w:rsidP="006B6926">
          <w:pPr>
            <w:keepNext/>
            <w:keepLines/>
            <w:tabs>
              <w:tab w:val="left" w:pos="-1440"/>
              <w:tab w:val="left" w:pos="-720"/>
            </w:tabs>
            <w:rPr>
              <w:sz w:val="20"/>
              <w:szCs w:val="20"/>
            </w:rPr>
          </w:pPr>
          <w:r w:rsidRPr="006B6926">
            <w:rPr>
              <w:sz w:val="20"/>
              <w:szCs w:val="20"/>
            </w:rPr>
            <w:t>NOTICES TO THE PROFESSION</w:t>
          </w:r>
        </w:p>
      </w:tc>
      <w:tc>
        <w:tcPr>
          <w:tcW w:w="1200" w:type="dxa"/>
          <w:tcMar>
            <w:left w:w="0" w:type="dxa"/>
            <w:right w:w="0" w:type="dxa"/>
          </w:tcMar>
        </w:tcPr>
        <w:p w:rsidR="00563727" w:rsidRPr="006B6926" w:rsidRDefault="00563727" w:rsidP="006B6926">
          <w:pPr>
            <w:keepNext/>
            <w:keepLines/>
            <w:tabs>
              <w:tab w:val="left" w:pos="-1440"/>
              <w:tab w:val="left" w:pos="-720"/>
            </w:tabs>
            <w:jc w:val="center"/>
            <w:rPr>
              <w:sz w:val="20"/>
              <w:szCs w:val="20"/>
            </w:rPr>
          </w:pPr>
        </w:p>
        <w:p w:rsidR="00563727" w:rsidRPr="006B6926" w:rsidRDefault="00563727"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63727" w:rsidRPr="006B6926" w:rsidRDefault="00563727" w:rsidP="006B6926">
          <w:pPr>
            <w:keepLines/>
            <w:tabs>
              <w:tab w:val="left" w:pos="-1440"/>
              <w:tab w:val="left" w:pos="-720"/>
            </w:tabs>
            <w:rPr>
              <w:sz w:val="20"/>
              <w:szCs w:val="20"/>
              <w:lang w:val="fr-CA"/>
            </w:rPr>
          </w:pPr>
          <w:r w:rsidRPr="006B6926">
            <w:rPr>
              <w:sz w:val="20"/>
              <w:szCs w:val="20"/>
              <w:lang w:val="fr-CA"/>
            </w:rPr>
            <w:t>AVIS À LA COMMUNAUTÉ JURIDIQUE</w:t>
          </w:r>
        </w:p>
      </w:tc>
    </w:tr>
  </w:tbl>
  <w:p w:rsidR="00563727" w:rsidRPr="006B6926" w:rsidRDefault="00563727" w:rsidP="005F263E">
    <w:pPr>
      <w:rPr>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Default="0056372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Default="00563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456" w:rsidRDefault="00D864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456" w:rsidRDefault="00D864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63727" w:rsidRPr="0044776A" w:rsidTr="00245129">
      <w:tc>
        <w:tcPr>
          <w:tcW w:w="4290" w:type="dxa"/>
          <w:tcMar>
            <w:left w:w="0" w:type="dxa"/>
            <w:right w:w="0" w:type="dxa"/>
          </w:tcMar>
        </w:tcPr>
        <w:p w:rsidR="00563727" w:rsidRPr="0044776A" w:rsidRDefault="0056372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63727" w:rsidRPr="0044776A" w:rsidRDefault="00563727" w:rsidP="002E2327">
          <w:pPr>
            <w:keepNext/>
            <w:keepLines/>
            <w:tabs>
              <w:tab w:val="left" w:pos="-1440"/>
              <w:tab w:val="left" w:pos="-720"/>
            </w:tabs>
            <w:jc w:val="center"/>
            <w:rPr>
              <w:sz w:val="20"/>
              <w:szCs w:val="20"/>
            </w:rPr>
          </w:pPr>
        </w:p>
        <w:p w:rsidR="00563727" w:rsidRPr="0044776A" w:rsidRDefault="00563727" w:rsidP="002E2327">
          <w:pPr>
            <w:keepNext/>
            <w:keepLines/>
            <w:tabs>
              <w:tab w:val="left" w:pos="-1440"/>
              <w:tab w:val="left" w:pos="-720"/>
            </w:tabs>
            <w:jc w:val="center"/>
            <w:rPr>
              <w:sz w:val="20"/>
              <w:szCs w:val="20"/>
            </w:rPr>
          </w:pPr>
        </w:p>
        <w:p w:rsidR="00563727" w:rsidRPr="0044776A" w:rsidRDefault="00563727" w:rsidP="002E2327">
          <w:pPr>
            <w:keepNext/>
            <w:keepLines/>
            <w:tabs>
              <w:tab w:val="left" w:pos="-1440"/>
              <w:tab w:val="left" w:pos="-720"/>
            </w:tabs>
            <w:jc w:val="center"/>
            <w:rPr>
              <w:sz w:val="20"/>
              <w:szCs w:val="20"/>
            </w:rPr>
          </w:pPr>
        </w:p>
      </w:tc>
      <w:tc>
        <w:tcPr>
          <w:tcW w:w="4320" w:type="dxa"/>
          <w:tcMar>
            <w:left w:w="0" w:type="dxa"/>
            <w:right w:w="0" w:type="dxa"/>
          </w:tcMar>
        </w:tcPr>
        <w:p w:rsidR="00563727" w:rsidRPr="0044776A" w:rsidRDefault="00563727" w:rsidP="002E2327">
          <w:pPr>
            <w:keepLines/>
            <w:rPr>
              <w:sz w:val="20"/>
              <w:szCs w:val="20"/>
              <w:lang w:val="fr-CA"/>
            </w:rPr>
          </w:pPr>
          <w:r w:rsidRPr="0044776A">
            <w:rPr>
              <w:sz w:val="20"/>
              <w:szCs w:val="20"/>
              <w:lang w:val="fr-CA"/>
            </w:rPr>
            <w:t>DEMANDES D'AUTORISATION D'APPEL DÉPOSÉES</w:t>
          </w:r>
        </w:p>
      </w:tc>
    </w:tr>
  </w:tbl>
  <w:p w:rsidR="00563727" w:rsidRDefault="005637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Default="005637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63727" w:rsidRPr="00A47393" w:rsidTr="00245129">
      <w:tc>
        <w:tcPr>
          <w:tcW w:w="4200" w:type="dxa"/>
          <w:tcMar>
            <w:left w:w="0" w:type="dxa"/>
            <w:right w:w="0" w:type="dxa"/>
          </w:tcMar>
        </w:tcPr>
        <w:p w:rsidR="00563727" w:rsidRPr="0044776A" w:rsidRDefault="00563727" w:rsidP="0044776A">
          <w:pPr>
            <w:keepNext/>
            <w:keepLines/>
            <w:widowControl w:val="0"/>
            <w:rPr>
              <w:sz w:val="20"/>
              <w:szCs w:val="20"/>
            </w:rPr>
          </w:pPr>
          <w:r>
            <w:rPr>
              <w:sz w:val="20"/>
              <w:szCs w:val="20"/>
            </w:rPr>
            <w:t>APPLICATIONS FOR LEAVE</w:t>
          </w:r>
        </w:p>
        <w:p w:rsidR="00563727" w:rsidRPr="0044776A" w:rsidRDefault="0056372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63727" w:rsidRPr="0044776A" w:rsidRDefault="00563727" w:rsidP="0044776A">
          <w:pPr>
            <w:keepNext/>
            <w:keepLines/>
            <w:widowControl w:val="0"/>
            <w:jc w:val="center"/>
            <w:rPr>
              <w:sz w:val="20"/>
              <w:szCs w:val="20"/>
            </w:rPr>
          </w:pPr>
        </w:p>
        <w:p w:rsidR="00563727" w:rsidRPr="0044776A" w:rsidRDefault="00563727" w:rsidP="0044776A">
          <w:pPr>
            <w:keepNext/>
            <w:keepLines/>
            <w:widowControl w:val="0"/>
            <w:jc w:val="center"/>
            <w:rPr>
              <w:sz w:val="20"/>
              <w:szCs w:val="20"/>
            </w:rPr>
          </w:pPr>
        </w:p>
        <w:p w:rsidR="00563727" w:rsidRPr="0044776A" w:rsidRDefault="00563727" w:rsidP="0044776A">
          <w:pPr>
            <w:keepNext/>
            <w:keepLines/>
            <w:widowControl w:val="0"/>
            <w:jc w:val="center"/>
            <w:rPr>
              <w:sz w:val="20"/>
              <w:szCs w:val="20"/>
            </w:rPr>
          </w:pPr>
        </w:p>
      </w:tc>
      <w:tc>
        <w:tcPr>
          <w:tcW w:w="4080" w:type="dxa"/>
          <w:tcMar>
            <w:left w:w="0" w:type="dxa"/>
            <w:right w:w="0" w:type="dxa"/>
          </w:tcMar>
        </w:tcPr>
        <w:p w:rsidR="00563727" w:rsidRPr="0044776A" w:rsidRDefault="00563727" w:rsidP="0044776A">
          <w:pPr>
            <w:keepLines/>
            <w:widowControl w:val="0"/>
            <w:rPr>
              <w:sz w:val="20"/>
              <w:szCs w:val="20"/>
              <w:lang w:val="fr-CA"/>
            </w:rPr>
          </w:pPr>
          <w:r w:rsidRPr="0044776A">
            <w:rPr>
              <w:sz w:val="20"/>
              <w:szCs w:val="20"/>
              <w:lang w:val="fr-CA"/>
            </w:rPr>
            <w:t>DEMANDES SOUMISES À LA COUR DEPUIS LA DERNIÈRE PARUTION</w:t>
          </w:r>
        </w:p>
        <w:p w:rsidR="00563727" w:rsidRPr="0044776A" w:rsidRDefault="00563727" w:rsidP="0044776A">
          <w:pPr>
            <w:widowControl w:val="0"/>
            <w:rPr>
              <w:sz w:val="20"/>
              <w:szCs w:val="20"/>
              <w:lang w:val="fr-CA"/>
            </w:rPr>
          </w:pPr>
        </w:p>
      </w:tc>
    </w:tr>
  </w:tbl>
  <w:p w:rsidR="00563727" w:rsidRPr="002E2327" w:rsidRDefault="00563727">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727" w:rsidRDefault="0056372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63727">
      <w:tc>
        <w:tcPr>
          <w:tcW w:w="4230" w:type="dxa"/>
          <w:tcMar>
            <w:left w:w="0" w:type="dxa"/>
            <w:right w:w="0" w:type="dxa"/>
          </w:tcMar>
        </w:tcPr>
        <w:p w:rsidR="00563727" w:rsidRDefault="0056372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63727" w:rsidRDefault="005637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63727" w:rsidRDefault="005637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63727">
      <w:trPr>
        <w:gridAfter w:val="2"/>
        <w:wAfter w:w="5250" w:type="dxa"/>
      </w:trPr>
      <w:tc>
        <w:tcPr>
          <w:tcW w:w="4230" w:type="dxa"/>
          <w:tcMar>
            <w:left w:w="0" w:type="dxa"/>
            <w:right w:w="0" w:type="dxa"/>
          </w:tcMar>
        </w:tcPr>
        <w:p w:rsidR="00563727" w:rsidRDefault="00563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63727" w:rsidRDefault="00563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63727" w:rsidRPr="00755F22" w:rsidTr="00245129">
      <w:tc>
        <w:tcPr>
          <w:tcW w:w="4230" w:type="dxa"/>
          <w:tcMar>
            <w:left w:w="0" w:type="dxa"/>
            <w:right w:w="0" w:type="dxa"/>
          </w:tcMar>
        </w:tcPr>
        <w:p w:rsidR="00563727" w:rsidRPr="00755F22" w:rsidRDefault="00563727" w:rsidP="00831CA9">
          <w:pPr>
            <w:keepNext/>
            <w:keepLines/>
            <w:rPr>
              <w:sz w:val="20"/>
              <w:szCs w:val="20"/>
            </w:rPr>
          </w:pPr>
          <w:r w:rsidRPr="00755F22">
            <w:rPr>
              <w:sz w:val="20"/>
              <w:szCs w:val="20"/>
            </w:rPr>
            <w:t>MOTIONS</w:t>
          </w:r>
        </w:p>
      </w:tc>
      <w:tc>
        <w:tcPr>
          <w:tcW w:w="1170" w:type="dxa"/>
          <w:tcMar>
            <w:left w:w="0" w:type="dxa"/>
            <w:right w:w="0" w:type="dxa"/>
          </w:tcMar>
        </w:tcPr>
        <w:p w:rsidR="00563727" w:rsidRPr="00755F22" w:rsidRDefault="00563727" w:rsidP="00831CA9">
          <w:pPr>
            <w:keepLines/>
            <w:jc w:val="center"/>
            <w:rPr>
              <w:sz w:val="20"/>
              <w:szCs w:val="20"/>
            </w:rPr>
          </w:pPr>
        </w:p>
        <w:p w:rsidR="00563727" w:rsidRPr="00755F22" w:rsidRDefault="00563727" w:rsidP="00831CA9">
          <w:pPr>
            <w:keepLines/>
            <w:tabs>
              <w:tab w:val="left" w:pos="-1440"/>
              <w:tab w:val="left" w:pos="-720"/>
            </w:tabs>
            <w:jc w:val="center"/>
            <w:rPr>
              <w:sz w:val="20"/>
              <w:szCs w:val="20"/>
            </w:rPr>
          </w:pPr>
        </w:p>
      </w:tc>
      <w:tc>
        <w:tcPr>
          <w:tcW w:w="4080" w:type="dxa"/>
          <w:tcMar>
            <w:left w:w="0" w:type="dxa"/>
            <w:right w:w="0" w:type="dxa"/>
          </w:tcMar>
        </w:tcPr>
        <w:p w:rsidR="00563727" w:rsidRPr="00BA6468" w:rsidRDefault="00563727" w:rsidP="00BA6468">
          <w:pPr>
            <w:keepLines/>
            <w:rPr>
              <w:sz w:val="20"/>
              <w:szCs w:val="20"/>
              <w:lang w:val="fr-CA"/>
            </w:rPr>
          </w:pPr>
          <w:r w:rsidRPr="00BA6468">
            <w:rPr>
              <w:sz w:val="20"/>
              <w:szCs w:val="20"/>
              <w:lang w:val="fr-CA"/>
            </w:rPr>
            <w:t>REQUÊTES</w:t>
          </w:r>
        </w:p>
      </w:tc>
    </w:tr>
  </w:tbl>
  <w:p w:rsidR="00563727" w:rsidRDefault="00563727"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6FD6"/>
    <w:multiLevelType w:val="hybridMultilevel"/>
    <w:tmpl w:val="C47A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6B55C5"/>
    <w:multiLevelType w:val="hybridMultilevel"/>
    <w:tmpl w:val="CA107898"/>
    <w:lvl w:ilvl="0" w:tplc="02443C3C">
      <w:start w:val="1"/>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96B563C"/>
    <w:multiLevelType w:val="hybridMultilevel"/>
    <w:tmpl w:val="CA107898"/>
    <w:lvl w:ilvl="0" w:tplc="02443C3C">
      <w:start w:val="1"/>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D364D86"/>
    <w:multiLevelType w:val="hybridMultilevel"/>
    <w:tmpl w:val="5FBC2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11D57FB"/>
    <w:multiLevelType w:val="hybridMultilevel"/>
    <w:tmpl w:val="C47A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917C6"/>
    <w:multiLevelType w:val="hybridMultilevel"/>
    <w:tmpl w:val="C4BE5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4"/>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67597"/>
  </w:hdrShapeDefaults>
  <w:footnotePr>
    <w:footnote w:id="-1"/>
    <w:footnote w:id="0"/>
  </w:footnotePr>
  <w:endnotePr>
    <w:endnote w:id="-1"/>
    <w:endnote w:id="0"/>
  </w:endnotePr>
  <w:compat>
    <w:compatSetting w:name="compatibilityMode" w:uri="http://schemas.microsoft.com/office/word" w:val="12"/>
  </w:compat>
  <w:rsids>
    <w:rsidRoot w:val="00F4683F"/>
    <w:rsid w:val="00012FDB"/>
    <w:rsid w:val="0003223B"/>
    <w:rsid w:val="000327B2"/>
    <w:rsid w:val="0003365C"/>
    <w:rsid w:val="00091FA6"/>
    <w:rsid w:val="00096BD9"/>
    <w:rsid w:val="000B3C9A"/>
    <w:rsid w:val="000B40A2"/>
    <w:rsid w:val="000B4624"/>
    <w:rsid w:val="000C0ACD"/>
    <w:rsid w:val="000C0D2A"/>
    <w:rsid w:val="000C0F49"/>
    <w:rsid w:val="000C5CE8"/>
    <w:rsid w:val="000D1062"/>
    <w:rsid w:val="000E2959"/>
    <w:rsid w:val="000F0B60"/>
    <w:rsid w:val="00102926"/>
    <w:rsid w:val="0010587F"/>
    <w:rsid w:val="00111C6B"/>
    <w:rsid w:val="00112D11"/>
    <w:rsid w:val="00115103"/>
    <w:rsid w:val="0012102B"/>
    <w:rsid w:val="0013369E"/>
    <w:rsid w:val="0014156B"/>
    <w:rsid w:val="0014332D"/>
    <w:rsid w:val="00164E6D"/>
    <w:rsid w:val="00173D10"/>
    <w:rsid w:val="001A07F1"/>
    <w:rsid w:val="001B157C"/>
    <w:rsid w:val="001B3555"/>
    <w:rsid w:val="001B4CA6"/>
    <w:rsid w:val="001B5C23"/>
    <w:rsid w:val="001C2EEC"/>
    <w:rsid w:val="001C39E5"/>
    <w:rsid w:val="001C5DB7"/>
    <w:rsid w:val="001D0D5F"/>
    <w:rsid w:val="001D6B8C"/>
    <w:rsid w:val="001F1F83"/>
    <w:rsid w:val="001F2125"/>
    <w:rsid w:val="001F40DF"/>
    <w:rsid w:val="002021A9"/>
    <w:rsid w:val="002139A7"/>
    <w:rsid w:val="00215F7C"/>
    <w:rsid w:val="0021662B"/>
    <w:rsid w:val="0022323B"/>
    <w:rsid w:val="002410B8"/>
    <w:rsid w:val="00242AEE"/>
    <w:rsid w:val="00245129"/>
    <w:rsid w:val="00245879"/>
    <w:rsid w:val="00267FD5"/>
    <w:rsid w:val="00274D34"/>
    <w:rsid w:val="00281430"/>
    <w:rsid w:val="00283ED8"/>
    <w:rsid w:val="002868D0"/>
    <w:rsid w:val="002A008C"/>
    <w:rsid w:val="002A27D1"/>
    <w:rsid w:val="002A4AFA"/>
    <w:rsid w:val="002B516C"/>
    <w:rsid w:val="002D4F3B"/>
    <w:rsid w:val="002D72EB"/>
    <w:rsid w:val="002E2327"/>
    <w:rsid w:val="002E3583"/>
    <w:rsid w:val="002E5576"/>
    <w:rsid w:val="002F50E3"/>
    <w:rsid w:val="00331B52"/>
    <w:rsid w:val="003359D3"/>
    <w:rsid w:val="00342BEB"/>
    <w:rsid w:val="00345EEB"/>
    <w:rsid w:val="00355967"/>
    <w:rsid w:val="00382C47"/>
    <w:rsid w:val="00384384"/>
    <w:rsid w:val="003866AE"/>
    <w:rsid w:val="0038745F"/>
    <w:rsid w:val="00391315"/>
    <w:rsid w:val="003A5A65"/>
    <w:rsid w:val="003B3977"/>
    <w:rsid w:val="003B41C6"/>
    <w:rsid w:val="003E1D4C"/>
    <w:rsid w:val="00416BA7"/>
    <w:rsid w:val="00432989"/>
    <w:rsid w:val="00440E24"/>
    <w:rsid w:val="0044776A"/>
    <w:rsid w:val="00460AFC"/>
    <w:rsid w:val="0047471F"/>
    <w:rsid w:val="00483EB5"/>
    <w:rsid w:val="00491174"/>
    <w:rsid w:val="00495292"/>
    <w:rsid w:val="004B195E"/>
    <w:rsid w:val="004B66B4"/>
    <w:rsid w:val="004B7F60"/>
    <w:rsid w:val="004C1AAC"/>
    <w:rsid w:val="004E1E0A"/>
    <w:rsid w:val="004F090E"/>
    <w:rsid w:val="00501F3C"/>
    <w:rsid w:val="00524D49"/>
    <w:rsid w:val="00527CC7"/>
    <w:rsid w:val="005606D9"/>
    <w:rsid w:val="00563727"/>
    <w:rsid w:val="00571CA4"/>
    <w:rsid w:val="00582136"/>
    <w:rsid w:val="00582418"/>
    <w:rsid w:val="005C41D9"/>
    <w:rsid w:val="005C6840"/>
    <w:rsid w:val="005D7540"/>
    <w:rsid w:val="005F263E"/>
    <w:rsid w:val="00600252"/>
    <w:rsid w:val="00612A40"/>
    <w:rsid w:val="0062714A"/>
    <w:rsid w:val="006434C2"/>
    <w:rsid w:val="00670E82"/>
    <w:rsid w:val="00675479"/>
    <w:rsid w:val="00675C9C"/>
    <w:rsid w:val="00680709"/>
    <w:rsid w:val="00696BF9"/>
    <w:rsid w:val="00697C62"/>
    <w:rsid w:val="006A0EB4"/>
    <w:rsid w:val="006A329B"/>
    <w:rsid w:val="006A7EB8"/>
    <w:rsid w:val="006B6926"/>
    <w:rsid w:val="006C3F47"/>
    <w:rsid w:val="006C5F7A"/>
    <w:rsid w:val="006D09D3"/>
    <w:rsid w:val="006D48D0"/>
    <w:rsid w:val="006E06AF"/>
    <w:rsid w:val="006F350F"/>
    <w:rsid w:val="00701918"/>
    <w:rsid w:val="00732DB7"/>
    <w:rsid w:val="0074238B"/>
    <w:rsid w:val="00745EF7"/>
    <w:rsid w:val="00755F22"/>
    <w:rsid w:val="00766E4A"/>
    <w:rsid w:val="007820CE"/>
    <w:rsid w:val="00782AE4"/>
    <w:rsid w:val="00796A0C"/>
    <w:rsid w:val="0079724F"/>
    <w:rsid w:val="007A3EAE"/>
    <w:rsid w:val="007A6D33"/>
    <w:rsid w:val="007C04FC"/>
    <w:rsid w:val="007D3E0F"/>
    <w:rsid w:val="007E4282"/>
    <w:rsid w:val="007F387B"/>
    <w:rsid w:val="00802863"/>
    <w:rsid w:val="00815B3C"/>
    <w:rsid w:val="0081610A"/>
    <w:rsid w:val="00822B95"/>
    <w:rsid w:val="0082783A"/>
    <w:rsid w:val="00831CA9"/>
    <w:rsid w:val="00850E1F"/>
    <w:rsid w:val="0085476B"/>
    <w:rsid w:val="0085514F"/>
    <w:rsid w:val="008906D6"/>
    <w:rsid w:val="00890FEB"/>
    <w:rsid w:val="008A5C1A"/>
    <w:rsid w:val="008C582F"/>
    <w:rsid w:val="008D292F"/>
    <w:rsid w:val="008E03DC"/>
    <w:rsid w:val="008E2C8B"/>
    <w:rsid w:val="008F1432"/>
    <w:rsid w:val="00902E51"/>
    <w:rsid w:val="00906464"/>
    <w:rsid w:val="00924065"/>
    <w:rsid w:val="00930D68"/>
    <w:rsid w:val="00932DB4"/>
    <w:rsid w:val="00941A4B"/>
    <w:rsid w:val="00946242"/>
    <w:rsid w:val="0095096B"/>
    <w:rsid w:val="00970CD3"/>
    <w:rsid w:val="009723FA"/>
    <w:rsid w:val="00976CD6"/>
    <w:rsid w:val="00984546"/>
    <w:rsid w:val="00996510"/>
    <w:rsid w:val="009D1F15"/>
    <w:rsid w:val="009D555E"/>
    <w:rsid w:val="009F3024"/>
    <w:rsid w:val="00A0355E"/>
    <w:rsid w:val="00A375D1"/>
    <w:rsid w:val="00A47393"/>
    <w:rsid w:val="00A51D10"/>
    <w:rsid w:val="00A52A83"/>
    <w:rsid w:val="00A6552C"/>
    <w:rsid w:val="00A774EB"/>
    <w:rsid w:val="00A82B30"/>
    <w:rsid w:val="00A87207"/>
    <w:rsid w:val="00A93122"/>
    <w:rsid w:val="00A935AA"/>
    <w:rsid w:val="00AB2201"/>
    <w:rsid w:val="00AC71FC"/>
    <w:rsid w:val="00AD3259"/>
    <w:rsid w:val="00AE046D"/>
    <w:rsid w:val="00AE091C"/>
    <w:rsid w:val="00AF1715"/>
    <w:rsid w:val="00AF3904"/>
    <w:rsid w:val="00B010C0"/>
    <w:rsid w:val="00B21D0D"/>
    <w:rsid w:val="00B4740D"/>
    <w:rsid w:val="00B476B8"/>
    <w:rsid w:val="00B578BA"/>
    <w:rsid w:val="00B61629"/>
    <w:rsid w:val="00B7374B"/>
    <w:rsid w:val="00B90DC0"/>
    <w:rsid w:val="00BA116A"/>
    <w:rsid w:val="00BA5582"/>
    <w:rsid w:val="00BA6468"/>
    <w:rsid w:val="00BB1D44"/>
    <w:rsid w:val="00BD06DA"/>
    <w:rsid w:val="00BD4217"/>
    <w:rsid w:val="00BE649D"/>
    <w:rsid w:val="00BF25F3"/>
    <w:rsid w:val="00C13215"/>
    <w:rsid w:val="00C1697B"/>
    <w:rsid w:val="00C21CB5"/>
    <w:rsid w:val="00C327CF"/>
    <w:rsid w:val="00C50A5C"/>
    <w:rsid w:val="00C50FDF"/>
    <w:rsid w:val="00C54DDC"/>
    <w:rsid w:val="00C63381"/>
    <w:rsid w:val="00C667BD"/>
    <w:rsid w:val="00C73D06"/>
    <w:rsid w:val="00C73E1B"/>
    <w:rsid w:val="00C759B4"/>
    <w:rsid w:val="00C77713"/>
    <w:rsid w:val="00C85BB7"/>
    <w:rsid w:val="00CA2DEA"/>
    <w:rsid w:val="00CB43D5"/>
    <w:rsid w:val="00CC37C5"/>
    <w:rsid w:val="00CC4D84"/>
    <w:rsid w:val="00CD6289"/>
    <w:rsid w:val="00CE198A"/>
    <w:rsid w:val="00CE382A"/>
    <w:rsid w:val="00CF08C8"/>
    <w:rsid w:val="00D004FC"/>
    <w:rsid w:val="00D259F7"/>
    <w:rsid w:val="00D32FEF"/>
    <w:rsid w:val="00D33AEA"/>
    <w:rsid w:val="00D43AD2"/>
    <w:rsid w:val="00D64901"/>
    <w:rsid w:val="00D67C5A"/>
    <w:rsid w:val="00D76BDF"/>
    <w:rsid w:val="00D862C1"/>
    <w:rsid w:val="00D86456"/>
    <w:rsid w:val="00D87154"/>
    <w:rsid w:val="00D93B50"/>
    <w:rsid w:val="00D94028"/>
    <w:rsid w:val="00D94670"/>
    <w:rsid w:val="00DA0E43"/>
    <w:rsid w:val="00DA46F6"/>
    <w:rsid w:val="00DA583E"/>
    <w:rsid w:val="00DC1FCB"/>
    <w:rsid w:val="00DC287B"/>
    <w:rsid w:val="00DD0B49"/>
    <w:rsid w:val="00DE0502"/>
    <w:rsid w:val="00DE349D"/>
    <w:rsid w:val="00DF7F41"/>
    <w:rsid w:val="00E00A77"/>
    <w:rsid w:val="00E028DA"/>
    <w:rsid w:val="00E06DFA"/>
    <w:rsid w:val="00E20A0A"/>
    <w:rsid w:val="00E356C7"/>
    <w:rsid w:val="00E45FE4"/>
    <w:rsid w:val="00E64FA7"/>
    <w:rsid w:val="00E770CB"/>
    <w:rsid w:val="00E903A1"/>
    <w:rsid w:val="00E939BB"/>
    <w:rsid w:val="00E940EB"/>
    <w:rsid w:val="00E95CE4"/>
    <w:rsid w:val="00E9703F"/>
    <w:rsid w:val="00EB2B90"/>
    <w:rsid w:val="00ED7E83"/>
    <w:rsid w:val="00EE091F"/>
    <w:rsid w:val="00EF4B63"/>
    <w:rsid w:val="00F0068D"/>
    <w:rsid w:val="00F0576D"/>
    <w:rsid w:val="00F14E6D"/>
    <w:rsid w:val="00F15EA8"/>
    <w:rsid w:val="00F1613A"/>
    <w:rsid w:val="00F164B3"/>
    <w:rsid w:val="00F16C8D"/>
    <w:rsid w:val="00F26C61"/>
    <w:rsid w:val="00F33CCE"/>
    <w:rsid w:val="00F40249"/>
    <w:rsid w:val="00F41EAB"/>
    <w:rsid w:val="00F4683F"/>
    <w:rsid w:val="00F46874"/>
    <w:rsid w:val="00F526C8"/>
    <w:rsid w:val="00F761A3"/>
    <w:rsid w:val="00F9215E"/>
    <w:rsid w:val="00F9272D"/>
    <w:rsid w:val="00F9518C"/>
    <w:rsid w:val="00FA316E"/>
    <w:rsid w:val="00FA59EF"/>
    <w:rsid w:val="00FB19A2"/>
    <w:rsid w:val="00FB4575"/>
    <w:rsid w:val="00FC08F4"/>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5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012FDB"/>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e1">
    <w:name w:val="paragraphe1"/>
    <w:basedOn w:val="Normal"/>
    <w:rsid w:val="00D43AD2"/>
    <w:pPr>
      <w:spacing w:before="120" w:after="120"/>
      <w:jc w:val="both"/>
    </w:pPr>
    <w:rPr>
      <w:rFonts w:ascii="Arial" w:eastAsia="Times New Roman" w:hAnsi="Arial" w:cs="Arial"/>
      <w:szCs w:val="24"/>
      <w:lang w:val="en-US"/>
    </w:rPr>
  </w:style>
  <w:style w:type="paragraph" w:customStyle="1" w:styleId="SCCLsocParty">
    <w:name w:val="SCC.Lsoc.Party"/>
    <w:basedOn w:val="Normal"/>
    <w:next w:val="Normal"/>
    <w:link w:val="SCCLsocPartyChar"/>
    <w:rsid w:val="00F46874"/>
    <w:pPr>
      <w:jc w:val="center"/>
    </w:pPr>
  </w:style>
  <w:style w:type="character" w:customStyle="1" w:styleId="SCCLsocPartyChar">
    <w:name w:val="SCC.Lsoc.Party Char"/>
    <w:basedOn w:val="DefaultParagraphFont"/>
    <w:link w:val="SCCLsocParty"/>
    <w:rsid w:val="00F46874"/>
    <w:rPr>
      <w:lang w:val="en-CA"/>
    </w:rPr>
  </w:style>
  <w:style w:type="paragraph" w:customStyle="1" w:styleId="loose">
    <w:name w:val="loose"/>
    <w:basedOn w:val="Normal"/>
    <w:rsid w:val="00F46874"/>
    <w:pPr>
      <w:spacing w:before="169"/>
    </w:pPr>
    <w:rPr>
      <w:rFonts w:eastAsia="Times New Roman" w:cs="Times New Roman"/>
      <w:szCs w:val="24"/>
      <w:lang w:val="en-US"/>
    </w:rPr>
  </w:style>
  <w:style w:type="character" w:customStyle="1" w:styleId="SCCBanSummaryChar">
    <w:name w:val="SCC.BanSummary Char"/>
    <w:basedOn w:val="DefaultParagraphFont"/>
    <w:link w:val="SCCBanSummary"/>
    <w:locked/>
    <w:rsid w:val="00670E82"/>
    <w:rPr>
      <w:smallCaps/>
    </w:rPr>
  </w:style>
  <w:style w:type="paragraph" w:customStyle="1" w:styleId="SCCBanSummary">
    <w:name w:val="SCC.BanSummary"/>
    <w:basedOn w:val="Normal"/>
    <w:link w:val="SCCBanSummaryChar"/>
    <w:rsid w:val="00670E82"/>
    <w:pPr>
      <w:jc w:val="both"/>
    </w:pPr>
    <w:rPr>
      <w:small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hyperlink" Target="http://www.scc-csc.ca" TargetMode="External"/><Relationship Id="rId47" Type="http://schemas.openxmlformats.org/officeDocument/2006/relationships/header" Target="header18.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yperlink" Target="http://www.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6.xml"/><Relationship Id="rId48" Type="http://schemas.openxmlformats.org/officeDocument/2006/relationships/footer" Target="footer18.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10C87-282F-4FC1-8584-D085FB83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11994</Words>
  <Characters>68367</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2013-12-24T13:32:00Z</dcterms:created>
  <dcterms:modified xsi:type="dcterms:W3CDTF">2015-12-15T21:00:00Z</dcterms:modified>
</cp:coreProperties>
</file>