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7107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7107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7107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7107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7107C" w:rsidTr="002E5576">
        <w:tc>
          <w:tcPr>
            <w:tcW w:w="4518" w:type="dxa"/>
          </w:tcPr>
          <w:p w:rsidR="00BF25F3" w:rsidRPr="002E2327" w:rsidRDefault="0054414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4414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7107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7107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7107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7107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D09FB" w:rsidP="00F0068D">
      <w:pPr>
        <w:pBdr>
          <w:bottom w:val="single" w:sz="6" w:space="1" w:color="auto"/>
        </w:pBdr>
        <w:tabs>
          <w:tab w:val="center" w:pos="4680"/>
          <w:tab w:val="right" w:pos="9360"/>
        </w:tabs>
        <w:rPr>
          <w:lang w:val="fr-CA"/>
        </w:rPr>
      </w:pPr>
      <w:r>
        <w:rPr>
          <w:lang w:val="fr-CA"/>
        </w:rPr>
        <w:t>February</w:t>
      </w:r>
      <w:r w:rsidR="00440E24" w:rsidRPr="00675479">
        <w:rPr>
          <w:lang w:val="fr-CA"/>
        </w:rPr>
        <w:t xml:space="preserve"> </w:t>
      </w:r>
      <w:r>
        <w:rPr>
          <w:lang w:val="fr-CA"/>
        </w:rPr>
        <w:t>28,</w:t>
      </w:r>
      <w:r w:rsidR="00440E24" w:rsidRPr="00675479">
        <w:rPr>
          <w:lang w:val="fr-CA"/>
        </w:rPr>
        <w:t xml:space="preserve"> 201</w:t>
      </w:r>
      <w:r w:rsidR="00501F3C">
        <w:rPr>
          <w:lang w:val="fr-CA"/>
        </w:rPr>
        <w:t>4</w:t>
      </w:r>
      <w:r w:rsidR="00F0068D" w:rsidRPr="00675479">
        <w:rPr>
          <w:lang w:val="fr-CA"/>
        </w:rPr>
        <w:tab/>
      </w:r>
      <w:r>
        <w:rPr>
          <w:lang w:val="fr-CA"/>
        </w:rPr>
        <w:t>359</w:t>
      </w:r>
      <w:r w:rsidR="00F0068D" w:rsidRPr="00675479">
        <w:rPr>
          <w:lang w:val="fr-CA"/>
        </w:rPr>
        <w:t xml:space="preserve"> - </w:t>
      </w:r>
      <w:r w:rsidR="004F6AF8">
        <w:rPr>
          <w:lang w:val="fr-CA"/>
        </w:rPr>
        <w:t>380</w:t>
      </w:r>
      <w:r w:rsidR="00440E24" w:rsidRPr="00675479">
        <w:rPr>
          <w:lang w:val="fr-CA"/>
        </w:rPr>
        <w:tab/>
      </w:r>
      <w:r w:rsidR="00440E24" w:rsidRPr="002E2327">
        <w:rPr>
          <w:lang w:val="fr-CA"/>
        </w:rPr>
        <w:t>Le</w:t>
      </w:r>
      <w:r w:rsidR="00C73D06">
        <w:rPr>
          <w:lang w:val="fr-CA"/>
        </w:rPr>
        <w:t xml:space="preserve"> </w:t>
      </w:r>
      <w:r>
        <w:rPr>
          <w:lang w:val="fr-CA"/>
        </w:rPr>
        <w:t>28</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lastRenderedPageBreak/>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E62649">
            <w:pPr>
              <w:tabs>
                <w:tab w:val="right" w:pos="9360"/>
              </w:tabs>
              <w:rPr>
                <w:rFonts w:cs="Times New Roman"/>
                <w:sz w:val="20"/>
                <w:szCs w:val="20"/>
              </w:rPr>
            </w:pPr>
          </w:p>
        </w:tc>
        <w:tc>
          <w:tcPr>
            <w:tcW w:w="1980" w:type="dxa"/>
          </w:tcPr>
          <w:p w:rsidR="0095096B" w:rsidRPr="002E2327" w:rsidRDefault="006D09FB" w:rsidP="0095096B">
            <w:pPr>
              <w:jc w:val="center"/>
              <w:rPr>
                <w:rFonts w:cs="Times New Roman"/>
                <w:sz w:val="20"/>
                <w:szCs w:val="20"/>
              </w:rPr>
            </w:pPr>
            <w:r>
              <w:rPr>
                <w:rFonts w:cs="Times New Roman"/>
                <w:sz w:val="20"/>
                <w:szCs w:val="20"/>
              </w:rPr>
              <w:t>359</w:t>
            </w:r>
            <w:r w:rsidR="0054414C" w:rsidRPr="002E2327">
              <w:rPr>
                <w:rFonts w:cs="Times New Roman"/>
                <w:sz w:val="20"/>
                <w:szCs w:val="20"/>
              </w:rPr>
              <w:fldChar w:fldCharType="begin"/>
            </w:r>
            <w:r w:rsidR="0095096B" w:rsidRPr="002E2327">
              <w:rPr>
                <w:rFonts w:cs="Times New Roman"/>
                <w:sz w:val="20"/>
                <w:szCs w:val="20"/>
              </w:rPr>
              <w:instrText xml:space="preserve"> SEQ CHAPTER \h \r 1</w:instrText>
            </w:r>
            <w:r w:rsidR="0054414C"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2649" w:rsidP="0095096B">
            <w:pPr>
              <w:jc w:val="center"/>
              <w:rPr>
                <w:rFonts w:cs="Times New Roman"/>
                <w:sz w:val="20"/>
                <w:szCs w:val="20"/>
              </w:rPr>
            </w:pPr>
            <w:r>
              <w:rPr>
                <w:rFonts w:cs="Times New Roman"/>
                <w:sz w:val="20"/>
                <w:szCs w:val="20"/>
              </w:rPr>
              <w:t>360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2649" w:rsidP="0095096B">
            <w:pPr>
              <w:jc w:val="center"/>
              <w:rPr>
                <w:rFonts w:cs="Times New Roman"/>
                <w:sz w:val="20"/>
                <w:szCs w:val="20"/>
              </w:rPr>
            </w:pPr>
            <w:r>
              <w:rPr>
                <w:rFonts w:cs="Times New Roman"/>
                <w:sz w:val="20"/>
                <w:szCs w:val="20"/>
              </w:rPr>
              <w:t xml:space="preserve">361 </w:t>
            </w:r>
            <w:r w:rsidR="0095096B" w:rsidRPr="002E2327">
              <w:rPr>
                <w:rFonts w:cs="Times New Roman"/>
                <w:sz w:val="20"/>
                <w:szCs w:val="20"/>
              </w:rPr>
              <w:t>-</w:t>
            </w:r>
            <w:r w:rsidR="004F6AF8">
              <w:rPr>
                <w:rFonts w:cs="Times New Roman"/>
                <w:sz w:val="20"/>
                <w:szCs w:val="20"/>
              </w:rPr>
              <w:t xml:space="preserve"> 371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F6AF8" w:rsidP="0095096B">
            <w:pPr>
              <w:jc w:val="center"/>
              <w:rPr>
                <w:rFonts w:cs="Times New Roman"/>
                <w:sz w:val="20"/>
                <w:szCs w:val="20"/>
              </w:rPr>
            </w:pPr>
            <w:r>
              <w:rPr>
                <w:rFonts w:cs="Times New Roman"/>
                <w:sz w:val="20"/>
                <w:szCs w:val="20"/>
              </w:rPr>
              <w:t xml:space="preserve">372 </w:t>
            </w:r>
            <w:r w:rsidR="0095096B" w:rsidRPr="002E2327">
              <w:rPr>
                <w:rFonts w:cs="Times New Roman"/>
                <w:sz w:val="20"/>
                <w:szCs w:val="20"/>
              </w:rPr>
              <w:t>-</w:t>
            </w:r>
            <w:r>
              <w:rPr>
                <w:rFonts w:cs="Times New Roman"/>
                <w:sz w:val="20"/>
                <w:szCs w:val="20"/>
              </w:rPr>
              <w:t xml:space="preserve"> 377</w:t>
            </w:r>
          </w:p>
          <w:p w:rsidR="0095096B" w:rsidRPr="002E2327" w:rsidRDefault="0095096B" w:rsidP="0095096B">
            <w:pPr>
              <w:jc w:val="center"/>
              <w:rPr>
                <w:rFonts w:cs="Times New Roman"/>
                <w:sz w:val="20"/>
                <w:szCs w:val="20"/>
              </w:rPr>
            </w:pPr>
          </w:p>
          <w:p w:rsidR="0095096B" w:rsidRPr="002E2327" w:rsidRDefault="004F6AF8" w:rsidP="0095096B">
            <w:pPr>
              <w:jc w:val="center"/>
              <w:rPr>
                <w:rFonts w:cs="Times New Roman"/>
                <w:sz w:val="20"/>
                <w:szCs w:val="20"/>
              </w:rPr>
            </w:pPr>
            <w:r>
              <w:rPr>
                <w:rFonts w:cs="Times New Roman"/>
                <w:sz w:val="20"/>
                <w:szCs w:val="20"/>
              </w:rPr>
              <w:t xml:space="preserve">378 </w:t>
            </w:r>
            <w:r w:rsidR="0095096B" w:rsidRPr="002E2327">
              <w:rPr>
                <w:rFonts w:cs="Times New Roman"/>
                <w:sz w:val="20"/>
                <w:szCs w:val="20"/>
              </w:rPr>
              <w:t>-</w:t>
            </w:r>
            <w:r>
              <w:rPr>
                <w:rFonts w:cs="Times New Roman"/>
                <w:sz w:val="20"/>
                <w:szCs w:val="20"/>
              </w:rPr>
              <w:t xml:space="preserve"> 380</w:t>
            </w:r>
          </w:p>
          <w:p w:rsidR="0095096B" w:rsidRPr="002E2327" w:rsidRDefault="0095096B" w:rsidP="0095096B">
            <w:pPr>
              <w:jc w:val="center"/>
              <w:rPr>
                <w:rFonts w:cs="Times New Roman"/>
                <w:sz w:val="20"/>
                <w:szCs w:val="20"/>
              </w:rPr>
            </w:pPr>
          </w:p>
          <w:p w:rsidR="00A87207" w:rsidRPr="002E2327" w:rsidRDefault="00A87207" w:rsidP="00E62649">
            <w:pPr>
              <w:tabs>
                <w:tab w:val="right" w:pos="9360"/>
              </w:tabs>
              <w:jc w:val="center"/>
              <w:rPr>
                <w:rFonts w:cs="Times New Roman"/>
                <w:sz w:val="20"/>
                <w:szCs w:val="20"/>
              </w:rPr>
            </w:pPr>
          </w:p>
        </w:tc>
        <w:tc>
          <w:tcPr>
            <w:tcW w:w="3888" w:type="dxa"/>
          </w:tcPr>
          <w:p w:rsidR="0095096B" w:rsidRPr="002E2327" w:rsidRDefault="0054414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E62649">
            <w:pPr>
              <w:tabs>
                <w:tab w:val="right" w:pos="9360"/>
              </w:tabs>
              <w:rPr>
                <w:rFonts w:cs="Times New Roman"/>
                <w:sz w:val="20"/>
                <w:szCs w:val="20"/>
                <w:lang w:val="fr-CA"/>
              </w:rPr>
            </w:pPr>
          </w:p>
        </w:tc>
      </w:tr>
    </w:tbl>
    <w:p w:rsidR="0095096B" w:rsidRDefault="0095096B" w:rsidP="0095096B">
      <w:pPr>
        <w:tabs>
          <w:tab w:val="right" w:pos="9360"/>
        </w:tabs>
      </w:pPr>
    </w:p>
    <w:p w:rsidR="00E62649" w:rsidRDefault="00E62649" w:rsidP="0095096B">
      <w:pPr>
        <w:tabs>
          <w:tab w:val="right" w:pos="9360"/>
        </w:tabs>
      </w:pPr>
    </w:p>
    <w:p w:rsidR="00E62649" w:rsidRDefault="00E62649" w:rsidP="0095096B">
      <w:pPr>
        <w:tabs>
          <w:tab w:val="right" w:pos="9360"/>
        </w:tabs>
      </w:pPr>
    </w:p>
    <w:p w:rsidR="00E62649" w:rsidRDefault="00E62649" w:rsidP="0095096B">
      <w:pPr>
        <w:tabs>
          <w:tab w:val="right" w:pos="9360"/>
        </w:tabs>
      </w:pPr>
    </w:p>
    <w:p w:rsidR="00E62649" w:rsidRDefault="00E62649" w:rsidP="0095096B">
      <w:pPr>
        <w:tabs>
          <w:tab w:val="right" w:pos="9360"/>
        </w:tabs>
      </w:pPr>
    </w:p>
    <w:p w:rsidR="00E62649" w:rsidRPr="002E2327" w:rsidRDefault="00E62649" w:rsidP="0095096B">
      <w:pPr>
        <w:tabs>
          <w:tab w:val="right" w:pos="9360"/>
        </w:tabs>
      </w:pPr>
    </w:p>
    <w:tbl>
      <w:tblPr>
        <w:tblStyle w:val="TableGrid"/>
        <w:tblW w:w="0" w:type="auto"/>
        <w:tblLook w:val="04A0" w:firstRow="1" w:lastRow="0" w:firstColumn="1" w:lastColumn="0" w:noHBand="0" w:noVBand="1"/>
      </w:tblPr>
      <w:tblGrid>
        <w:gridCol w:w="9576"/>
      </w:tblGrid>
      <w:tr w:rsidR="0079724F" w:rsidRPr="0077107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4656C" w:rsidRPr="00A935AA" w:rsidTr="003B3977">
        <w:tc>
          <w:tcPr>
            <w:tcW w:w="4320" w:type="dxa"/>
            <w:shd w:val="clear" w:color="auto" w:fill="auto"/>
          </w:tcPr>
          <w:p w:rsidR="0044656C" w:rsidRPr="00BE3046" w:rsidRDefault="0044656C" w:rsidP="0044656C">
            <w:pPr>
              <w:rPr>
                <w:b/>
                <w:sz w:val="20"/>
                <w:szCs w:val="20"/>
                <w:lang w:val="fr-CA"/>
              </w:rPr>
            </w:pPr>
            <w:r w:rsidRPr="00BE3046">
              <w:rPr>
                <w:b/>
                <w:sz w:val="20"/>
                <w:szCs w:val="20"/>
                <w:lang w:val="fr-CA"/>
              </w:rPr>
              <w:t>Parvez Ahmed</w:t>
            </w:r>
          </w:p>
          <w:p w:rsidR="0044656C" w:rsidRPr="00BE3046" w:rsidRDefault="0044656C" w:rsidP="0044656C">
            <w:pPr>
              <w:tabs>
                <w:tab w:val="left" w:pos="-1440"/>
                <w:tab w:val="left" w:pos="-720"/>
              </w:tabs>
              <w:rPr>
                <w:sz w:val="20"/>
                <w:szCs w:val="20"/>
                <w:lang w:val="fr-CA"/>
              </w:rPr>
            </w:pPr>
            <w:r w:rsidRPr="00BE3046">
              <w:rPr>
                <w:sz w:val="20"/>
                <w:szCs w:val="20"/>
                <w:lang w:val="fr-CA"/>
              </w:rPr>
              <w:tab/>
              <w:t>Parvez Ahmed</w:t>
            </w:r>
          </w:p>
          <w:p w:rsidR="0044656C" w:rsidRPr="00BE3046" w:rsidRDefault="0044656C" w:rsidP="0044656C">
            <w:pPr>
              <w:tabs>
                <w:tab w:val="left" w:pos="-1440"/>
                <w:tab w:val="left" w:pos="-720"/>
              </w:tabs>
              <w:rPr>
                <w:sz w:val="20"/>
                <w:szCs w:val="20"/>
                <w:lang w:val="fr-CA"/>
              </w:rPr>
            </w:pPr>
          </w:p>
          <w:p w:rsidR="0044656C" w:rsidRPr="00BE3046" w:rsidRDefault="0044656C" w:rsidP="0044656C">
            <w:pPr>
              <w:tabs>
                <w:tab w:val="left" w:pos="-1440"/>
                <w:tab w:val="left" w:pos="-720"/>
              </w:tabs>
              <w:rPr>
                <w:sz w:val="20"/>
                <w:szCs w:val="20"/>
                <w:lang w:val="fr-CA"/>
              </w:rPr>
            </w:pPr>
            <w:r w:rsidRPr="00BE3046">
              <w:rPr>
                <w:sz w:val="20"/>
                <w:szCs w:val="20"/>
                <w:lang w:val="fr-CA"/>
              </w:rPr>
              <w:tab/>
              <w:t>v. (35691)</w:t>
            </w:r>
          </w:p>
          <w:p w:rsidR="0044656C" w:rsidRPr="00BE3046" w:rsidRDefault="0044656C" w:rsidP="0044656C">
            <w:pPr>
              <w:tabs>
                <w:tab w:val="left" w:pos="-1440"/>
                <w:tab w:val="left" w:pos="-720"/>
              </w:tabs>
              <w:rPr>
                <w:sz w:val="20"/>
                <w:szCs w:val="20"/>
                <w:lang w:val="fr-CA"/>
              </w:rPr>
            </w:pPr>
          </w:p>
          <w:p w:rsidR="0044656C" w:rsidRPr="00A935AA" w:rsidRDefault="0044656C" w:rsidP="0044656C">
            <w:pPr>
              <w:tabs>
                <w:tab w:val="left" w:pos="-1440"/>
                <w:tab w:val="left" w:pos="-720"/>
              </w:tabs>
              <w:rPr>
                <w:b/>
                <w:sz w:val="20"/>
                <w:szCs w:val="20"/>
              </w:rPr>
            </w:pPr>
            <w:r>
              <w:rPr>
                <w:b/>
                <w:sz w:val="20"/>
                <w:szCs w:val="20"/>
              </w:rPr>
              <w:t>Attorney General of Canada</w:t>
            </w:r>
            <w:r w:rsidRPr="00A935AA">
              <w:rPr>
                <w:b/>
                <w:sz w:val="20"/>
                <w:szCs w:val="20"/>
              </w:rPr>
              <w:t xml:space="preserve"> (</w:t>
            </w:r>
            <w:r>
              <w:rPr>
                <w:b/>
                <w:sz w:val="20"/>
                <w:szCs w:val="20"/>
              </w:rPr>
              <w:t>F</w:t>
            </w:r>
            <w:r w:rsidRPr="00A935AA">
              <w:rPr>
                <w:b/>
                <w:sz w:val="20"/>
                <w:szCs w:val="20"/>
              </w:rPr>
              <w:t>.C.)</w:t>
            </w:r>
          </w:p>
          <w:p w:rsidR="0044656C" w:rsidRPr="00A935AA" w:rsidRDefault="0044656C" w:rsidP="0044656C">
            <w:pPr>
              <w:tabs>
                <w:tab w:val="left" w:pos="-1440"/>
                <w:tab w:val="left" w:pos="-720"/>
              </w:tabs>
              <w:rPr>
                <w:sz w:val="20"/>
                <w:szCs w:val="20"/>
              </w:rPr>
            </w:pPr>
          </w:p>
          <w:p w:rsidR="0044656C" w:rsidRPr="00A935AA" w:rsidRDefault="0044656C" w:rsidP="0044656C">
            <w:pPr>
              <w:rPr>
                <w:sz w:val="20"/>
                <w:szCs w:val="20"/>
              </w:rPr>
            </w:pPr>
            <w:r w:rsidRPr="00A935AA">
              <w:rPr>
                <w:sz w:val="20"/>
                <w:szCs w:val="20"/>
              </w:rPr>
              <w:t xml:space="preserve">FILING DATE: </w:t>
            </w:r>
            <w:r>
              <w:rPr>
                <w:sz w:val="20"/>
                <w:szCs w:val="20"/>
              </w:rPr>
              <w:t>30</w:t>
            </w:r>
            <w:r w:rsidRPr="00A935AA">
              <w:rPr>
                <w:sz w:val="20"/>
                <w:szCs w:val="20"/>
              </w:rPr>
              <w:t>.</w:t>
            </w:r>
            <w:r>
              <w:rPr>
                <w:sz w:val="20"/>
                <w:szCs w:val="20"/>
              </w:rPr>
              <w:t>12</w:t>
            </w:r>
            <w:r w:rsidRPr="00A935AA">
              <w:rPr>
                <w:sz w:val="20"/>
                <w:szCs w:val="20"/>
              </w:rPr>
              <w:t>.201</w:t>
            </w:r>
            <w:r w:rsidR="00BE3046">
              <w:rPr>
                <w:sz w:val="20"/>
                <w:szCs w:val="20"/>
              </w:rPr>
              <w:t>3</w:t>
            </w:r>
          </w:p>
          <w:p w:rsidR="0044656C" w:rsidRDefault="0077107C" w:rsidP="0044656C">
            <w:pPr>
              <w:rPr>
                <w:sz w:val="20"/>
                <w:szCs w:val="20"/>
                <w:lang w:val="fr-CA"/>
              </w:rPr>
            </w:pPr>
            <w:r>
              <w:rPr>
                <w:sz w:val="20"/>
                <w:szCs w:val="20"/>
                <w:lang w:val="fr-CA"/>
              </w:rPr>
              <w:pict>
                <v:rect id="_x0000_i1025" style="width:108pt;height:1pt" o:hrpct="0" o:hralign="center" o:hrstd="t" o:hrnoshade="t" o:hr="t" fillcolor="black [3213]" stroked="f"/>
              </w:pict>
            </w:r>
          </w:p>
          <w:p w:rsidR="0044656C" w:rsidRDefault="0044656C" w:rsidP="0044656C">
            <w:pPr>
              <w:rPr>
                <w:sz w:val="20"/>
                <w:szCs w:val="20"/>
                <w:lang w:val="fr-CA"/>
              </w:rPr>
            </w:pPr>
          </w:p>
          <w:p w:rsidR="0044656C" w:rsidRDefault="0044656C" w:rsidP="0044656C">
            <w:pPr>
              <w:rPr>
                <w:sz w:val="20"/>
                <w:szCs w:val="20"/>
              </w:rPr>
            </w:pPr>
            <w:r w:rsidRPr="0044656C">
              <w:rPr>
                <w:b/>
                <w:sz w:val="20"/>
                <w:szCs w:val="20"/>
              </w:rPr>
              <w:t xml:space="preserve">Mahmood Sheraly Aziz (aka Mahmoud </w:t>
            </w:r>
            <w:r>
              <w:rPr>
                <w:b/>
                <w:sz w:val="20"/>
                <w:szCs w:val="20"/>
              </w:rPr>
              <w:t>Sheraly Aziz)</w:t>
            </w:r>
          </w:p>
          <w:p w:rsidR="008C6A79" w:rsidRDefault="008C6A79" w:rsidP="0044656C">
            <w:pPr>
              <w:rPr>
                <w:sz w:val="20"/>
                <w:szCs w:val="20"/>
              </w:rPr>
            </w:pPr>
            <w:r>
              <w:rPr>
                <w:sz w:val="20"/>
                <w:szCs w:val="20"/>
              </w:rPr>
              <w:tab/>
              <w:t>David J. Martin</w:t>
            </w:r>
          </w:p>
          <w:p w:rsidR="008C6A79" w:rsidRPr="0044656C" w:rsidRDefault="008C6A79" w:rsidP="0044656C">
            <w:pPr>
              <w:rPr>
                <w:sz w:val="20"/>
                <w:szCs w:val="20"/>
              </w:rPr>
            </w:pPr>
            <w:r w:rsidRPr="00A935AA">
              <w:rPr>
                <w:sz w:val="20"/>
                <w:szCs w:val="20"/>
              </w:rPr>
              <w:tab/>
            </w:r>
            <w:r>
              <w:rPr>
                <w:sz w:val="20"/>
                <w:szCs w:val="20"/>
              </w:rPr>
              <w:t>Martin &amp; Associates</w:t>
            </w:r>
          </w:p>
        </w:tc>
        <w:tc>
          <w:tcPr>
            <w:tcW w:w="1181" w:type="dxa"/>
            <w:shd w:val="clear" w:color="auto" w:fill="auto"/>
          </w:tcPr>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Pr="00A935AA" w:rsidRDefault="0044656C" w:rsidP="00242AEE">
            <w:pPr>
              <w:jc w:val="center"/>
              <w:rPr>
                <w:sz w:val="20"/>
                <w:szCs w:val="20"/>
              </w:rPr>
            </w:pPr>
          </w:p>
          <w:p w:rsidR="0044656C" w:rsidRDefault="0044656C" w:rsidP="00242AEE">
            <w:pPr>
              <w:jc w:val="center"/>
              <w:rPr>
                <w:sz w:val="20"/>
                <w:szCs w:val="20"/>
              </w:rPr>
            </w:pPr>
          </w:p>
          <w:p w:rsidR="008C6A79" w:rsidRDefault="008C6A79" w:rsidP="00242AEE">
            <w:pPr>
              <w:jc w:val="center"/>
              <w:rPr>
                <w:sz w:val="20"/>
                <w:szCs w:val="20"/>
              </w:rPr>
            </w:pPr>
          </w:p>
          <w:p w:rsidR="0044656C" w:rsidRPr="00A935AA" w:rsidRDefault="0044656C" w:rsidP="00242AEE">
            <w:pPr>
              <w:jc w:val="center"/>
              <w:rPr>
                <w:sz w:val="20"/>
                <w:szCs w:val="20"/>
              </w:rPr>
            </w:pPr>
          </w:p>
        </w:tc>
        <w:tc>
          <w:tcPr>
            <w:tcW w:w="4320" w:type="dxa"/>
            <w:shd w:val="clear" w:color="auto" w:fill="auto"/>
          </w:tcPr>
          <w:p w:rsidR="0044656C" w:rsidRPr="00A935AA" w:rsidRDefault="0044656C" w:rsidP="0044656C">
            <w:pPr>
              <w:keepNext/>
              <w:keepLines/>
              <w:tabs>
                <w:tab w:val="left" w:pos="-1440"/>
                <w:tab w:val="left" w:pos="-720"/>
              </w:tabs>
              <w:rPr>
                <w:b/>
                <w:sz w:val="20"/>
                <w:szCs w:val="20"/>
              </w:rPr>
            </w:pPr>
            <w:r>
              <w:rPr>
                <w:b/>
                <w:sz w:val="20"/>
                <w:szCs w:val="20"/>
              </w:rPr>
              <w:t>J.P. et al.</w:t>
            </w:r>
          </w:p>
          <w:p w:rsidR="0044656C" w:rsidRPr="00A935AA" w:rsidRDefault="0044656C" w:rsidP="0044656C">
            <w:pPr>
              <w:tabs>
                <w:tab w:val="left" w:pos="-1440"/>
                <w:tab w:val="left" w:pos="-720"/>
              </w:tabs>
              <w:rPr>
                <w:sz w:val="20"/>
                <w:szCs w:val="20"/>
              </w:rPr>
            </w:pPr>
            <w:r w:rsidRPr="00A935AA">
              <w:rPr>
                <w:sz w:val="20"/>
                <w:szCs w:val="20"/>
              </w:rPr>
              <w:tab/>
            </w:r>
            <w:r>
              <w:rPr>
                <w:sz w:val="20"/>
                <w:szCs w:val="20"/>
              </w:rPr>
              <w:t>Lorne Waldman</w:t>
            </w:r>
          </w:p>
          <w:p w:rsidR="0044656C" w:rsidRPr="00A935AA" w:rsidRDefault="0044656C" w:rsidP="0044656C">
            <w:pPr>
              <w:tabs>
                <w:tab w:val="left" w:pos="-1440"/>
                <w:tab w:val="left" w:pos="-720"/>
              </w:tabs>
              <w:rPr>
                <w:sz w:val="20"/>
                <w:szCs w:val="20"/>
              </w:rPr>
            </w:pPr>
            <w:r>
              <w:rPr>
                <w:sz w:val="20"/>
                <w:szCs w:val="20"/>
              </w:rPr>
              <w:tab/>
              <w:t>Waldman &amp; Associate</w:t>
            </w:r>
          </w:p>
          <w:p w:rsidR="0044656C" w:rsidRPr="00A935AA" w:rsidRDefault="0044656C" w:rsidP="0044656C">
            <w:pPr>
              <w:tabs>
                <w:tab w:val="left" w:pos="-1440"/>
                <w:tab w:val="left" w:pos="-720"/>
              </w:tabs>
              <w:rPr>
                <w:sz w:val="20"/>
                <w:szCs w:val="20"/>
              </w:rPr>
            </w:pPr>
          </w:p>
          <w:p w:rsidR="0044656C" w:rsidRPr="00A935AA" w:rsidRDefault="0044656C" w:rsidP="0044656C">
            <w:pPr>
              <w:tabs>
                <w:tab w:val="left" w:pos="-1440"/>
                <w:tab w:val="left" w:pos="-720"/>
              </w:tabs>
              <w:rPr>
                <w:sz w:val="20"/>
                <w:szCs w:val="20"/>
              </w:rPr>
            </w:pPr>
            <w:r w:rsidRPr="00A935AA">
              <w:rPr>
                <w:sz w:val="20"/>
                <w:szCs w:val="20"/>
              </w:rPr>
              <w:tab/>
              <w:t>v. (3</w:t>
            </w:r>
            <w:r>
              <w:rPr>
                <w:sz w:val="20"/>
                <w:szCs w:val="20"/>
              </w:rPr>
              <w:t>5688</w:t>
            </w:r>
            <w:r w:rsidRPr="00A935AA">
              <w:rPr>
                <w:sz w:val="20"/>
                <w:szCs w:val="20"/>
              </w:rPr>
              <w:t>)</w:t>
            </w:r>
          </w:p>
          <w:p w:rsidR="0044656C" w:rsidRPr="00A935AA" w:rsidRDefault="0044656C" w:rsidP="0044656C">
            <w:pPr>
              <w:tabs>
                <w:tab w:val="left" w:pos="-1440"/>
                <w:tab w:val="left" w:pos="-720"/>
              </w:tabs>
              <w:rPr>
                <w:sz w:val="20"/>
                <w:szCs w:val="20"/>
              </w:rPr>
            </w:pPr>
          </w:p>
          <w:p w:rsidR="0044656C" w:rsidRPr="00A935AA" w:rsidRDefault="0044656C" w:rsidP="0044656C">
            <w:pPr>
              <w:tabs>
                <w:tab w:val="left" w:pos="-1440"/>
                <w:tab w:val="left" w:pos="-720"/>
              </w:tabs>
              <w:rPr>
                <w:b/>
                <w:sz w:val="20"/>
                <w:szCs w:val="20"/>
              </w:rPr>
            </w:pPr>
            <w:r>
              <w:rPr>
                <w:b/>
                <w:sz w:val="20"/>
                <w:szCs w:val="20"/>
              </w:rPr>
              <w:t>Minister of Public Safety and Emergency Preparedness</w:t>
            </w:r>
            <w:r w:rsidRPr="00A935AA">
              <w:rPr>
                <w:b/>
                <w:sz w:val="20"/>
                <w:szCs w:val="20"/>
              </w:rPr>
              <w:t xml:space="preserve"> (</w:t>
            </w:r>
            <w:r>
              <w:rPr>
                <w:b/>
                <w:sz w:val="20"/>
                <w:szCs w:val="20"/>
              </w:rPr>
              <w:t>F</w:t>
            </w:r>
            <w:r w:rsidRPr="00A935AA">
              <w:rPr>
                <w:b/>
                <w:sz w:val="20"/>
                <w:szCs w:val="20"/>
              </w:rPr>
              <w:t>.C.)</w:t>
            </w:r>
          </w:p>
          <w:p w:rsidR="0044656C" w:rsidRPr="00F02BF2" w:rsidRDefault="0044656C" w:rsidP="0044656C">
            <w:pPr>
              <w:tabs>
                <w:tab w:val="left" w:pos="-1440"/>
                <w:tab w:val="left" w:pos="-720"/>
              </w:tabs>
              <w:rPr>
                <w:sz w:val="20"/>
                <w:szCs w:val="20"/>
              </w:rPr>
            </w:pPr>
            <w:r w:rsidRPr="00A935AA">
              <w:rPr>
                <w:sz w:val="20"/>
                <w:szCs w:val="20"/>
              </w:rPr>
              <w:tab/>
            </w:r>
            <w:r w:rsidRPr="00F02BF2">
              <w:rPr>
                <w:sz w:val="20"/>
                <w:szCs w:val="20"/>
              </w:rPr>
              <w:t>David Cranton</w:t>
            </w:r>
          </w:p>
          <w:p w:rsidR="0044656C" w:rsidRPr="00A935AA" w:rsidRDefault="0044656C" w:rsidP="0044656C">
            <w:pPr>
              <w:tabs>
                <w:tab w:val="left" w:pos="-1440"/>
                <w:tab w:val="left" w:pos="-720"/>
              </w:tabs>
              <w:rPr>
                <w:sz w:val="20"/>
                <w:szCs w:val="20"/>
              </w:rPr>
            </w:pPr>
            <w:r w:rsidRPr="00A935AA">
              <w:rPr>
                <w:sz w:val="20"/>
                <w:szCs w:val="20"/>
              </w:rPr>
              <w:tab/>
            </w:r>
            <w:r>
              <w:rPr>
                <w:sz w:val="20"/>
                <w:szCs w:val="20"/>
              </w:rPr>
              <w:t>A.G. of Canada</w:t>
            </w:r>
          </w:p>
          <w:p w:rsidR="0044656C" w:rsidRPr="00A935AA" w:rsidRDefault="0044656C" w:rsidP="0044656C">
            <w:pPr>
              <w:tabs>
                <w:tab w:val="left" w:pos="-1440"/>
                <w:tab w:val="left" w:pos="-720"/>
              </w:tabs>
              <w:rPr>
                <w:sz w:val="20"/>
                <w:szCs w:val="20"/>
              </w:rPr>
            </w:pPr>
          </w:p>
          <w:p w:rsidR="0044656C" w:rsidRPr="00A935AA" w:rsidRDefault="0044656C" w:rsidP="0044656C">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1</w:t>
            </w:r>
            <w:r w:rsidRPr="00A935AA">
              <w:rPr>
                <w:sz w:val="20"/>
                <w:szCs w:val="20"/>
              </w:rPr>
              <w:t>.201</w:t>
            </w:r>
            <w:r>
              <w:rPr>
                <w:sz w:val="20"/>
                <w:szCs w:val="20"/>
              </w:rPr>
              <w:t>4</w:t>
            </w:r>
          </w:p>
          <w:p w:rsidR="0044656C" w:rsidRPr="00A935AA" w:rsidRDefault="0077107C" w:rsidP="0044656C">
            <w:pPr>
              <w:rPr>
                <w:sz w:val="20"/>
                <w:szCs w:val="20"/>
              </w:rPr>
            </w:pPr>
            <w:r>
              <w:rPr>
                <w:sz w:val="20"/>
                <w:szCs w:val="20"/>
                <w:lang w:val="fr-CA"/>
              </w:rPr>
              <w:pict>
                <v:rect id="_x0000_i1026" style="width:108pt;height:1pt" o:hrpct="0" o:hralign="center" o:hrstd="t" o:hrnoshade="t" o:hr="t" fillcolor="black [3213]" stroked="f"/>
              </w:pict>
            </w:r>
          </w:p>
        </w:tc>
      </w:tr>
      <w:tr w:rsidR="009F2BFB" w:rsidRPr="00A935AA" w:rsidTr="003B3977">
        <w:tc>
          <w:tcPr>
            <w:tcW w:w="4320" w:type="dxa"/>
            <w:shd w:val="clear" w:color="auto" w:fill="auto"/>
          </w:tcPr>
          <w:p w:rsidR="009F2BFB" w:rsidRDefault="009F2BFB" w:rsidP="0044656C">
            <w:pPr>
              <w:rPr>
                <w:b/>
                <w:sz w:val="20"/>
                <w:szCs w:val="20"/>
              </w:rPr>
            </w:pPr>
          </w:p>
          <w:p w:rsidR="009F2BFB" w:rsidRDefault="009F2BFB" w:rsidP="0044656C">
            <w:pPr>
              <w:rPr>
                <w:sz w:val="20"/>
                <w:szCs w:val="20"/>
              </w:rPr>
            </w:pPr>
            <w:r>
              <w:rPr>
                <w:b/>
                <w:sz w:val="20"/>
                <w:szCs w:val="20"/>
              </w:rPr>
              <w:tab/>
            </w:r>
            <w:r>
              <w:rPr>
                <w:sz w:val="20"/>
                <w:szCs w:val="20"/>
              </w:rPr>
              <w:t>v. (35573)</w:t>
            </w:r>
          </w:p>
          <w:p w:rsidR="009F2BFB" w:rsidRPr="00F02BF2" w:rsidRDefault="009F2BFB" w:rsidP="009F2BFB">
            <w:pPr>
              <w:keepNext/>
              <w:keepLines/>
              <w:tabs>
                <w:tab w:val="left" w:pos="-1440"/>
                <w:tab w:val="left" w:pos="-720"/>
              </w:tabs>
              <w:rPr>
                <w:sz w:val="20"/>
                <w:szCs w:val="20"/>
              </w:rPr>
            </w:pPr>
          </w:p>
          <w:p w:rsidR="009F2BFB" w:rsidRPr="00F02BF2" w:rsidRDefault="009F2BFB" w:rsidP="009F2BFB">
            <w:pPr>
              <w:keepNext/>
              <w:keepLines/>
              <w:tabs>
                <w:tab w:val="left" w:pos="-1440"/>
                <w:tab w:val="left" w:pos="-720"/>
              </w:tabs>
              <w:rPr>
                <w:b/>
                <w:sz w:val="20"/>
                <w:szCs w:val="20"/>
              </w:rPr>
            </w:pPr>
            <w:r w:rsidRPr="00F02BF2">
              <w:rPr>
                <w:b/>
                <w:sz w:val="20"/>
                <w:szCs w:val="20"/>
              </w:rPr>
              <w:t>Attorney General of Canada, on behalf of the United Kingdom of Great Britain and Nor</w:t>
            </w:r>
            <w:r>
              <w:rPr>
                <w:b/>
                <w:sz w:val="20"/>
                <w:szCs w:val="20"/>
              </w:rPr>
              <w:t>thern Ireland</w:t>
            </w:r>
            <w:r w:rsidRPr="00F02BF2">
              <w:rPr>
                <w:b/>
                <w:sz w:val="20"/>
                <w:szCs w:val="20"/>
              </w:rPr>
              <w:t xml:space="preserve"> (</w:t>
            </w:r>
            <w:r w:rsidR="001F54B9">
              <w:rPr>
                <w:b/>
                <w:sz w:val="20"/>
                <w:szCs w:val="20"/>
              </w:rPr>
              <w:t>B.C.</w:t>
            </w:r>
            <w:r w:rsidRPr="00F02BF2">
              <w:rPr>
                <w:b/>
                <w:sz w:val="20"/>
                <w:szCs w:val="20"/>
              </w:rPr>
              <w:t>)</w:t>
            </w:r>
          </w:p>
          <w:p w:rsidR="009F2BFB" w:rsidRPr="00F02BF2" w:rsidRDefault="009F2BFB" w:rsidP="009F2BFB">
            <w:pPr>
              <w:keepNext/>
              <w:keepLines/>
              <w:tabs>
                <w:tab w:val="left" w:pos="-1440"/>
                <w:tab w:val="left" w:pos="-720"/>
              </w:tabs>
              <w:rPr>
                <w:sz w:val="20"/>
                <w:szCs w:val="20"/>
              </w:rPr>
            </w:pPr>
            <w:r w:rsidRPr="00F02BF2">
              <w:rPr>
                <w:sz w:val="20"/>
                <w:szCs w:val="20"/>
              </w:rPr>
              <w:tab/>
            </w:r>
            <w:r>
              <w:rPr>
                <w:sz w:val="20"/>
                <w:szCs w:val="20"/>
              </w:rPr>
              <w:t>Stacey M. Repas</w:t>
            </w:r>
          </w:p>
          <w:p w:rsidR="009F2BFB" w:rsidRPr="00F02BF2" w:rsidRDefault="009F2BFB" w:rsidP="009F2BFB">
            <w:pPr>
              <w:keepNext/>
              <w:keepLines/>
              <w:tabs>
                <w:tab w:val="left" w:pos="-1440"/>
                <w:tab w:val="left" w:pos="-720"/>
              </w:tabs>
              <w:rPr>
                <w:sz w:val="20"/>
                <w:szCs w:val="20"/>
              </w:rPr>
            </w:pPr>
            <w:r w:rsidRPr="00F02BF2">
              <w:rPr>
                <w:sz w:val="20"/>
                <w:szCs w:val="20"/>
              </w:rPr>
              <w:tab/>
            </w:r>
            <w:r>
              <w:rPr>
                <w:sz w:val="20"/>
                <w:szCs w:val="20"/>
              </w:rPr>
              <w:t>A.G of Canada</w:t>
            </w:r>
          </w:p>
          <w:p w:rsidR="009F2BFB" w:rsidRDefault="009F2BFB" w:rsidP="009F2BFB">
            <w:pPr>
              <w:rPr>
                <w:sz w:val="20"/>
                <w:szCs w:val="20"/>
              </w:rPr>
            </w:pPr>
          </w:p>
          <w:p w:rsidR="009F2BFB" w:rsidRPr="009F2BFB" w:rsidRDefault="009F2BFB" w:rsidP="009F2BFB">
            <w:pPr>
              <w:rPr>
                <w:sz w:val="20"/>
                <w:szCs w:val="20"/>
              </w:rPr>
            </w:pPr>
            <w:r w:rsidRPr="00A935AA">
              <w:rPr>
                <w:sz w:val="20"/>
                <w:szCs w:val="20"/>
              </w:rPr>
              <w:t>FILING DATE: 2</w:t>
            </w:r>
            <w:r>
              <w:rPr>
                <w:sz w:val="20"/>
                <w:szCs w:val="20"/>
              </w:rPr>
              <w:t>9</w:t>
            </w:r>
            <w:r w:rsidRPr="00A935AA">
              <w:rPr>
                <w:sz w:val="20"/>
                <w:szCs w:val="20"/>
              </w:rPr>
              <w:t>.0</w:t>
            </w:r>
            <w:r>
              <w:rPr>
                <w:sz w:val="20"/>
                <w:szCs w:val="20"/>
              </w:rPr>
              <w:t>1</w:t>
            </w:r>
            <w:r w:rsidRPr="00A935AA">
              <w:rPr>
                <w:sz w:val="20"/>
                <w:szCs w:val="20"/>
              </w:rPr>
              <w:t>.201</w:t>
            </w:r>
            <w:r>
              <w:rPr>
                <w:sz w:val="20"/>
                <w:szCs w:val="20"/>
              </w:rPr>
              <w:t>4</w:t>
            </w:r>
            <w:r w:rsidR="0077107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Pr="00A935AA" w:rsidRDefault="009F2BFB" w:rsidP="00242AEE">
            <w:pPr>
              <w:jc w:val="center"/>
              <w:rPr>
                <w:sz w:val="20"/>
                <w:szCs w:val="20"/>
              </w:rPr>
            </w:pPr>
          </w:p>
        </w:tc>
        <w:tc>
          <w:tcPr>
            <w:tcW w:w="4320" w:type="dxa"/>
            <w:shd w:val="clear" w:color="auto" w:fill="auto"/>
          </w:tcPr>
          <w:p w:rsidR="009F2BFB" w:rsidRPr="00A935AA" w:rsidRDefault="009F2BFB" w:rsidP="00615810">
            <w:pPr>
              <w:keepNext/>
              <w:keepLines/>
              <w:tabs>
                <w:tab w:val="left" w:pos="-1440"/>
                <w:tab w:val="left" w:pos="-720"/>
              </w:tabs>
              <w:rPr>
                <w:b/>
                <w:sz w:val="20"/>
                <w:szCs w:val="20"/>
              </w:rPr>
            </w:pPr>
            <w:r>
              <w:rPr>
                <w:b/>
                <w:sz w:val="20"/>
                <w:szCs w:val="20"/>
              </w:rPr>
              <w:t>Vijay Singh</w:t>
            </w:r>
          </w:p>
          <w:p w:rsidR="009F2BFB" w:rsidRPr="00A935AA" w:rsidRDefault="009F2BFB" w:rsidP="00615810">
            <w:pPr>
              <w:keepNext/>
              <w:keepLines/>
              <w:tabs>
                <w:tab w:val="left" w:pos="-1440"/>
                <w:tab w:val="left" w:pos="-720"/>
              </w:tabs>
              <w:rPr>
                <w:sz w:val="20"/>
                <w:szCs w:val="20"/>
              </w:rPr>
            </w:pPr>
            <w:r w:rsidRPr="00A935AA">
              <w:rPr>
                <w:sz w:val="20"/>
                <w:szCs w:val="20"/>
              </w:rPr>
              <w:tab/>
            </w:r>
            <w:r>
              <w:rPr>
                <w:sz w:val="20"/>
                <w:szCs w:val="20"/>
              </w:rPr>
              <w:t>Nancy J. Tourgis</w:t>
            </w:r>
          </w:p>
          <w:p w:rsidR="009F2BFB" w:rsidRPr="00A935AA" w:rsidRDefault="009F2BFB" w:rsidP="00615810">
            <w:pPr>
              <w:keepNext/>
              <w:keepLines/>
              <w:tabs>
                <w:tab w:val="left" w:pos="-1440"/>
                <w:tab w:val="left" w:pos="-720"/>
              </w:tabs>
              <w:rPr>
                <w:sz w:val="20"/>
                <w:szCs w:val="20"/>
              </w:rPr>
            </w:pPr>
            <w:r w:rsidRPr="00A935AA">
              <w:rPr>
                <w:sz w:val="20"/>
                <w:szCs w:val="20"/>
              </w:rPr>
              <w:tab/>
            </w:r>
            <w:r>
              <w:rPr>
                <w:sz w:val="20"/>
                <w:szCs w:val="20"/>
              </w:rPr>
              <w:t>Solmon Rothbart Goodman</w:t>
            </w:r>
          </w:p>
          <w:p w:rsidR="009F2BFB" w:rsidRPr="00A935AA" w:rsidRDefault="009F2BFB" w:rsidP="00615810">
            <w:pPr>
              <w:keepNext/>
              <w:keepLines/>
              <w:tabs>
                <w:tab w:val="left" w:pos="-1440"/>
                <w:tab w:val="left" w:pos="-720"/>
              </w:tabs>
              <w:rPr>
                <w:sz w:val="20"/>
                <w:szCs w:val="20"/>
              </w:rPr>
            </w:pPr>
          </w:p>
          <w:p w:rsidR="009F2BFB" w:rsidRPr="00F02BF2" w:rsidRDefault="009F2BFB" w:rsidP="00615810">
            <w:pPr>
              <w:keepNext/>
              <w:keepLines/>
              <w:tabs>
                <w:tab w:val="left" w:pos="-1440"/>
                <w:tab w:val="left" w:pos="-720"/>
              </w:tabs>
              <w:rPr>
                <w:sz w:val="20"/>
                <w:szCs w:val="20"/>
              </w:rPr>
            </w:pPr>
            <w:r w:rsidRPr="00A935AA">
              <w:rPr>
                <w:sz w:val="20"/>
                <w:szCs w:val="20"/>
              </w:rPr>
              <w:tab/>
            </w:r>
            <w:r w:rsidRPr="00F02BF2">
              <w:rPr>
                <w:sz w:val="20"/>
                <w:szCs w:val="20"/>
              </w:rPr>
              <w:t>v. (35716)</w:t>
            </w:r>
          </w:p>
          <w:p w:rsidR="009F2BFB" w:rsidRPr="00F02BF2" w:rsidRDefault="009F2BFB" w:rsidP="00615810">
            <w:pPr>
              <w:keepNext/>
              <w:keepLines/>
              <w:tabs>
                <w:tab w:val="left" w:pos="-1440"/>
                <w:tab w:val="left" w:pos="-720"/>
              </w:tabs>
              <w:rPr>
                <w:sz w:val="20"/>
                <w:szCs w:val="20"/>
              </w:rPr>
            </w:pPr>
          </w:p>
          <w:p w:rsidR="009F2BFB" w:rsidRPr="00F02BF2" w:rsidRDefault="009F2BFB" w:rsidP="00615810">
            <w:pPr>
              <w:keepNext/>
              <w:keepLines/>
              <w:tabs>
                <w:tab w:val="left" w:pos="-1440"/>
                <w:tab w:val="left" w:pos="-720"/>
              </w:tabs>
              <w:rPr>
                <w:b/>
                <w:sz w:val="20"/>
                <w:szCs w:val="20"/>
              </w:rPr>
            </w:pPr>
            <w:r>
              <w:rPr>
                <w:b/>
                <w:sz w:val="20"/>
                <w:szCs w:val="20"/>
              </w:rPr>
              <w:t>Her Majesty the Queen</w:t>
            </w:r>
            <w:r w:rsidRPr="00F02BF2">
              <w:rPr>
                <w:b/>
                <w:sz w:val="20"/>
                <w:szCs w:val="20"/>
              </w:rPr>
              <w:t xml:space="preserve"> (</w:t>
            </w:r>
            <w:r w:rsidR="001F54B9" w:rsidRPr="00F02BF2">
              <w:rPr>
                <w:b/>
                <w:sz w:val="20"/>
                <w:szCs w:val="20"/>
              </w:rPr>
              <w:t>Ont.</w:t>
            </w:r>
            <w:r w:rsidRPr="00F02BF2">
              <w:rPr>
                <w:b/>
                <w:sz w:val="20"/>
                <w:szCs w:val="20"/>
              </w:rPr>
              <w:t>)</w:t>
            </w:r>
          </w:p>
          <w:p w:rsidR="009F2BFB" w:rsidRPr="00F02BF2" w:rsidRDefault="009F2BFB" w:rsidP="00615810">
            <w:pPr>
              <w:keepNext/>
              <w:keepLines/>
              <w:tabs>
                <w:tab w:val="left" w:pos="-1440"/>
                <w:tab w:val="left" w:pos="-720"/>
              </w:tabs>
              <w:rPr>
                <w:sz w:val="20"/>
                <w:szCs w:val="20"/>
              </w:rPr>
            </w:pPr>
            <w:r w:rsidRPr="00F02BF2">
              <w:rPr>
                <w:sz w:val="20"/>
                <w:szCs w:val="20"/>
              </w:rPr>
              <w:tab/>
            </w:r>
            <w:r>
              <w:rPr>
                <w:sz w:val="20"/>
                <w:szCs w:val="20"/>
              </w:rPr>
              <w:t>Jinwon Kim</w:t>
            </w:r>
          </w:p>
          <w:p w:rsidR="009F2BFB" w:rsidRPr="00F02BF2" w:rsidRDefault="009F2BFB" w:rsidP="00615810">
            <w:pPr>
              <w:keepNext/>
              <w:keepLines/>
              <w:tabs>
                <w:tab w:val="left" w:pos="-1440"/>
                <w:tab w:val="left" w:pos="-720"/>
              </w:tabs>
              <w:rPr>
                <w:sz w:val="20"/>
                <w:szCs w:val="20"/>
              </w:rPr>
            </w:pPr>
            <w:r w:rsidRPr="00F02BF2">
              <w:rPr>
                <w:sz w:val="20"/>
                <w:szCs w:val="20"/>
              </w:rPr>
              <w:tab/>
            </w:r>
            <w:r>
              <w:rPr>
                <w:sz w:val="20"/>
                <w:szCs w:val="20"/>
              </w:rPr>
              <w:t>A.G. of Ontario</w:t>
            </w:r>
          </w:p>
          <w:p w:rsidR="009F2BFB" w:rsidRPr="00F02BF2" w:rsidRDefault="009F2BFB" w:rsidP="00615810">
            <w:pPr>
              <w:keepNext/>
              <w:keepLines/>
              <w:tabs>
                <w:tab w:val="left" w:pos="-1440"/>
                <w:tab w:val="left" w:pos="-720"/>
              </w:tabs>
              <w:rPr>
                <w:sz w:val="20"/>
                <w:szCs w:val="20"/>
              </w:rPr>
            </w:pPr>
          </w:p>
          <w:p w:rsidR="009F2BFB" w:rsidRPr="00A935AA" w:rsidRDefault="009F2BFB" w:rsidP="00615810">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2</w:t>
            </w:r>
            <w:r w:rsidRPr="00A935AA">
              <w:rPr>
                <w:sz w:val="20"/>
                <w:szCs w:val="20"/>
              </w:rPr>
              <w:t>.201</w:t>
            </w:r>
            <w:r>
              <w:rPr>
                <w:sz w:val="20"/>
                <w:szCs w:val="20"/>
              </w:rPr>
              <w:t>4</w:t>
            </w:r>
            <w:r w:rsidR="0077107C">
              <w:rPr>
                <w:sz w:val="20"/>
                <w:szCs w:val="20"/>
                <w:lang w:val="fr-CA"/>
              </w:rPr>
              <w:pict>
                <v:rect id="_x0000_i1028" style="width:108pt;height:1pt" o:hrpct="0" o:hralign="center" o:hrstd="t" o:hrnoshade="t" o:hr="t" fillcolor="black [3213]" stroked="f"/>
              </w:pict>
            </w:r>
          </w:p>
        </w:tc>
      </w:tr>
      <w:tr w:rsidR="009F2BFB" w:rsidRPr="009F2BFB" w:rsidTr="003B3977">
        <w:tc>
          <w:tcPr>
            <w:tcW w:w="4320" w:type="dxa"/>
            <w:shd w:val="clear" w:color="auto" w:fill="auto"/>
          </w:tcPr>
          <w:p w:rsidR="009F2BFB" w:rsidRPr="00F02BF2" w:rsidRDefault="009F2BFB" w:rsidP="001D5B5B">
            <w:pPr>
              <w:rPr>
                <w:b/>
                <w:sz w:val="20"/>
                <w:szCs w:val="20"/>
                <w:lang w:val="fr-CA"/>
              </w:rPr>
            </w:pPr>
            <w:r w:rsidRPr="00F02BF2">
              <w:rPr>
                <w:b/>
                <w:sz w:val="20"/>
                <w:szCs w:val="20"/>
                <w:lang w:val="fr-CA"/>
              </w:rPr>
              <w:t>Association des pompiers professionnels de Québec inc.</w:t>
            </w:r>
          </w:p>
          <w:p w:rsidR="009F2BFB" w:rsidRPr="00F02BF2" w:rsidRDefault="009F2BFB" w:rsidP="001D5B5B">
            <w:pPr>
              <w:tabs>
                <w:tab w:val="left" w:pos="-1440"/>
                <w:tab w:val="left" w:pos="-720"/>
              </w:tabs>
              <w:rPr>
                <w:sz w:val="20"/>
                <w:szCs w:val="20"/>
                <w:lang w:val="fr-CA"/>
              </w:rPr>
            </w:pPr>
            <w:r w:rsidRPr="00F02BF2">
              <w:rPr>
                <w:sz w:val="20"/>
                <w:szCs w:val="20"/>
                <w:lang w:val="fr-CA"/>
              </w:rPr>
              <w:tab/>
            </w:r>
            <w:r>
              <w:rPr>
                <w:sz w:val="20"/>
                <w:szCs w:val="20"/>
                <w:lang w:val="fr-CA"/>
              </w:rPr>
              <w:t>Claude Leblan</w:t>
            </w:r>
          </w:p>
          <w:p w:rsidR="009F2BFB" w:rsidRPr="00F02BF2" w:rsidRDefault="009F2BFB" w:rsidP="001D5B5B">
            <w:pPr>
              <w:tabs>
                <w:tab w:val="left" w:pos="-1440"/>
                <w:tab w:val="left" w:pos="-720"/>
              </w:tabs>
              <w:rPr>
                <w:sz w:val="20"/>
                <w:szCs w:val="20"/>
                <w:lang w:val="fr-CA"/>
              </w:rPr>
            </w:pPr>
            <w:r w:rsidRPr="00F02BF2">
              <w:rPr>
                <w:sz w:val="20"/>
                <w:szCs w:val="20"/>
                <w:lang w:val="fr-CA"/>
              </w:rPr>
              <w:tab/>
            </w:r>
            <w:r>
              <w:rPr>
                <w:sz w:val="20"/>
                <w:szCs w:val="20"/>
                <w:lang w:val="fr-CA"/>
              </w:rPr>
              <w:t>Philion Leblanc Beaudry</w:t>
            </w:r>
          </w:p>
          <w:p w:rsidR="009F2BFB" w:rsidRPr="00F02BF2" w:rsidRDefault="009F2BFB" w:rsidP="001D5B5B">
            <w:pPr>
              <w:tabs>
                <w:tab w:val="left" w:pos="-1440"/>
                <w:tab w:val="left" w:pos="-720"/>
              </w:tabs>
              <w:rPr>
                <w:sz w:val="20"/>
                <w:szCs w:val="20"/>
                <w:lang w:val="fr-CA"/>
              </w:rPr>
            </w:pPr>
          </w:p>
          <w:p w:rsidR="009F2BFB" w:rsidRPr="00F02BF2" w:rsidRDefault="009F2BFB" w:rsidP="001D5B5B">
            <w:pPr>
              <w:tabs>
                <w:tab w:val="left" w:pos="-1440"/>
                <w:tab w:val="left" w:pos="-720"/>
              </w:tabs>
              <w:rPr>
                <w:sz w:val="20"/>
                <w:szCs w:val="20"/>
                <w:lang w:val="fr-CA"/>
              </w:rPr>
            </w:pPr>
            <w:r w:rsidRPr="00F02BF2">
              <w:rPr>
                <w:sz w:val="20"/>
                <w:szCs w:val="20"/>
                <w:lang w:val="fr-CA"/>
              </w:rPr>
              <w:tab/>
            </w:r>
            <w:r>
              <w:rPr>
                <w:sz w:val="20"/>
                <w:szCs w:val="20"/>
                <w:lang w:val="fr-CA"/>
              </w:rPr>
              <w:t>c</w:t>
            </w:r>
            <w:r w:rsidRPr="00F02BF2">
              <w:rPr>
                <w:sz w:val="20"/>
                <w:szCs w:val="20"/>
                <w:lang w:val="fr-CA"/>
              </w:rPr>
              <w:t>. (35715)</w:t>
            </w:r>
          </w:p>
          <w:p w:rsidR="009F2BFB" w:rsidRPr="00F02BF2" w:rsidRDefault="009F2BFB" w:rsidP="001D5B5B">
            <w:pPr>
              <w:tabs>
                <w:tab w:val="left" w:pos="-1440"/>
                <w:tab w:val="left" w:pos="-720"/>
              </w:tabs>
              <w:rPr>
                <w:sz w:val="20"/>
                <w:szCs w:val="20"/>
                <w:lang w:val="fr-CA"/>
              </w:rPr>
            </w:pPr>
          </w:p>
          <w:p w:rsidR="009F2BFB" w:rsidRPr="00F02BF2" w:rsidRDefault="009F2BFB" w:rsidP="001D5B5B">
            <w:pPr>
              <w:tabs>
                <w:tab w:val="left" w:pos="-1440"/>
                <w:tab w:val="left" w:pos="-720"/>
              </w:tabs>
              <w:rPr>
                <w:b/>
                <w:sz w:val="20"/>
                <w:szCs w:val="20"/>
                <w:lang w:val="fr-CA"/>
              </w:rPr>
            </w:pPr>
            <w:r w:rsidRPr="00F02BF2">
              <w:rPr>
                <w:b/>
                <w:sz w:val="20"/>
                <w:szCs w:val="20"/>
                <w:lang w:val="fr-CA"/>
              </w:rPr>
              <w:t>Ville de Québec (Qc)</w:t>
            </w:r>
          </w:p>
          <w:p w:rsidR="009F2BFB" w:rsidRPr="00F02BF2" w:rsidRDefault="009F2BFB" w:rsidP="001D5B5B">
            <w:pPr>
              <w:tabs>
                <w:tab w:val="left" w:pos="-1440"/>
                <w:tab w:val="left" w:pos="-720"/>
              </w:tabs>
              <w:rPr>
                <w:sz w:val="20"/>
                <w:szCs w:val="20"/>
                <w:lang w:val="fr-CA"/>
              </w:rPr>
            </w:pPr>
            <w:r w:rsidRPr="00F02BF2">
              <w:rPr>
                <w:sz w:val="20"/>
                <w:szCs w:val="20"/>
                <w:lang w:val="fr-CA"/>
              </w:rPr>
              <w:tab/>
            </w:r>
            <w:r>
              <w:rPr>
                <w:sz w:val="20"/>
                <w:szCs w:val="20"/>
                <w:lang w:val="fr-CA"/>
              </w:rPr>
              <w:t>Sylvain Lepage</w:t>
            </w:r>
          </w:p>
          <w:p w:rsidR="009F2BFB" w:rsidRPr="00F02BF2" w:rsidRDefault="009F2BFB" w:rsidP="001D5B5B">
            <w:pPr>
              <w:tabs>
                <w:tab w:val="left" w:pos="-1440"/>
                <w:tab w:val="left" w:pos="-720"/>
              </w:tabs>
              <w:rPr>
                <w:sz w:val="20"/>
                <w:szCs w:val="20"/>
                <w:lang w:val="fr-CA"/>
              </w:rPr>
            </w:pPr>
            <w:r w:rsidRPr="00F02BF2">
              <w:rPr>
                <w:sz w:val="20"/>
                <w:szCs w:val="20"/>
                <w:lang w:val="fr-CA"/>
              </w:rPr>
              <w:tab/>
            </w:r>
            <w:r>
              <w:rPr>
                <w:sz w:val="20"/>
                <w:szCs w:val="20"/>
                <w:lang w:val="fr-CA"/>
              </w:rPr>
              <w:t>Cain Lamarre Casgrain Wells</w:t>
            </w:r>
          </w:p>
          <w:p w:rsidR="009F2BFB" w:rsidRPr="00F02BF2" w:rsidRDefault="009F2BFB" w:rsidP="001D5B5B">
            <w:pPr>
              <w:tabs>
                <w:tab w:val="left" w:pos="-1440"/>
                <w:tab w:val="left" w:pos="-720"/>
              </w:tabs>
              <w:rPr>
                <w:sz w:val="20"/>
                <w:szCs w:val="20"/>
                <w:lang w:val="fr-CA"/>
              </w:rPr>
            </w:pPr>
          </w:p>
          <w:p w:rsidR="009F2BFB" w:rsidRPr="00BA44DC" w:rsidRDefault="009F2BFB" w:rsidP="001D5B5B">
            <w:pPr>
              <w:rPr>
                <w:sz w:val="20"/>
                <w:szCs w:val="20"/>
                <w:lang w:val="fr-CA"/>
              </w:rPr>
            </w:pPr>
            <w:r w:rsidRPr="00BA44DC">
              <w:rPr>
                <w:sz w:val="20"/>
                <w:szCs w:val="20"/>
                <w:lang w:val="fr-CA"/>
              </w:rPr>
              <w:t>DATE DE PRODUCTION : 03.02.2014</w:t>
            </w:r>
          </w:p>
          <w:p w:rsidR="009F2BFB" w:rsidRPr="00A935AA" w:rsidRDefault="0077107C" w:rsidP="001D5B5B">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Pr="00A935AA" w:rsidRDefault="009F2BFB" w:rsidP="00242AEE">
            <w:pPr>
              <w:jc w:val="center"/>
              <w:rPr>
                <w:sz w:val="20"/>
                <w:szCs w:val="20"/>
              </w:rPr>
            </w:pPr>
          </w:p>
        </w:tc>
        <w:tc>
          <w:tcPr>
            <w:tcW w:w="4320" w:type="dxa"/>
            <w:shd w:val="clear" w:color="auto" w:fill="auto"/>
          </w:tcPr>
          <w:p w:rsidR="009F2BFB" w:rsidRDefault="009F2BFB" w:rsidP="008C6A79">
            <w:pPr>
              <w:keepNext/>
              <w:keepLines/>
              <w:tabs>
                <w:tab w:val="left" w:pos="-1440"/>
                <w:tab w:val="left" w:pos="-720"/>
              </w:tabs>
              <w:rPr>
                <w:b/>
                <w:sz w:val="20"/>
                <w:szCs w:val="20"/>
              </w:rPr>
            </w:pPr>
          </w:p>
          <w:p w:rsidR="009F2BFB" w:rsidRPr="009F2BFB" w:rsidRDefault="009F2BFB" w:rsidP="008C6A79">
            <w:pPr>
              <w:keepNext/>
              <w:keepLines/>
              <w:tabs>
                <w:tab w:val="left" w:pos="-1440"/>
                <w:tab w:val="left" w:pos="-720"/>
              </w:tabs>
              <w:rPr>
                <w:b/>
                <w:sz w:val="20"/>
                <w:szCs w:val="20"/>
                <w:lang w:val="fr-CA"/>
              </w:rPr>
            </w:pPr>
            <w:r w:rsidRPr="009F2BFB">
              <w:rPr>
                <w:b/>
                <w:sz w:val="20"/>
                <w:szCs w:val="20"/>
                <w:lang w:val="fr-CA"/>
              </w:rPr>
              <w:t>Richard Condo et autre</w:t>
            </w:r>
          </w:p>
          <w:p w:rsidR="009F2BFB" w:rsidRPr="009F2BFB" w:rsidRDefault="009F2BFB" w:rsidP="008C6A79">
            <w:pPr>
              <w:keepNext/>
              <w:keepLines/>
              <w:tabs>
                <w:tab w:val="left" w:pos="-1440"/>
                <w:tab w:val="left" w:pos="-720"/>
              </w:tabs>
              <w:rPr>
                <w:sz w:val="20"/>
                <w:szCs w:val="20"/>
                <w:lang w:val="fr-CA"/>
              </w:rPr>
            </w:pPr>
            <w:r w:rsidRPr="009F2BFB">
              <w:rPr>
                <w:sz w:val="20"/>
                <w:szCs w:val="20"/>
                <w:lang w:val="fr-CA"/>
              </w:rPr>
              <w:tab/>
              <w:t>Richard Condo</w:t>
            </w:r>
          </w:p>
          <w:p w:rsidR="009F2BFB" w:rsidRPr="009F2BFB" w:rsidRDefault="009F2BFB" w:rsidP="008C6A79">
            <w:pPr>
              <w:keepNext/>
              <w:keepLines/>
              <w:tabs>
                <w:tab w:val="left" w:pos="-1440"/>
                <w:tab w:val="left" w:pos="-720"/>
              </w:tabs>
              <w:rPr>
                <w:sz w:val="20"/>
                <w:szCs w:val="20"/>
                <w:lang w:val="fr-CA"/>
              </w:rPr>
            </w:pPr>
          </w:p>
          <w:p w:rsidR="009F2BFB" w:rsidRPr="00BE3046" w:rsidRDefault="009F2BFB" w:rsidP="008C6A79">
            <w:pPr>
              <w:keepNext/>
              <w:keepLines/>
              <w:tabs>
                <w:tab w:val="left" w:pos="-1440"/>
                <w:tab w:val="left" w:pos="-720"/>
              </w:tabs>
              <w:rPr>
                <w:sz w:val="20"/>
                <w:szCs w:val="20"/>
                <w:lang w:val="fr-CA"/>
              </w:rPr>
            </w:pPr>
            <w:r w:rsidRPr="009F2BFB">
              <w:rPr>
                <w:sz w:val="20"/>
                <w:szCs w:val="20"/>
                <w:lang w:val="fr-CA"/>
              </w:rPr>
              <w:tab/>
            </w:r>
            <w:r>
              <w:rPr>
                <w:sz w:val="20"/>
                <w:szCs w:val="20"/>
                <w:lang w:val="fr-CA"/>
              </w:rPr>
              <w:t>c</w:t>
            </w:r>
            <w:r w:rsidRPr="00BE3046">
              <w:rPr>
                <w:sz w:val="20"/>
                <w:szCs w:val="20"/>
                <w:lang w:val="fr-CA"/>
              </w:rPr>
              <w:t>. (35720)</w:t>
            </w:r>
          </w:p>
          <w:p w:rsidR="009F2BFB" w:rsidRPr="00BE3046" w:rsidRDefault="009F2BFB" w:rsidP="008C6A79">
            <w:pPr>
              <w:keepNext/>
              <w:keepLines/>
              <w:tabs>
                <w:tab w:val="left" w:pos="-1440"/>
                <w:tab w:val="left" w:pos="-720"/>
              </w:tabs>
              <w:rPr>
                <w:sz w:val="20"/>
                <w:szCs w:val="20"/>
                <w:lang w:val="fr-CA"/>
              </w:rPr>
            </w:pPr>
          </w:p>
          <w:p w:rsidR="009F2BFB" w:rsidRPr="00BE3046" w:rsidRDefault="009F2BFB" w:rsidP="008C6A79">
            <w:pPr>
              <w:keepNext/>
              <w:keepLines/>
              <w:tabs>
                <w:tab w:val="left" w:pos="-1440"/>
                <w:tab w:val="left" w:pos="-720"/>
              </w:tabs>
              <w:rPr>
                <w:b/>
                <w:sz w:val="20"/>
                <w:szCs w:val="20"/>
                <w:lang w:val="fr-CA"/>
              </w:rPr>
            </w:pPr>
            <w:r w:rsidRPr="00BE3046">
              <w:rPr>
                <w:b/>
                <w:sz w:val="20"/>
                <w:szCs w:val="20"/>
                <w:lang w:val="fr-CA"/>
              </w:rPr>
              <w:t>Construction Ste-Marthe inc. (Qc)</w:t>
            </w:r>
          </w:p>
          <w:p w:rsidR="009F2BFB" w:rsidRPr="009F2BFB" w:rsidRDefault="009F2BFB" w:rsidP="008C6A79">
            <w:pPr>
              <w:keepNext/>
              <w:keepLines/>
              <w:tabs>
                <w:tab w:val="left" w:pos="-1440"/>
                <w:tab w:val="left" w:pos="-720"/>
              </w:tabs>
              <w:rPr>
                <w:sz w:val="20"/>
                <w:szCs w:val="20"/>
                <w:lang w:val="fr-CA"/>
              </w:rPr>
            </w:pPr>
            <w:r w:rsidRPr="00BE3046">
              <w:rPr>
                <w:sz w:val="20"/>
                <w:szCs w:val="20"/>
                <w:lang w:val="fr-CA"/>
              </w:rPr>
              <w:tab/>
            </w:r>
            <w:r w:rsidRPr="009F2BFB">
              <w:rPr>
                <w:sz w:val="20"/>
                <w:szCs w:val="20"/>
                <w:lang w:val="fr-CA"/>
              </w:rPr>
              <w:t>Pierre Séguin</w:t>
            </w:r>
          </w:p>
          <w:p w:rsidR="009F2BFB" w:rsidRPr="009F2BFB" w:rsidRDefault="009F2BFB" w:rsidP="008C6A79">
            <w:pPr>
              <w:keepNext/>
              <w:keepLines/>
              <w:tabs>
                <w:tab w:val="left" w:pos="-1440"/>
                <w:tab w:val="left" w:pos="-720"/>
              </w:tabs>
              <w:rPr>
                <w:sz w:val="20"/>
                <w:szCs w:val="20"/>
                <w:lang w:val="fr-CA"/>
              </w:rPr>
            </w:pPr>
            <w:r w:rsidRPr="009F2BFB">
              <w:rPr>
                <w:sz w:val="20"/>
                <w:szCs w:val="20"/>
                <w:lang w:val="fr-CA"/>
              </w:rPr>
              <w:tab/>
              <w:t xml:space="preserve">Rolland Séguin Sauvé Pellerin, avocats </w:t>
            </w:r>
            <w:r w:rsidRPr="009F2BFB">
              <w:rPr>
                <w:sz w:val="20"/>
                <w:szCs w:val="20"/>
                <w:lang w:val="fr-CA"/>
              </w:rPr>
              <w:tab/>
              <w:t>inc.</w:t>
            </w:r>
          </w:p>
          <w:p w:rsidR="009F2BFB" w:rsidRPr="009F2BFB" w:rsidRDefault="009F2BFB" w:rsidP="008C6A79">
            <w:pPr>
              <w:keepNext/>
              <w:keepLines/>
              <w:tabs>
                <w:tab w:val="left" w:pos="-1440"/>
                <w:tab w:val="left" w:pos="-720"/>
              </w:tabs>
              <w:rPr>
                <w:sz w:val="20"/>
                <w:szCs w:val="20"/>
                <w:lang w:val="fr-CA"/>
              </w:rPr>
            </w:pPr>
          </w:p>
          <w:p w:rsidR="009F2BFB" w:rsidRPr="009F2BFB" w:rsidRDefault="009F2BFB" w:rsidP="009F2BFB">
            <w:pPr>
              <w:rPr>
                <w:sz w:val="20"/>
                <w:szCs w:val="20"/>
                <w:lang w:val="fr-CA"/>
              </w:rPr>
            </w:pPr>
            <w:r w:rsidRPr="009F2BFB">
              <w:rPr>
                <w:sz w:val="20"/>
                <w:szCs w:val="20"/>
                <w:lang w:val="fr-CA"/>
              </w:rPr>
              <w:t>DATE DE PRODUCTION : 07.02.2014</w:t>
            </w:r>
            <w:r w:rsidR="0077107C">
              <w:rPr>
                <w:sz w:val="20"/>
                <w:szCs w:val="20"/>
                <w:lang w:val="fr-CA"/>
              </w:rPr>
              <w:pict>
                <v:rect id="_x0000_i1030" style="width:108pt;height:1pt" o:hrpct="0" o:hralign="center" o:hrstd="t" o:hrnoshade="t" o:hr="t" fillcolor="black [3213]" stroked="f"/>
              </w:pict>
            </w:r>
          </w:p>
        </w:tc>
      </w:tr>
      <w:tr w:rsidR="009F2BFB" w:rsidRPr="00A935AA" w:rsidTr="003B3977">
        <w:tc>
          <w:tcPr>
            <w:tcW w:w="4320" w:type="dxa"/>
            <w:shd w:val="clear" w:color="auto" w:fill="auto"/>
          </w:tcPr>
          <w:p w:rsidR="009F2BFB" w:rsidRPr="00BE3046" w:rsidRDefault="009F2BFB" w:rsidP="001D5B5B">
            <w:pPr>
              <w:rPr>
                <w:b/>
                <w:sz w:val="20"/>
                <w:szCs w:val="20"/>
              </w:rPr>
            </w:pPr>
            <w:r w:rsidRPr="00BE3046">
              <w:rPr>
                <w:b/>
                <w:sz w:val="20"/>
                <w:szCs w:val="20"/>
              </w:rPr>
              <w:t>Yves Leroy</w:t>
            </w:r>
          </w:p>
          <w:p w:rsidR="009F2BFB" w:rsidRPr="00BE3046" w:rsidRDefault="009F2BFB" w:rsidP="001D5B5B">
            <w:pPr>
              <w:tabs>
                <w:tab w:val="left" w:pos="-1440"/>
                <w:tab w:val="left" w:pos="-720"/>
              </w:tabs>
              <w:rPr>
                <w:sz w:val="20"/>
                <w:szCs w:val="20"/>
              </w:rPr>
            </w:pPr>
            <w:r w:rsidRPr="00BE3046">
              <w:rPr>
                <w:sz w:val="20"/>
                <w:szCs w:val="20"/>
              </w:rPr>
              <w:tab/>
              <w:t>Diego Gramajo</w:t>
            </w:r>
          </w:p>
          <w:p w:rsidR="009F2BFB" w:rsidRPr="00BE3046" w:rsidRDefault="009F2BFB" w:rsidP="001D5B5B">
            <w:pPr>
              <w:tabs>
                <w:tab w:val="left" w:pos="-1440"/>
                <w:tab w:val="left" w:pos="-720"/>
              </w:tabs>
              <w:rPr>
                <w:sz w:val="20"/>
                <w:szCs w:val="20"/>
              </w:rPr>
            </w:pPr>
            <w:r w:rsidRPr="00BE3046">
              <w:rPr>
                <w:sz w:val="20"/>
                <w:szCs w:val="20"/>
              </w:rPr>
              <w:tab/>
              <w:t>Stephen Angers, avocat inc.</w:t>
            </w:r>
          </w:p>
          <w:p w:rsidR="009F2BFB" w:rsidRPr="00BE3046" w:rsidRDefault="009F2BFB" w:rsidP="001D5B5B">
            <w:pPr>
              <w:tabs>
                <w:tab w:val="left" w:pos="-1440"/>
                <w:tab w:val="left" w:pos="-720"/>
              </w:tabs>
              <w:rPr>
                <w:sz w:val="20"/>
                <w:szCs w:val="20"/>
              </w:rPr>
            </w:pPr>
          </w:p>
          <w:p w:rsidR="009F2BFB" w:rsidRPr="005101A9" w:rsidRDefault="009F2BFB" w:rsidP="001D5B5B">
            <w:pPr>
              <w:tabs>
                <w:tab w:val="left" w:pos="-1440"/>
                <w:tab w:val="left" w:pos="-720"/>
              </w:tabs>
              <w:rPr>
                <w:sz w:val="20"/>
                <w:szCs w:val="20"/>
                <w:lang w:val="fr-CA"/>
              </w:rPr>
            </w:pPr>
            <w:r w:rsidRPr="00BE3046">
              <w:rPr>
                <w:sz w:val="20"/>
                <w:szCs w:val="20"/>
              </w:rPr>
              <w:tab/>
            </w:r>
            <w:r w:rsidRPr="005101A9">
              <w:rPr>
                <w:sz w:val="20"/>
                <w:szCs w:val="20"/>
                <w:lang w:val="fr-CA"/>
              </w:rPr>
              <w:t>c. (35721)</w:t>
            </w:r>
          </w:p>
          <w:p w:rsidR="009F2BFB" w:rsidRPr="005101A9" w:rsidRDefault="009F2BFB" w:rsidP="001D5B5B">
            <w:pPr>
              <w:tabs>
                <w:tab w:val="left" w:pos="-1440"/>
                <w:tab w:val="left" w:pos="-720"/>
              </w:tabs>
              <w:rPr>
                <w:sz w:val="20"/>
                <w:szCs w:val="20"/>
                <w:lang w:val="fr-CA"/>
              </w:rPr>
            </w:pPr>
          </w:p>
          <w:p w:rsidR="009F2BFB" w:rsidRPr="005101A9" w:rsidRDefault="009F2BFB" w:rsidP="001D5B5B">
            <w:pPr>
              <w:tabs>
                <w:tab w:val="left" w:pos="-1440"/>
                <w:tab w:val="left" w:pos="-720"/>
              </w:tabs>
              <w:rPr>
                <w:b/>
                <w:sz w:val="20"/>
                <w:szCs w:val="20"/>
                <w:lang w:val="fr-CA"/>
              </w:rPr>
            </w:pPr>
            <w:r w:rsidRPr="005101A9">
              <w:rPr>
                <w:b/>
                <w:sz w:val="20"/>
                <w:szCs w:val="20"/>
                <w:lang w:val="fr-CA"/>
              </w:rPr>
              <w:t>Fédération compagnie d’assurance du Canada (Qc)</w:t>
            </w:r>
          </w:p>
          <w:p w:rsidR="009F2BFB" w:rsidRPr="005101A9" w:rsidRDefault="009F2BFB" w:rsidP="001D5B5B">
            <w:pPr>
              <w:tabs>
                <w:tab w:val="left" w:pos="-1440"/>
                <w:tab w:val="left" w:pos="-720"/>
              </w:tabs>
              <w:rPr>
                <w:sz w:val="20"/>
                <w:szCs w:val="20"/>
                <w:lang w:val="fr-CA"/>
              </w:rPr>
            </w:pPr>
            <w:r w:rsidRPr="005101A9">
              <w:rPr>
                <w:sz w:val="20"/>
                <w:szCs w:val="20"/>
                <w:lang w:val="fr-CA"/>
              </w:rPr>
              <w:tab/>
            </w:r>
            <w:r>
              <w:rPr>
                <w:sz w:val="20"/>
                <w:szCs w:val="20"/>
                <w:lang w:val="fr-CA"/>
              </w:rPr>
              <w:t>Dominique Giguère</w:t>
            </w:r>
          </w:p>
          <w:p w:rsidR="009F2BFB" w:rsidRPr="005101A9" w:rsidRDefault="009F2BFB" w:rsidP="001D5B5B">
            <w:pPr>
              <w:tabs>
                <w:tab w:val="left" w:pos="-1440"/>
                <w:tab w:val="left" w:pos="-720"/>
              </w:tabs>
              <w:rPr>
                <w:sz w:val="20"/>
                <w:szCs w:val="20"/>
                <w:lang w:val="fr-CA"/>
              </w:rPr>
            </w:pPr>
            <w:r w:rsidRPr="005101A9">
              <w:rPr>
                <w:sz w:val="20"/>
                <w:szCs w:val="20"/>
                <w:lang w:val="fr-CA"/>
              </w:rPr>
              <w:tab/>
            </w:r>
            <w:r>
              <w:rPr>
                <w:sz w:val="20"/>
                <w:szCs w:val="20"/>
                <w:lang w:val="fr-CA"/>
              </w:rPr>
              <w:t>Gilbert Simard Tremblay, s.e.n.c.</w:t>
            </w:r>
          </w:p>
          <w:p w:rsidR="009F2BFB" w:rsidRPr="005101A9" w:rsidRDefault="009F2BFB" w:rsidP="001D5B5B">
            <w:pPr>
              <w:tabs>
                <w:tab w:val="left" w:pos="-1440"/>
                <w:tab w:val="left" w:pos="-720"/>
              </w:tabs>
              <w:rPr>
                <w:sz w:val="20"/>
                <w:szCs w:val="20"/>
                <w:lang w:val="fr-CA"/>
              </w:rPr>
            </w:pPr>
          </w:p>
          <w:p w:rsidR="009F2BFB" w:rsidRPr="005101A9" w:rsidRDefault="009F2BFB" w:rsidP="005101A9">
            <w:pPr>
              <w:rPr>
                <w:sz w:val="20"/>
                <w:szCs w:val="20"/>
                <w:lang w:val="fr-CA"/>
              </w:rPr>
            </w:pPr>
            <w:r w:rsidRPr="005101A9">
              <w:rPr>
                <w:sz w:val="20"/>
                <w:szCs w:val="20"/>
                <w:lang w:val="fr-CA"/>
              </w:rPr>
              <w:t>DATE DE PRODUCTION : 0</w:t>
            </w:r>
            <w:r>
              <w:rPr>
                <w:sz w:val="20"/>
                <w:szCs w:val="20"/>
                <w:lang w:val="fr-CA"/>
              </w:rPr>
              <w:t>7</w:t>
            </w:r>
            <w:r w:rsidRPr="005101A9">
              <w:rPr>
                <w:sz w:val="20"/>
                <w:szCs w:val="20"/>
                <w:lang w:val="fr-CA"/>
              </w:rPr>
              <w:t>.02.2014</w:t>
            </w:r>
          </w:p>
          <w:p w:rsidR="009F2BFB" w:rsidRPr="00A935AA" w:rsidRDefault="0077107C" w:rsidP="001D5B5B">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Pr="00A935AA" w:rsidRDefault="009F2BFB" w:rsidP="00242AEE">
            <w:pPr>
              <w:jc w:val="center"/>
              <w:rPr>
                <w:sz w:val="20"/>
                <w:szCs w:val="20"/>
              </w:rPr>
            </w:pPr>
          </w:p>
          <w:p w:rsidR="009F2BFB" w:rsidRDefault="009F2BFB" w:rsidP="00242AEE">
            <w:pPr>
              <w:jc w:val="center"/>
              <w:rPr>
                <w:sz w:val="20"/>
                <w:szCs w:val="20"/>
              </w:rPr>
            </w:pPr>
          </w:p>
          <w:p w:rsidR="009F2BFB" w:rsidRDefault="009F2BFB" w:rsidP="00242AEE">
            <w:pPr>
              <w:jc w:val="center"/>
              <w:rPr>
                <w:sz w:val="20"/>
                <w:szCs w:val="20"/>
              </w:rPr>
            </w:pPr>
          </w:p>
          <w:p w:rsidR="009F2BFB" w:rsidRPr="00A935AA" w:rsidRDefault="009F2BFB" w:rsidP="00242AEE">
            <w:pPr>
              <w:jc w:val="center"/>
              <w:rPr>
                <w:sz w:val="20"/>
                <w:szCs w:val="20"/>
              </w:rPr>
            </w:pPr>
          </w:p>
        </w:tc>
        <w:tc>
          <w:tcPr>
            <w:tcW w:w="4320" w:type="dxa"/>
            <w:shd w:val="clear" w:color="auto" w:fill="auto"/>
          </w:tcPr>
          <w:p w:rsidR="009F2BFB" w:rsidRPr="00A935AA" w:rsidRDefault="00BE3046" w:rsidP="008C6A79">
            <w:pPr>
              <w:keepNext/>
              <w:keepLines/>
              <w:tabs>
                <w:tab w:val="left" w:pos="-1440"/>
                <w:tab w:val="left" w:pos="-720"/>
              </w:tabs>
              <w:rPr>
                <w:b/>
                <w:sz w:val="20"/>
                <w:szCs w:val="20"/>
              </w:rPr>
            </w:pPr>
            <w:r>
              <w:rPr>
                <w:b/>
                <w:sz w:val="20"/>
                <w:szCs w:val="20"/>
              </w:rPr>
              <w:t>Stanley J. Tessmer Law Corporation</w:t>
            </w:r>
          </w:p>
          <w:p w:rsidR="009F2BFB" w:rsidRPr="00A935AA" w:rsidRDefault="009F2BFB" w:rsidP="008C6A79">
            <w:pPr>
              <w:keepNext/>
              <w:keepLines/>
              <w:tabs>
                <w:tab w:val="left" w:pos="-1440"/>
                <w:tab w:val="left" w:pos="-720"/>
              </w:tabs>
              <w:rPr>
                <w:sz w:val="20"/>
                <w:szCs w:val="20"/>
              </w:rPr>
            </w:pPr>
            <w:r w:rsidRPr="00A935AA">
              <w:rPr>
                <w:sz w:val="20"/>
                <w:szCs w:val="20"/>
              </w:rPr>
              <w:tab/>
            </w:r>
            <w:r w:rsidR="00BE3046">
              <w:rPr>
                <w:sz w:val="20"/>
                <w:szCs w:val="20"/>
              </w:rPr>
              <w:t>Craig C. Sturrock, Q.C.</w:t>
            </w:r>
          </w:p>
          <w:p w:rsidR="009F2BFB" w:rsidRPr="00A935AA" w:rsidRDefault="009F2BFB" w:rsidP="008C6A79">
            <w:pPr>
              <w:keepNext/>
              <w:keepLines/>
              <w:tabs>
                <w:tab w:val="left" w:pos="-1440"/>
                <w:tab w:val="left" w:pos="-720"/>
              </w:tabs>
              <w:rPr>
                <w:sz w:val="20"/>
                <w:szCs w:val="20"/>
              </w:rPr>
            </w:pPr>
            <w:r w:rsidRPr="00A935AA">
              <w:rPr>
                <w:sz w:val="20"/>
                <w:szCs w:val="20"/>
              </w:rPr>
              <w:tab/>
            </w:r>
            <w:r w:rsidR="00BE3046">
              <w:rPr>
                <w:sz w:val="20"/>
                <w:szCs w:val="20"/>
              </w:rPr>
              <w:t>Thorsteinssons</w:t>
            </w:r>
          </w:p>
          <w:p w:rsidR="009F2BFB" w:rsidRPr="00A935AA" w:rsidRDefault="009F2BFB" w:rsidP="008C6A79">
            <w:pPr>
              <w:keepNext/>
              <w:keepLines/>
              <w:tabs>
                <w:tab w:val="left" w:pos="-1440"/>
                <w:tab w:val="left" w:pos="-720"/>
              </w:tabs>
              <w:rPr>
                <w:sz w:val="20"/>
                <w:szCs w:val="20"/>
              </w:rPr>
            </w:pPr>
          </w:p>
          <w:p w:rsidR="009F2BFB" w:rsidRPr="00BE3046" w:rsidRDefault="009F2BFB" w:rsidP="008C6A79">
            <w:pPr>
              <w:keepNext/>
              <w:keepLines/>
              <w:tabs>
                <w:tab w:val="left" w:pos="-1440"/>
                <w:tab w:val="left" w:pos="-720"/>
              </w:tabs>
              <w:rPr>
                <w:sz w:val="20"/>
                <w:szCs w:val="20"/>
              </w:rPr>
            </w:pPr>
            <w:r w:rsidRPr="00A935AA">
              <w:rPr>
                <w:sz w:val="20"/>
                <w:szCs w:val="20"/>
              </w:rPr>
              <w:tab/>
            </w:r>
            <w:r w:rsidRPr="00BE3046">
              <w:rPr>
                <w:sz w:val="20"/>
                <w:szCs w:val="20"/>
              </w:rPr>
              <w:t>v. (35</w:t>
            </w:r>
            <w:r w:rsidR="00BE3046">
              <w:rPr>
                <w:sz w:val="20"/>
                <w:szCs w:val="20"/>
              </w:rPr>
              <w:t>723</w:t>
            </w:r>
            <w:r w:rsidRPr="00BE3046">
              <w:rPr>
                <w:sz w:val="20"/>
                <w:szCs w:val="20"/>
              </w:rPr>
              <w:t>)</w:t>
            </w:r>
          </w:p>
          <w:p w:rsidR="009F2BFB" w:rsidRPr="00BE3046" w:rsidRDefault="009F2BFB" w:rsidP="008C6A79">
            <w:pPr>
              <w:keepNext/>
              <w:keepLines/>
              <w:tabs>
                <w:tab w:val="left" w:pos="-1440"/>
                <w:tab w:val="left" w:pos="-720"/>
              </w:tabs>
              <w:rPr>
                <w:sz w:val="20"/>
                <w:szCs w:val="20"/>
              </w:rPr>
            </w:pPr>
          </w:p>
          <w:p w:rsidR="009F2BFB" w:rsidRPr="00BE3046" w:rsidRDefault="00BE3046" w:rsidP="008C6A79">
            <w:pPr>
              <w:keepNext/>
              <w:keepLines/>
              <w:tabs>
                <w:tab w:val="left" w:pos="-1440"/>
                <w:tab w:val="left" w:pos="-720"/>
              </w:tabs>
              <w:rPr>
                <w:b/>
                <w:sz w:val="20"/>
                <w:szCs w:val="20"/>
              </w:rPr>
            </w:pPr>
            <w:r>
              <w:rPr>
                <w:b/>
                <w:sz w:val="20"/>
                <w:szCs w:val="20"/>
              </w:rPr>
              <w:t xml:space="preserve">Her Majesty the Queen </w:t>
            </w:r>
            <w:r w:rsidR="009F2BFB" w:rsidRPr="00BE3046">
              <w:rPr>
                <w:b/>
                <w:sz w:val="20"/>
                <w:szCs w:val="20"/>
              </w:rPr>
              <w:t>(</w:t>
            </w:r>
            <w:r>
              <w:rPr>
                <w:b/>
                <w:sz w:val="20"/>
                <w:szCs w:val="20"/>
              </w:rPr>
              <w:t>F.C</w:t>
            </w:r>
            <w:r w:rsidR="009F2BFB" w:rsidRPr="00BE3046">
              <w:rPr>
                <w:b/>
                <w:sz w:val="20"/>
                <w:szCs w:val="20"/>
              </w:rPr>
              <w:t>.)</w:t>
            </w:r>
          </w:p>
          <w:p w:rsidR="009F2BFB" w:rsidRPr="00BE3046" w:rsidRDefault="009F2BFB" w:rsidP="008C6A79">
            <w:pPr>
              <w:keepNext/>
              <w:keepLines/>
              <w:tabs>
                <w:tab w:val="left" w:pos="-1440"/>
                <w:tab w:val="left" w:pos="-720"/>
              </w:tabs>
              <w:rPr>
                <w:sz w:val="20"/>
                <w:szCs w:val="20"/>
              </w:rPr>
            </w:pPr>
            <w:r w:rsidRPr="00BE3046">
              <w:rPr>
                <w:sz w:val="20"/>
                <w:szCs w:val="20"/>
              </w:rPr>
              <w:tab/>
            </w:r>
            <w:r w:rsidR="00BE3046">
              <w:rPr>
                <w:sz w:val="20"/>
                <w:szCs w:val="20"/>
              </w:rPr>
              <w:t>William F. Pentney</w:t>
            </w:r>
          </w:p>
          <w:p w:rsidR="009F2BFB" w:rsidRPr="00BE3046" w:rsidRDefault="009F2BFB" w:rsidP="008C6A79">
            <w:pPr>
              <w:keepNext/>
              <w:keepLines/>
              <w:tabs>
                <w:tab w:val="left" w:pos="-1440"/>
                <w:tab w:val="left" w:pos="-720"/>
              </w:tabs>
              <w:rPr>
                <w:sz w:val="20"/>
                <w:szCs w:val="20"/>
              </w:rPr>
            </w:pPr>
            <w:r w:rsidRPr="00BE3046">
              <w:rPr>
                <w:sz w:val="20"/>
                <w:szCs w:val="20"/>
              </w:rPr>
              <w:tab/>
            </w:r>
            <w:r w:rsidR="00BE3046">
              <w:rPr>
                <w:sz w:val="20"/>
                <w:szCs w:val="20"/>
              </w:rPr>
              <w:t>A.G. of Canada</w:t>
            </w:r>
          </w:p>
          <w:p w:rsidR="009F2BFB" w:rsidRPr="00BE3046" w:rsidRDefault="009F2BFB" w:rsidP="008C6A79">
            <w:pPr>
              <w:keepNext/>
              <w:keepLines/>
              <w:tabs>
                <w:tab w:val="left" w:pos="-1440"/>
                <w:tab w:val="left" w:pos="-720"/>
              </w:tabs>
              <w:rPr>
                <w:sz w:val="20"/>
                <w:szCs w:val="20"/>
              </w:rPr>
            </w:pPr>
          </w:p>
          <w:p w:rsidR="009F2BFB" w:rsidRPr="00A935AA" w:rsidRDefault="009F2BFB" w:rsidP="00BE3046">
            <w:pPr>
              <w:rPr>
                <w:sz w:val="20"/>
                <w:szCs w:val="20"/>
              </w:rPr>
            </w:pPr>
            <w:r w:rsidRPr="00A935AA">
              <w:rPr>
                <w:sz w:val="20"/>
                <w:szCs w:val="20"/>
              </w:rPr>
              <w:t xml:space="preserve">FILING DATE: </w:t>
            </w:r>
            <w:r w:rsidR="00BE3046">
              <w:rPr>
                <w:sz w:val="20"/>
                <w:szCs w:val="20"/>
              </w:rPr>
              <w:t>07</w:t>
            </w:r>
            <w:r w:rsidRPr="00A935AA">
              <w:rPr>
                <w:sz w:val="20"/>
                <w:szCs w:val="20"/>
              </w:rPr>
              <w:t>.0</w:t>
            </w:r>
            <w:r>
              <w:rPr>
                <w:sz w:val="20"/>
                <w:szCs w:val="20"/>
              </w:rPr>
              <w:t>2</w:t>
            </w:r>
            <w:r w:rsidRPr="00A935AA">
              <w:rPr>
                <w:sz w:val="20"/>
                <w:szCs w:val="20"/>
              </w:rPr>
              <w:t>.201</w:t>
            </w:r>
            <w:r>
              <w:rPr>
                <w:sz w:val="20"/>
                <w:szCs w:val="20"/>
              </w:rPr>
              <w:t>4</w:t>
            </w:r>
            <w:r w:rsidR="0077107C">
              <w:rPr>
                <w:sz w:val="20"/>
                <w:szCs w:val="20"/>
                <w:lang w:val="fr-CA"/>
              </w:rPr>
              <w:pict>
                <v:rect id="_x0000_i1032" style="width:108pt;height:1pt" o:hrpct="0" o:hralign="center" o:hrstd="t" o:hrnoshade="t" o:hr="t" fillcolor="black [3213]" stroked="f"/>
              </w:pict>
            </w:r>
          </w:p>
        </w:tc>
      </w:tr>
    </w:tbl>
    <w:p w:rsidR="00242AEE" w:rsidRPr="00C50A5C" w:rsidRDefault="00242AEE" w:rsidP="0095096B">
      <w:pPr>
        <w:tabs>
          <w:tab w:val="right" w:pos="9360"/>
        </w:tabs>
        <w:rPr>
          <w:sz w:val="20"/>
          <w:szCs w:val="20"/>
        </w:rPr>
        <w:sectPr w:rsidR="00242AEE" w:rsidRPr="00C50A5C" w:rsidSect="006D09FB">
          <w:headerReference w:type="default" r:id="rId17"/>
          <w:footerReference w:type="default" r:id="rId18"/>
          <w:headerReference w:type="first" r:id="rId19"/>
          <w:footerReference w:type="first" r:id="rId20"/>
          <w:pgSz w:w="12240" w:h="15840"/>
          <w:pgMar w:top="720" w:right="965" w:bottom="1080" w:left="1656" w:header="706" w:footer="706" w:gutter="0"/>
          <w:pgNumType w:start="35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A439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1D5B5B" w:rsidP="004B7F60">
      <w:pPr>
        <w:widowControl w:val="0"/>
        <w:rPr>
          <w:b/>
          <w:sz w:val="20"/>
          <w:szCs w:val="20"/>
        </w:rPr>
      </w:pPr>
      <w:r>
        <w:rPr>
          <w:b/>
          <w:sz w:val="20"/>
          <w:szCs w:val="20"/>
        </w:rPr>
        <w:t>F</w:t>
      </w:r>
      <w:r w:rsidR="00DE349D">
        <w:rPr>
          <w:b/>
          <w:sz w:val="20"/>
          <w:szCs w:val="20"/>
        </w:rPr>
        <w:t>EBR</w:t>
      </w:r>
      <w:r>
        <w:rPr>
          <w:b/>
          <w:sz w:val="20"/>
          <w:szCs w:val="20"/>
        </w:rPr>
        <w:t>UARY</w:t>
      </w:r>
      <w:r w:rsidR="00F761A3">
        <w:rPr>
          <w:b/>
          <w:sz w:val="20"/>
          <w:szCs w:val="20"/>
        </w:rPr>
        <w:t xml:space="preserve"> </w:t>
      </w:r>
      <w:r>
        <w:rPr>
          <w:b/>
          <w:sz w:val="20"/>
          <w:szCs w:val="20"/>
        </w:rPr>
        <w:t>24</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24</w:t>
      </w:r>
      <w:r w:rsidR="004B7F60">
        <w:rPr>
          <w:b/>
          <w:sz w:val="20"/>
          <w:szCs w:val="20"/>
        </w:rPr>
        <w:t xml:space="preserve"> </w:t>
      </w:r>
      <w:r>
        <w:rPr>
          <w:b/>
          <w:sz w:val="20"/>
          <w:szCs w:val="20"/>
        </w:rPr>
        <w:t>FÉV</w:t>
      </w:r>
      <w:r w:rsidR="004B7F60">
        <w:rPr>
          <w:b/>
          <w:sz w:val="20"/>
          <w:szCs w:val="20"/>
        </w:rPr>
        <w:t>R</w:t>
      </w:r>
      <w:r>
        <w:rPr>
          <w:b/>
          <w:sz w:val="20"/>
          <w:szCs w:val="20"/>
        </w:rPr>
        <w:t>I</w:t>
      </w:r>
      <w:r w:rsidR="00DE349D">
        <w:rPr>
          <w:b/>
          <w:sz w:val="20"/>
          <w:szCs w:val="20"/>
        </w:rPr>
        <w:t>E</w:t>
      </w:r>
      <w:r>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BA44DC" w:rsidP="004B7F60">
      <w:pPr>
        <w:pStyle w:val="ListParagraph"/>
        <w:widowControl w:val="0"/>
        <w:numPr>
          <w:ilvl w:val="0"/>
          <w:numId w:val="1"/>
        </w:numPr>
        <w:ind w:hanging="720"/>
        <w:jc w:val="both"/>
        <w:rPr>
          <w:sz w:val="20"/>
          <w:szCs w:val="20"/>
        </w:rPr>
      </w:pPr>
      <w:r w:rsidRPr="00BA44DC">
        <w:rPr>
          <w:i/>
          <w:sz w:val="20"/>
          <w:szCs w:val="20"/>
        </w:rPr>
        <w:t>Raymond Abouabdallah v. College of Dental Surgeons of Saskatchewan</w:t>
      </w:r>
      <w:r w:rsidRPr="00BA44DC">
        <w:rPr>
          <w:sz w:val="20"/>
          <w:szCs w:val="20"/>
        </w:rPr>
        <w:t xml:space="preserve"> (Sask.) (Civil) (By Leave)</w:t>
      </w:r>
      <w:r w:rsidRPr="00C50A5C">
        <w:rPr>
          <w:sz w:val="20"/>
          <w:szCs w:val="20"/>
        </w:rPr>
        <w:t xml:space="preserve"> </w:t>
      </w:r>
      <w:r w:rsidR="004B7F60" w:rsidRPr="00C50A5C">
        <w:rPr>
          <w:sz w:val="20"/>
          <w:szCs w:val="20"/>
        </w:rPr>
        <w:t>(3</w:t>
      </w:r>
      <w:r>
        <w:rPr>
          <w:sz w:val="20"/>
          <w:szCs w:val="20"/>
        </w:rPr>
        <w:t>5679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44656C" w:rsidP="004B7F60">
      <w:pPr>
        <w:pStyle w:val="ListParagraph"/>
        <w:widowControl w:val="0"/>
        <w:numPr>
          <w:ilvl w:val="0"/>
          <w:numId w:val="1"/>
        </w:numPr>
        <w:ind w:hanging="720"/>
        <w:jc w:val="both"/>
        <w:rPr>
          <w:sz w:val="20"/>
          <w:szCs w:val="20"/>
        </w:rPr>
      </w:pPr>
      <w:r w:rsidRPr="0044656C">
        <w:rPr>
          <w:i/>
          <w:sz w:val="20"/>
          <w:szCs w:val="20"/>
        </w:rPr>
        <w:t>Wael Maged Badawy v. Ghada Hamdi Nafie</w:t>
      </w:r>
      <w:r w:rsidRPr="00BA44DC">
        <w:rPr>
          <w:sz w:val="20"/>
          <w:szCs w:val="20"/>
        </w:rPr>
        <w:t xml:space="preserve"> (Alta.) (Civil) (By Leave)</w:t>
      </w:r>
      <w:r w:rsidRPr="00C612D0">
        <w:rPr>
          <w:sz w:val="20"/>
          <w:szCs w:val="20"/>
        </w:rPr>
        <w:t xml:space="preserve"> </w:t>
      </w:r>
      <w:r w:rsidR="004B7F60" w:rsidRPr="00C612D0">
        <w:rPr>
          <w:sz w:val="20"/>
          <w:szCs w:val="20"/>
        </w:rPr>
        <w:t>(3</w:t>
      </w:r>
      <w:r w:rsidR="00BA44DC">
        <w:rPr>
          <w:sz w:val="20"/>
          <w:szCs w:val="20"/>
        </w:rPr>
        <w:t>567</w:t>
      </w:r>
      <w:r w:rsidR="004B7F60" w:rsidRPr="00C612D0">
        <w:rPr>
          <w:sz w:val="20"/>
          <w:szCs w:val="20"/>
        </w:rPr>
        <w:t>2)</w:t>
      </w:r>
    </w:p>
    <w:p w:rsidR="004B7F60" w:rsidRPr="00C612D0" w:rsidRDefault="004B7F60" w:rsidP="004B7F60">
      <w:pPr>
        <w:widowControl w:val="0"/>
        <w:jc w:val="both"/>
        <w:rPr>
          <w:sz w:val="20"/>
          <w:szCs w:val="20"/>
        </w:rPr>
      </w:pPr>
    </w:p>
    <w:p w:rsidR="004B7F60" w:rsidRPr="0044656C" w:rsidRDefault="0044656C" w:rsidP="004B7F60">
      <w:pPr>
        <w:pStyle w:val="ListParagraph"/>
        <w:widowControl w:val="0"/>
        <w:numPr>
          <w:ilvl w:val="0"/>
          <w:numId w:val="1"/>
        </w:numPr>
        <w:ind w:hanging="720"/>
        <w:jc w:val="both"/>
        <w:rPr>
          <w:sz w:val="20"/>
          <w:szCs w:val="20"/>
          <w:lang w:val="fr-CA"/>
        </w:rPr>
      </w:pPr>
      <w:r w:rsidRPr="0044656C">
        <w:rPr>
          <w:i/>
          <w:sz w:val="20"/>
          <w:szCs w:val="20"/>
          <w:lang w:val="fr-CA"/>
        </w:rPr>
        <w:t>S.R. c. C.R.</w:t>
      </w:r>
      <w:r w:rsidRPr="00BA44DC">
        <w:rPr>
          <w:sz w:val="20"/>
          <w:szCs w:val="20"/>
          <w:lang w:val="fr-CA"/>
        </w:rPr>
        <w:t xml:space="preserve"> (Qc) (Civile) (Autorisation)</w:t>
      </w:r>
      <w:r w:rsidRPr="0044656C">
        <w:rPr>
          <w:sz w:val="20"/>
          <w:szCs w:val="20"/>
          <w:lang w:val="fr-CA"/>
        </w:rPr>
        <w:t xml:space="preserve"> </w:t>
      </w:r>
      <w:r w:rsidR="004B7F60" w:rsidRPr="0044656C">
        <w:rPr>
          <w:sz w:val="20"/>
          <w:szCs w:val="20"/>
          <w:lang w:val="fr-CA"/>
        </w:rPr>
        <w:t>(3</w:t>
      </w:r>
      <w:r w:rsidR="00BA44DC" w:rsidRPr="0044656C">
        <w:rPr>
          <w:sz w:val="20"/>
          <w:szCs w:val="20"/>
          <w:lang w:val="fr-CA"/>
        </w:rPr>
        <w:t>5</w:t>
      </w:r>
      <w:r w:rsidR="004B7F60" w:rsidRPr="0044656C">
        <w:rPr>
          <w:sz w:val="20"/>
          <w:szCs w:val="20"/>
          <w:lang w:val="fr-CA"/>
        </w:rPr>
        <w:t>6</w:t>
      </w:r>
      <w:r w:rsidR="00BA44DC" w:rsidRPr="0044656C">
        <w:rPr>
          <w:sz w:val="20"/>
          <w:szCs w:val="20"/>
          <w:lang w:val="fr-CA"/>
        </w:rPr>
        <w:t>98</w:t>
      </w:r>
      <w:r w:rsidR="004B7F60" w:rsidRPr="0044656C">
        <w:rPr>
          <w:sz w:val="20"/>
          <w:szCs w:val="20"/>
          <w:lang w:val="fr-CA"/>
        </w:rPr>
        <w:t>)</w:t>
      </w:r>
    </w:p>
    <w:p w:rsidR="004B7F60" w:rsidRPr="0044656C" w:rsidRDefault="004B7F60" w:rsidP="004B7F60">
      <w:pPr>
        <w:widowControl w:val="0"/>
        <w:rPr>
          <w:sz w:val="20"/>
          <w:szCs w:val="20"/>
          <w:lang w:val="fr-CA"/>
        </w:rPr>
      </w:pPr>
    </w:p>
    <w:p w:rsidR="004B7F60" w:rsidRPr="00C50A5C" w:rsidRDefault="0044656C" w:rsidP="004B7F60">
      <w:pPr>
        <w:pStyle w:val="ListParagraph"/>
        <w:widowControl w:val="0"/>
        <w:numPr>
          <w:ilvl w:val="0"/>
          <w:numId w:val="1"/>
        </w:numPr>
        <w:ind w:hanging="720"/>
        <w:jc w:val="both"/>
        <w:rPr>
          <w:sz w:val="20"/>
          <w:szCs w:val="20"/>
        </w:rPr>
      </w:pPr>
      <w:r w:rsidRPr="0044656C">
        <w:rPr>
          <w:i/>
          <w:sz w:val="20"/>
          <w:szCs w:val="20"/>
        </w:rPr>
        <w:t>Robert Glen Harrison v. Her Majesty the Queen in Right of the Province of British Columbia et al.</w:t>
      </w:r>
      <w:r w:rsidRPr="00BA44DC">
        <w:rPr>
          <w:sz w:val="20"/>
          <w:szCs w:val="20"/>
        </w:rPr>
        <w:t xml:space="preserve"> (B.C.) (Civil) (By Leave)</w:t>
      </w:r>
      <w:r w:rsidRPr="00C50A5C">
        <w:rPr>
          <w:sz w:val="20"/>
          <w:szCs w:val="20"/>
        </w:rPr>
        <w:t xml:space="preserve"> </w:t>
      </w:r>
      <w:r w:rsidR="004B7F60" w:rsidRPr="00C50A5C">
        <w:rPr>
          <w:sz w:val="20"/>
          <w:szCs w:val="20"/>
        </w:rPr>
        <w:t>(</w:t>
      </w:r>
      <w:r>
        <w:rPr>
          <w:sz w:val="20"/>
          <w:szCs w:val="20"/>
        </w:rPr>
        <w:t>3</w:t>
      </w:r>
      <w:r w:rsidR="004B7F60">
        <w:rPr>
          <w:sz w:val="20"/>
          <w:szCs w:val="20"/>
        </w:rPr>
        <w:t>3</w:t>
      </w:r>
      <w:r>
        <w:rPr>
          <w:sz w:val="20"/>
          <w:szCs w:val="20"/>
        </w:rPr>
        <w:t>770</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44656C" w:rsidRDefault="0044656C" w:rsidP="004B7F60">
      <w:pPr>
        <w:pStyle w:val="ListParagraph"/>
        <w:widowControl w:val="0"/>
        <w:numPr>
          <w:ilvl w:val="0"/>
          <w:numId w:val="1"/>
        </w:numPr>
        <w:ind w:hanging="720"/>
        <w:jc w:val="both"/>
        <w:rPr>
          <w:sz w:val="20"/>
          <w:szCs w:val="20"/>
        </w:rPr>
      </w:pPr>
      <w:r w:rsidRPr="0044656C">
        <w:rPr>
          <w:i/>
          <w:sz w:val="20"/>
          <w:szCs w:val="20"/>
        </w:rPr>
        <w:t>Veena Malhotra v. State Farm Fire and Casualty Company</w:t>
      </w:r>
      <w:r w:rsidRPr="00BA44DC">
        <w:rPr>
          <w:sz w:val="20"/>
          <w:szCs w:val="20"/>
        </w:rPr>
        <w:t xml:space="preserve"> (Ont.) (Civil) (By Leave)</w:t>
      </w:r>
      <w:r w:rsidRPr="0044656C">
        <w:rPr>
          <w:sz w:val="20"/>
          <w:szCs w:val="20"/>
        </w:rPr>
        <w:t xml:space="preserve"> </w:t>
      </w:r>
      <w:r w:rsidR="004B7F60" w:rsidRPr="0044656C">
        <w:rPr>
          <w:sz w:val="20"/>
          <w:szCs w:val="20"/>
        </w:rPr>
        <w:t>(3</w:t>
      </w:r>
      <w:r w:rsidRPr="0044656C">
        <w:rPr>
          <w:sz w:val="20"/>
          <w:szCs w:val="20"/>
        </w:rPr>
        <w:t>568</w:t>
      </w:r>
      <w:r w:rsidR="004B7F60" w:rsidRPr="0044656C">
        <w:rPr>
          <w:sz w:val="20"/>
          <w:szCs w:val="20"/>
        </w:rPr>
        <w:t>3)</w:t>
      </w:r>
    </w:p>
    <w:p w:rsidR="004B7F60" w:rsidRPr="0044656C" w:rsidRDefault="004B7F60" w:rsidP="004B7F60">
      <w:pPr>
        <w:widowControl w:val="0"/>
        <w:rPr>
          <w:sz w:val="20"/>
          <w:szCs w:val="20"/>
        </w:rPr>
      </w:pPr>
    </w:p>
    <w:p w:rsidR="004B7F60" w:rsidRPr="00115C9E" w:rsidRDefault="0044656C" w:rsidP="004B7F60">
      <w:pPr>
        <w:pStyle w:val="ListParagraph"/>
        <w:widowControl w:val="0"/>
        <w:numPr>
          <w:ilvl w:val="0"/>
          <w:numId w:val="1"/>
        </w:numPr>
        <w:ind w:hanging="720"/>
        <w:jc w:val="both"/>
        <w:rPr>
          <w:sz w:val="20"/>
          <w:szCs w:val="20"/>
          <w:lang w:val="fr-CA"/>
        </w:rPr>
      </w:pPr>
      <w:r w:rsidRPr="0044656C">
        <w:rPr>
          <w:i/>
          <w:sz w:val="20"/>
          <w:szCs w:val="20"/>
          <w:lang w:val="fr-CA"/>
        </w:rPr>
        <w:t>Chevron Corporation et al. v. Daniel Carlos Lusitande Yaiguaje et al.</w:t>
      </w:r>
      <w:r w:rsidRPr="00BA44DC">
        <w:rPr>
          <w:sz w:val="20"/>
          <w:szCs w:val="20"/>
          <w:lang w:val="fr-CA"/>
        </w:rPr>
        <w:t xml:space="preserve"> (Ont.) (Civil) (By Leave)</w:t>
      </w:r>
      <w:r w:rsidRPr="00115C9E">
        <w:rPr>
          <w:sz w:val="20"/>
          <w:szCs w:val="20"/>
          <w:lang w:val="fr-CA"/>
        </w:rPr>
        <w:t xml:space="preserve"> </w:t>
      </w:r>
      <w:r w:rsidR="004B7F60" w:rsidRPr="00115C9E">
        <w:rPr>
          <w:sz w:val="20"/>
          <w:szCs w:val="20"/>
          <w:lang w:val="fr-CA"/>
        </w:rPr>
        <w:t>(35</w:t>
      </w:r>
      <w:r>
        <w:rPr>
          <w:sz w:val="20"/>
          <w:szCs w:val="20"/>
          <w:lang w:val="fr-CA"/>
        </w:rPr>
        <w:t>682</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115C9E" w:rsidRDefault="0044656C" w:rsidP="004B7F60">
      <w:pPr>
        <w:pStyle w:val="ListParagraph"/>
        <w:widowControl w:val="0"/>
        <w:numPr>
          <w:ilvl w:val="0"/>
          <w:numId w:val="1"/>
        </w:numPr>
        <w:ind w:hanging="720"/>
        <w:jc w:val="both"/>
        <w:rPr>
          <w:sz w:val="20"/>
          <w:szCs w:val="20"/>
          <w:lang w:val="fr-CA"/>
        </w:rPr>
      </w:pPr>
      <w:r w:rsidRPr="0044656C">
        <w:rPr>
          <w:i/>
          <w:sz w:val="20"/>
          <w:szCs w:val="20"/>
          <w:lang w:val="fr-CA"/>
        </w:rPr>
        <w:t>Saleh Khazali (succession de) et autre c. Canadian Apartment Properties Real Estate Investment Trust (Capreit) et autre</w:t>
      </w:r>
      <w:r w:rsidRPr="00BA44DC">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67</w:t>
      </w:r>
      <w:r w:rsidR="004B7F60" w:rsidRPr="00115C9E">
        <w:rPr>
          <w:sz w:val="20"/>
          <w:szCs w:val="20"/>
          <w:lang w:val="fr-CA"/>
        </w:rPr>
        <w:t>4)</w:t>
      </w:r>
    </w:p>
    <w:p w:rsidR="004B7F60" w:rsidRDefault="004B7F60" w:rsidP="004B7F60">
      <w:pPr>
        <w:widowControl w:val="0"/>
        <w:jc w:val="both"/>
        <w:rPr>
          <w:sz w:val="20"/>
          <w:szCs w:val="20"/>
          <w:lang w:val="fr-CA"/>
        </w:rPr>
      </w:pPr>
    </w:p>
    <w:p w:rsidR="00BA44DC" w:rsidRDefault="00BA44DC" w:rsidP="004B7F60">
      <w:pPr>
        <w:widowControl w:val="0"/>
        <w:jc w:val="both"/>
        <w:rPr>
          <w:sz w:val="20"/>
          <w:szCs w:val="20"/>
          <w:lang w:val="fr-CA"/>
        </w:rPr>
      </w:pPr>
    </w:p>
    <w:p w:rsidR="00BA44DC" w:rsidRPr="00C50A5C" w:rsidRDefault="00BA44DC" w:rsidP="00BA44D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BA44DC" w:rsidRPr="00C50A5C" w:rsidRDefault="00BA44DC" w:rsidP="00BA44D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BA44DC" w:rsidRPr="00115C9E" w:rsidRDefault="00BA44DC" w:rsidP="004B7F60">
      <w:pPr>
        <w:widowControl w:val="0"/>
        <w:jc w:val="both"/>
        <w:rPr>
          <w:sz w:val="20"/>
          <w:szCs w:val="20"/>
          <w:lang w:val="fr-CA"/>
        </w:rPr>
      </w:pPr>
    </w:p>
    <w:p w:rsidR="004B7F60" w:rsidRPr="00C50A5C" w:rsidRDefault="0044656C" w:rsidP="004B7F60">
      <w:pPr>
        <w:pStyle w:val="ListParagraph"/>
        <w:widowControl w:val="0"/>
        <w:numPr>
          <w:ilvl w:val="0"/>
          <w:numId w:val="1"/>
        </w:numPr>
        <w:ind w:hanging="720"/>
        <w:jc w:val="both"/>
        <w:rPr>
          <w:sz w:val="20"/>
          <w:szCs w:val="20"/>
          <w:lang w:val="fr-CA"/>
        </w:rPr>
      </w:pPr>
      <w:r w:rsidRPr="0044656C">
        <w:rPr>
          <w:i/>
          <w:sz w:val="20"/>
          <w:szCs w:val="20"/>
        </w:rPr>
        <w:t>Daniel Lewis Allan v. Regina</w:t>
      </w:r>
      <w:r w:rsidRPr="00BA44DC">
        <w:rPr>
          <w:sz w:val="20"/>
          <w:szCs w:val="20"/>
        </w:rPr>
        <w:t xml:space="preserve"> (B.C.) (Crim.) (By Leave)</w:t>
      </w:r>
      <w:r w:rsidRPr="00C50A5C">
        <w:rPr>
          <w:sz w:val="20"/>
          <w:szCs w:val="20"/>
          <w:lang w:val="fr-CA"/>
        </w:rPr>
        <w:t xml:space="preserve"> </w:t>
      </w:r>
      <w:r w:rsidR="004B7F60" w:rsidRPr="00C50A5C">
        <w:rPr>
          <w:sz w:val="20"/>
          <w:szCs w:val="20"/>
          <w:lang w:val="fr-CA"/>
        </w:rPr>
        <w:t>(3</w:t>
      </w:r>
      <w:r>
        <w:rPr>
          <w:sz w:val="20"/>
          <w:szCs w:val="20"/>
          <w:lang w:val="fr-CA"/>
        </w:rPr>
        <w:t>5</w:t>
      </w:r>
      <w:r w:rsidR="004B7F60">
        <w:rPr>
          <w:sz w:val="20"/>
          <w:szCs w:val="20"/>
          <w:lang w:val="fr-CA"/>
        </w:rPr>
        <w:t>71</w:t>
      </w:r>
      <w:r>
        <w:rPr>
          <w:sz w:val="20"/>
          <w:szCs w:val="20"/>
          <w:lang w:val="fr-CA"/>
        </w:rPr>
        <w:t>9</w:t>
      </w:r>
      <w:r w:rsidR="004B7F60" w:rsidRPr="00C50A5C">
        <w:rPr>
          <w:sz w:val="20"/>
          <w:szCs w:val="20"/>
          <w:lang w:val="fr-CA"/>
        </w:rPr>
        <w:t>)</w:t>
      </w:r>
    </w:p>
    <w:p w:rsidR="004B7F60" w:rsidRDefault="004B7F60" w:rsidP="004B7F60">
      <w:pPr>
        <w:widowControl w:val="0"/>
        <w:rPr>
          <w:sz w:val="20"/>
          <w:szCs w:val="20"/>
          <w:lang w:val="fr-CA"/>
        </w:rPr>
      </w:pPr>
    </w:p>
    <w:p w:rsidR="004B7F60" w:rsidRPr="0044656C" w:rsidRDefault="0044656C" w:rsidP="004B7F60">
      <w:pPr>
        <w:pStyle w:val="ListParagraph"/>
        <w:widowControl w:val="0"/>
        <w:numPr>
          <w:ilvl w:val="0"/>
          <w:numId w:val="1"/>
        </w:numPr>
        <w:ind w:hanging="720"/>
        <w:jc w:val="both"/>
        <w:rPr>
          <w:sz w:val="20"/>
          <w:szCs w:val="20"/>
        </w:rPr>
      </w:pPr>
      <w:r w:rsidRPr="0044656C">
        <w:rPr>
          <w:i/>
          <w:sz w:val="20"/>
          <w:szCs w:val="20"/>
        </w:rPr>
        <w:t>Her Majesty the Queen v. Mark Edward Grant</w:t>
      </w:r>
      <w:r w:rsidRPr="00BA44DC">
        <w:rPr>
          <w:sz w:val="20"/>
          <w:szCs w:val="20"/>
        </w:rPr>
        <w:t xml:space="preserve"> (Man.) (Crim.) (By Leave)</w:t>
      </w:r>
      <w:r w:rsidRPr="0044656C">
        <w:rPr>
          <w:sz w:val="20"/>
          <w:szCs w:val="20"/>
        </w:rPr>
        <w:t xml:space="preserve"> </w:t>
      </w:r>
      <w:r w:rsidR="004B7F60" w:rsidRPr="0044656C">
        <w:rPr>
          <w:sz w:val="20"/>
          <w:szCs w:val="20"/>
        </w:rPr>
        <w:t>(3</w:t>
      </w:r>
      <w:r w:rsidRPr="0044656C">
        <w:rPr>
          <w:sz w:val="20"/>
          <w:szCs w:val="20"/>
        </w:rPr>
        <w:t>566</w:t>
      </w:r>
      <w:r w:rsidR="004B7F60" w:rsidRPr="0044656C">
        <w:rPr>
          <w:sz w:val="20"/>
          <w:szCs w:val="20"/>
        </w:rPr>
        <w:t>4)</w:t>
      </w:r>
    </w:p>
    <w:p w:rsidR="004B7F60" w:rsidRPr="0044656C" w:rsidRDefault="004B7F60" w:rsidP="004B7F60">
      <w:pPr>
        <w:widowControl w:val="0"/>
        <w:jc w:val="both"/>
        <w:rPr>
          <w:sz w:val="20"/>
          <w:szCs w:val="20"/>
        </w:rPr>
      </w:pPr>
    </w:p>
    <w:p w:rsidR="004B7F60" w:rsidRPr="00115C9E" w:rsidRDefault="0044656C" w:rsidP="004B7F60">
      <w:pPr>
        <w:pStyle w:val="ListParagraph"/>
        <w:widowControl w:val="0"/>
        <w:numPr>
          <w:ilvl w:val="0"/>
          <w:numId w:val="1"/>
        </w:numPr>
        <w:ind w:hanging="720"/>
        <w:jc w:val="both"/>
        <w:rPr>
          <w:sz w:val="20"/>
          <w:szCs w:val="20"/>
        </w:rPr>
      </w:pPr>
      <w:r w:rsidRPr="0044656C">
        <w:rPr>
          <w:i/>
          <w:sz w:val="20"/>
          <w:szCs w:val="20"/>
        </w:rPr>
        <w:t>Parvez Ahmed v. Attorney General of Canada</w:t>
      </w:r>
      <w:r w:rsidRPr="00BA44DC">
        <w:rPr>
          <w:sz w:val="20"/>
          <w:szCs w:val="20"/>
        </w:rPr>
        <w:t xml:space="preserve"> (F.C.) (Civil) (By Leave)</w:t>
      </w:r>
      <w:r w:rsidRPr="00115C9E">
        <w:rPr>
          <w:sz w:val="20"/>
          <w:szCs w:val="20"/>
        </w:rPr>
        <w:t xml:space="preserve"> </w:t>
      </w:r>
      <w:r w:rsidR="004B7F60" w:rsidRPr="00115C9E">
        <w:rPr>
          <w:sz w:val="20"/>
          <w:szCs w:val="20"/>
        </w:rPr>
        <w:t>(3</w:t>
      </w:r>
      <w:r>
        <w:rPr>
          <w:sz w:val="20"/>
          <w:szCs w:val="20"/>
        </w:rPr>
        <w:t>5691</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44656C" w:rsidP="004B7F60">
      <w:pPr>
        <w:pStyle w:val="ListParagraph"/>
        <w:widowControl w:val="0"/>
        <w:numPr>
          <w:ilvl w:val="0"/>
          <w:numId w:val="1"/>
        </w:numPr>
        <w:ind w:hanging="720"/>
        <w:jc w:val="both"/>
        <w:rPr>
          <w:sz w:val="20"/>
          <w:szCs w:val="20"/>
        </w:rPr>
      </w:pPr>
      <w:r w:rsidRPr="0044656C">
        <w:rPr>
          <w:i/>
          <w:sz w:val="20"/>
          <w:szCs w:val="20"/>
        </w:rPr>
        <w:t>Valery I. Fabrikant v. Attorney General of Canada et al.</w:t>
      </w:r>
      <w:r w:rsidRPr="00BA44DC">
        <w:rPr>
          <w:sz w:val="20"/>
          <w:szCs w:val="20"/>
        </w:rPr>
        <w:t xml:space="preserve"> (Que.) (Civil) (By Leave)</w:t>
      </w:r>
      <w:r w:rsidRPr="00115C9E">
        <w:rPr>
          <w:sz w:val="20"/>
          <w:szCs w:val="20"/>
        </w:rPr>
        <w:t xml:space="preserve"> </w:t>
      </w:r>
      <w:r w:rsidR="004B7F60" w:rsidRPr="00115C9E">
        <w:rPr>
          <w:sz w:val="20"/>
          <w:szCs w:val="20"/>
        </w:rPr>
        <w:t>(3</w:t>
      </w:r>
      <w:r>
        <w:rPr>
          <w:sz w:val="20"/>
          <w:szCs w:val="20"/>
        </w:rPr>
        <w:t>5680</w:t>
      </w:r>
      <w:r w:rsidR="004B7F60" w:rsidRPr="00115C9E">
        <w:rPr>
          <w:sz w:val="20"/>
          <w:szCs w:val="20"/>
        </w:rPr>
        <w:t>)</w:t>
      </w:r>
    </w:p>
    <w:p w:rsidR="002E2327" w:rsidRPr="0044656C" w:rsidRDefault="002E2327" w:rsidP="002E2327">
      <w:pPr>
        <w:widowControl w:val="0"/>
        <w:rPr>
          <w:sz w:val="20"/>
          <w:szCs w:val="20"/>
        </w:rPr>
      </w:pPr>
    </w:p>
    <w:p w:rsidR="002E2327" w:rsidRDefault="0077107C"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A439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A42D17" w:rsidP="000E2959">
      <w:pPr>
        <w:rPr>
          <w:b/>
          <w:sz w:val="20"/>
          <w:szCs w:val="20"/>
        </w:rPr>
      </w:pPr>
      <w:r>
        <w:rPr>
          <w:b/>
          <w:sz w:val="20"/>
          <w:szCs w:val="20"/>
        </w:rPr>
        <w:t>FEBRU</w:t>
      </w:r>
      <w:r w:rsidR="000E2959" w:rsidRPr="00C50A5C">
        <w:rPr>
          <w:b/>
          <w:sz w:val="20"/>
          <w:szCs w:val="20"/>
        </w:rPr>
        <w:t>A</w:t>
      </w:r>
      <w:r>
        <w:rPr>
          <w:b/>
          <w:sz w:val="20"/>
          <w:szCs w:val="20"/>
        </w:rPr>
        <w:t>R</w:t>
      </w:r>
      <w:r w:rsidR="000E2959">
        <w:rPr>
          <w:b/>
          <w:sz w:val="20"/>
          <w:szCs w:val="20"/>
        </w:rPr>
        <w:t>Y</w:t>
      </w:r>
      <w:r w:rsidR="000E2959" w:rsidRPr="00C50A5C">
        <w:rPr>
          <w:b/>
          <w:sz w:val="20"/>
          <w:szCs w:val="20"/>
        </w:rPr>
        <w:t xml:space="preserve"> 2</w:t>
      </w:r>
      <w:r>
        <w:rPr>
          <w:b/>
          <w:sz w:val="20"/>
          <w:szCs w:val="20"/>
        </w:rPr>
        <w:t>7</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7</w:t>
      </w:r>
      <w:r w:rsidR="000E2959" w:rsidRPr="00C50A5C">
        <w:rPr>
          <w:b/>
          <w:sz w:val="20"/>
          <w:szCs w:val="20"/>
        </w:rPr>
        <w:t xml:space="preserve"> </w:t>
      </w:r>
      <w:r>
        <w:rPr>
          <w:b/>
          <w:sz w:val="20"/>
          <w:szCs w:val="20"/>
        </w:rPr>
        <w:t>FÉVR</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6AF8" w:rsidRPr="00C3245A" w:rsidTr="005C5683">
        <w:trPr>
          <w:cantSplit/>
        </w:trPr>
        <w:tc>
          <w:tcPr>
            <w:tcW w:w="1458" w:type="dxa"/>
          </w:tcPr>
          <w:p w:rsidR="004F6AF8" w:rsidRPr="00C3245A" w:rsidRDefault="004F6AF8" w:rsidP="005C5683">
            <w:pPr>
              <w:rPr>
                <w:sz w:val="20"/>
                <w:szCs w:val="20"/>
              </w:rPr>
            </w:pPr>
            <w:r w:rsidRPr="00C3245A">
              <w:rPr>
                <w:rStyle w:val="SCCFileNumberChar"/>
                <w:sz w:val="20"/>
                <w:szCs w:val="20"/>
              </w:rPr>
              <w:t>35540</w:t>
            </w:r>
          </w:p>
          <w:p w:rsidR="004F6AF8" w:rsidRPr="00C3245A" w:rsidRDefault="004F6AF8" w:rsidP="005C5683">
            <w:pPr>
              <w:rPr>
                <w:b/>
                <w:sz w:val="20"/>
                <w:szCs w:val="20"/>
                <w:lang w:val="fr-CA"/>
              </w:rPr>
            </w:pPr>
          </w:p>
        </w:tc>
        <w:tc>
          <w:tcPr>
            <w:tcW w:w="8118" w:type="dxa"/>
          </w:tcPr>
          <w:p w:rsidR="004F6AF8" w:rsidRPr="00C3245A" w:rsidRDefault="004F6AF8" w:rsidP="005C5683">
            <w:pPr>
              <w:jc w:val="both"/>
              <w:rPr>
                <w:sz w:val="20"/>
                <w:szCs w:val="20"/>
              </w:rPr>
            </w:pPr>
            <w:r w:rsidRPr="00C3245A">
              <w:rPr>
                <w:rStyle w:val="SCCLsocChar"/>
                <w:sz w:val="20"/>
                <w:szCs w:val="20"/>
                <w:lang w:val="en-CA"/>
              </w:rPr>
              <w:t>Forrest C. Higgins Jr. v. Attorney General of Nova Scotia representing Her Majesty the Queen in right of the Province of Nova Scotia, D.D.V. Gold Limited, a body corporate, Mining Association of Nova Scotia</w:t>
            </w:r>
            <w:r w:rsidR="008B72EC">
              <w:rPr>
                <w:rStyle w:val="SCCLsocChar"/>
                <w:sz w:val="20"/>
                <w:szCs w:val="20"/>
                <w:lang w:val="en-CA"/>
              </w:rPr>
              <w:t xml:space="preserve"> and</w:t>
            </w:r>
            <w:r w:rsidRPr="00C3245A">
              <w:rPr>
                <w:rStyle w:val="SCCLsocChar"/>
                <w:sz w:val="20"/>
                <w:szCs w:val="20"/>
                <w:lang w:val="en-CA"/>
              </w:rPr>
              <w:t xml:space="preserve"> Nova Scotia Federation of Agriculture</w:t>
            </w:r>
            <w:r w:rsidRPr="00C3245A">
              <w:rPr>
                <w:sz w:val="20"/>
                <w:szCs w:val="20"/>
              </w:rPr>
              <w:t xml:space="preserve"> (N.S.) (Civil) (By</w:t>
            </w:r>
            <w:r>
              <w:rPr>
                <w:szCs w:val="20"/>
              </w:rPr>
              <w:t> </w:t>
            </w:r>
            <w:r w:rsidRPr="00C3245A">
              <w:rPr>
                <w:sz w:val="20"/>
                <w:szCs w:val="20"/>
              </w:rPr>
              <w:t>Leave)</w:t>
            </w:r>
          </w:p>
          <w:p w:rsidR="004F6AF8" w:rsidRPr="00C3245A" w:rsidRDefault="004F6AF8" w:rsidP="005C5683">
            <w:pPr>
              <w:jc w:val="both"/>
              <w:rPr>
                <w:sz w:val="20"/>
                <w:szCs w:val="20"/>
              </w:rPr>
            </w:pPr>
          </w:p>
        </w:tc>
      </w:tr>
      <w:tr w:rsidR="004F6AF8" w:rsidRPr="00C3245A" w:rsidTr="005C5683">
        <w:trPr>
          <w:cantSplit/>
        </w:trPr>
        <w:tc>
          <w:tcPr>
            <w:tcW w:w="1458" w:type="dxa"/>
          </w:tcPr>
          <w:p w:rsidR="004F6AF8" w:rsidRPr="00C3245A" w:rsidRDefault="004F6AF8" w:rsidP="005C5683">
            <w:pPr>
              <w:rPr>
                <w:sz w:val="20"/>
                <w:szCs w:val="20"/>
              </w:rPr>
            </w:pPr>
            <w:r w:rsidRPr="00C3245A">
              <w:rPr>
                <w:sz w:val="20"/>
                <w:szCs w:val="20"/>
              </w:rPr>
              <w:t>Coram :</w:t>
            </w:r>
          </w:p>
        </w:tc>
        <w:tc>
          <w:tcPr>
            <w:tcW w:w="8118" w:type="dxa"/>
          </w:tcPr>
          <w:p w:rsidR="004F6AF8" w:rsidRPr="00C3245A" w:rsidRDefault="004F6AF8" w:rsidP="005C5683">
            <w:pPr>
              <w:rPr>
                <w:sz w:val="20"/>
                <w:szCs w:val="20"/>
              </w:rPr>
            </w:pPr>
            <w:r w:rsidRPr="00C3245A">
              <w:rPr>
                <w:rStyle w:val="SCCCoramChar"/>
                <w:sz w:val="20"/>
                <w:szCs w:val="20"/>
                <w:lang w:val="en-CA"/>
              </w:rPr>
              <w:t>McLachlin C.J. and Cromwell and Wagner JJ.</w:t>
            </w:r>
          </w:p>
          <w:p w:rsidR="004F6AF8" w:rsidRPr="00C3245A" w:rsidRDefault="004F6AF8" w:rsidP="005C5683">
            <w:pPr>
              <w:rPr>
                <w:sz w:val="20"/>
                <w:szCs w:val="20"/>
                <w:u w:val="single"/>
              </w:rPr>
            </w:pPr>
          </w:p>
        </w:tc>
      </w:tr>
      <w:tr w:rsidR="004F6AF8" w:rsidRPr="00DA4390" w:rsidTr="005C5683">
        <w:trPr>
          <w:cantSplit/>
        </w:trPr>
        <w:tc>
          <w:tcPr>
            <w:tcW w:w="9576" w:type="dxa"/>
            <w:gridSpan w:val="2"/>
          </w:tcPr>
          <w:p w:rsidR="004F6AF8" w:rsidRPr="00C3245A" w:rsidRDefault="004F6AF8" w:rsidP="005C5683">
            <w:pPr>
              <w:pStyle w:val="SCCShortJudgment"/>
              <w:rPr>
                <w:szCs w:val="20"/>
              </w:rPr>
            </w:pPr>
            <w:r w:rsidRPr="00C3245A">
              <w:rPr>
                <w:szCs w:val="20"/>
              </w:rPr>
              <w:t>The motion for an extension of time to serve and file the response of the respondent Attorney General of Nova Scotia representing Her Majesty the Queen in right of the Province of Nova Scotia is granted.  The motion for an extension of time to file an affidavit of service of the respondent D.D.V. Gold Limited, a body corporate, is granted.  The application for leave to appeal from the judgment of the Nova Scotia Court of Appeal, Number CA 415194, 2013 NSCA 106, dated September 13, 2013, is dismissed with costs.</w:t>
            </w:r>
          </w:p>
          <w:p w:rsidR="004F6AF8" w:rsidRPr="00C3245A" w:rsidRDefault="004F6AF8" w:rsidP="005C5683">
            <w:pPr>
              <w:pStyle w:val="SCCShortJudgment"/>
              <w:ind w:firstLine="0"/>
              <w:rPr>
                <w:szCs w:val="20"/>
              </w:rPr>
            </w:pPr>
          </w:p>
          <w:p w:rsidR="004F6AF8" w:rsidRPr="00C3245A" w:rsidRDefault="004F6AF8" w:rsidP="005C5683">
            <w:pPr>
              <w:pStyle w:val="SCCShortJudgment"/>
              <w:rPr>
                <w:szCs w:val="20"/>
                <w:lang w:val="fr-CA"/>
              </w:rPr>
            </w:pPr>
            <w:r w:rsidRPr="00C3245A">
              <w:rPr>
                <w:szCs w:val="20"/>
                <w:lang w:val="fr-CA"/>
              </w:rPr>
              <w:t>La requête en prorogation du délai de signification et de dépôt de la réponse de l’intimé Procureur général de la Nouvelle-Écosse représentant Sa Majesté la Reine du chef de la Province de Nouvelle-Écosse est accueillie.  La requête en prorogation du délai de dépôt de l’affidavit de signification déposée par l’intimé D.D.V. Gold Limited, une personne morale, est accueillie.  La demande d’autorisation d’appel de l’arrêt de la Cour d’appel de la Nouvelle-Écosse, numéro CA 415194, 2013 NSCA 106, daté du 13 septembre 2013, est rejetée avec dépens.</w:t>
            </w:r>
          </w:p>
        </w:tc>
      </w:tr>
    </w:tbl>
    <w:p w:rsidR="00A42D17" w:rsidRPr="004F6AF8" w:rsidRDefault="00A42D17" w:rsidP="000E2959">
      <w:pPr>
        <w:rPr>
          <w:sz w:val="20"/>
          <w:szCs w:val="20"/>
          <w:lang w:val="fr-CA"/>
        </w:rPr>
      </w:pPr>
    </w:p>
    <w:p w:rsidR="00A42D17" w:rsidRPr="001B157C" w:rsidRDefault="00A42D17" w:rsidP="00A42D17">
      <w:pPr>
        <w:rPr>
          <w:sz w:val="20"/>
          <w:szCs w:val="20"/>
          <w:u w:val="single"/>
        </w:rPr>
      </w:pPr>
      <w:r w:rsidRPr="001B157C">
        <w:rPr>
          <w:sz w:val="20"/>
          <w:szCs w:val="20"/>
          <w:u w:val="single"/>
        </w:rPr>
        <w:t>CASE SUMMARY</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 xml:space="preserve">Expropriation – Vesting orders – Procedure – Whether the procedure followed by the Minister in granting the vesting order was fair – </w:t>
            </w:r>
            <w:r w:rsidRPr="002D43DE">
              <w:rPr>
                <w:rFonts w:eastAsia="Calibri"/>
                <w:i/>
                <w:sz w:val="20"/>
              </w:rPr>
              <w:t>Mineral Resources Act</w:t>
            </w:r>
            <w:r w:rsidRPr="002D43DE">
              <w:rPr>
                <w:rFonts w:eastAsia="Calibri"/>
                <w:sz w:val="20"/>
              </w:rPr>
              <w:t>, S.N.S. 1990, c. 18, ss. 70 and 173.</w:t>
            </w:r>
          </w:p>
        </w:tc>
      </w:tr>
      <w:tr w:rsidR="008C55EB" w:rsidRPr="002D43DE" w:rsidTr="00615810">
        <w:tc>
          <w:tcPr>
            <w:tcW w:w="5000" w:type="pct"/>
            <w:gridSpan w:val="3"/>
          </w:tcPr>
          <w:p w:rsidR="008C55EB" w:rsidRPr="002D43DE" w:rsidRDefault="008C55EB" w:rsidP="00615810">
            <w:pPr>
              <w:jc w:val="both"/>
              <w:rPr>
                <w:rFonts w:eastAsia="Calibri"/>
                <w:sz w:val="20"/>
              </w:rPr>
            </w:pPr>
          </w:p>
        </w:tc>
      </w:tr>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 xml:space="preserve">The respondent D.D.V. Gold Limited (“DDV”) planned to develop a gold mine in Nova Scotia and claimed it required a parcel of the applicant’s, Mr. Higgins’, land in order to do so. Accordingly, pursuant to s. 70 of the </w:t>
            </w:r>
            <w:r w:rsidRPr="002D43DE">
              <w:rPr>
                <w:rFonts w:eastAsia="Calibri"/>
                <w:i/>
                <w:sz w:val="20"/>
              </w:rPr>
              <w:t>Mineral Resources Act</w:t>
            </w:r>
            <w:r w:rsidRPr="002D43DE">
              <w:rPr>
                <w:rFonts w:eastAsia="Calibri"/>
                <w:sz w:val="20"/>
              </w:rPr>
              <w:t>, S.N.S. 1990, c. 18 (“</w:t>
            </w:r>
            <w:r w:rsidRPr="002D43DE">
              <w:rPr>
                <w:rFonts w:eastAsia="Calibri"/>
                <w:i/>
                <w:sz w:val="20"/>
              </w:rPr>
              <w:t>MRA</w:t>
            </w:r>
            <w:r w:rsidRPr="002D43DE">
              <w:rPr>
                <w:rFonts w:eastAsia="Calibri"/>
                <w:sz w:val="20"/>
              </w:rPr>
              <w:t>”), it applied to the Minister of Natural Resources for a vesting order which would give it fee simple ownership of the land.  Notice of the application was published, and many people wrote to the Minister expressing their opinion as to the proposed order.  Mr. Higgins was specifically notified of the application, was invited to respond to it in writing, and eventually met with the Minister.  Mr. Higgins made it clear that he was not prepared to sell his land. In the end, the Minister issued the order.  Mr. Higgins appealed the Minister’s decision, arguing, among other things, that the procedure followed by the Minister was not fair.  The Supreme Court of Nova Scotia dismissed the appeal, finding that the legislative scheme in this case did not elevate the expropriation process to a judicial or quasi judicial level, and that the duty of fairness was met through the dialogue as between the Minister, DDV and Mr. Higgins.  The Court of Appeal dismissed the appeal.</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April 29, 2013</w:t>
            </w:r>
          </w:p>
          <w:p w:rsidR="008C55EB" w:rsidRPr="002D43DE" w:rsidRDefault="008C55EB" w:rsidP="00615810">
            <w:pPr>
              <w:jc w:val="both"/>
              <w:rPr>
                <w:rFonts w:eastAsia="Calibri"/>
                <w:sz w:val="20"/>
              </w:rPr>
            </w:pPr>
            <w:r w:rsidRPr="002D43DE">
              <w:rPr>
                <w:rFonts w:eastAsia="Calibri"/>
                <w:sz w:val="20"/>
              </w:rPr>
              <w:t>Supreme Court of Nova Scotia, Trial Division</w:t>
            </w:r>
          </w:p>
          <w:p w:rsidR="008C55EB" w:rsidRPr="002D43DE" w:rsidRDefault="008C55EB" w:rsidP="00615810">
            <w:pPr>
              <w:jc w:val="both"/>
              <w:rPr>
                <w:rFonts w:eastAsia="Calibri"/>
                <w:sz w:val="20"/>
              </w:rPr>
            </w:pPr>
            <w:r w:rsidRPr="002D43DE">
              <w:rPr>
                <w:rFonts w:eastAsia="Calibri"/>
                <w:sz w:val="20"/>
              </w:rPr>
              <w:t>(Scanlan J.)</w:t>
            </w:r>
          </w:p>
          <w:p w:rsidR="008C55EB" w:rsidRPr="002D43DE" w:rsidRDefault="0077107C" w:rsidP="00615810">
            <w:pPr>
              <w:jc w:val="both"/>
              <w:rPr>
                <w:rFonts w:eastAsia="Calibri"/>
                <w:sz w:val="20"/>
              </w:rPr>
            </w:pPr>
            <w:hyperlink r:id="rId25" w:history="1">
              <w:r w:rsidR="008C55EB" w:rsidRPr="002D43DE">
                <w:rPr>
                  <w:rFonts w:eastAsia="Calibri"/>
                  <w:color w:val="0000FF"/>
                  <w:sz w:val="20"/>
                  <w:u w:val="single"/>
                </w:rPr>
                <w:t>2013 NSSC 138</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 xml:space="preserve">Appeal from a vesting order granted by the Minister of Natural Resources pursuant to s. 70 of the </w:t>
            </w:r>
            <w:r w:rsidRPr="002D43DE">
              <w:rPr>
                <w:rFonts w:eastAsia="Calibri"/>
                <w:i/>
                <w:sz w:val="20"/>
              </w:rPr>
              <w:t>Mineral Resources Act</w:t>
            </w:r>
            <w:r w:rsidRPr="002D43DE">
              <w:rPr>
                <w:rFonts w:eastAsia="Calibri"/>
                <w:sz w:val="20"/>
              </w:rPr>
              <w:t>, S.N.S. 1990, c. 18, dismissed</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September 13, 2013</w:t>
            </w:r>
          </w:p>
          <w:p w:rsidR="008C55EB" w:rsidRPr="002D43DE" w:rsidRDefault="008C55EB" w:rsidP="00615810">
            <w:pPr>
              <w:jc w:val="both"/>
              <w:rPr>
                <w:rFonts w:eastAsia="Calibri"/>
                <w:sz w:val="20"/>
              </w:rPr>
            </w:pPr>
            <w:r w:rsidRPr="002D43DE">
              <w:rPr>
                <w:rFonts w:eastAsia="Calibri"/>
                <w:sz w:val="20"/>
              </w:rPr>
              <w:t>Nova Scotia Court of Appeal</w:t>
            </w:r>
          </w:p>
          <w:p w:rsidR="008C55EB" w:rsidRPr="002D43DE" w:rsidRDefault="008C55EB" w:rsidP="00615810">
            <w:pPr>
              <w:jc w:val="both"/>
              <w:rPr>
                <w:rFonts w:eastAsia="Calibri"/>
                <w:sz w:val="20"/>
              </w:rPr>
            </w:pPr>
            <w:r w:rsidRPr="002D43DE">
              <w:rPr>
                <w:rFonts w:eastAsia="Calibri"/>
                <w:sz w:val="20"/>
              </w:rPr>
              <w:t>(MacDonald C.J.N.S. and Hamilton and Fichaud JJ.A.)</w:t>
            </w:r>
          </w:p>
          <w:p w:rsidR="008C55EB" w:rsidRPr="002D43DE" w:rsidRDefault="0077107C" w:rsidP="00615810">
            <w:pPr>
              <w:jc w:val="both"/>
              <w:rPr>
                <w:rFonts w:eastAsia="Calibri"/>
                <w:sz w:val="20"/>
              </w:rPr>
            </w:pPr>
            <w:hyperlink r:id="rId26" w:history="1">
              <w:r w:rsidR="008C55EB" w:rsidRPr="002D43DE">
                <w:rPr>
                  <w:rFonts w:eastAsia="Calibri"/>
                  <w:color w:val="0000FF"/>
                  <w:sz w:val="20"/>
                  <w:u w:val="single"/>
                </w:rPr>
                <w:t>2013 NSCA 106</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Appeal dismissed</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lastRenderedPageBreak/>
              <w:t>November 12, 2013</w:t>
            </w:r>
          </w:p>
          <w:p w:rsidR="008C55EB" w:rsidRPr="002D43DE" w:rsidRDefault="008C55EB" w:rsidP="00615810">
            <w:pPr>
              <w:jc w:val="both"/>
              <w:rPr>
                <w:rFonts w:eastAsia="Calibri"/>
                <w:sz w:val="20"/>
              </w:rPr>
            </w:pPr>
            <w:r w:rsidRPr="002D43DE">
              <w:rPr>
                <w:rFonts w:eastAsia="Calibri"/>
                <w:sz w:val="20"/>
              </w:rPr>
              <w:t>Supreme Court of Canada</w:t>
            </w: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Application for leave to appeal filed</w:t>
            </w:r>
          </w:p>
          <w:p w:rsidR="008C55EB" w:rsidRPr="002D43DE" w:rsidRDefault="008C55EB" w:rsidP="00615810">
            <w:pPr>
              <w:jc w:val="both"/>
              <w:rPr>
                <w:rFonts w:eastAsia="Calibri"/>
                <w:sz w:val="20"/>
              </w:rPr>
            </w:pPr>
          </w:p>
        </w:tc>
      </w:tr>
    </w:tbl>
    <w:p w:rsidR="00A42D17" w:rsidRDefault="00A42D17" w:rsidP="00A42D17">
      <w:pPr>
        <w:rPr>
          <w:sz w:val="20"/>
          <w:szCs w:val="20"/>
        </w:rPr>
      </w:pPr>
    </w:p>
    <w:p w:rsidR="00A42D17" w:rsidRPr="00C50A5C" w:rsidRDefault="0077107C" w:rsidP="00A42D17">
      <w:pPr>
        <w:rPr>
          <w:sz w:val="20"/>
          <w:szCs w:val="20"/>
        </w:rPr>
      </w:pPr>
      <w:r>
        <w:rPr>
          <w:sz w:val="20"/>
          <w:szCs w:val="20"/>
          <w:lang w:val="fr-CA"/>
        </w:rPr>
        <w:pict>
          <v:rect id="_x0000_i1038" style="width:2in;height:1pt" o:hrpct="0" o:hralign="center" o:hrstd="t" o:hrnoshade="t" o:hr="t" fillcolor="black [3213]" stroked="f"/>
        </w:pict>
      </w:r>
    </w:p>
    <w:p w:rsidR="00A42D17" w:rsidRDefault="00A42D17" w:rsidP="00A42D17">
      <w:pPr>
        <w:rPr>
          <w:sz w:val="20"/>
          <w:szCs w:val="20"/>
        </w:rPr>
      </w:pPr>
    </w:p>
    <w:p w:rsidR="00A42D17" w:rsidRPr="001B157C" w:rsidRDefault="00A42D17" w:rsidP="00A42D17">
      <w:pPr>
        <w:rPr>
          <w:sz w:val="20"/>
          <w:szCs w:val="20"/>
          <w:u w:val="single"/>
          <w:lang w:val="fr-CA"/>
        </w:rPr>
      </w:pPr>
      <w:r w:rsidRPr="001B157C">
        <w:rPr>
          <w:sz w:val="20"/>
          <w:szCs w:val="20"/>
          <w:u w:val="single"/>
          <w:lang w:val="fr-CA"/>
        </w:rPr>
        <w:t>RÉSUMÉ DE L’AFFAIRE</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 xml:space="preserve">Expropriation – Ordonnances d’envoi en possession – Procédure – La procédure suivie par le ministre dans le prononcé de l’ordonnance d’envoi en possession était-elle équitable? – </w:t>
            </w:r>
            <w:r w:rsidRPr="002D43DE">
              <w:rPr>
                <w:rFonts w:eastAsia="Calibri"/>
                <w:i/>
                <w:sz w:val="20"/>
                <w:lang w:val="fr-CA"/>
              </w:rPr>
              <w:t>Mineral Resources Act</w:t>
            </w:r>
            <w:r w:rsidRPr="002D43DE">
              <w:rPr>
                <w:rFonts w:eastAsia="Calibri"/>
                <w:sz w:val="20"/>
                <w:lang w:val="fr-CA"/>
              </w:rPr>
              <w:t>, S.N.S. 1990, ch. 18, art. 70 et 173.</w:t>
            </w:r>
          </w:p>
        </w:tc>
      </w:tr>
      <w:tr w:rsidR="008C55EB" w:rsidRPr="00DA4390" w:rsidTr="00615810">
        <w:tc>
          <w:tcPr>
            <w:tcW w:w="5000" w:type="pct"/>
            <w:gridSpan w:val="3"/>
          </w:tcPr>
          <w:p w:rsidR="008C55EB" w:rsidRPr="002D43DE" w:rsidRDefault="008C55EB" w:rsidP="00615810">
            <w:pPr>
              <w:jc w:val="both"/>
              <w:rPr>
                <w:rFonts w:eastAsia="Calibri"/>
                <w:sz w:val="20"/>
                <w:lang w:val="fr-CA"/>
              </w:rPr>
            </w:pPr>
          </w:p>
        </w:tc>
      </w:tr>
      <w:tr w:rsidR="008C55EB" w:rsidRPr="002D43DE"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 xml:space="preserve">L’intimée D.D.V. Gold Limited (« DDV ») projetait de mettre en valeur une mine d’or en Nouvelle-Écosse et prétendait avoir besoin d’une parcelle du terrain du demandeur, M. Higgins, pour ce faire.  En conséquence, en application de l’art. 70 de la </w:t>
            </w:r>
            <w:r w:rsidRPr="002D43DE">
              <w:rPr>
                <w:rFonts w:eastAsia="Calibri"/>
                <w:i/>
                <w:sz w:val="20"/>
                <w:lang w:val="fr-CA"/>
              </w:rPr>
              <w:t>Mineral Resources Act</w:t>
            </w:r>
            <w:r w:rsidRPr="002D43DE">
              <w:rPr>
                <w:rFonts w:eastAsia="Calibri"/>
                <w:sz w:val="20"/>
                <w:lang w:val="fr-CA"/>
              </w:rPr>
              <w:t>, S.N.S. 1990, ch. 18 (« </w:t>
            </w:r>
            <w:r w:rsidRPr="002D43DE">
              <w:rPr>
                <w:rFonts w:eastAsia="Calibri"/>
                <w:i/>
                <w:sz w:val="20"/>
                <w:lang w:val="fr-CA"/>
              </w:rPr>
              <w:t>MRA</w:t>
            </w:r>
            <w:r w:rsidRPr="002D43DE">
              <w:rPr>
                <w:rFonts w:eastAsia="Calibri"/>
                <w:sz w:val="20"/>
                <w:lang w:val="fr-CA"/>
              </w:rPr>
              <w:t> »), elle a demandé au ministre des Ressources naturelles de délivrer une ordonnance d’envoi en possession qui lui donnerait la propriété en fief simple du terrain.  Un avis de la demande a été publié et plusieurs personnes ont écrit au ministre pour lui faire part de leurs opinions quant à l’ordonnance projetée.  Monsieur Higgins a été personnellement avisé de la demande, il a été invité à y réagir par écrit, et il a fini par rencontrer le ministre.  Monsieur Higgins a clairement fait savoir qu’il n’était pas disposé à vendre son terrain. À la fin, le ministre a délivré l’ordonnance.  Monsieur Higgins a interjeté appel de la décision du ministre, plaidant notamment que la procédure suivie par le ministre n’était pas équitable.  La Cour suprême de la Nouvelle-Écosse a rejeté l’appel, concluant que le régime législatif en l’espèce n’avait pas pour effet d’élever le processus d’expropriation au niveau judiciaire ou quasi judiciaire, et que le devoir d’agir équitablement avait été rempli par le dialogue qui avait eu lieu entre le ministre, DDV et M. Higgins.  La Cour d’appel a rejeté l’appel.</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29 avril 2013</w:t>
            </w:r>
          </w:p>
          <w:p w:rsidR="008C55EB" w:rsidRPr="002D43DE" w:rsidRDefault="008C55EB" w:rsidP="00615810">
            <w:pPr>
              <w:jc w:val="both"/>
              <w:rPr>
                <w:rFonts w:eastAsia="Calibri"/>
                <w:sz w:val="20"/>
                <w:lang w:val="fr-CA"/>
              </w:rPr>
            </w:pPr>
            <w:r w:rsidRPr="002D43DE">
              <w:rPr>
                <w:rFonts w:eastAsia="Calibri"/>
                <w:sz w:val="20"/>
                <w:lang w:val="fr-CA"/>
              </w:rPr>
              <w:t>Cour suprême de la Nouvelle-Écosse, Section de première instance</w:t>
            </w:r>
          </w:p>
          <w:p w:rsidR="008C55EB" w:rsidRPr="002D43DE" w:rsidRDefault="008C55EB" w:rsidP="00615810">
            <w:pPr>
              <w:jc w:val="both"/>
              <w:rPr>
                <w:rFonts w:eastAsia="Calibri"/>
                <w:sz w:val="20"/>
                <w:lang w:val="fr-CA"/>
              </w:rPr>
            </w:pPr>
            <w:r w:rsidRPr="002D43DE">
              <w:rPr>
                <w:rFonts w:eastAsia="Calibri"/>
                <w:sz w:val="20"/>
                <w:lang w:val="fr-CA"/>
              </w:rPr>
              <w:t>(Juge Scanlan)</w:t>
            </w:r>
          </w:p>
          <w:p w:rsidR="008C55EB" w:rsidRPr="002D43DE" w:rsidRDefault="0077107C" w:rsidP="00615810">
            <w:pPr>
              <w:jc w:val="both"/>
              <w:rPr>
                <w:rFonts w:eastAsia="Calibri"/>
                <w:sz w:val="20"/>
                <w:lang w:val="fr-CA"/>
              </w:rPr>
            </w:pPr>
            <w:hyperlink r:id="rId27" w:history="1">
              <w:r w:rsidR="008C55EB" w:rsidRPr="002D43DE">
                <w:rPr>
                  <w:rFonts w:eastAsia="Calibri"/>
                  <w:color w:val="0000FF"/>
                  <w:sz w:val="20"/>
                  <w:u w:val="single"/>
                  <w:lang w:val="fr-CA"/>
                </w:rPr>
                <w:t>2013 NSSC 138</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 xml:space="preserve">Appel d’une ordonnance d’envoi en possession accordée par le ministre des Ressources naturelles en application de l’art. 70 de la </w:t>
            </w:r>
            <w:r w:rsidRPr="002D43DE">
              <w:rPr>
                <w:rFonts w:eastAsia="Calibri"/>
                <w:i/>
                <w:sz w:val="20"/>
                <w:lang w:val="fr-CA"/>
              </w:rPr>
              <w:t>Mineral Resources Act</w:t>
            </w:r>
            <w:r w:rsidRPr="002D43DE">
              <w:rPr>
                <w:rFonts w:eastAsia="Calibri"/>
                <w:sz w:val="20"/>
                <w:lang w:val="fr-CA"/>
              </w:rPr>
              <w:t>, S.N.S. 1990, ch. 18, rejeté</w:t>
            </w:r>
          </w:p>
          <w:p w:rsidR="008C55EB" w:rsidRPr="002D43DE" w:rsidRDefault="008C55EB" w:rsidP="00615810">
            <w:pPr>
              <w:jc w:val="both"/>
              <w:rPr>
                <w:rFonts w:eastAsia="Calibri"/>
                <w:sz w:val="20"/>
                <w:lang w:val="fr-CA"/>
              </w:rPr>
            </w:pPr>
          </w:p>
        </w:tc>
      </w:tr>
      <w:tr w:rsidR="008C55EB" w:rsidRPr="002D43DE"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13 septembre 2013</w:t>
            </w:r>
          </w:p>
          <w:p w:rsidR="008C55EB" w:rsidRPr="002D43DE" w:rsidRDefault="008C55EB" w:rsidP="00615810">
            <w:pPr>
              <w:jc w:val="both"/>
              <w:rPr>
                <w:rFonts w:eastAsia="Calibri"/>
                <w:sz w:val="20"/>
                <w:lang w:val="fr-CA"/>
              </w:rPr>
            </w:pPr>
            <w:r w:rsidRPr="002D43DE">
              <w:rPr>
                <w:rFonts w:eastAsia="Calibri"/>
                <w:sz w:val="20"/>
                <w:lang w:val="fr-CA"/>
              </w:rPr>
              <w:t>Cour d’appel de la Nouvelle-Écosse</w:t>
            </w:r>
          </w:p>
          <w:p w:rsidR="008C55EB" w:rsidRPr="002D43DE" w:rsidRDefault="008C55EB" w:rsidP="00615810">
            <w:pPr>
              <w:jc w:val="both"/>
              <w:rPr>
                <w:rFonts w:eastAsia="Calibri"/>
                <w:sz w:val="20"/>
                <w:lang w:val="fr-CA"/>
              </w:rPr>
            </w:pPr>
            <w:r w:rsidRPr="002D43DE">
              <w:rPr>
                <w:rFonts w:eastAsia="Calibri"/>
                <w:sz w:val="20"/>
                <w:lang w:val="fr-CA"/>
              </w:rPr>
              <w:t>(Juge en chef MacDonald, juges Hamilton et Fichaud)</w:t>
            </w:r>
          </w:p>
          <w:p w:rsidR="008C55EB" w:rsidRPr="002D43DE" w:rsidRDefault="0077107C" w:rsidP="00615810">
            <w:pPr>
              <w:jc w:val="both"/>
              <w:rPr>
                <w:rFonts w:eastAsia="Calibri"/>
                <w:sz w:val="20"/>
                <w:lang w:val="fr-CA"/>
              </w:rPr>
            </w:pPr>
            <w:hyperlink r:id="rId28" w:history="1">
              <w:r w:rsidR="008C55EB" w:rsidRPr="002D43DE">
                <w:rPr>
                  <w:rFonts w:eastAsia="Calibri"/>
                  <w:color w:val="0000FF"/>
                  <w:sz w:val="20"/>
                  <w:u w:val="single"/>
                  <w:lang w:val="fr-CA"/>
                </w:rPr>
                <w:t>2013 NSCA 106</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Appel rejeté</w:t>
            </w:r>
          </w:p>
          <w:p w:rsidR="008C55EB" w:rsidRPr="002D43DE" w:rsidRDefault="008C55EB" w:rsidP="00615810">
            <w:pPr>
              <w:jc w:val="both"/>
              <w:rPr>
                <w:rFonts w:eastAsia="Calibri"/>
                <w:sz w:val="20"/>
                <w:lang w:val="fr-CA"/>
              </w:rPr>
            </w:pPr>
          </w:p>
        </w:tc>
      </w:tr>
      <w:tr w:rsidR="008C55EB" w:rsidRPr="002D43DE"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12 novembre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Demande d’autorisation d’appel, déposée</w:t>
            </w:r>
          </w:p>
          <w:p w:rsidR="008C55EB" w:rsidRPr="002D43DE" w:rsidRDefault="008C55EB" w:rsidP="00615810">
            <w:pPr>
              <w:jc w:val="both"/>
              <w:rPr>
                <w:rFonts w:eastAsia="Calibri"/>
                <w:sz w:val="20"/>
                <w:lang w:val="fr-CA"/>
              </w:rPr>
            </w:pPr>
          </w:p>
        </w:tc>
      </w:tr>
    </w:tbl>
    <w:p w:rsidR="00A42D17" w:rsidRDefault="00A42D17" w:rsidP="000E2959">
      <w:pPr>
        <w:rPr>
          <w:sz w:val="20"/>
          <w:szCs w:val="20"/>
        </w:rPr>
      </w:pPr>
    </w:p>
    <w:p w:rsidR="00A42D17" w:rsidRDefault="0077107C" w:rsidP="000E2959">
      <w:pPr>
        <w:rPr>
          <w:sz w:val="20"/>
          <w:szCs w:val="20"/>
          <w:lang w:val="fr-CA"/>
        </w:rPr>
      </w:pPr>
      <w:r>
        <w:rPr>
          <w:sz w:val="20"/>
          <w:szCs w:val="20"/>
          <w:lang w:val="fr-CA"/>
        </w:rPr>
        <w:pict>
          <v:rect id="_x0000_i1039" style="width:2in;height:1pt" o:hrpct="0" o:hralign="center" o:hrstd="t" o:hrnoshade="t" o:hr="t" fillcolor="black [3213]" stroked="f"/>
        </w:pict>
      </w:r>
    </w:p>
    <w:p w:rsidR="00A42D17" w:rsidRDefault="00A42D17"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6AF8" w:rsidRPr="00C3245A" w:rsidTr="005C5683">
        <w:trPr>
          <w:cantSplit/>
        </w:trPr>
        <w:tc>
          <w:tcPr>
            <w:tcW w:w="1458" w:type="dxa"/>
          </w:tcPr>
          <w:p w:rsidR="004F6AF8" w:rsidRPr="00C3245A" w:rsidRDefault="004F6AF8" w:rsidP="005C5683">
            <w:pPr>
              <w:rPr>
                <w:sz w:val="20"/>
                <w:szCs w:val="20"/>
              </w:rPr>
            </w:pPr>
            <w:r w:rsidRPr="00C3245A">
              <w:rPr>
                <w:rStyle w:val="SCCFileNumberChar"/>
                <w:sz w:val="20"/>
                <w:szCs w:val="20"/>
              </w:rPr>
              <w:lastRenderedPageBreak/>
              <w:t>35608</w:t>
            </w:r>
          </w:p>
          <w:p w:rsidR="004F6AF8" w:rsidRPr="00C3245A" w:rsidRDefault="004F6AF8" w:rsidP="005C5683">
            <w:pPr>
              <w:rPr>
                <w:b/>
                <w:sz w:val="20"/>
                <w:szCs w:val="20"/>
                <w:lang w:val="fr-CA"/>
              </w:rPr>
            </w:pPr>
          </w:p>
        </w:tc>
        <w:tc>
          <w:tcPr>
            <w:tcW w:w="8118" w:type="dxa"/>
          </w:tcPr>
          <w:p w:rsidR="004F6AF8" w:rsidRPr="00C3245A" w:rsidRDefault="004F6AF8" w:rsidP="005C5683">
            <w:pPr>
              <w:jc w:val="both"/>
              <w:rPr>
                <w:sz w:val="20"/>
                <w:szCs w:val="20"/>
              </w:rPr>
            </w:pPr>
            <w:r w:rsidRPr="00C3245A">
              <w:rPr>
                <w:rStyle w:val="SCCLsocChar"/>
                <w:sz w:val="20"/>
                <w:szCs w:val="20"/>
                <w:lang w:val="en-CA"/>
              </w:rPr>
              <w:t>Scott Meeking, as representative Plaintiff v. The Cash Store Inc., 1152919 Alberta Ltd. carrying on business as Instaloans</w:t>
            </w:r>
            <w:r w:rsidR="002F634A">
              <w:rPr>
                <w:rStyle w:val="SCCLsocChar"/>
                <w:sz w:val="20"/>
                <w:szCs w:val="20"/>
                <w:lang w:val="en-CA"/>
              </w:rPr>
              <w:t xml:space="preserve"> and</w:t>
            </w:r>
            <w:r w:rsidRPr="00C3245A">
              <w:rPr>
                <w:rStyle w:val="SCCLsocChar"/>
                <w:sz w:val="20"/>
                <w:szCs w:val="20"/>
                <w:lang w:val="en-CA"/>
              </w:rPr>
              <w:t xml:space="preserve"> Cash Store Financial Services Inc. AND BETWEEN The Cash Store Inc., 1152919 Alberta Ltd. carrying on business as Instaloans</w:t>
            </w:r>
            <w:r w:rsidR="002F634A">
              <w:rPr>
                <w:rStyle w:val="SCCLsocChar"/>
                <w:sz w:val="20"/>
                <w:szCs w:val="20"/>
                <w:lang w:val="en-CA"/>
              </w:rPr>
              <w:t xml:space="preserve"> and</w:t>
            </w:r>
            <w:r w:rsidRPr="00C3245A">
              <w:rPr>
                <w:rStyle w:val="SCCLsocChar"/>
                <w:sz w:val="20"/>
                <w:szCs w:val="20"/>
                <w:lang w:val="en-CA"/>
              </w:rPr>
              <w:t xml:space="preserve"> Cash Store Financial Services Inc. v. Scott Meeking, as representative Plaintiff</w:t>
            </w:r>
            <w:r w:rsidRPr="00C3245A">
              <w:rPr>
                <w:sz w:val="20"/>
                <w:szCs w:val="20"/>
              </w:rPr>
              <w:t xml:space="preserve"> (Man.) (Civil) (By Leave)</w:t>
            </w:r>
          </w:p>
          <w:p w:rsidR="004F6AF8" w:rsidRPr="00C3245A" w:rsidRDefault="004F6AF8" w:rsidP="005C5683">
            <w:pPr>
              <w:jc w:val="both"/>
              <w:rPr>
                <w:sz w:val="20"/>
                <w:szCs w:val="20"/>
              </w:rPr>
            </w:pPr>
          </w:p>
        </w:tc>
      </w:tr>
      <w:tr w:rsidR="004F6AF8" w:rsidRPr="00C3245A" w:rsidTr="005C5683">
        <w:trPr>
          <w:cantSplit/>
        </w:trPr>
        <w:tc>
          <w:tcPr>
            <w:tcW w:w="1458" w:type="dxa"/>
          </w:tcPr>
          <w:p w:rsidR="004F6AF8" w:rsidRPr="00C3245A" w:rsidRDefault="004F6AF8" w:rsidP="005C5683">
            <w:pPr>
              <w:rPr>
                <w:sz w:val="20"/>
                <w:szCs w:val="20"/>
              </w:rPr>
            </w:pPr>
            <w:r w:rsidRPr="00C3245A">
              <w:rPr>
                <w:sz w:val="20"/>
                <w:szCs w:val="20"/>
              </w:rPr>
              <w:t>Coram :</w:t>
            </w:r>
          </w:p>
        </w:tc>
        <w:tc>
          <w:tcPr>
            <w:tcW w:w="8118" w:type="dxa"/>
          </w:tcPr>
          <w:p w:rsidR="004F6AF8" w:rsidRPr="00C3245A" w:rsidRDefault="004F6AF8" w:rsidP="005C5683">
            <w:pPr>
              <w:rPr>
                <w:sz w:val="20"/>
                <w:szCs w:val="20"/>
              </w:rPr>
            </w:pPr>
            <w:r w:rsidRPr="00C3245A">
              <w:rPr>
                <w:rStyle w:val="SCCCoramChar"/>
                <w:sz w:val="20"/>
                <w:szCs w:val="20"/>
                <w:lang w:val="en-CA"/>
              </w:rPr>
              <w:t>McLachlin C.J. and Cromwell and Wagner JJ.</w:t>
            </w:r>
          </w:p>
          <w:p w:rsidR="004F6AF8" w:rsidRPr="00C3245A" w:rsidRDefault="004F6AF8" w:rsidP="005C5683">
            <w:pPr>
              <w:rPr>
                <w:sz w:val="20"/>
                <w:szCs w:val="20"/>
                <w:u w:val="single"/>
              </w:rPr>
            </w:pPr>
          </w:p>
        </w:tc>
      </w:tr>
      <w:tr w:rsidR="004F6AF8" w:rsidRPr="00DA4390" w:rsidTr="005C5683">
        <w:trPr>
          <w:cantSplit/>
        </w:trPr>
        <w:tc>
          <w:tcPr>
            <w:tcW w:w="9576" w:type="dxa"/>
            <w:gridSpan w:val="2"/>
          </w:tcPr>
          <w:p w:rsidR="004F6AF8" w:rsidRPr="00C3245A" w:rsidRDefault="004F6AF8" w:rsidP="005C5683">
            <w:pPr>
              <w:pStyle w:val="SCCShortJudgment"/>
              <w:rPr>
                <w:szCs w:val="20"/>
              </w:rPr>
            </w:pPr>
            <w:r w:rsidRPr="00C3245A">
              <w:rPr>
                <w:szCs w:val="20"/>
              </w:rPr>
              <w:t>The applications for leave to appeal from the judgment of the Court of Appeal of Manitoba, Number AI 12-30-07812, 2013 MBCA 81, dated September 9, 2013, are granted with costs in the cause.</w:t>
            </w:r>
          </w:p>
          <w:p w:rsidR="004F6AF8" w:rsidRPr="00C3245A" w:rsidRDefault="004F6AF8" w:rsidP="005C5683">
            <w:pPr>
              <w:pStyle w:val="SCCShortJudgment"/>
              <w:ind w:firstLine="0"/>
              <w:rPr>
                <w:szCs w:val="20"/>
              </w:rPr>
            </w:pPr>
          </w:p>
          <w:p w:rsidR="004F6AF8" w:rsidRPr="00C3245A" w:rsidRDefault="004F6AF8" w:rsidP="005C5683">
            <w:pPr>
              <w:pStyle w:val="SCCShortJudgment"/>
              <w:rPr>
                <w:szCs w:val="20"/>
                <w:lang w:val="fr-CA"/>
              </w:rPr>
            </w:pPr>
            <w:r w:rsidRPr="00C3245A">
              <w:rPr>
                <w:szCs w:val="20"/>
                <w:lang w:val="fr-CA"/>
              </w:rPr>
              <w:t>Les demandes d’autorisation d’appel de l’arrêt de la Cour d’appel du Manitoba, numéro AI 12-30-07812, 2013 MBCA 81, daté du 9 septembre 2013, sont accueillies avec dépens selon l’issue de la cause.</w:t>
            </w:r>
          </w:p>
        </w:tc>
      </w:tr>
    </w:tbl>
    <w:p w:rsidR="00A42D17" w:rsidRPr="004F6AF8" w:rsidRDefault="00A42D17" w:rsidP="00A42D17">
      <w:pPr>
        <w:rPr>
          <w:sz w:val="20"/>
          <w:szCs w:val="20"/>
          <w:lang w:val="fr-CA"/>
        </w:rPr>
      </w:pPr>
    </w:p>
    <w:p w:rsidR="00A42D17" w:rsidRPr="001B157C" w:rsidRDefault="00A42D17" w:rsidP="00A42D17">
      <w:pPr>
        <w:rPr>
          <w:sz w:val="20"/>
          <w:szCs w:val="20"/>
          <w:u w:val="single"/>
        </w:rPr>
      </w:pPr>
      <w:r w:rsidRPr="001B157C">
        <w:rPr>
          <w:sz w:val="20"/>
          <w:szCs w:val="20"/>
          <w:u w:val="single"/>
        </w:rPr>
        <w:t>CASE SUMMARY</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5000" w:type="pct"/>
            <w:gridSpan w:val="3"/>
          </w:tcPr>
          <w:p w:rsidR="008C55EB" w:rsidRPr="002D43DE" w:rsidRDefault="008C55EB" w:rsidP="00615810">
            <w:pPr>
              <w:contextualSpacing/>
              <w:jc w:val="both"/>
              <w:rPr>
                <w:sz w:val="20"/>
                <w:lang w:eastAsia="en-CA"/>
              </w:rPr>
            </w:pPr>
            <w:r w:rsidRPr="002D43DE">
              <w:rPr>
                <w:sz w:val="20"/>
                <w:lang w:eastAsia="en-CA"/>
              </w:rPr>
              <w:t>Torts – Class actions – National class actions – Jurisdiction – Non-resident members of plaintiff class – Orders – Recognition and enforcement of orders – Does a provincial superior court have a more expansive jurisdiction in a class proceeding than in an ordinary proceeding to determine the rights of residents of another province concerning transactions occurring wholly within that province – What are the territorial limits under the Canadian Constitution on a provincial superior court’s assertion of jurisdiction in a class proceeding over residents of other provinces – Appropriate standard of review for decisions regarding recognition and enforcement of an interprovincial judgment in a multi-jurisdictional class action.</w:t>
            </w:r>
          </w:p>
        </w:tc>
      </w:tr>
      <w:tr w:rsidR="008C55EB" w:rsidRPr="002D43DE" w:rsidTr="00615810">
        <w:tc>
          <w:tcPr>
            <w:tcW w:w="5000" w:type="pct"/>
            <w:gridSpan w:val="3"/>
          </w:tcPr>
          <w:p w:rsidR="008C55EB" w:rsidRPr="002D43DE" w:rsidRDefault="008C55EB" w:rsidP="00615810">
            <w:pPr>
              <w:jc w:val="both"/>
              <w:rPr>
                <w:rFonts w:eastAsia="Calibri"/>
                <w:sz w:val="20"/>
              </w:rPr>
            </w:pPr>
          </w:p>
        </w:tc>
      </w:tr>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 xml:space="preserve">The Cash Store Financial Services Inc. and its subsidiary, The Cash Store, and its subsidiary, 1152919 Alberta Ltd., carrying on business as Instaloans, offer short-term loans and other financial services as an alternative to traditional lending institutions.  Mr. Meeking filed a statement of claim in the Manitoba Court of Queen’s Bench pursuant to </w:t>
            </w:r>
            <w:r w:rsidRPr="002D43DE">
              <w:rPr>
                <w:rFonts w:eastAsia="Calibri"/>
                <w:i/>
                <w:sz w:val="20"/>
              </w:rPr>
              <w:t>The Class Proceedings Act</w:t>
            </w:r>
            <w:r w:rsidRPr="002D43DE">
              <w:rPr>
                <w:rFonts w:eastAsia="Calibri"/>
                <w:sz w:val="20"/>
              </w:rPr>
              <w:t xml:space="preserve">, C.C.S.M., c. C130, on his own behalf and on behalf of “all residents of Manitoba” and “any persons resident outside of Manitoba who have elected to claim in this action, in a manner to be determined by the Court” concerning broker fees collected in The Cash Store’s loan business. Mr. Meeking’s claim was preceded by similar claims in Ontario, British Columbia and Alberta.  The settlement judgment in the Ontario action defined the class to which it applied as including persons in Manitoba who had obtained a payday loan from both The Cash Store and Instaloans: </w:t>
            </w:r>
            <w:r w:rsidRPr="002D43DE">
              <w:rPr>
                <w:rFonts w:eastAsia="Calibri"/>
                <w:i/>
                <w:sz w:val="20"/>
              </w:rPr>
              <w:t>McCutcheon v. The Cash Store Inc.</w:t>
            </w:r>
            <w:r w:rsidRPr="002D43DE">
              <w:rPr>
                <w:rFonts w:eastAsia="Calibri"/>
                <w:sz w:val="20"/>
              </w:rPr>
              <w:t xml:space="preserve"> (2006), 80 O.R. (3d) 644 (S.C.J.).  Notice of the settlement was given to each potential claimant via first class mail to the last known address of all class members, posted notices in Canadian Cash Store locations outside British Columbia and Alberta, on the Cash Store’s website, in press releases, on counsel’s website, and by counsel on request.  Mr. Meeking neither opted out nor indicated that he wished to participate in the distribution plan, and filed the instant statement of claim well after the deadline for opting out.  The defendants filed a notice of motion requesting an order that the </w:t>
            </w:r>
            <w:r w:rsidRPr="002D43DE">
              <w:rPr>
                <w:rFonts w:eastAsia="Calibri"/>
                <w:i/>
                <w:sz w:val="20"/>
              </w:rPr>
              <w:t>McCutcheon</w:t>
            </w:r>
            <w:r w:rsidRPr="002D43DE">
              <w:rPr>
                <w:rFonts w:eastAsia="Calibri"/>
                <w:sz w:val="20"/>
              </w:rPr>
              <w:t xml:space="preserve"> settlement judgment be recognized in Manitoba and that it be enforced against Mr. Meeking.</w:t>
            </w:r>
          </w:p>
          <w:p w:rsidR="008C55EB" w:rsidRPr="002D43DE" w:rsidRDefault="008C55EB" w:rsidP="00615810">
            <w:pPr>
              <w:jc w:val="both"/>
              <w:rPr>
                <w:rFonts w:eastAsia="Calibri"/>
                <w:sz w:val="20"/>
              </w:rPr>
            </w:pPr>
          </w:p>
          <w:p w:rsidR="008C55EB" w:rsidRPr="002D43DE" w:rsidRDefault="008C55EB" w:rsidP="00615810">
            <w:pPr>
              <w:jc w:val="both"/>
              <w:rPr>
                <w:rFonts w:eastAsia="Calibri"/>
                <w:sz w:val="20"/>
              </w:rPr>
            </w:pPr>
            <w:r w:rsidRPr="002D43DE">
              <w:rPr>
                <w:rFonts w:eastAsia="Calibri"/>
                <w:sz w:val="20"/>
              </w:rPr>
              <w:t xml:space="preserve">The motions judge held that the </w:t>
            </w:r>
            <w:r w:rsidRPr="002D43DE">
              <w:rPr>
                <w:rFonts w:eastAsia="Calibri"/>
                <w:i/>
                <w:sz w:val="20"/>
              </w:rPr>
              <w:t>McCutcheon</w:t>
            </w:r>
            <w:r w:rsidRPr="002D43DE">
              <w:rPr>
                <w:rFonts w:eastAsia="Calibri"/>
                <w:sz w:val="20"/>
              </w:rPr>
              <w:t xml:space="preserve"> judgment should only be enforced against The Cash Store with respect to payday loans. It did not apply to Instaloans, and it did not apply to The Cash Store with respect to signature or title loans.</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February 22, 2012</w:t>
            </w:r>
          </w:p>
          <w:p w:rsidR="008C55EB" w:rsidRPr="002D43DE" w:rsidRDefault="008C55EB" w:rsidP="00615810">
            <w:pPr>
              <w:jc w:val="both"/>
              <w:rPr>
                <w:rFonts w:eastAsia="Calibri"/>
                <w:sz w:val="20"/>
              </w:rPr>
            </w:pPr>
            <w:r w:rsidRPr="002D43DE">
              <w:rPr>
                <w:rFonts w:eastAsia="Calibri"/>
                <w:sz w:val="20"/>
              </w:rPr>
              <w:t>Court of Queen’s Bench of Manitoba</w:t>
            </w:r>
          </w:p>
          <w:p w:rsidR="008C55EB" w:rsidRPr="002D43DE" w:rsidRDefault="008C55EB" w:rsidP="00615810">
            <w:pPr>
              <w:jc w:val="both"/>
              <w:rPr>
                <w:rFonts w:eastAsia="Calibri"/>
                <w:sz w:val="20"/>
              </w:rPr>
            </w:pPr>
            <w:r w:rsidRPr="002D43DE">
              <w:rPr>
                <w:rFonts w:eastAsia="Calibri"/>
                <w:sz w:val="20"/>
              </w:rPr>
              <w:t>(Hanssen J.)</w:t>
            </w:r>
          </w:p>
          <w:p w:rsidR="008C55EB" w:rsidRPr="002D43DE" w:rsidRDefault="0077107C" w:rsidP="00615810">
            <w:pPr>
              <w:jc w:val="both"/>
              <w:rPr>
                <w:rFonts w:eastAsia="Calibri"/>
                <w:sz w:val="20"/>
              </w:rPr>
            </w:pPr>
            <w:hyperlink r:id="rId29" w:history="1">
              <w:r w:rsidR="008C55EB" w:rsidRPr="002D43DE">
                <w:rPr>
                  <w:rFonts w:eastAsia="Calibri"/>
                  <w:color w:val="0000FF"/>
                  <w:sz w:val="20"/>
                  <w:u w:val="single"/>
                </w:rPr>
                <w:t>2013 MBQB 221</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 xml:space="preserve">Settlement in </w:t>
            </w:r>
            <w:r w:rsidRPr="002D43DE">
              <w:rPr>
                <w:rFonts w:eastAsia="Calibri"/>
                <w:i/>
                <w:sz w:val="20"/>
              </w:rPr>
              <w:t>McCutcheon v. The Cash Store Inc.</w:t>
            </w:r>
            <w:r w:rsidRPr="002D43DE">
              <w:rPr>
                <w:rFonts w:eastAsia="Calibri"/>
                <w:sz w:val="20"/>
              </w:rPr>
              <w:t xml:space="preserve"> (2006), 80 O.R. (3d) 644 (S.C.J.), should only be enforced in Manitoba with respect to payday loans from The Cash Store</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lastRenderedPageBreak/>
              <w:t>September 9, 2013</w:t>
            </w:r>
          </w:p>
          <w:p w:rsidR="008C55EB" w:rsidRPr="002D43DE" w:rsidRDefault="008C55EB" w:rsidP="00615810">
            <w:pPr>
              <w:jc w:val="both"/>
              <w:rPr>
                <w:rFonts w:eastAsia="Calibri"/>
                <w:sz w:val="20"/>
              </w:rPr>
            </w:pPr>
            <w:r w:rsidRPr="002D43DE">
              <w:rPr>
                <w:rFonts w:eastAsia="Calibri"/>
                <w:sz w:val="20"/>
              </w:rPr>
              <w:t>Court of Appeal of Manitoba</w:t>
            </w:r>
          </w:p>
          <w:p w:rsidR="008C55EB" w:rsidRPr="002D43DE" w:rsidRDefault="008C55EB" w:rsidP="00615810">
            <w:pPr>
              <w:jc w:val="both"/>
              <w:rPr>
                <w:rFonts w:eastAsia="Calibri"/>
                <w:sz w:val="20"/>
              </w:rPr>
            </w:pPr>
            <w:r w:rsidRPr="002D43DE">
              <w:rPr>
                <w:rFonts w:eastAsia="Calibri"/>
                <w:sz w:val="20"/>
              </w:rPr>
              <w:t>(Chartier, Beard, Cameron JJ.A.)</w:t>
            </w:r>
          </w:p>
          <w:p w:rsidR="008C55EB" w:rsidRPr="002D43DE" w:rsidRDefault="0077107C" w:rsidP="00615810">
            <w:pPr>
              <w:jc w:val="both"/>
              <w:rPr>
                <w:rFonts w:eastAsia="Calibri"/>
                <w:sz w:val="20"/>
              </w:rPr>
            </w:pPr>
            <w:hyperlink r:id="rId30" w:history="1">
              <w:r w:rsidR="008C55EB" w:rsidRPr="002D43DE">
                <w:rPr>
                  <w:rFonts w:eastAsia="Calibri"/>
                  <w:color w:val="0000FF"/>
                  <w:sz w:val="20"/>
                  <w:u w:val="single"/>
                </w:rPr>
                <w:t>2013 MBCA 81</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Appeal and cross-appeal dismissed</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November 7, 2013</w:t>
            </w:r>
          </w:p>
          <w:p w:rsidR="008C55EB" w:rsidRPr="002D43DE" w:rsidRDefault="008C55EB" w:rsidP="00615810">
            <w:pPr>
              <w:jc w:val="both"/>
              <w:rPr>
                <w:rFonts w:eastAsia="Calibri"/>
                <w:sz w:val="20"/>
              </w:rPr>
            </w:pPr>
            <w:r w:rsidRPr="002D43DE">
              <w:rPr>
                <w:rFonts w:eastAsia="Calibri"/>
                <w:sz w:val="20"/>
              </w:rPr>
              <w:t>Supreme Court of Canada</w:t>
            </w:r>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Application for leave to appeal filed</w:t>
            </w:r>
          </w:p>
          <w:p w:rsidR="008C55EB" w:rsidRPr="002D43DE" w:rsidRDefault="008C55EB" w:rsidP="00615810">
            <w:pPr>
              <w:jc w:val="both"/>
              <w:rPr>
                <w:rFonts w:eastAsia="Calibri"/>
                <w:sz w:val="20"/>
              </w:rPr>
            </w:pPr>
          </w:p>
        </w:tc>
      </w:tr>
    </w:tbl>
    <w:p w:rsidR="004F6AF8" w:rsidRDefault="004F6AF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lastRenderedPageBreak/>
              <w:t>November 8, 2013</w:t>
            </w:r>
          </w:p>
          <w:p w:rsidR="008C55EB" w:rsidRPr="002D43DE" w:rsidRDefault="008C55EB" w:rsidP="00615810">
            <w:pPr>
              <w:jc w:val="both"/>
              <w:rPr>
                <w:rFonts w:eastAsia="Calibri"/>
                <w:sz w:val="20"/>
              </w:rPr>
            </w:pPr>
            <w:r w:rsidRPr="002D43DE">
              <w:rPr>
                <w:rFonts w:eastAsia="Calibri"/>
                <w:sz w:val="20"/>
              </w:rPr>
              <w:t>Supreme Court of Canada</w:t>
            </w: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Second application for leave to appeal filed</w:t>
            </w:r>
          </w:p>
          <w:p w:rsidR="008C55EB" w:rsidRPr="002D43DE" w:rsidRDefault="008C55EB" w:rsidP="00615810">
            <w:pPr>
              <w:jc w:val="both"/>
              <w:rPr>
                <w:rFonts w:eastAsia="Calibri"/>
                <w:sz w:val="20"/>
              </w:rPr>
            </w:pPr>
          </w:p>
        </w:tc>
      </w:tr>
    </w:tbl>
    <w:p w:rsidR="00A42D17" w:rsidRDefault="00A42D17" w:rsidP="00A42D17">
      <w:pPr>
        <w:rPr>
          <w:sz w:val="20"/>
          <w:szCs w:val="20"/>
        </w:rPr>
      </w:pPr>
    </w:p>
    <w:p w:rsidR="00A42D17" w:rsidRPr="00C50A5C" w:rsidRDefault="0077107C" w:rsidP="00A42D17">
      <w:pPr>
        <w:rPr>
          <w:sz w:val="20"/>
          <w:szCs w:val="20"/>
        </w:rPr>
      </w:pPr>
      <w:r>
        <w:rPr>
          <w:sz w:val="20"/>
          <w:szCs w:val="20"/>
          <w:lang w:val="fr-CA"/>
        </w:rPr>
        <w:pict>
          <v:rect id="_x0000_i1040" style="width:2in;height:1pt" o:hrpct="0" o:hralign="center" o:hrstd="t" o:hrnoshade="t" o:hr="t" fillcolor="black [3213]" stroked="f"/>
        </w:pict>
      </w:r>
    </w:p>
    <w:p w:rsidR="00A42D17" w:rsidRDefault="00A42D17" w:rsidP="00A42D17">
      <w:pPr>
        <w:rPr>
          <w:sz w:val="20"/>
          <w:szCs w:val="20"/>
        </w:rPr>
      </w:pPr>
    </w:p>
    <w:p w:rsidR="00A42D17" w:rsidRPr="001B157C" w:rsidRDefault="00A42D17" w:rsidP="00A42D17">
      <w:pPr>
        <w:rPr>
          <w:sz w:val="20"/>
          <w:szCs w:val="20"/>
          <w:u w:val="single"/>
          <w:lang w:val="fr-CA"/>
        </w:rPr>
      </w:pPr>
      <w:r w:rsidRPr="001B157C">
        <w:rPr>
          <w:sz w:val="20"/>
          <w:szCs w:val="20"/>
          <w:u w:val="single"/>
          <w:lang w:val="fr-CA"/>
        </w:rPr>
        <w:t>RÉSUMÉ DE L’AFFAIRE</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DA4390" w:rsidTr="00615810">
        <w:tc>
          <w:tcPr>
            <w:tcW w:w="5000" w:type="pct"/>
            <w:gridSpan w:val="3"/>
          </w:tcPr>
          <w:p w:rsidR="008C55EB" w:rsidRPr="002D43DE" w:rsidRDefault="008C55EB" w:rsidP="00615810">
            <w:pPr>
              <w:contextualSpacing/>
              <w:jc w:val="both"/>
              <w:rPr>
                <w:sz w:val="20"/>
                <w:lang w:val="fr-CA" w:eastAsia="en-CA"/>
              </w:rPr>
            </w:pPr>
            <w:r w:rsidRPr="002D43DE">
              <w:rPr>
                <w:sz w:val="20"/>
                <w:lang w:val="fr-CA" w:eastAsia="en-CA"/>
              </w:rPr>
              <w:t>Responsabilité délictuelle – Recours collectif – Recours collectifs nationaux – Compétence – Membres non</w:t>
            </w:r>
            <w:r w:rsidRPr="002D43DE">
              <w:rPr>
                <w:sz w:val="20"/>
                <w:lang w:val="fr-CA" w:eastAsia="en-CA"/>
              </w:rPr>
              <w:noBreakHyphen/>
              <w:t>résidents du groupe de demandeurs – Ordonnances – Reconnaissance et exécution des ordonnances – Une cour supérieure provinciale a-t-elle une compétence plus étendue dans un recours collectif que dans une instance ordinaire pour déterminer les droits des résidents d'une autre province relativement aux opérations qui se sont produites entièrement à l'intérieur de cette province? – Quelles sont, au regard de la Constitution canadienne, les limites territoriales à la déclaration de compétence d'une cour supérieure provinciale dans un recours collectif à l'égard des résidents d'autres provinces? – Norme de contrôle appropriée relativement aux décisions concernant la reconnaissance et l'exécution d'un jugement interprovincial dans un recours collectif dans des ressorts multiples.</w:t>
            </w:r>
          </w:p>
        </w:tc>
      </w:tr>
      <w:tr w:rsidR="008C55EB" w:rsidRPr="00DA4390" w:rsidTr="00615810">
        <w:tc>
          <w:tcPr>
            <w:tcW w:w="5000" w:type="pct"/>
            <w:gridSpan w:val="3"/>
          </w:tcPr>
          <w:p w:rsidR="008C55EB" w:rsidRPr="002D43DE" w:rsidRDefault="008C55EB" w:rsidP="00615810">
            <w:pPr>
              <w:jc w:val="both"/>
              <w:rPr>
                <w:rFonts w:eastAsia="Calibri"/>
                <w:sz w:val="20"/>
                <w:lang w:val="fr-CA"/>
              </w:rPr>
            </w:pPr>
          </w:p>
        </w:tc>
      </w:tr>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The Cash Store Financial Services Inc. et sa filiale, The Cash Store, et sa filiale, 1152919 Alberta Ltd., faisant affaire sous le nom d’Instaloans, offrent des prêts à court terme et d'autres services financiers comme solution de rechange aux établissements de crédit traditionnels.  Monsieur Meeking a déposé une déclaration à la Cour du Banc de la Reine du Manitoba sous le régime de la</w:t>
            </w:r>
            <w:r w:rsidRPr="002D43DE">
              <w:rPr>
                <w:rFonts w:eastAsia="Calibri"/>
                <w:i/>
                <w:sz w:val="20"/>
                <w:lang w:val="fr-CA"/>
              </w:rPr>
              <w:t xml:space="preserve"> Loi sur les recours collectifs</w:t>
            </w:r>
            <w:r w:rsidRPr="002D43DE">
              <w:rPr>
                <w:rFonts w:eastAsia="Calibri"/>
                <w:sz w:val="20"/>
                <w:lang w:val="fr-CA"/>
              </w:rPr>
              <w:t>, C.P.L.M., ch. C130, en son propre nom et au nom [</w:t>
            </w:r>
            <w:r w:rsidRPr="002D43DE">
              <w:rPr>
                <w:rFonts w:eastAsia="Calibri"/>
                <w:smallCaps/>
                <w:sz w:val="20"/>
                <w:lang w:val="fr-CA"/>
              </w:rPr>
              <w:t>traduction</w:t>
            </w:r>
            <w:r w:rsidRPr="002D43DE">
              <w:rPr>
                <w:rFonts w:eastAsia="Calibri"/>
                <w:sz w:val="20"/>
                <w:lang w:val="fr-CA"/>
              </w:rPr>
              <w:t>] « de tous les résidents du Manitoba » et [</w:t>
            </w:r>
            <w:r w:rsidRPr="002D43DE">
              <w:rPr>
                <w:rFonts w:eastAsia="Calibri"/>
                <w:smallCaps/>
                <w:sz w:val="20"/>
                <w:lang w:val="fr-CA"/>
              </w:rPr>
              <w:t>traduction</w:t>
            </w:r>
            <w:r w:rsidRPr="002D43DE">
              <w:rPr>
                <w:rFonts w:eastAsia="Calibri"/>
                <w:sz w:val="20"/>
                <w:lang w:val="fr-CA"/>
              </w:rPr>
              <w:t xml:space="preserve">] « des personnes qui résident à l'extérieur du Manitoba qui ont choisi de participer au présent recours de la manière dont déterminera la Cour » relativement à des frais de courtage perçus dans l’exercice des activités de crédit de The Cash Store.  La demande de M. Meeking avait été précédée par des demandes similaires en Ontario, en Colombie-Britannique et en Alberta.  Le jugement homologuant la transaction dans le cadre du recours en Ontario a défini la catégorie à laquelle le recours s'appliquait comme incluant les personnes au Manitoba qui avaient obtenu un prêt sur salaire de The Cash Store et d’Instaloans :  </w:t>
            </w:r>
            <w:r w:rsidRPr="002D43DE">
              <w:rPr>
                <w:rFonts w:eastAsia="Calibri"/>
                <w:i/>
                <w:sz w:val="20"/>
                <w:lang w:val="fr-CA"/>
              </w:rPr>
              <w:t>McCutcheon c. The Cash Store Inc.</w:t>
            </w:r>
            <w:r w:rsidRPr="002D43DE">
              <w:rPr>
                <w:rFonts w:eastAsia="Calibri"/>
                <w:sz w:val="20"/>
                <w:lang w:val="fr-CA"/>
              </w:rPr>
              <w:t xml:space="preserve"> (2006), 80 O.R. (3d) 644 (S.C.J.).  L'avis de la transaction a été communiqué à chaque demandeur éventuel par courrier de première classe à la dernière adresse connue de tous les membres de la catégorie, affiché dans les établissements de Cash Store au Canada, sauf en Colombie-Britannique et en Alberta, ainsi que sur le site Web de Cash Store, transmis par communiqués de presse, affiché sur le site Web des avocats et remis par ceux-ci à quiconque présentait une demande en ce sens.  M. Meeking ne s'est pas retiré du recours et n'a pas non plus indiqué qu’il souhaitait participer au plan de distribution; il a déposé la déclaration en l'espèce bien après le délai prescrit pour se retirer.  Les défenderesses ont déposé un avis de requête en vue d’obtenir une ordonnance portant que le jugement homologuant la transaction dans le cadre du recours </w:t>
            </w:r>
            <w:r w:rsidRPr="002D43DE">
              <w:rPr>
                <w:rFonts w:eastAsia="Calibri"/>
                <w:i/>
                <w:sz w:val="20"/>
                <w:lang w:val="fr-CA"/>
              </w:rPr>
              <w:t>McCutcheon</w:t>
            </w:r>
            <w:r w:rsidRPr="002D43DE">
              <w:rPr>
                <w:rFonts w:eastAsia="Calibri"/>
                <w:sz w:val="20"/>
                <w:lang w:val="fr-CA"/>
              </w:rPr>
              <w:t xml:space="preserve"> soit reconnu au Manitoba et qu'il soit exécutoire contre M. Meeking.</w:t>
            </w:r>
          </w:p>
          <w:p w:rsidR="008C55EB" w:rsidRPr="002D43DE" w:rsidRDefault="008C55EB" w:rsidP="00615810">
            <w:pPr>
              <w:jc w:val="both"/>
              <w:rPr>
                <w:rFonts w:eastAsia="Calibri"/>
                <w:sz w:val="20"/>
                <w:lang w:val="fr-CA"/>
              </w:rPr>
            </w:pPr>
          </w:p>
          <w:p w:rsidR="008C55EB" w:rsidRPr="002D43DE" w:rsidRDefault="008C55EB" w:rsidP="00615810">
            <w:pPr>
              <w:jc w:val="both"/>
              <w:rPr>
                <w:rFonts w:eastAsia="Calibri"/>
                <w:sz w:val="20"/>
                <w:lang w:val="fr-CA"/>
              </w:rPr>
            </w:pPr>
            <w:r w:rsidRPr="002D43DE">
              <w:rPr>
                <w:rFonts w:eastAsia="Calibri"/>
                <w:sz w:val="20"/>
                <w:lang w:val="fr-CA"/>
              </w:rPr>
              <w:t xml:space="preserve">Le juge saisi de la requête a statué que le jugement dans le cadre du recours </w:t>
            </w:r>
            <w:r w:rsidRPr="002D43DE">
              <w:rPr>
                <w:rFonts w:eastAsia="Calibri"/>
                <w:i/>
                <w:sz w:val="20"/>
                <w:lang w:val="fr-CA"/>
              </w:rPr>
              <w:t>McCutcheon</w:t>
            </w:r>
            <w:r w:rsidRPr="002D43DE">
              <w:rPr>
                <w:rFonts w:eastAsia="Calibri"/>
                <w:sz w:val="20"/>
                <w:lang w:val="fr-CA"/>
              </w:rPr>
              <w:t xml:space="preserve"> n’était exécutoire que contre The Cash Store à l'égard des prêts sur salaire.  Il ne s'appliquait pas à Instaloans, ni à The Cash Store à l'égard des prêts sur signature ou sur titre.</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22 février 2012</w:t>
            </w:r>
          </w:p>
          <w:p w:rsidR="008C55EB" w:rsidRPr="002D43DE" w:rsidRDefault="008C55EB" w:rsidP="00615810">
            <w:pPr>
              <w:jc w:val="both"/>
              <w:rPr>
                <w:rFonts w:eastAsia="Calibri"/>
                <w:sz w:val="20"/>
                <w:lang w:val="fr-CA"/>
              </w:rPr>
            </w:pPr>
            <w:r w:rsidRPr="002D43DE">
              <w:rPr>
                <w:rFonts w:eastAsia="Calibri"/>
                <w:sz w:val="20"/>
                <w:lang w:val="fr-CA"/>
              </w:rPr>
              <w:t>Cour du Banc de la Reine du Manitoba</w:t>
            </w:r>
          </w:p>
          <w:p w:rsidR="008C55EB" w:rsidRPr="002D43DE" w:rsidRDefault="008C55EB" w:rsidP="00615810">
            <w:pPr>
              <w:jc w:val="both"/>
              <w:rPr>
                <w:rFonts w:eastAsia="Calibri"/>
                <w:sz w:val="20"/>
                <w:lang w:val="fr-CA"/>
              </w:rPr>
            </w:pPr>
            <w:r w:rsidRPr="002D43DE">
              <w:rPr>
                <w:rFonts w:eastAsia="Calibri"/>
                <w:sz w:val="20"/>
                <w:lang w:val="fr-CA"/>
              </w:rPr>
              <w:t>(Juge Hanssen)</w:t>
            </w:r>
          </w:p>
          <w:p w:rsidR="008C55EB" w:rsidRPr="002D43DE" w:rsidRDefault="0077107C" w:rsidP="00615810">
            <w:pPr>
              <w:jc w:val="both"/>
              <w:rPr>
                <w:rFonts w:eastAsia="Calibri"/>
                <w:sz w:val="20"/>
                <w:lang w:val="fr-CA"/>
              </w:rPr>
            </w:pPr>
            <w:hyperlink r:id="rId31" w:history="1">
              <w:r w:rsidR="008C55EB" w:rsidRPr="002D43DE">
                <w:rPr>
                  <w:rFonts w:eastAsia="Calibri"/>
                  <w:color w:val="0000FF"/>
                  <w:sz w:val="20"/>
                  <w:u w:val="single"/>
                  <w:lang w:val="fr-CA"/>
                </w:rPr>
                <w:t>2013 MBQB 221</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 xml:space="preserve">La transaction dans le cadre du recours </w:t>
            </w:r>
            <w:r w:rsidRPr="002D43DE">
              <w:rPr>
                <w:rFonts w:eastAsia="Calibri"/>
                <w:i/>
                <w:sz w:val="20"/>
                <w:lang w:val="fr-CA"/>
              </w:rPr>
              <w:t>McCutcheon c. The Cash Store Inc.</w:t>
            </w:r>
            <w:r w:rsidRPr="002D43DE">
              <w:rPr>
                <w:rFonts w:eastAsia="Calibri"/>
                <w:sz w:val="20"/>
                <w:lang w:val="fr-CA"/>
              </w:rPr>
              <w:t xml:space="preserve"> (2006), 80 O.R. (3d) 644 (S.C.J.), n’est exécutoire au Manitoba qu'à l'égard des prêts sur salaire consentis par The Cash Store</w:t>
            </w:r>
          </w:p>
          <w:p w:rsidR="008C55EB" w:rsidRPr="002D43DE" w:rsidRDefault="008C55EB" w:rsidP="00615810">
            <w:pPr>
              <w:jc w:val="both"/>
              <w:rPr>
                <w:rFonts w:eastAsia="Calibri"/>
                <w:sz w:val="20"/>
                <w:lang w:val="fr-CA"/>
              </w:rPr>
            </w:pPr>
          </w:p>
        </w:tc>
      </w:tr>
      <w:tr w:rsidR="008C55EB" w:rsidRPr="002D43DE"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9 septembre 2013</w:t>
            </w:r>
          </w:p>
          <w:p w:rsidR="008C55EB" w:rsidRPr="002D43DE" w:rsidRDefault="008C55EB" w:rsidP="00615810">
            <w:pPr>
              <w:jc w:val="both"/>
              <w:rPr>
                <w:rFonts w:eastAsia="Calibri"/>
                <w:sz w:val="20"/>
                <w:lang w:val="fr-CA"/>
              </w:rPr>
            </w:pPr>
            <w:r w:rsidRPr="002D43DE">
              <w:rPr>
                <w:rFonts w:eastAsia="Calibri"/>
                <w:sz w:val="20"/>
                <w:lang w:val="fr-CA"/>
              </w:rPr>
              <w:t>Cour d'appel du Manitoba</w:t>
            </w:r>
          </w:p>
          <w:p w:rsidR="008C55EB" w:rsidRPr="002D43DE" w:rsidRDefault="008C55EB" w:rsidP="00615810">
            <w:pPr>
              <w:jc w:val="both"/>
              <w:rPr>
                <w:rFonts w:eastAsia="Calibri"/>
                <w:sz w:val="20"/>
                <w:lang w:val="fr-CA"/>
              </w:rPr>
            </w:pPr>
            <w:r w:rsidRPr="002D43DE">
              <w:rPr>
                <w:rFonts w:eastAsia="Calibri"/>
                <w:sz w:val="20"/>
                <w:lang w:val="fr-CA"/>
              </w:rPr>
              <w:t>(Juges Chartier, Beard et Cameron)</w:t>
            </w:r>
          </w:p>
          <w:p w:rsidR="008C55EB" w:rsidRPr="002D43DE" w:rsidRDefault="0077107C" w:rsidP="00615810">
            <w:pPr>
              <w:jc w:val="both"/>
              <w:rPr>
                <w:rFonts w:eastAsia="Calibri"/>
                <w:sz w:val="20"/>
                <w:lang w:val="fr-CA"/>
              </w:rPr>
            </w:pPr>
            <w:hyperlink r:id="rId32" w:history="1">
              <w:r w:rsidR="008C55EB" w:rsidRPr="002D43DE">
                <w:rPr>
                  <w:rFonts w:eastAsia="Calibri"/>
                  <w:color w:val="0000FF"/>
                  <w:sz w:val="20"/>
                  <w:u w:val="single"/>
                  <w:lang w:val="fr-CA"/>
                </w:rPr>
                <w:t>2013 MBCA 81</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Appel et appel incident, rejetés</w:t>
            </w:r>
          </w:p>
          <w:p w:rsidR="008C55EB" w:rsidRPr="002D43DE" w:rsidRDefault="008C55EB" w:rsidP="00615810">
            <w:pPr>
              <w:jc w:val="both"/>
              <w:rPr>
                <w:rFonts w:eastAsia="Calibri"/>
                <w:sz w:val="20"/>
                <w:lang w:val="fr-CA"/>
              </w:rPr>
            </w:pPr>
          </w:p>
        </w:tc>
      </w:tr>
      <w:tr w:rsidR="008C55EB" w:rsidRPr="002D43DE" w:rsidTr="004F6AF8">
        <w:trPr>
          <w:cantSplit/>
        </w:trPr>
        <w:tc>
          <w:tcPr>
            <w:tcW w:w="2427" w:type="pct"/>
          </w:tcPr>
          <w:p w:rsidR="008C55EB" w:rsidRPr="002D43DE" w:rsidRDefault="008C55EB" w:rsidP="00615810">
            <w:pPr>
              <w:jc w:val="both"/>
              <w:rPr>
                <w:rFonts w:eastAsia="Calibri"/>
                <w:sz w:val="20"/>
                <w:lang w:val="fr-CA"/>
              </w:rPr>
            </w:pPr>
            <w:r w:rsidRPr="002D43DE">
              <w:rPr>
                <w:rFonts w:eastAsia="Calibri"/>
                <w:sz w:val="20"/>
                <w:lang w:val="fr-CA"/>
              </w:rPr>
              <w:lastRenderedPageBreak/>
              <w:t>7 novembre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Demande d'autorisation d'appel, déposée</w:t>
            </w:r>
          </w:p>
          <w:p w:rsidR="008C55EB" w:rsidRPr="002D43DE" w:rsidRDefault="008C55EB" w:rsidP="00615810">
            <w:pPr>
              <w:jc w:val="both"/>
              <w:rPr>
                <w:rFonts w:eastAsia="Calibri"/>
                <w:sz w:val="20"/>
                <w:lang w:val="fr-CA"/>
              </w:rPr>
            </w:pPr>
          </w:p>
        </w:tc>
      </w:tr>
      <w:tr w:rsidR="008C55EB" w:rsidRPr="002D43DE" w:rsidTr="004F6AF8">
        <w:trPr>
          <w:cantSplit/>
        </w:trPr>
        <w:tc>
          <w:tcPr>
            <w:tcW w:w="2427" w:type="pct"/>
          </w:tcPr>
          <w:p w:rsidR="008C55EB" w:rsidRPr="002D43DE" w:rsidRDefault="008C55EB" w:rsidP="00615810">
            <w:pPr>
              <w:jc w:val="both"/>
              <w:rPr>
                <w:rFonts w:eastAsia="Calibri"/>
                <w:sz w:val="20"/>
                <w:lang w:val="fr-CA"/>
              </w:rPr>
            </w:pPr>
            <w:r w:rsidRPr="002D43DE">
              <w:rPr>
                <w:rFonts w:eastAsia="Calibri"/>
                <w:sz w:val="20"/>
                <w:lang w:val="fr-CA"/>
              </w:rPr>
              <w:t>8 novembre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Deuxième demande d'autorisation d'appel, déposée</w:t>
            </w:r>
          </w:p>
          <w:p w:rsidR="008C55EB" w:rsidRPr="002D43DE" w:rsidRDefault="008C55EB" w:rsidP="00615810">
            <w:pPr>
              <w:jc w:val="both"/>
              <w:rPr>
                <w:rFonts w:eastAsia="Calibri"/>
                <w:sz w:val="20"/>
                <w:lang w:val="fr-CA"/>
              </w:rPr>
            </w:pPr>
          </w:p>
        </w:tc>
      </w:tr>
    </w:tbl>
    <w:p w:rsidR="00A42D17" w:rsidRDefault="00A42D17" w:rsidP="00A42D17">
      <w:pPr>
        <w:rPr>
          <w:sz w:val="20"/>
          <w:szCs w:val="20"/>
        </w:rPr>
      </w:pPr>
    </w:p>
    <w:p w:rsidR="00A42D17" w:rsidRDefault="0077107C" w:rsidP="00A42D17">
      <w:pPr>
        <w:rPr>
          <w:sz w:val="20"/>
          <w:szCs w:val="20"/>
          <w:lang w:val="fr-CA"/>
        </w:rPr>
      </w:pPr>
      <w:r>
        <w:rPr>
          <w:sz w:val="20"/>
          <w:szCs w:val="20"/>
          <w:lang w:val="fr-CA"/>
        </w:rPr>
        <w:pict>
          <v:rect id="_x0000_i1041" style="width:2in;height:1pt" o:hrpct="0" o:hralign="center" o:hrstd="t" o:hrnoshade="t" o:hr="t" fillcolor="black [3213]" stroked="f"/>
        </w:pict>
      </w:r>
    </w:p>
    <w:p w:rsidR="00A42D17" w:rsidRDefault="00A42D17" w:rsidP="00A42D1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6AF8" w:rsidRPr="00C3245A" w:rsidTr="005C5683">
        <w:trPr>
          <w:cantSplit/>
        </w:trPr>
        <w:tc>
          <w:tcPr>
            <w:tcW w:w="1458" w:type="dxa"/>
          </w:tcPr>
          <w:p w:rsidR="004F6AF8" w:rsidRPr="00C3245A" w:rsidRDefault="004F6AF8" w:rsidP="005C5683">
            <w:pPr>
              <w:rPr>
                <w:sz w:val="20"/>
                <w:szCs w:val="20"/>
              </w:rPr>
            </w:pPr>
            <w:r w:rsidRPr="00C3245A">
              <w:rPr>
                <w:rStyle w:val="SCCFileNumberChar"/>
                <w:sz w:val="20"/>
                <w:szCs w:val="20"/>
              </w:rPr>
              <w:t>35626</w:t>
            </w:r>
          </w:p>
          <w:p w:rsidR="004F6AF8" w:rsidRPr="00C3245A" w:rsidRDefault="004F6AF8" w:rsidP="005C5683">
            <w:pPr>
              <w:rPr>
                <w:b/>
                <w:sz w:val="20"/>
                <w:szCs w:val="20"/>
                <w:lang w:val="fr-CA"/>
              </w:rPr>
            </w:pPr>
          </w:p>
        </w:tc>
        <w:tc>
          <w:tcPr>
            <w:tcW w:w="8118" w:type="dxa"/>
          </w:tcPr>
          <w:p w:rsidR="004F6AF8" w:rsidRPr="00C3245A" w:rsidRDefault="004F6AF8" w:rsidP="005C5683">
            <w:pPr>
              <w:rPr>
                <w:sz w:val="20"/>
                <w:szCs w:val="20"/>
              </w:rPr>
            </w:pPr>
            <w:r w:rsidRPr="00C3245A">
              <w:rPr>
                <w:rStyle w:val="SCCLsocChar"/>
                <w:sz w:val="20"/>
                <w:szCs w:val="20"/>
                <w:lang w:val="en-CA"/>
              </w:rPr>
              <w:t>Her Majesty the Queen v. Jeffrey St-Cloud</w:t>
            </w:r>
            <w:r w:rsidRPr="00C3245A">
              <w:rPr>
                <w:sz w:val="20"/>
                <w:szCs w:val="20"/>
              </w:rPr>
              <w:t xml:space="preserve"> (Que.) (Criminal) (By Leave)</w:t>
            </w:r>
          </w:p>
          <w:p w:rsidR="004F6AF8" w:rsidRPr="00C3245A" w:rsidRDefault="004F6AF8" w:rsidP="005C5683">
            <w:pPr>
              <w:rPr>
                <w:sz w:val="20"/>
                <w:szCs w:val="20"/>
              </w:rPr>
            </w:pPr>
          </w:p>
        </w:tc>
      </w:tr>
      <w:tr w:rsidR="004F6AF8" w:rsidRPr="00C3245A" w:rsidTr="005C5683">
        <w:trPr>
          <w:cantSplit/>
        </w:trPr>
        <w:tc>
          <w:tcPr>
            <w:tcW w:w="1458" w:type="dxa"/>
          </w:tcPr>
          <w:p w:rsidR="004F6AF8" w:rsidRPr="00C3245A" w:rsidRDefault="004F6AF8" w:rsidP="005C5683">
            <w:pPr>
              <w:rPr>
                <w:sz w:val="20"/>
                <w:szCs w:val="20"/>
              </w:rPr>
            </w:pPr>
            <w:r w:rsidRPr="00C3245A">
              <w:rPr>
                <w:sz w:val="20"/>
                <w:szCs w:val="20"/>
              </w:rPr>
              <w:t>Coram :</w:t>
            </w:r>
          </w:p>
        </w:tc>
        <w:tc>
          <w:tcPr>
            <w:tcW w:w="8118" w:type="dxa"/>
          </w:tcPr>
          <w:p w:rsidR="004F6AF8" w:rsidRPr="00C3245A" w:rsidRDefault="004F6AF8" w:rsidP="005C5683">
            <w:pPr>
              <w:rPr>
                <w:sz w:val="20"/>
                <w:szCs w:val="20"/>
              </w:rPr>
            </w:pPr>
            <w:r w:rsidRPr="00C3245A">
              <w:rPr>
                <w:rStyle w:val="SCCCoramChar"/>
                <w:sz w:val="20"/>
                <w:szCs w:val="20"/>
                <w:lang w:val="en-CA"/>
              </w:rPr>
              <w:t>McLachlin C.J. and Cromwell and Wagner JJ.</w:t>
            </w:r>
          </w:p>
          <w:p w:rsidR="004F6AF8" w:rsidRPr="00C3245A" w:rsidRDefault="004F6AF8" w:rsidP="005C5683">
            <w:pPr>
              <w:rPr>
                <w:sz w:val="20"/>
                <w:szCs w:val="20"/>
                <w:u w:val="single"/>
              </w:rPr>
            </w:pPr>
          </w:p>
        </w:tc>
      </w:tr>
      <w:tr w:rsidR="004F6AF8" w:rsidRPr="00DA4390" w:rsidTr="005C5683">
        <w:trPr>
          <w:cantSplit/>
        </w:trPr>
        <w:tc>
          <w:tcPr>
            <w:tcW w:w="9576" w:type="dxa"/>
            <w:gridSpan w:val="2"/>
          </w:tcPr>
          <w:p w:rsidR="004F6AF8" w:rsidRPr="00C3245A" w:rsidRDefault="004F6AF8" w:rsidP="005C5683">
            <w:pPr>
              <w:pStyle w:val="SCCShortJudgment"/>
              <w:rPr>
                <w:szCs w:val="20"/>
              </w:rPr>
            </w:pPr>
            <w:r w:rsidRPr="00C3245A">
              <w:rPr>
                <w:szCs w:val="20"/>
              </w:rPr>
              <w:t>The application for leave to appeal from the judgment of the Superior Court of Quebec, Number 500-36-006839-131, 2013 QCCS 5021, dated September 26, 2013, is granted without costs.</w:t>
            </w:r>
          </w:p>
          <w:p w:rsidR="004F6AF8" w:rsidRPr="00C3245A" w:rsidRDefault="004F6AF8" w:rsidP="005C5683">
            <w:pPr>
              <w:pStyle w:val="SCCShortJudgment"/>
              <w:ind w:firstLine="0"/>
              <w:rPr>
                <w:szCs w:val="20"/>
              </w:rPr>
            </w:pPr>
          </w:p>
          <w:p w:rsidR="004F6AF8" w:rsidRPr="00C3245A" w:rsidRDefault="004F6AF8" w:rsidP="005C5683">
            <w:pPr>
              <w:pStyle w:val="SCCShortJudgment"/>
              <w:rPr>
                <w:szCs w:val="20"/>
                <w:lang w:val="fr-CA"/>
              </w:rPr>
            </w:pPr>
            <w:r w:rsidRPr="00C3245A">
              <w:rPr>
                <w:szCs w:val="20"/>
                <w:lang w:val="fr-CA"/>
              </w:rPr>
              <w:t>La demande d’autorisation d’appel du jugement de la Cour supérieure du Québec, numéro 500-36-006839-131, 2013 QCCS 5021,  daté du 26 septembre 2013, est accueillie sans dépens.</w:t>
            </w:r>
          </w:p>
        </w:tc>
      </w:tr>
    </w:tbl>
    <w:p w:rsidR="00A42D17" w:rsidRPr="004F6AF8" w:rsidRDefault="00A42D17" w:rsidP="00A42D17">
      <w:pPr>
        <w:rPr>
          <w:sz w:val="20"/>
          <w:szCs w:val="20"/>
          <w:lang w:val="fr-CA"/>
        </w:rPr>
      </w:pPr>
    </w:p>
    <w:p w:rsidR="00A42D17" w:rsidRPr="001B157C" w:rsidRDefault="00A42D17" w:rsidP="00A42D17">
      <w:pPr>
        <w:rPr>
          <w:sz w:val="20"/>
          <w:szCs w:val="20"/>
          <w:u w:val="single"/>
        </w:rPr>
      </w:pPr>
      <w:r w:rsidRPr="001B157C">
        <w:rPr>
          <w:sz w:val="20"/>
          <w:szCs w:val="20"/>
          <w:u w:val="single"/>
        </w:rPr>
        <w:t>CASE SUMMARY</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5000" w:type="pct"/>
            <w:gridSpan w:val="3"/>
          </w:tcPr>
          <w:p w:rsidR="008C55EB" w:rsidRPr="002D43DE" w:rsidRDefault="008C55EB" w:rsidP="00615810">
            <w:pPr>
              <w:jc w:val="both"/>
              <w:rPr>
                <w:rFonts w:eastAsia="Calibri"/>
                <w:smallCaps/>
                <w:sz w:val="20"/>
              </w:rPr>
            </w:pPr>
            <w:r w:rsidRPr="002D43DE">
              <w:rPr>
                <w:rFonts w:eastAsia="Calibri"/>
                <w:smallCaps/>
                <w:sz w:val="20"/>
              </w:rPr>
              <w:t>(Publication Ban in Case)</w:t>
            </w:r>
          </w:p>
          <w:p w:rsidR="008C55EB" w:rsidRPr="002D43DE" w:rsidRDefault="008C55EB" w:rsidP="00615810">
            <w:pPr>
              <w:jc w:val="both"/>
              <w:rPr>
                <w:rFonts w:eastAsia="Calibri"/>
                <w:sz w:val="20"/>
              </w:rPr>
            </w:pPr>
          </w:p>
        </w:tc>
      </w:tr>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Criminal law – Judicial interim release – Justification for detention in custody – Whether Superior Court erred in unduly restricting scope of s. 515(10)(</w:t>
            </w:r>
            <w:r w:rsidRPr="002D43DE">
              <w:rPr>
                <w:rFonts w:eastAsia="Calibri"/>
                <w:i/>
                <w:sz w:val="20"/>
              </w:rPr>
              <w:t>c</w:t>
            </w:r>
            <w:r w:rsidRPr="002D43DE">
              <w:rPr>
                <w:rFonts w:eastAsia="Calibri"/>
                <w:sz w:val="20"/>
              </w:rPr>
              <w:t xml:space="preserve">) of </w:t>
            </w:r>
            <w:r w:rsidRPr="002D43DE">
              <w:rPr>
                <w:rFonts w:eastAsia="Calibri"/>
                <w:i/>
                <w:sz w:val="20"/>
              </w:rPr>
              <w:t>Criminal Code</w:t>
            </w:r>
            <w:r w:rsidRPr="002D43DE">
              <w:rPr>
                <w:rFonts w:eastAsia="Calibri"/>
                <w:sz w:val="20"/>
              </w:rPr>
              <w:t>, R.S.C. 1985, c. C</w:t>
            </w:r>
            <w:r w:rsidRPr="002D43DE">
              <w:rPr>
                <w:rFonts w:eastAsia="Calibri"/>
                <w:sz w:val="20"/>
              </w:rPr>
              <w:noBreakHyphen/>
              <w:t xml:space="preserve">46 – Standard of review applicable to review of interim release decision under s. 520 of </w:t>
            </w:r>
            <w:r w:rsidRPr="002D43DE">
              <w:rPr>
                <w:rFonts w:eastAsia="Calibri"/>
                <w:i/>
                <w:sz w:val="20"/>
              </w:rPr>
              <w:t>Criminal Code</w:t>
            </w:r>
            <w:r w:rsidRPr="002D43DE">
              <w:rPr>
                <w:rFonts w:eastAsia="Calibri"/>
                <w:sz w:val="20"/>
              </w:rPr>
              <w:t xml:space="preserve"> – Whether Superior Court erred in substituting its assessment of evidence for that of justices.</w:t>
            </w:r>
          </w:p>
        </w:tc>
      </w:tr>
      <w:tr w:rsidR="008C55EB" w:rsidRPr="002D43DE" w:rsidTr="00615810">
        <w:tc>
          <w:tcPr>
            <w:tcW w:w="5000" w:type="pct"/>
            <w:gridSpan w:val="3"/>
          </w:tcPr>
          <w:p w:rsidR="008C55EB" w:rsidRPr="002D43DE" w:rsidRDefault="008C55EB" w:rsidP="00615810">
            <w:pPr>
              <w:jc w:val="both"/>
              <w:rPr>
                <w:rFonts w:eastAsia="Calibri"/>
                <w:sz w:val="20"/>
              </w:rPr>
            </w:pPr>
          </w:p>
          <w:p w:rsidR="008C55EB" w:rsidRPr="002D43DE" w:rsidRDefault="008C55EB" w:rsidP="00615810">
            <w:pPr>
              <w:jc w:val="both"/>
              <w:rPr>
                <w:rFonts w:eastAsia="Calibri"/>
                <w:sz w:val="20"/>
              </w:rPr>
            </w:pPr>
            <w:r w:rsidRPr="002D43DE">
              <w:rPr>
                <w:rFonts w:eastAsia="Calibri"/>
                <w:sz w:val="20"/>
              </w:rPr>
              <w:t>The respondent was charged with aggravated assault committed against a Montréal bus driver in April 2013.  The recording from two cameras in the bus clearly showed that the respondent was an active participant in the assault.  Applying s. 515(10)(</w:t>
            </w:r>
            <w:r w:rsidRPr="002D43DE">
              <w:rPr>
                <w:rFonts w:eastAsia="Calibri"/>
                <w:i/>
                <w:sz w:val="20"/>
              </w:rPr>
              <w:t>c</w:t>
            </w:r>
            <w:r w:rsidRPr="002D43DE">
              <w:rPr>
                <w:rFonts w:eastAsia="Calibri"/>
                <w:sz w:val="20"/>
              </w:rPr>
              <w:t xml:space="preserve">) of the </w:t>
            </w:r>
            <w:r w:rsidRPr="002D43DE">
              <w:rPr>
                <w:rFonts w:eastAsia="Calibri"/>
                <w:i/>
                <w:sz w:val="20"/>
              </w:rPr>
              <w:t>Criminal Code</w:t>
            </w:r>
            <w:r w:rsidRPr="002D43DE">
              <w:rPr>
                <w:rFonts w:eastAsia="Calibri"/>
                <w:sz w:val="20"/>
              </w:rPr>
              <w:t xml:space="preserve">, two justices found that the respondent’s detention was necessary to maintain confidence in the administration of justice.  On review under s. 520 of the </w:t>
            </w:r>
            <w:r w:rsidRPr="002D43DE">
              <w:rPr>
                <w:rFonts w:eastAsia="Calibri"/>
                <w:i/>
                <w:sz w:val="20"/>
              </w:rPr>
              <w:t>Criminal Code</w:t>
            </w:r>
            <w:r w:rsidRPr="002D43DE">
              <w:rPr>
                <w:rFonts w:eastAsia="Calibri"/>
                <w:sz w:val="20"/>
              </w:rPr>
              <w:t>, the Superior Court found that the case law required s. 515(10)(</w:t>
            </w:r>
            <w:r w:rsidRPr="002D43DE">
              <w:rPr>
                <w:rFonts w:eastAsia="Calibri"/>
                <w:i/>
                <w:sz w:val="20"/>
              </w:rPr>
              <w:t>c</w:t>
            </w:r>
            <w:r w:rsidRPr="002D43DE">
              <w:rPr>
                <w:rFonts w:eastAsia="Calibri"/>
                <w:sz w:val="20"/>
              </w:rPr>
              <w:t>) to be used sparingly and that the trial judges had erred in applying it in this case.  The Superior Court explained that the respondent’s behaviour was appalling but that his detention could not be justified under s. 515(10)(</w:t>
            </w:r>
            <w:r w:rsidRPr="002D43DE">
              <w:rPr>
                <w:rFonts w:eastAsia="Calibri"/>
                <w:i/>
                <w:sz w:val="20"/>
              </w:rPr>
              <w:t>c</w:t>
            </w:r>
            <w:r w:rsidRPr="002D43DE">
              <w:rPr>
                <w:rFonts w:eastAsia="Calibri"/>
                <w:sz w:val="20"/>
              </w:rPr>
              <w:t>).</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April 29, 2013</w:t>
            </w:r>
          </w:p>
          <w:p w:rsidR="008C55EB" w:rsidRPr="002D43DE" w:rsidRDefault="008C55EB" w:rsidP="00615810">
            <w:pPr>
              <w:jc w:val="both"/>
              <w:rPr>
                <w:rFonts w:eastAsia="Calibri"/>
                <w:sz w:val="20"/>
              </w:rPr>
            </w:pPr>
            <w:r w:rsidRPr="002D43DE">
              <w:rPr>
                <w:rFonts w:eastAsia="Calibri"/>
                <w:sz w:val="20"/>
              </w:rPr>
              <w:t>Court of Québec</w:t>
            </w:r>
          </w:p>
          <w:p w:rsidR="008C55EB" w:rsidRPr="002D43DE" w:rsidRDefault="008C55EB" w:rsidP="00615810">
            <w:pPr>
              <w:jc w:val="both"/>
              <w:rPr>
                <w:rFonts w:eastAsia="Calibri"/>
                <w:sz w:val="20"/>
              </w:rPr>
            </w:pPr>
            <w:r w:rsidRPr="002D43DE">
              <w:rPr>
                <w:rFonts w:eastAsia="Calibri"/>
                <w:sz w:val="20"/>
              </w:rPr>
              <w:t>(Judge Lavergne)</w:t>
            </w:r>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i/>
                <w:sz w:val="20"/>
              </w:rPr>
            </w:pPr>
            <w:r w:rsidRPr="002D43DE">
              <w:rPr>
                <w:rFonts w:eastAsia="Calibri"/>
                <w:sz w:val="20"/>
              </w:rPr>
              <w:t>Interim release of respondent denied under s. 515(10)(</w:t>
            </w:r>
            <w:r w:rsidRPr="002D43DE">
              <w:rPr>
                <w:rFonts w:eastAsia="Calibri"/>
                <w:i/>
                <w:sz w:val="20"/>
              </w:rPr>
              <w:t>b</w:t>
            </w:r>
            <w:r w:rsidRPr="002D43DE">
              <w:rPr>
                <w:rFonts w:eastAsia="Calibri"/>
                <w:sz w:val="20"/>
              </w:rPr>
              <w:t>) and (</w:t>
            </w:r>
            <w:r w:rsidRPr="002D43DE">
              <w:rPr>
                <w:rFonts w:eastAsia="Calibri"/>
                <w:i/>
                <w:sz w:val="20"/>
              </w:rPr>
              <w:t>c</w:t>
            </w:r>
            <w:r w:rsidRPr="002D43DE">
              <w:rPr>
                <w:rFonts w:eastAsia="Calibri"/>
                <w:sz w:val="20"/>
              </w:rPr>
              <w:t xml:space="preserve">) of </w:t>
            </w:r>
            <w:r w:rsidRPr="002D43DE">
              <w:rPr>
                <w:rFonts w:eastAsia="Calibri"/>
                <w:i/>
                <w:sz w:val="20"/>
              </w:rPr>
              <w:t>Criminal Code</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June 21, 2013</w:t>
            </w:r>
          </w:p>
          <w:p w:rsidR="008C55EB" w:rsidRPr="002D43DE" w:rsidRDefault="008C55EB" w:rsidP="00615810">
            <w:pPr>
              <w:jc w:val="both"/>
              <w:rPr>
                <w:rFonts w:eastAsia="Calibri"/>
                <w:sz w:val="20"/>
              </w:rPr>
            </w:pPr>
            <w:r w:rsidRPr="002D43DE">
              <w:rPr>
                <w:rFonts w:eastAsia="Calibri"/>
                <w:sz w:val="20"/>
              </w:rPr>
              <w:t>Court of Québec</w:t>
            </w:r>
          </w:p>
          <w:p w:rsidR="008C55EB" w:rsidRPr="002D43DE" w:rsidRDefault="008C55EB" w:rsidP="00615810">
            <w:pPr>
              <w:jc w:val="both"/>
              <w:rPr>
                <w:rFonts w:eastAsia="Calibri"/>
                <w:sz w:val="20"/>
              </w:rPr>
            </w:pPr>
            <w:r w:rsidRPr="002D43DE">
              <w:rPr>
                <w:rFonts w:eastAsia="Calibri"/>
                <w:sz w:val="20"/>
              </w:rPr>
              <w:t>(Judge Legault)</w:t>
            </w:r>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Motion for release under s. 523(2)(</w:t>
            </w:r>
            <w:r w:rsidRPr="002D43DE">
              <w:rPr>
                <w:rFonts w:eastAsia="Calibri"/>
                <w:i/>
                <w:sz w:val="20"/>
              </w:rPr>
              <w:t>b</w:t>
            </w:r>
            <w:r w:rsidRPr="002D43DE">
              <w:rPr>
                <w:rFonts w:eastAsia="Calibri"/>
                <w:sz w:val="20"/>
              </w:rPr>
              <w:t xml:space="preserve">) of </w:t>
            </w:r>
            <w:r w:rsidRPr="002D43DE">
              <w:rPr>
                <w:rFonts w:eastAsia="Calibri"/>
                <w:i/>
                <w:sz w:val="20"/>
              </w:rPr>
              <w:t>Criminal Code</w:t>
            </w:r>
            <w:r w:rsidRPr="002D43DE">
              <w:rPr>
                <w:rFonts w:eastAsia="Calibri"/>
                <w:sz w:val="20"/>
              </w:rPr>
              <w:t xml:space="preserve"> dismissed</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September 26, 2013</w:t>
            </w:r>
          </w:p>
          <w:p w:rsidR="008C55EB" w:rsidRPr="002D43DE" w:rsidRDefault="008C55EB" w:rsidP="00615810">
            <w:pPr>
              <w:jc w:val="both"/>
              <w:rPr>
                <w:rFonts w:eastAsia="Calibri"/>
                <w:sz w:val="20"/>
              </w:rPr>
            </w:pPr>
            <w:r w:rsidRPr="002D43DE">
              <w:rPr>
                <w:rFonts w:eastAsia="Calibri"/>
                <w:sz w:val="20"/>
              </w:rPr>
              <w:t>Quebec Superior Court</w:t>
            </w:r>
          </w:p>
          <w:p w:rsidR="008C55EB" w:rsidRPr="002D43DE" w:rsidRDefault="008C55EB" w:rsidP="00615810">
            <w:pPr>
              <w:jc w:val="both"/>
              <w:rPr>
                <w:rFonts w:eastAsia="Calibri"/>
                <w:sz w:val="20"/>
              </w:rPr>
            </w:pPr>
            <w:r w:rsidRPr="002D43DE">
              <w:rPr>
                <w:rFonts w:eastAsia="Calibri"/>
                <w:sz w:val="20"/>
              </w:rPr>
              <w:t>(Martin J.)</w:t>
            </w:r>
          </w:p>
          <w:p w:rsidR="008C55EB" w:rsidRPr="002D43DE" w:rsidRDefault="0077107C" w:rsidP="00615810">
            <w:pPr>
              <w:jc w:val="both"/>
              <w:rPr>
                <w:rFonts w:eastAsia="Calibri"/>
                <w:sz w:val="20"/>
              </w:rPr>
            </w:pPr>
            <w:hyperlink r:id="rId33" w:history="1">
              <w:r w:rsidR="008C55EB" w:rsidRPr="002D43DE">
                <w:rPr>
                  <w:rFonts w:eastAsia="Calibri"/>
                  <w:color w:val="0000FF"/>
                  <w:sz w:val="20"/>
                  <w:u w:val="single"/>
                </w:rPr>
                <w:t>2013 QCCS 5021</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 xml:space="preserve">Motion for review under s. 520 of </w:t>
            </w:r>
            <w:r w:rsidRPr="002D43DE">
              <w:rPr>
                <w:rFonts w:eastAsia="Calibri"/>
                <w:i/>
                <w:sz w:val="20"/>
              </w:rPr>
              <w:t>Criminal Code</w:t>
            </w:r>
            <w:r w:rsidRPr="002D43DE">
              <w:rPr>
                <w:rFonts w:eastAsia="Calibri"/>
                <w:sz w:val="20"/>
              </w:rPr>
              <w:t xml:space="preserve"> allowed</w:t>
            </w:r>
          </w:p>
        </w:tc>
      </w:tr>
      <w:tr w:rsidR="008C55EB" w:rsidRPr="002D43DE" w:rsidTr="004F6AF8">
        <w:trPr>
          <w:cantSplit/>
        </w:trPr>
        <w:tc>
          <w:tcPr>
            <w:tcW w:w="2427" w:type="pct"/>
          </w:tcPr>
          <w:p w:rsidR="008C55EB" w:rsidRPr="002D43DE" w:rsidRDefault="008C55EB" w:rsidP="00615810">
            <w:pPr>
              <w:jc w:val="both"/>
              <w:rPr>
                <w:rFonts w:eastAsia="Calibri"/>
                <w:sz w:val="20"/>
              </w:rPr>
            </w:pPr>
            <w:r w:rsidRPr="002D43DE">
              <w:rPr>
                <w:rFonts w:eastAsia="Calibri"/>
                <w:sz w:val="20"/>
              </w:rPr>
              <w:lastRenderedPageBreak/>
              <w:t>November 21, 2013</w:t>
            </w:r>
          </w:p>
          <w:p w:rsidR="008C55EB" w:rsidRPr="002D43DE" w:rsidRDefault="008C55EB" w:rsidP="00615810">
            <w:pPr>
              <w:jc w:val="both"/>
              <w:rPr>
                <w:rFonts w:eastAsia="Calibri"/>
                <w:sz w:val="20"/>
              </w:rPr>
            </w:pPr>
            <w:r w:rsidRPr="002D43DE">
              <w:rPr>
                <w:rFonts w:eastAsia="Calibri"/>
                <w:sz w:val="20"/>
              </w:rPr>
              <w:t>Supreme Court of Canada</w:t>
            </w: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Application for leave to appeal filed</w:t>
            </w:r>
          </w:p>
          <w:p w:rsidR="008C55EB" w:rsidRPr="002D43DE" w:rsidRDefault="008C55EB" w:rsidP="00615810">
            <w:pPr>
              <w:jc w:val="both"/>
              <w:rPr>
                <w:rFonts w:eastAsia="Calibri"/>
                <w:sz w:val="20"/>
              </w:rPr>
            </w:pPr>
          </w:p>
        </w:tc>
      </w:tr>
    </w:tbl>
    <w:p w:rsidR="00A42D17" w:rsidRDefault="00A42D17" w:rsidP="00A42D17">
      <w:pPr>
        <w:rPr>
          <w:sz w:val="20"/>
          <w:szCs w:val="20"/>
        </w:rPr>
      </w:pPr>
    </w:p>
    <w:p w:rsidR="00A42D17" w:rsidRPr="00C50A5C" w:rsidRDefault="0077107C" w:rsidP="00A42D17">
      <w:pPr>
        <w:rPr>
          <w:sz w:val="20"/>
          <w:szCs w:val="20"/>
        </w:rPr>
      </w:pPr>
      <w:r>
        <w:rPr>
          <w:sz w:val="20"/>
          <w:szCs w:val="20"/>
          <w:lang w:val="fr-CA"/>
        </w:rPr>
        <w:pict>
          <v:rect id="_x0000_i1042" style="width:2in;height:1pt" o:hrpct="0" o:hralign="center" o:hrstd="t" o:hrnoshade="t" o:hr="t" fillcolor="black [3213]" stroked="f"/>
        </w:pict>
      </w:r>
    </w:p>
    <w:p w:rsidR="00A42D17" w:rsidRDefault="00A42D17" w:rsidP="00A42D17">
      <w:pPr>
        <w:rPr>
          <w:sz w:val="20"/>
          <w:szCs w:val="20"/>
        </w:rPr>
      </w:pPr>
    </w:p>
    <w:p w:rsidR="00A42D17" w:rsidRPr="001B157C" w:rsidRDefault="00A42D17" w:rsidP="00A42D17">
      <w:pPr>
        <w:rPr>
          <w:sz w:val="20"/>
          <w:szCs w:val="20"/>
          <w:u w:val="single"/>
          <w:lang w:val="fr-CA"/>
        </w:rPr>
      </w:pPr>
      <w:r w:rsidRPr="001B157C">
        <w:rPr>
          <w:sz w:val="20"/>
          <w:szCs w:val="20"/>
          <w:u w:val="single"/>
          <w:lang w:val="fr-CA"/>
        </w:rPr>
        <w:t>RÉSUMÉ DE L’AFFAIRE</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DA4390" w:rsidTr="00615810">
        <w:tc>
          <w:tcPr>
            <w:tcW w:w="5000" w:type="pct"/>
            <w:gridSpan w:val="3"/>
          </w:tcPr>
          <w:p w:rsidR="008C55EB" w:rsidRPr="002D43DE" w:rsidRDefault="008C55EB" w:rsidP="00615810">
            <w:pPr>
              <w:jc w:val="both"/>
              <w:rPr>
                <w:rFonts w:eastAsia="Calibri"/>
                <w:smallCaps/>
                <w:sz w:val="20"/>
                <w:lang w:val="fr-CA"/>
              </w:rPr>
            </w:pPr>
            <w:r w:rsidRPr="002D43DE">
              <w:rPr>
                <w:rFonts w:eastAsia="Calibri"/>
                <w:smallCaps/>
                <w:sz w:val="20"/>
                <w:lang w:val="fr-CA"/>
              </w:rPr>
              <w:t>(Ordonnance de non-publication dans le dossier)</w:t>
            </w:r>
          </w:p>
          <w:p w:rsidR="008C55EB" w:rsidRPr="002D43DE" w:rsidRDefault="008C55EB" w:rsidP="00615810">
            <w:pPr>
              <w:jc w:val="both"/>
              <w:rPr>
                <w:rFonts w:eastAsia="Calibri"/>
                <w:sz w:val="20"/>
                <w:lang w:val="fr-CA"/>
              </w:rPr>
            </w:pPr>
          </w:p>
        </w:tc>
      </w:tr>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Droit criminel – Mise en liberté provisoire par voie judiciaire – Motifs justifiant la détention – La Cour supérieure a-t-elle erré en restreignant indûment la portée de l’al. 515(10)</w:t>
            </w:r>
            <w:r w:rsidRPr="002D43DE">
              <w:rPr>
                <w:rFonts w:eastAsia="Calibri"/>
                <w:i/>
                <w:sz w:val="20"/>
                <w:lang w:val="fr-CA"/>
              </w:rPr>
              <w:t>c</w:t>
            </w:r>
            <w:r w:rsidRPr="002D43DE">
              <w:rPr>
                <w:rFonts w:eastAsia="Calibri"/>
                <w:sz w:val="20"/>
                <w:lang w:val="fr-CA"/>
              </w:rPr>
              <w:t xml:space="preserve">) du </w:t>
            </w:r>
            <w:r w:rsidRPr="002D43DE">
              <w:rPr>
                <w:rFonts w:eastAsia="Calibri"/>
                <w:i/>
                <w:sz w:val="20"/>
                <w:lang w:val="fr-CA"/>
              </w:rPr>
              <w:t>Code criminel</w:t>
            </w:r>
            <w:r w:rsidRPr="002D43DE">
              <w:rPr>
                <w:rFonts w:eastAsia="Calibri"/>
                <w:sz w:val="20"/>
                <w:lang w:val="fr-CA"/>
              </w:rPr>
              <w:t xml:space="preserve">, L.R.C. 1985, ch. C-46? – Quelle est la norme de contrôle applicable à la révision en vertu de l’art. 520 du </w:t>
            </w:r>
            <w:r w:rsidRPr="002D43DE">
              <w:rPr>
                <w:rFonts w:eastAsia="Calibri"/>
                <w:i/>
                <w:sz w:val="20"/>
                <w:lang w:val="fr-CA"/>
              </w:rPr>
              <w:t>Code criminel</w:t>
            </w:r>
            <w:r w:rsidRPr="002D43DE">
              <w:rPr>
                <w:rFonts w:eastAsia="Calibri"/>
                <w:sz w:val="20"/>
                <w:lang w:val="fr-CA"/>
              </w:rPr>
              <w:t xml:space="preserve"> d’une décision en matière de mise en liberté provisoire? – La Cour supérieure a-t-elle erré en substituant son appréciation de la preuve à celle des juges de paix?</w:t>
            </w:r>
          </w:p>
        </w:tc>
      </w:tr>
      <w:tr w:rsidR="008C55EB" w:rsidRPr="00DA4390" w:rsidTr="00615810">
        <w:tc>
          <w:tcPr>
            <w:tcW w:w="5000" w:type="pct"/>
            <w:gridSpan w:val="3"/>
          </w:tcPr>
          <w:p w:rsidR="008C55EB" w:rsidRPr="002D43DE" w:rsidRDefault="008C55EB" w:rsidP="00615810">
            <w:pPr>
              <w:jc w:val="both"/>
              <w:rPr>
                <w:rFonts w:eastAsia="Calibri"/>
                <w:sz w:val="20"/>
                <w:lang w:val="fr-CA"/>
              </w:rPr>
            </w:pPr>
          </w:p>
          <w:p w:rsidR="008C55EB" w:rsidRPr="002D43DE" w:rsidRDefault="008C55EB" w:rsidP="00615810">
            <w:pPr>
              <w:jc w:val="both"/>
              <w:rPr>
                <w:rFonts w:eastAsia="Calibri"/>
                <w:sz w:val="20"/>
                <w:lang w:val="fr-CA"/>
              </w:rPr>
            </w:pPr>
            <w:r w:rsidRPr="002D43DE">
              <w:rPr>
                <w:rFonts w:eastAsia="Calibri"/>
                <w:sz w:val="20"/>
                <w:lang w:val="fr-CA"/>
              </w:rPr>
              <w:t>L’intimé est accusé de voies de fait graves commises en avril 2013 à l’endroit d’un chauffeur d’autobus de Montréal.  L’enregistrement de deux caméras dans l’autobus démontre nettement la participation active de l’intimé dans l’agression.  Appliquant l’al. 515(10)</w:t>
            </w:r>
            <w:r w:rsidRPr="002D43DE">
              <w:rPr>
                <w:rFonts w:eastAsia="Calibri"/>
                <w:i/>
                <w:sz w:val="20"/>
                <w:lang w:val="fr-CA"/>
              </w:rPr>
              <w:t>c</w:t>
            </w:r>
            <w:r w:rsidRPr="002D43DE">
              <w:rPr>
                <w:rFonts w:eastAsia="Calibri"/>
                <w:sz w:val="20"/>
                <w:lang w:val="fr-CA"/>
              </w:rPr>
              <w:t xml:space="preserve">) du </w:t>
            </w:r>
            <w:r w:rsidRPr="002D43DE">
              <w:rPr>
                <w:rFonts w:eastAsia="Calibri"/>
                <w:i/>
                <w:sz w:val="20"/>
                <w:lang w:val="fr-CA"/>
              </w:rPr>
              <w:t>Code criminel</w:t>
            </w:r>
            <w:r w:rsidRPr="002D43DE">
              <w:rPr>
                <w:rFonts w:eastAsia="Calibri"/>
                <w:sz w:val="20"/>
                <w:lang w:val="fr-CA"/>
              </w:rPr>
              <w:t xml:space="preserve">, deux juges de paix ont conclu que la détention de l’intimé était nécessaire pour ne pas miner la confiance du public envers l’administration de la justice.  En révision en vertu de l’art. 520 du </w:t>
            </w:r>
            <w:r w:rsidRPr="002D43DE">
              <w:rPr>
                <w:rFonts w:eastAsia="Calibri"/>
                <w:i/>
                <w:sz w:val="20"/>
                <w:lang w:val="fr-CA"/>
              </w:rPr>
              <w:t>Code criminel</w:t>
            </w:r>
            <w:r w:rsidRPr="002D43DE">
              <w:rPr>
                <w:rFonts w:eastAsia="Calibri"/>
                <w:sz w:val="20"/>
                <w:lang w:val="fr-CA"/>
              </w:rPr>
              <w:t>, la Cour supérieure a conclu que selon la jurisprudence, l’al. 515(10)</w:t>
            </w:r>
            <w:r w:rsidRPr="002D43DE">
              <w:rPr>
                <w:rFonts w:eastAsia="Calibri"/>
                <w:i/>
                <w:sz w:val="20"/>
                <w:lang w:val="fr-CA"/>
              </w:rPr>
              <w:t>c</w:t>
            </w:r>
            <w:r w:rsidRPr="002D43DE">
              <w:rPr>
                <w:rFonts w:eastAsia="Calibri"/>
                <w:sz w:val="20"/>
                <w:lang w:val="fr-CA"/>
              </w:rPr>
              <w:t>) devait être appliqué avec parcimonie et qu’en l’espèce, les premiers juges ont erré en l’appliquant.  En effet, la Cour supérieure a expliqué que le comportement de l’intimé était « odieux » mais que sa détention ne pouvait être justifiée en vertu de l’al. 515(10)</w:t>
            </w:r>
            <w:r w:rsidRPr="002D43DE">
              <w:rPr>
                <w:rFonts w:eastAsia="Calibri"/>
                <w:i/>
                <w:sz w:val="20"/>
                <w:lang w:val="fr-CA"/>
              </w:rPr>
              <w:t>c</w:t>
            </w:r>
            <w:r w:rsidRPr="002D43DE">
              <w:rPr>
                <w:rFonts w:eastAsia="Calibri"/>
                <w:sz w:val="20"/>
                <w:lang w:val="fr-CA"/>
              </w:rPr>
              <w:t>).</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Le 29 avril 2013</w:t>
            </w:r>
          </w:p>
          <w:p w:rsidR="008C55EB" w:rsidRPr="002D43DE" w:rsidRDefault="008C55EB" w:rsidP="00615810">
            <w:pPr>
              <w:jc w:val="both"/>
              <w:rPr>
                <w:rFonts w:eastAsia="Calibri"/>
                <w:sz w:val="20"/>
                <w:lang w:val="fr-CA"/>
              </w:rPr>
            </w:pPr>
            <w:r w:rsidRPr="002D43DE">
              <w:rPr>
                <w:rFonts w:eastAsia="Calibri"/>
                <w:sz w:val="20"/>
                <w:lang w:val="fr-CA"/>
              </w:rPr>
              <w:t>Cour du Québec</w:t>
            </w:r>
          </w:p>
          <w:p w:rsidR="008C55EB" w:rsidRPr="002D43DE" w:rsidRDefault="008C55EB" w:rsidP="00615810">
            <w:pPr>
              <w:jc w:val="both"/>
              <w:rPr>
                <w:rFonts w:eastAsia="Calibri"/>
                <w:sz w:val="20"/>
                <w:lang w:val="fr-CA"/>
              </w:rPr>
            </w:pPr>
            <w:r w:rsidRPr="002D43DE">
              <w:rPr>
                <w:rFonts w:eastAsia="Calibri"/>
                <w:sz w:val="20"/>
                <w:lang w:val="fr-CA"/>
              </w:rPr>
              <w:t>(Le juge Lavergne)</w:t>
            </w:r>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i/>
                <w:sz w:val="20"/>
                <w:lang w:val="fr-CA"/>
              </w:rPr>
            </w:pPr>
            <w:r w:rsidRPr="002D43DE">
              <w:rPr>
                <w:rFonts w:eastAsia="Calibri"/>
                <w:sz w:val="20"/>
                <w:lang w:val="fr-CA"/>
              </w:rPr>
              <w:t xml:space="preserve">Liberté provisoire de l’intimé refusée en vertu des al. </w:t>
            </w:r>
            <w:r w:rsidRPr="002D43DE">
              <w:rPr>
                <w:rFonts w:eastAsia="Calibri"/>
                <w:i/>
                <w:sz w:val="20"/>
                <w:lang w:val="fr-CA"/>
              </w:rPr>
              <w:t>b</w:t>
            </w:r>
            <w:r w:rsidRPr="002D43DE">
              <w:rPr>
                <w:rFonts w:eastAsia="Calibri"/>
                <w:sz w:val="20"/>
                <w:lang w:val="fr-CA"/>
              </w:rPr>
              <w:t xml:space="preserve">) et </w:t>
            </w:r>
            <w:r w:rsidRPr="002D43DE">
              <w:rPr>
                <w:rFonts w:eastAsia="Calibri"/>
                <w:i/>
                <w:sz w:val="20"/>
                <w:lang w:val="fr-CA"/>
              </w:rPr>
              <w:t>c</w:t>
            </w:r>
            <w:r w:rsidRPr="002D43DE">
              <w:rPr>
                <w:rFonts w:eastAsia="Calibri"/>
                <w:sz w:val="20"/>
                <w:lang w:val="fr-CA"/>
              </w:rPr>
              <w:t xml:space="preserve">) du par. 515(10) du </w:t>
            </w:r>
            <w:r w:rsidRPr="002D43DE">
              <w:rPr>
                <w:rFonts w:eastAsia="Calibri"/>
                <w:i/>
                <w:sz w:val="20"/>
                <w:lang w:val="fr-CA"/>
              </w:rPr>
              <w:t>Code criminel</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Le 21 juin 2013</w:t>
            </w:r>
          </w:p>
          <w:p w:rsidR="008C55EB" w:rsidRPr="002D43DE" w:rsidRDefault="008C55EB" w:rsidP="00615810">
            <w:pPr>
              <w:jc w:val="both"/>
              <w:rPr>
                <w:rFonts w:eastAsia="Calibri"/>
                <w:sz w:val="20"/>
                <w:lang w:val="fr-CA"/>
              </w:rPr>
            </w:pPr>
            <w:r w:rsidRPr="002D43DE">
              <w:rPr>
                <w:rFonts w:eastAsia="Calibri"/>
                <w:sz w:val="20"/>
                <w:lang w:val="fr-CA"/>
              </w:rPr>
              <w:t>Cour du Québec</w:t>
            </w:r>
          </w:p>
          <w:p w:rsidR="008C55EB" w:rsidRPr="002D43DE" w:rsidRDefault="008C55EB" w:rsidP="00615810">
            <w:pPr>
              <w:jc w:val="both"/>
              <w:rPr>
                <w:rFonts w:eastAsia="Calibri"/>
                <w:sz w:val="20"/>
                <w:lang w:val="fr-CA"/>
              </w:rPr>
            </w:pPr>
            <w:r w:rsidRPr="002D43DE">
              <w:rPr>
                <w:rFonts w:eastAsia="Calibri"/>
                <w:sz w:val="20"/>
                <w:lang w:val="fr-CA"/>
              </w:rPr>
              <w:t>(Le juge Legault)</w:t>
            </w:r>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Requête en vertu de l’al. 523(2)</w:t>
            </w:r>
            <w:r w:rsidRPr="002D43DE">
              <w:rPr>
                <w:rFonts w:eastAsia="Calibri"/>
                <w:i/>
                <w:sz w:val="20"/>
                <w:lang w:val="fr-CA"/>
              </w:rPr>
              <w:t>b</w:t>
            </w:r>
            <w:r w:rsidRPr="002D43DE">
              <w:rPr>
                <w:rFonts w:eastAsia="Calibri"/>
                <w:sz w:val="20"/>
                <w:lang w:val="fr-CA"/>
              </w:rPr>
              <w:t xml:space="preserve">) du </w:t>
            </w:r>
            <w:r w:rsidRPr="002D43DE">
              <w:rPr>
                <w:rFonts w:eastAsia="Calibri"/>
                <w:i/>
                <w:sz w:val="20"/>
                <w:lang w:val="fr-CA"/>
              </w:rPr>
              <w:t>Code criminel</w:t>
            </w:r>
            <w:r w:rsidRPr="002D43DE">
              <w:rPr>
                <w:rFonts w:eastAsia="Calibri"/>
                <w:sz w:val="20"/>
                <w:lang w:val="fr-CA"/>
              </w:rPr>
              <w:t xml:space="preserve"> pour remise en liberté rejetée</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Le 26 septembre 2013</w:t>
            </w:r>
          </w:p>
          <w:p w:rsidR="008C55EB" w:rsidRPr="002D43DE" w:rsidRDefault="008C55EB" w:rsidP="00615810">
            <w:pPr>
              <w:jc w:val="both"/>
              <w:rPr>
                <w:rFonts w:eastAsia="Calibri"/>
                <w:sz w:val="20"/>
                <w:lang w:val="fr-CA"/>
              </w:rPr>
            </w:pPr>
            <w:r w:rsidRPr="002D43DE">
              <w:rPr>
                <w:rFonts w:eastAsia="Calibri"/>
                <w:sz w:val="20"/>
                <w:lang w:val="fr-CA"/>
              </w:rPr>
              <w:t>Cour supérieure du Québec</w:t>
            </w:r>
          </w:p>
          <w:p w:rsidR="008C55EB" w:rsidRPr="002D43DE" w:rsidRDefault="008C55EB" w:rsidP="00615810">
            <w:pPr>
              <w:jc w:val="both"/>
              <w:rPr>
                <w:rFonts w:eastAsia="Calibri"/>
                <w:sz w:val="20"/>
                <w:lang w:val="fr-CA"/>
              </w:rPr>
            </w:pPr>
            <w:r w:rsidRPr="002D43DE">
              <w:rPr>
                <w:rFonts w:eastAsia="Calibri"/>
                <w:sz w:val="20"/>
                <w:lang w:val="fr-CA"/>
              </w:rPr>
              <w:t>(Le juge Martin)</w:t>
            </w:r>
          </w:p>
          <w:p w:rsidR="008C55EB" w:rsidRPr="002D43DE" w:rsidRDefault="0077107C" w:rsidP="00615810">
            <w:pPr>
              <w:jc w:val="both"/>
              <w:rPr>
                <w:rFonts w:eastAsia="Calibri"/>
                <w:sz w:val="20"/>
                <w:lang w:val="fr-CA"/>
              </w:rPr>
            </w:pPr>
            <w:hyperlink r:id="rId34" w:history="1">
              <w:r w:rsidR="008C55EB" w:rsidRPr="002D43DE">
                <w:rPr>
                  <w:rFonts w:eastAsia="Calibri"/>
                  <w:color w:val="0000FF"/>
                  <w:sz w:val="20"/>
                  <w:u w:val="single"/>
                  <w:lang w:val="fr-CA"/>
                </w:rPr>
                <w:t>2013 QCCS 5021</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 xml:space="preserve">Requête en révision en vertu de l’art. 520 du </w:t>
            </w:r>
            <w:r w:rsidRPr="002D43DE">
              <w:rPr>
                <w:rFonts w:eastAsia="Calibri"/>
                <w:i/>
                <w:sz w:val="20"/>
                <w:lang w:val="fr-CA"/>
              </w:rPr>
              <w:t>Code criminel</w:t>
            </w:r>
            <w:r w:rsidRPr="002D43DE">
              <w:rPr>
                <w:rFonts w:eastAsia="Calibri"/>
                <w:sz w:val="20"/>
                <w:lang w:val="fr-CA"/>
              </w:rPr>
              <w:t xml:space="preserve"> accueillie</w:t>
            </w:r>
          </w:p>
        </w:tc>
      </w:tr>
      <w:tr w:rsidR="008C55EB" w:rsidRPr="002D43DE"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Le 21 novembre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Demande d'autorisation d'appel déposée</w:t>
            </w:r>
          </w:p>
          <w:p w:rsidR="008C55EB" w:rsidRPr="002D43DE" w:rsidRDefault="008C55EB" w:rsidP="00615810">
            <w:pPr>
              <w:jc w:val="both"/>
              <w:rPr>
                <w:rFonts w:eastAsia="Calibri"/>
                <w:sz w:val="20"/>
                <w:lang w:val="fr-CA"/>
              </w:rPr>
            </w:pPr>
          </w:p>
        </w:tc>
      </w:tr>
    </w:tbl>
    <w:p w:rsidR="00A42D17" w:rsidRDefault="00A42D17" w:rsidP="00A42D17">
      <w:pPr>
        <w:rPr>
          <w:sz w:val="20"/>
          <w:szCs w:val="20"/>
        </w:rPr>
      </w:pPr>
    </w:p>
    <w:p w:rsidR="00A42D17" w:rsidRDefault="0077107C" w:rsidP="00A42D17">
      <w:pPr>
        <w:rPr>
          <w:sz w:val="20"/>
          <w:szCs w:val="20"/>
          <w:lang w:val="fr-CA"/>
        </w:rPr>
      </w:pPr>
      <w:r>
        <w:rPr>
          <w:sz w:val="20"/>
          <w:szCs w:val="20"/>
          <w:lang w:val="fr-CA"/>
        </w:rPr>
        <w:pict>
          <v:rect id="_x0000_i1043" style="width:2in;height:1pt" o:hrpct="0" o:hralign="center" o:hrstd="t" o:hrnoshade="t" o:hr="t" fillcolor="black [3213]" stroked="f"/>
        </w:pict>
      </w:r>
    </w:p>
    <w:p w:rsidR="00A42D17" w:rsidRDefault="00A42D17" w:rsidP="00A42D1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6AF8" w:rsidRPr="00C3245A" w:rsidTr="005C5683">
        <w:trPr>
          <w:cantSplit/>
        </w:trPr>
        <w:tc>
          <w:tcPr>
            <w:tcW w:w="1458" w:type="dxa"/>
          </w:tcPr>
          <w:p w:rsidR="004F6AF8" w:rsidRPr="00C3245A" w:rsidRDefault="004F6AF8" w:rsidP="005C5683">
            <w:pPr>
              <w:rPr>
                <w:sz w:val="20"/>
                <w:szCs w:val="20"/>
              </w:rPr>
            </w:pPr>
            <w:r w:rsidRPr="00C3245A">
              <w:rPr>
                <w:rStyle w:val="SCCFileNumberChar"/>
                <w:sz w:val="20"/>
                <w:szCs w:val="20"/>
              </w:rPr>
              <w:lastRenderedPageBreak/>
              <w:t>35630</w:t>
            </w:r>
          </w:p>
          <w:p w:rsidR="004F6AF8" w:rsidRPr="00C3245A" w:rsidRDefault="004F6AF8" w:rsidP="005C5683">
            <w:pPr>
              <w:rPr>
                <w:b/>
                <w:sz w:val="20"/>
                <w:szCs w:val="20"/>
                <w:lang w:val="fr-CA"/>
              </w:rPr>
            </w:pPr>
          </w:p>
        </w:tc>
        <w:tc>
          <w:tcPr>
            <w:tcW w:w="8118" w:type="dxa"/>
          </w:tcPr>
          <w:p w:rsidR="004F6AF8" w:rsidRPr="00C3245A" w:rsidRDefault="004F6AF8" w:rsidP="005C5683">
            <w:pPr>
              <w:jc w:val="both"/>
              <w:rPr>
                <w:sz w:val="20"/>
                <w:szCs w:val="20"/>
              </w:rPr>
            </w:pPr>
            <w:r w:rsidRPr="00C3245A">
              <w:rPr>
                <w:rStyle w:val="SCCLsocChar"/>
                <w:sz w:val="20"/>
                <w:szCs w:val="20"/>
                <w:lang w:val="en-CA"/>
              </w:rPr>
              <w:t>Reginald Louis on his own behalf and on behalf of all the members of the Stellat</w:t>
            </w:r>
            <w:r w:rsidRPr="004F6AF8">
              <w:rPr>
                <w:rStyle w:val="SCCLsocChar"/>
                <w:szCs w:val="20"/>
                <w:lang w:val="en-CA"/>
              </w:rPr>
              <w:t>’</w:t>
            </w:r>
            <w:r w:rsidRPr="00C3245A">
              <w:rPr>
                <w:rStyle w:val="SCCLsocChar"/>
                <w:sz w:val="20"/>
                <w:szCs w:val="20"/>
                <w:lang w:val="en-CA"/>
              </w:rPr>
              <w:t>en First Nation</w:t>
            </w:r>
            <w:r w:rsidR="00D91625">
              <w:rPr>
                <w:rStyle w:val="SCCLsocChar"/>
                <w:sz w:val="20"/>
                <w:szCs w:val="20"/>
                <w:lang w:val="en-CA"/>
              </w:rPr>
              <w:t xml:space="preserve"> and</w:t>
            </w:r>
            <w:r w:rsidRPr="00C3245A">
              <w:rPr>
                <w:rStyle w:val="SCCLsocChar"/>
                <w:sz w:val="20"/>
                <w:szCs w:val="20"/>
                <w:lang w:val="en-CA"/>
              </w:rPr>
              <w:t xml:space="preserve"> Stellat</w:t>
            </w:r>
            <w:r w:rsidRPr="004F6AF8">
              <w:rPr>
                <w:rStyle w:val="SCCLsocChar"/>
                <w:szCs w:val="20"/>
                <w:lang w:val="en-CA"/>
              </w:rPr>
              <w:t>’</w:t>
            </w:r>
            <w:r w:rsidRPr="00C3245A">
              <w:rPr>
                <w:rStyle w:val="SCCLsocChar"/>
                <w:sz w:val="20"/>
                <w:szCs w:val="20"/>
                <w:lang w:val="en-CA"/>
              </w:rPr>
              <w:t>en First Nation v. Her Majesty the Queen in Right of the Province of British Columbia as represented by the Minister of Energy, Mines and Petroleum Resources, Chief Inspector of Mines</w:t>
            </w:r>
            <w:r w:rsidR="00D91625">
              <w:rPr>
                <w:rStyle w:val="SCCLsocChar"/>
                <w:sz w:val="20"/>
                <w:szCs w:val="20"/>
                <w:lang w:val="en-CA"/>
              </w:rPr>
              <w:t xml:space="preserve"> and</w:t>
            </w:r>
            <w:r w:rsidRPr="00C3245A">
              <w:rPr>
                <w:rStyle w:val="SCCLsocChar"/>
                <w:sz w:val="20"/>
                <w:szCs w:val="20"/>
                <w:lang w:val="en-CA"/>
              </w:rPr>
              <w:t xml:space="preserve"> Thompson Creek Metals Company Inc.</w:t>
            </w:r>
            <w:r w:rsidRPr="00C3245A">
              <w:rPr>
                <w:sz w:val="20"/>
                <w:szCs w:val="20"/>
              </w:rPr>
              <w:t xml:space="preserve"> (B.C.) (Civil) (By Leave)</w:t>
            </w:r>
          </w:p>
          <w:p w:rsidR="004F6AF8" w:rsidRPr="00C3245A" w:rsidRDefault="004F6AF8" w:rsidP="005C5683">
            <w:pPr>
              <w:jc w:val="both"/>
              <w:rPr>
                <w:sz w:val="20"/>
                <w:szCs w:val="20"/>
              </w:rPr>
            </w:pPr>
          </w:p>
        </w:tc>
      </w:tr>
      <w:tr w:rsidR="004F6AF8" w:rsidRPr="00C3245A" w:rsidTr="005C5683">
        <w:trPr>
          <w:cantSplit/>
        </w:trPr>
        <w:tc>
          <w:tcPr>
            <w:tcW w:w="1458" w:type="dxa"/>
          </w:tcPr>
          <w:p w:rsidR="004F6AF8" w:rsidRPr="00C3245A" w:rsidRDefault="004F6AF8" w:rsidP="005C5683">
            <w:pPr>
              <w:rPr>
                <w:sz w:val="20"/>
                <w:szCs w:val="20"/>
              </w:rPr>
            </w:pPr>
            <w:r w:rsidRPr="00C3245A">
              <w:rPr>
                <w:sz w:val="20"/>
                <w:szCs w:val="20"/>
              </w:rPr>
              <w:t>Coram :</w:t>
            </w:r>
          </w:p>
        </w:tc>
        <w:tc>
          <w:tcPr>
            <w:tcW w:w="8118" w:type="dxa"/>
          </w:tcPr>
          <w:p w:rsidR="004F6AF8" w:rsidRPr="00C3245A" w:rsidRDefault="004F6AF8" w:rsidP="005C5683">
            <w:pPr>
              <w:rPr>
                <w:sz w:val="20"/>
                <w:szCs w:val="20"/>
              </w:rPr>
            </w:pPr>
            <w:r w:rsidRPr="00C3245A">
              <w:rPr>
                <w:rStyle w:val="SCCCoramChar"/>
                <w:sz w:val="20"/>
                <w:szCs w:val="20"/>
                <w:lang w:val="en-CA"/>
              </w:rPr>
              <w:t>Abella, Rothstein and Moldaver JJ.</w:t>
            </w:r>
          </w:p>
          <w:p w:rsidR="004F6AF8" w:rsidRPr="00C3245A" w:rsidRDefault="004F6AF8" w:rsidP="005C5683">
            <w:pPr>
              <w:rPr>
                <w:sz w:val="20"/>
                <w:szCs w:val="20"/>
                <w:u w:val="single"/>
              </w:rPr>
            </w:pPr>
          </w:p>
        </w:tc>
      </w:tr>
      <w:tr w:rsidR="004F6AF8" w:rsidRPr="00DA4390" w:rsidTr="005C5683">
        <w:trPr>
          <w:cantSplit/>
        </w:trPr>
        <w:tc>
          <w:tcPr>
            <w:tcW w:w="9576" w:type="dxa"/>
            <w:gridSpan w:val="2"/>
          </w:tcPr>
          <w:p w:rsidR="004F6AF8" w:rsidRPr="00C3245A" w:rsidRDefault="004F6AF8" w:rsidP="005C5683">
            <w:pPr>
              <w:pStyle w:val="SCCShortJudgment"/>
              <w:rPr>
                <w:szCs w:val="20"/>
              </w:rPr>
            </w:pPr>
            <w:r w:rsidRPr="00C3245A">
              <w:rPr>
                <w:szCs w:val="20"/>
              </w:rPr>
              <w:t>The application for leave to appeal from the judgment of the Court of Appeal for British Columbia (Vancouver), Number CA039283, 2013 BCCA 412, dated September 26, 2013, is dismissed with costs.</w:t>
            </w:r>
          </w:p>
          <w:p w:rsidR="004F6AF8" w:rsidRPr="00C3245A" w:rsidRDefault="004F6AF8" w:rsidP="005C5683">
            <w:pPr>
              <w:pStyle w:val="SCCShortJudgment"/>
              <w:ind w:firstLine="0"/>
              <w:rPr>
                <w:szCs w:val="20"/>
              </w:rPr>
            </w:pPr>
          </w:p>
          <w:p w:rsidR="004F6AF8" w:rsidRPr="00C3245A" w:rsidRDefault="004F6AF8" w:rsidP="005C5683">
            <w:pPr>
              <w:pStyle w:val="SCCShortJudgment"/>
              <w:rPr>
                <w:szCs w:val="20"/>
                <w:lang w:val="fr-CA"/>
              </w:rPr>
            </w:pPr>
            <w:r w:rsidRPr="00C3245A">
              <w:rPr>
                <w:szCs w:val="20"/>
                <w:lang w:val="fr-CA"/>
              </w:rPr>
              <w:t>La demande d’autorisation d’appel de l’arrêt de la Cour d’appel de la Colombie-Britannique (Vancouver), numéro CA039283, 2013 BCCA 412, daté du 26 septembre 2013, est rejetée avec dépens.</w:t>
            </w:r>
          </w:p>
        </w:tc>
      </w:tr>
    </w:tbl>
    <w:p w:rsidR="00A42D17" w:rsidRPr="004F6AF8" w:rsidRDefault="00A42D17" w:rsidP="00A42D17">
      <w:pPr>
        <w:rPr>
          <w:sz w:val="20"/>
          <w:szCs w:val="20"/>
          <w:lang w:val="fr-CA"/>
        </w:rPr>
      </w:pPr>
    </w:p>
    <w:p w:rsidR="00A42D17" w:rsidRPr="001B157C" w:rsidRDefault="00A42D17" w:rsidP="00A42D17">
      <w:pPr>
        <w:rPr>
          <w:sz w:val="20"/>
          <w:szCs w:val="20"/>
          <w:u w:val="single"/>
        </w:rPr>
      </w:pPr>
      <w:r w:rsidRPr="001B157C">
        <w:rPr>
          <w:sz w:val="20"/>
          <w:szCs w:val="20"/>
          <w:u w:val="single"/>
        </w:rPr>
        <w:t>CASE SUMMARY</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 xml:space="preserve">Constitutional law – Aboriginal rights – Crown – Duty to Consult – Does the initial acquisition of mineral rights in a free entry mining system foreclose subsequent consultation with First Nations regarding impacts to aboriginal title if substantial changes, requiring Crown approval, are later proposed respecting the extraction of minerals? – Does this Court’s decision in </w:t>
            </w:r>
            <w:r w:rsidRPr="002D43DE">
              <w:rPr>
                <w:rFonts w:eastAsia="Calibri"/>
                <w:i/>
                <w:sz w:val="20"/>
              </w:rPr>
              <w:t>Rio Tinto Alcan Inc. v. Carrier Sekani Tribal Council,</w:t>
            </w:r>
            <w:r w:rsidRPr="002D43DE">
              <w:rPr>
                <w:rFonts w:eastAsia="Calibri"/>
                <w:sz w:val="20"/>
              </w:rPr>
              <w:t xml:space="preserve"> exclude from consultation impacts to the use and benefit of the resources in aboriginal title lands when the Crown is considering massive expansions of existing resource production projects? – Does consideration of aboriginal interests when making decisions to fundamentally alter the terms on which resource extraction takes place where there are contested claims amount to capricious and arbitrary decision</w:t>
            </w:r>
            <w:r w:rsidRPr="002D43DE">
              <w:rPr>
                <w:rFonts w:eastAsia="Calibri"/>
                <w:sz w:val="20"/>
              </w:rPr>
              <w:noBreakHyphen/>
              <w:t>making, as held by the Court of Appeal, or honourable conduct by the Crown, as suggested by earlier decisions of this Court?</w:t>
            </w:r>
          </w:p>
        </w:tc>
      </w:tr>
      <w:tr w:rsidR="008C55EB" w:rsidRPr="002D43DE" w:rsidTr="00615810">
        <w:tc>
          <w:tcPr>
            <w:tcW w:w="5000" w:type="pct"/>
            <w:gridSpan w:val="3"/>
          </w:tcPr>
          <w:p w:rsidR="008C55EB" w:rsidRPr="002D43DE" w:rsidRDefault="008C55EB" w:rsidP="00615810">
            <w:pPr>
              <w:jc w:val="both"/>
              <w:rPr>
                <w:rFonts w:eastAsia="Calibri"/>
                <w:sz w:val="20"/>
              </w:rPr>
            </w:pPr>
          </w:p>
        </w:tc>
      </w:tr>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 xml:space="preserve">The Endako mine is within the traditional territory claimed by the applicant Stellat’en First Nation.  The main Stellat’en community is located approximate 10 km away from the Endako mine.  In 1965, the Crown granted the respondent Thompson Creek Metals Company Inc. rights to the Endanko mine with the issuance of the M-4 Permit, pursuant to s. 10 of the </w:t>
            </w:r>
            <w:r w:rsidRPr="002D43DE">
              <w:rPr>
                <w:rFonts w:eastAsia="Calibri"/>
                <w:i/>
                <w:sz w:val="20"/>
              </w:rPr>
              <w:t>Mines Act</w:t>
            </w:r>
            <w:r w:rsidRPr="002D43DE">
              <w:rPr>
                <w:rFonts w:eastAsia="Calibri"/>
                <w:sz w:val="20"/>
              </w:rPr>
              <w:t xml:space="preserve">, R.S.B.C. 1996, c. 293.  The mine commenced operation that year.  This permit does not expire but because it regulates a wide range of mine operations, major changes in the mine will typically require the operator to obtain governmental approval for permit amendments.  Terms of the permit require certain aspects of it to be updated and approved from time to time.  In 2008, the respondent company began to apply for various permits that would allow it to modernize and expand mining operations.  The respondent company’s application to amend its M-4 Permit allowing for construction of a new mill was ultimately granted. </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August 5, 2011</w:t>
            </w:r>
          </w:p>
          <w:p w:rsidR="008C55EB" w:rsidRPr="002D43DE" w:rsidRDefault="008C55EB" w:rsidP="00615810">
            <w:pPr>
              <w:jc w:val="both"/>
              <w:rPr>
                <w:rFonts w:eastAsia="Calibri"/>
                <w:sz w:val="20"/>
              </w:rPr>
            </w:pPr>
            <w:r w:rsidRPr="002D43DE">
              <w:rPr>
                <w:rFonts w:eastAsia="Calibri"/>
                <w:sz w:val="20"/>
              </w:rPr>
              <w:t>Supreme Court of British Columbia</w:t>
            </w:r>
          </w:p>
          <w:p w:rsidR="008C55EB" w:rsidRPr="002D43DE" w:rsidRDefault="008C55EB" w:rsidP="00615810">
            <w:pPr>
              <w:jc w:val="both"/>
              <w:rPr>
                <w:rFonts w:eastAsia="Calibri"/>
                <w:sz w:val="20"/>
              </w:rPr>
            </w:pPr>
            <w:r w:rsidRPr="002D43DE">
              <w:rPr>
                <w:rFonts w:eastAsia="Calibri"/>
                <w:sz w:val="20"/>
              </w:rPr>
              <w:t>(Crawford J.)</w:t>
            </w:r>
          </w:p>
          <w:p w:rsidR="008C55EB" w:rsidRPr="002D43DE" w:rsidRDefault="008C55EB" w:rsidP="00615810">
            <w:pPr>
              <w:jc w:val="both"/>
              <w:rPr>
                <w:rFonts w:eastAsia="Calibri"/>
                <w:sz w:val="20"/>
              </w:rPr>
            </w:pPr>
            <w:r w:rsidRPr="002D43DE">
              <w:rPr>
                <w:rFonts w:eastAsia="Calibri"/>
                <w:sz w:val="20"/>
              </w:rPr>
              <w:t xml:space="preserve">Neutral citation: </w:t>
            </w:r>
            <w:hyperlink r:id="rId35" w:history="1">
              <w:r w:rsidRPr="002D43DE">
                <w:rPr>
                  <w:rFonts w:eastAsia="Calibri"/>
                  <w:color w:val="0000FF"/>
                  <w:sz w:val="20"/>
                  <w:u w:val="single"/>
                </w:rPr>
                <w:t>2011 BCSC 1070</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Petition dismissed.  The Crown met its duty to consult.</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September 26, 2013</w:t>
            </w:r>
          </w:p>
          <w:p w:rsidR="008C55EB" w:rsidRPr="002D43DE" w:rsidRDefault="008C55EB" w:rsidP="00615810">
            <w:pPr>
              <w:jc w:val="both"/>
              <w:rPr>
                <w:rFonts w:eastAsia="Calibri"/>
                <w:sz w:val="20"/>
              </w:rPr>
            </w:pPr>
            <w:r w:rsidRPr="002D43DE">
              <w:rPr>
                <w:rFonts w:eastAsia="Calibri"/>
                <w:sz w:val="20"/>
              </w:rPr>
              <w:t xml:space="preserve">Court of Appeal for British Columbia </w:t>
            </w:r>
          </w:p>
          <w:p w:rsidR="008C55EB" w:rsidRPr="002D43DE" w:rsidRDefault="008C55EB" w:rsidP="00615810">
            <w:pPr>
              <w:jc w:val="both"/>
              <w:rPr>
                <w:rFonts w:eastAsia="Calibri"/>
                <w:sz w:val="20"/>
              </w:rPr>
            </w:pPr>
            <w:r w:rsidRPr="002D43DE">
              <w:rPr>
                <w:rFonts w:eastAsia="Calibri"/>
                <w:sz w:val="20"/>
              </w:rPr>
              <w:t>(Vancouver)</w:t>
            </w:r>
          </w:p>
          <w:p w:rsidR="008C55EB" w:rsidRPr="002D43DE" w:rsidRDefault="008C55EB" w:rsidP="00615810">
            <w:pPr>
              <w:jc w:val="both"/>
              <w:rPr>
                <w:rFonts w:eastAsia="Calibri"/>
                <w:sz w:val="20"/>
              </w:rPr>
            </w:pPr>
            <w:r w:rsidRPr="002D43DE">
              <w:rPr>
                <w:rFonts w:eastAsia="Calibri"/>
                <w:sz w:val="20"/>
              </w:rPr>
              <w:t>(Tysoe, Groberman, and Bennett JJ.A.)</w:t>
            </w:r>
          </w:p>
          <w:p w:rsidR="008C55EB" w:rsidRPr="002D43DE" w:rsidRDefault="008C55EB" w:rsidP="00615810">
            <w:pPr>
              <w:jc w:val="both"/>
              <w:rPr>
                <w:rFonts w:eastAsia="Calibri"/>
                <w:sz w:val="20"/>
              </w:rPr>
            </w:pPr>
            <w:r w:rsidRPr="002D43DE">
              <w:rPr>
                <w:rFonts w:eastAsia="Calibri"/>
                <w:sz w:val="20"/>
              </w:rPr>
              <w:t xml:space="preserve">Neutral citation: </w:t>
            </w:r>
            <w:hyperlink r:id="rId36" w:history="1">
              <w:r w:rsidRPr="002D43DE">
                <w:rPr>
                  <w:rFonts w:eastAsia="Calibri"/>
                  <w:color w:val="0000FF"/>
                  <w:sz w:val="20"/>
                  <w:u w:val="single"/>
                </w:rPr>
                <w:t>2013 BCCA 412</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Appeal dismissed.</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lastRenderedPageBreak/>
              <w:t>November 25, 2013</w:t>
            </w:r>
          </w:p>
          <w:p w:rsidR="008C55EB" w:rsidRPr="002D43DE" w:rsidRDefault="008C55EB" w:rsidP="00615810">
            <w:pPr>
              <w:jc w:val="both"/>
              <w:rPr>
                <w:rFonts w:eastAsia="Calibri"/>
                <w:sz w:val="20"/>
              </w:rPr>
            </w:pPr>
            <w:r w:rsidRPr="002D43DE">
              <w:rPr>
                <w:rFonts w:eastAsia="Calibri"/>
                <w:sz w:val="20"/>
              </w:rPr>
              <w:t>Supreme Court of Canada</w:t>
            </w: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Application for leave to appeal filed.</w:t>
            </w:r>
          </w:p>
        </w:tc>
      </w:tr>
    </w:tbl>
    <w:p w:rsidR="00A42D17" w:rsidRDefault="00A42D17" w:rsidP="00A42D17">
      <w:pPr>
        <w:rPr>
          <w:sz w:val="20"/>
          <w:szCs w:val="20"/>
        </w:rPr>
      </w:pPr>
    </w:p>
    <w:p w:rsidR="00A42D17" w:rsidRPr="00C50A5C" w:rsidRDefault="0077107C" w:rsidP="00A42D17">
      <w:pPr>
        <w:rPr>
          <w:sz w:val="20"/>
          <w:szCs w:val="20"/>
        </w:rPr>
      </w:pPr>
      <w:r>
        <w:rPr>
          <w:sz w:val="20"/>
          <w:szCs w:val="20"/>
          <w:lang w:val="fr-CA"/>
        </w:rPr>
        <w:pict>
          <v:rect id="_x0000_i1044" style="width:2in;height:1pt" o:hrpct="0" o:hralign="center" o:hrstd="t" o:hrnoshade="t" o:hr="t" fillcolor="black [3213]" stroked="f"/>
        </w:pict>
      </w:r>
    </w:p>
    <w:p w:rsidR="00A42D17" w:rsidRDefault="00A42D17" w:rsidP="00A42D17">
      <w:pPr>
        <w:rPr>
          <w:sz w:val="20"/>
          <w:szCs w:val="20"/>
        </w:rPr>
      </w:pPr>
    </w:p>
    <w:p w:rsidR="00A42D17" w:rsidRPr="001B157C" w:rsidRDefault="00A42D17" w:rsidP="00A42D17">
      <w:pPr>
        <w:rPr>
          <w:sz w:val="20"/>
          <w:szCs w:val="20"/>
          <w:u w:val="single"/>
          <w:lang w:val="fr-CA"/>
        </w:rPr>
      </w:pPr>
      <w:r w:rsidRPr="001B157C">
        <w:rPr>
          <w:sz w:val="20"/>
          <w:szCs w:val="20"/>
          <w:u w:val="single"/>
          <w:lang w:val="fr-CA"/>
        </w:rPr>
        <w:t>RÉSUMÉ DE L’AFFAIRE</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 xml:space="preserve">Droit constitutionnel – Droits des Autochtones – Couronne – Obligation de consulter – L’acquisition initiale de droits miniers dans un système minier d’accès ouvert fait-elle obstacle à une consultation subséquente des Premières nations relativement aux impacts sur le titre aborigène si des changements importants, qui doivent être approuvés par la Couronne, sont proposés par la suite relativement à l’extraction de minéraux? – L'arrêt de cette Cour dans l'affaire </w:t>
            </w:r>
            <w:r w:rsidRPr="002D43DE">
              <w:rPr>
                <w:rFonts w:eastAsia="Calibri"/>
                <w:i/>
                <w:sz w:val="20"/>
                <w:lang w:val="fr-CA"/>
              </w:rPr>
              <w:t>Rio Tinto Alcan Inc. c. Conseil tribal Carrier Sekani</w:t>
            </w:r>
            <w:r w:rsidRPr="002D43DE">
              <w:rPr>
                <w:rFonts w:eastAsia="Calibri"/>
                <w:sz w:val="20"/>
                <w:lang w:val="fr-CA"/>
              </w:rPr>
              <w:t xml:space="preserve"> a-t-il pour effet d'exclure de la consultation les impacts liés à l’usage et au profit des ressources dans les terres visées par un titre aborigène lorsque la Couronne considère d'importantes expansions de projets existants de production de ressources? – La considération des intérêts des Autochtones dans la prise de décisions qui modifient fondamentalement les conditions auxquelles l'extraction des ressources a lieu lorsqu'il y des revendications contestées équivaut-elle à une prise de décision arbitraire et abusive, comme l'a jugé la Cour d'appel, ou à une conduite honorable de la Couronne, comme le laissent entendre des décisions antérieures de cette Cour?</w:t>
            </w:r>
          </w:p>
        </w:tc>
      </w:tr>
      <w:tr w:rsidR="008C55EB" w:rsidRPr="00DA4390" w:rsidTr="00615810">
        <w:tc>
          <w:tcPr>
            <w:tcW w:w="5000" w:type="pct"/>
            <w:gridSpan w:val="3"/>
          </w:tcPr>
          <w:p w:rsidR="008C55EB" w:rsidRPr="002D43DE" w:rsidRDefault="008C55EB" w:rsidP="00615810">
            <w:pPr>
              <w:jc w:val="both"/>
              <w:rPr>
                <w:rFonts w:eastAsia="Calibri"/>
                <w:sz w:val="20"/>
                <w:lang w:val="fr-CA"/>
              </w:rPr>
            </w:pPr>
          </w:p>
        </w:tc>
      </w:tr>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 xml:space="preserve">La mine Endako se trouve dans le territoire traditionnel revendiqué par la demanderesse, la Première nation Stellat’en.  La principale communauté Stellat’en est située à environ 10 km de la mine Endako.  En 1965, la Couronne a accordé à Thompson Creek Metals Company Inc., intimée, des droits à l'égard de la mine Endako par la délivrance du permis M-4, en application de l'art. 10 de la </w:t>
            </w:r>
            <w:r w:rsidRPr="002D43DE">
              <w:rPr>
                <w:rFonts w:eastAsia="Calibri"/>
                <w:i/>
                <w:sz w:val="20"/>
                <w:lang w:val="fr-CA"/>
              </w:rPr>
              <w:t>Mines Act</w:t>
            </w:r>
            <w:r w:rsidRPr="002D43DE">
              <w:rPr>
                <w:rFonts w:eastAsia="Calibri"/>
                <w:sz w:val="20"/>
                <w:lang w:val="fr-CA"/>
              </w:rPr>
              <w:t xml:space="preserve">, R.S.B.C. 1996, ch. 293.  L'exploitation de la mine a commencé cette année-là.  Ce permis n'expire pas, mais parce qu'il réglemente un large éventail d'opérations minières, l'exploitant doit habituellement obtenir des autorisations gouvernementales pour modifier les permis en cas de changements importants touchant la mine.  Aux termes du permis, certains aspects de celui-ci doivent être mis à jour et autorisés à l'occasion.  En 2008, la société intimée a commencé à demander divers permis qui lui permettraient de moderniser et d’étendre ses opérations minières.  La demande de la société intimée en vue de modifier son permis M-4 lui permettant de construire une nouvelle usine a fini par être accueillie. </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5 août 2011</w:t>
            </w:r>
          </w:p>
          <w:p w:rsidR="008C55EB" w:rsidRPr="002D43DE" w:rsidRDefault="008C55EB" w:rsidP="00615810">
            <w:pPr>
              <w:jc w:val="both"/>
              <w:rPr>
                <w:rFonts w:eastAsia="Calibri"/>
                <w:sz w:val="20"/>
                <w:lang w:val="fr-CA"/>
              </w:rPr>
            </w:pPr>
            <w:r w:rsidRPr="002D43DE">
              <w:rPr>
                <w:rFonts w:eastAsia="Calibri"/>
                <w:sz w:val="20"/>
                <w:lang w:val="fr-CA"/>
              </w:rPr>
              <w:t>Cour suprême de la Colombie-Britannique</w:t>
            </w:r>
          </w:p>
          <w:p w:rsidR="008C55EB" w:rsidRPr="002D43DE" w:rsidRDefault="008C55EB" w:rsidP="00615810">
            <w:pPr>
              <w:jc w:val="both"/>
              <w:rPr>
                <w:rFonts w:eastAsia="Calibri"/>
                <w:sz w:val="20"/>
                <w:lang w:val="fr-CA"/>
              </w:rPr>
            </w:pPr>
            <w:r w:rsidRPr="002D43DE">
              <w:rPr>
                <w:rFonts w:eastAsia="Calibri"/>
                <w:sz w:val="20"/>
                <w:lang w:val="fr-CA"/>
              </w:rPr>
              <w:t>(Juge Crawford)</w:t>
            </w:r>
          </w:p>
          <w:p w:rsidR="008C55EB" w:rsidRPr="002D43DE" w:rsidRDefault="008C55EB" w:rsidP="00615810">
            <w:pPr>
              <w:jc w:val="both"/>
              <w:rPr>
                <w:rFonts w:eastAsia="Calibri"/>
                <w:sz w:val="20"/>
                <w:lang w:val="fr-CA"/>
              </w:rPr>
            </w:pPr>
            <w:r w:rsidRPr="002D43DE">
              <w:rPr>
                <w:rFonts w:eastAsia="Calibri"/>
                <w:sz w:val="20"/>
                <w:lang w:val="fr-CA"/>
              </w:rPr>
              <w:t xml:space="preserve">Référence neutre : </w:t>
            </w:r>
            <w:hyperlink r:id="rId37" w:history="1">
              <w:r w:rsidRPr="002D43DE">
                <w:rPr>
                  <w:rFonts w:eastAsia="Calibri"/>
                  <w:color w:val="0000FF"/>
                  <w:sz w:val="20"/>
                  <w:u w:val="single"/>
                  <w:lang w:val="fr-CA"/>
                </w:rPr>
                <w:t>2011 BCSC 1070</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Requête rejetée.  La Couronne s'est acquittée de son obligation de consulter.</w:t>
            </w:r>
          </w:p>
          <w:p w:rsidR="008C55EB" w:rsidRPr="002D43DE" w:rsidRDefault="008C55EB" w:rsidP="00615810">
            <w:pPr>
              <w:jc w:val="both"/>
              <w:rPr>
                <w:rFonts w:eastAsia="Calibri"/>
                <w:sz w:val="20"/>
                <w:lang w:val="fr-CA"/>
              </w:rPr>
            </w:pPr>
          </w:p>
        </w:tc>
      </w:tr>
      <w:tr w:rsidR="008C55EB" w:rsidRPr="002D43DE"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26 septembre 2013</w:t>
            </w:r>
          </w:p>
          <w:p w:rsidR="008C55EB" w:rsidRPr="002D43DE" w:rsidRDefault="008C55EB" w:rsidP="00615810">
            <w:pPr>
              <w:jc w:val="both"/>
              <w:rPr>
                <w:rFonts w:eastAsia="Calibri"/>
                <w:sz w:val="20"/>
                <w:lang w:val="fr-CA"/>
              </w:rPr>
            </w:pPr>
            <w:r w:rsidRPr="002D43DE">
              <w:rPr>
                <w:rFonts w:eastAsia="Calibri"/>
                <w:sz w:val="20"/>
                <w:lang w:val="fr-CA"/>
              </w:rPr>
              <w:t>Cour d'appel de la Colombie-Britannique</w:t>
            </w:r>
          </w:p>
          <w:p w:rsidR="008C55EB" w:rsidRPr="002D43DE" w:rsidRDefault="008C55EB" w:rsidP="00615810">
            <w:pPr>
              <w:jc w:val="both"/>
              <w:rPr>
                <w:rFonts w:eastAsia="Calibri"/>
                <w:sz w:val="20"/>
                <w:lang w:val="fr-CA"/>
              </w:rPr>
            </w:pPr>
            <w:r w:rsidRPr="002D43DE">
              <w:rPr>
                <w:rFonts w:eastAsia="Calibri"/>
                <w:sz w:val="20"/>
                <w:lang w:val="fr-CA"/>
              </w:rPr>
              <w:t>(Vancouver)</w:t>
            </w:r>
          </w:p>
          <w:p w:rsidR="008C55EB" w:rsidRPr="002D43DE" w:rsidRDefault="008C55EB" w:rsidP="00615810">
            <w:pPr>
              <w:jc w:val="both"/>
              <w:rPr>
                <w:rFonts w:eastAsia="Calibri"/>
                <w:sz w:val="20"/>
                <w:lang w:val="fr-CA"/>
              </w:rPr>
            </w:pPr>
            <w:r w:rsidRPr="002D43DE">
              <w:rPr>
                <w:rFonts w:eastAsia="Calibri"/>
                <w:sz w:val="20"/>
                <w:lang w:val="fr-CA"/>
              </w:rPr>
              <w:t>(Juges Tysoe, Groberman et Bennett)</w:t>
            </w:r>
          </w:p>
          <w:p w:rsidR="008C55EB" w:rsidRPr="002D43DE" w:rsidRDefault="008C55EB" w:rsidP="00615810">
            <w:pPr>
              <w:jc w:val="both"/>
              <w:rPr>
                <w:rFonts w:eastAsia="Calibri"/>
                <w:sz w:val="20"/>
                <w:lang w:val="fr-CA"/>
              </w:rPr>
            </w:pPr>
            <w:r w:rsidRPr="002D43DE">
              <w:rPr>
                <w:rFonts w:eastAsia="Calibri"/>
                <w:sz w:val="20"/>
                <w:lang w:val="fr-CA"/>
              </w:rPr>
              <w:t xml:space="preserve">Référence neutre : </w:t>
            </w:r>
            <w:hyperlink r:id="rId38" w:history="1">
              <w:r w:rsidRPr="002D43DE">
                <w:rPr>
                  <w:rFonts w:eastAsia="Calibri"/>
                  <w:color w:val="0000FF"/>
                  <w:sz w:val="20"/>
                  <w:u w:val="single"/>
                  <w:lang w:val="fr-CA"/>
                </w:rPr>
                <w:t>2013 BCCA 412</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Appel rejeté.</w:t>
            </w:r>
          </w:p>
          <w:p w:rsidR="008C55EB" w:rsidRPr="002D43DE" w:rsidRDefault="008C55EB" w:rsidP="00615810">
            <w:pPr>
              <w:jc w:val="both"/>
              <w:rPr>
                <w:rFonts w:eastAsia="Calibri"/>
                <w:sz w:val="20"/>
                <w:lang w:val="fr-CA"/>
              </w:rPr>
            </w:pPr>
          </w:p>
        </w:tc>
      </w:tr>
      <w:tr w:rsidR="008C55EB" w:rsidRPr="002D43DE"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lastRenderedPageBreak/>
              <w:t>25 novembre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Demande d'autorisation d'appel, déposée.</w:t>
            </w:r>
          </w:p>
          <w:p w:rsidR="008C55EB" w:rsidRPr="002D43DE" w:rsidRDefault="008C55EB" w:rsidP="00615810">
            <w:pPr>
              <w:jc w:val="both"/>
              <w:rPr>
                <w:rFonts w:eastAsia="Calibri"/>
                <w:sz w:val="20"/>
                <w:lang w:val="fr-CA"/>
              </w:rPr>
            </w:pPr>
          </w:p>
        </w:tc>
      </w:tr>
    </w:tbl>
    <w:p w:rsidR="00A42D17" w:rsidRDefault="00A42D17" w:rsidP="00A42D17">
      <w:pPr>
        <w:rPr>
          <w:sz w:val="20"/>
          <w:szCs w:val="20"/>
        </w:rPr>
      </w:pPr>
    </w:p>
    <w:p w:rsidR="00A42D17" w:rsidRDefault="0077107C" w:rsidP="00A42D17">
      <w:pPr>
        <w:rPr>
          <w:sz w:val="20"/>
          <w:szCs w:val="20"/>
          <w:lang w:val="fr-CA"/>
        </w:rPr>
      </w:pPr>
      <w:r>
        <w:rPr>
          <w:sz w:val="20"/>
          <w:szCs w:val="20"/>
          <w:lang w:val="fr-CA"/>
        </w:rPr>
        <w:pict>
          <v:rect id="_x0000_i1045" style="width:2in;height:1pt" o:hrpct="0" o:hralign="center" o:hrstd="t" o:hrnoshade="t" o:hr="t" fillcolor="black [3213]" stroked="f"/>
        </w:pict>
      </w:r>
    </w:p>
    <w:p w:rsidR="00A42D17" w:rsidRDefault="00A42D17" w:rsidP="00A42D1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6AF8" w:rsidRPr="00C3245A" w:rsidTr="005C5683">
        <w:trPr>
          <w:cantSplit/>
        </w:trPr>
        <w:tc>
          <w:tcPr>
            <w:tcW w:w="1458" w:type="dxa"/>
          </w:tcPr>
          <w:p w:rsidR="004F6AF8" w:rsidRPr="00C3245A" w:rsidRDefault="004F6AF8" w:rsidP="005C5683">
            <w:pPr>
              <w:rPr>
                <w:sz w:val="20"/>
                <w:szCs w:val="20"/>
              </w:rPr>
            </w:pPr>
            <w:r w:rsidRPr="00C3245A">
              <w:rPr>
                <w:rStyle w:val="SCCFileNumberChar"/>
                <w:sz w:val="20"/>
                <w:szCs w:val="20"/>
              </w:rPr>
              <w:t>35631</w:t>
            </w:r>
          </w:p>
          <w:p w:rsidR="004F6AF8" w:rsidRPr="00C3245A" w:rsidRDefault="004F6AF8" w:rsidP="005C5683">
            <w:pPr>
              <w:rPr>
                <w:b/>
                <w:sz w:val="20"/>
                <w:szCs w:val="20"/>
                <w:lang w:val="fr-CA"/>
              </w:rPr>
            </w:pPr>
          </w:p>
        </w:tc>
        <w:tc>
          <w:tcPr>
            <w:tcW w:w="8118" w:type="dxa"/>
          </w:tcPr>
          <w:p w:rsidR="004F6AF8" w:rsidRPr="00C3245A" w:rsidRDefault="004F6AF8" w:rsidP="005C5683">
            <w:pPr>
              <w:jc w:val="both"/>
              <w:rPr>
                <w:sz w:val="20"/>
                <w:szCs w:val="20"/>
              </w:rPr>
            </w:pPr>
            <w:r w:rsidRPr="00C3245A">
              <w:rPr>
                <w:rStyle w:val="SCCLsocChar"/>
                <w:sz w:val="20"/>
                <w:szCs w:val="20"/>
                <w:lang w:val="en-CA"/>
              </w:rPr>
              <w:t>Daniel Walter Hill v. Paul James Hill, Richard P. Rendek, Rand Flynn, Famhill Investments Limited</w:t>
            </w:r>
            <w:r w:rsidR="003C0ED1">
              <w:rPr>
                <w:rStyle w:val="SCCLsocChar"/>
                <w:sz w:val="20"/>
                <w:szCs w:val="20"/>
                <w:lang w:val="en-CA"/>
              </w:rPr>
              <w:t xml:space="preserve"> and</w:t>
            </w:r>
            <w:r w:rsidRPr="00C3245A">
              <w:rPr>
                <w:rStyle w:val="SCCLsocChar"/>
                <w:sz w:val="20"/>
                <w:szCs w:val="20"/>
                <w:lang w:val="en-CA"/>
              </w:rPr>
              <w:t xml:space="preserve"> Harvard Developments Inc.</w:t>
            </w:r>
            <w:r w:rsidRPr="00C3245A">
              <w:rPr>
                <w:sz w:val="20"/>
                <w:szCs w:val="20"/>
              </w:rPr>
              <w:t xml:space="preserve"> (Alta.) (Civil) (By Leave)</w:t>
            </w:r>
          </w:p>
          <w:p w:rsidR="004F6AF8" w:rsidRPr="00C3245A" w:rsidRDefault="004F6AF8" w:rsidP="005C5683">
            <w:pPr>
              <w:jc w:val="both"/>
              <w:rPr>
                <w:sz w:val="20"/>
                <w:szCs w:val="20"/>
              </w:rPr>
            </w:pPr>
          </w:p>
        </w:tc>
      </w:tr>
      <w:tr w:rsidR="004F6AF8" w:rsidRPr="00C3245A" w:rsidTr="005C5683">
        <w:trPr>
          <w:cantSplit/>
        </w:trPr>
        <w:tc>
          <w:tcPr>
            <w:tcW w:w="1458" w:type="dxa"/>
          </w:tcPr>
          <w:p w:rsidR="004F6AF8" w:rsidRPr="00C3245A" w:rsidRDefault="004F6AF8" w:rsidP="005C5683">
            <w:pPr>
              <w:rPr>
                <w:sz w:val="20"/>
                <w:szCs w:val="20"/>
              </w:rPr>
            </w:pPr>
            <w:r w:rsidRPr="00C3245A">
              <w:rPr>
                <w:sz w:val="20"/>
                <w:szCs w:val="20"/>
              </w:rPr>
              <w:t>Coram :</w:t>
            </w:r>
          </w:p>
        </w:tc>
        <w:tc>
          <w:tcPr>
            <w:tcW w:w="8118" w:type="dxa"/>
          </w:tcPr>
          <w:p w:rsidR="004F6AF8" w:rsidRPr="00C3245A" w:rsidRDefault="004F6AF8" w:rsidP="005C5683">
            <w:pPr>
              <w:rPr>
                <w:sz w:val="20"/>
                <w:szCs w:val="20"/>
              </w:rPr>
            </w:pPr>
            <w:r w:rsidRPr="00C3245A">
              <w:rPr>
                <w:rStyle w:val="SCCCoramChar"/>
                <w:sz w:val="20"/>
                <w:szCs w:val="20"/>
                <w:lang w:val="en-CA"/>
              </w:rPr>
              <w:t>McLachlin C.J. and Cromwell and Wagner JJ.</w:t>
            </w:r>
          </w:p>
          <w:p w:rsidR="004F6AF8" w:rsidRPr="00C3245A" w:rsidRDefault="004F6AF8" w:rsidP="005C5683">
            <w:pPr>
              <w:rPr>
                <w:sz w:val="20"/>
                <w:szCs w:val="20"/>
                <w:u w:val="single"/>
              </w:rPr>
            </w:pPr>
          </w:p>
        </w:tc>
      </w:tr>
      <w:tr w:rsidR="004F6AF8" w:rsidRPr="00DA4390" w:rsidTr="005C5683">
        <w:trPr>
          <w:cantSplit/>
        </w:trPr>
        <w:tc>
          <w:tcPr>
            <w:tcW w:w="9576" w:type="dxa"/>
            <w:gridSpan w:val="2"/>
          </w:tcPr>
          <w:p w:rsidR="004F6AF8" w:rsidRPr="00C3245A" w:rsidRDefault="004F6AF8" w:rsidP="005C5683">
            <w:pPr>
              <w:pStyle w:val="SCCShortJudgment"/>
              <w:rPr>
                <w:szCs w:val="20"/>
              </w:rPr>
            </w:pPr>
            <w:r w:rsidRPr="00C3245A">
              <w:rPr>
                <w:szCs w:val="20"/>
              </w:rPr>
              <w:t>The application for leave to appeal from the judgment of the Court of Appeal of Alberta (Calgary), Number 1201-0333-AC, 2013 ABCA 313, dated September 27, 2013, is dismissed with costs.</w:t>
            </w:r>
          </w:p>
          <w:p w:rsidR="004F6AF8" w:rsidRPr="00C3245A" w:rsidRDefault="004F6AF8" w:rsidP="005C5683">
            <w:pPr>
              <w:pStyle w:val="SCCShortJudgment"/>
              <w:ind w:firstLine="0"/>
              <w:rPr>
                <w:szCs w:val="20"/>
              </w:rPr>
            </w:pPr>
          </w:p>
          <w:p w:rsidR="004F6AF8" w:rsidRPr="00C3245A" w:rsidRDefault="004F6AF8" w:rsidP="005C5683">
            <w:pPr>
              <w:pStyle w:val="SCCShortJudgment"/>
              <w:rPr>
                <w:szCs w:val="20"/>
                <w:lang w:val="fr-CA"/>
              </w:rPr>
            </w:pPr>
            <w:r w:rsidRPr="00C3245A">
              <w:rPr>
                <w:szCs w:val="20"/>
                <w:lang w:val="fr-CA"/>
              </w:rPr>
              <w:t>La demande d’autorisation d’appel de l’arrêt de la Cour d'appel de l’Alberta (Calgary), numéro 1201-0333-AC, 2013 ABCA 313, daté du 27 septembre 2013, est rejetée avec dépens.</w:t>
            </w:r>
          </w:p>
        </w:tc>
      </w:tr>
    </w:tbl>
    <w:p w:rsidR="00A42D17" w:rsidRPr="004F6AF8" w:rsidRDefault="00A42D17" w:rsidP="00A42D17">
      <w:pPr>
        <w:rPr>
          <w:sz w:val="20"/>
          <w:szCs w:val="20"/>
          <w:lang w:val="fr-CA"/>
        </w:rPr>
      </w:pPr>
    </w:p>
    <w:p w:rsidR="00A42D17" w:rsidRPr="001B157C" w:rsidRDefault="00A42D17" w:rsidP="00A42D17">
      <w:pPr>
        <w:rPr>
          <w:sz w:val="20"/>
          <w:szCs w:val="20"/>
          <w:u w:val="single"/>
        </w:rPr>
      </w:pPr>
      <w:r w:rsidRPr="001B157C">
        <w:rPr>
          <w:sz w:val="20"/>
          <w:szCs w:val="20"/>
          <w:u w:val="single"/>
        </w:rPr>
        <w:t>CASE SUMMARY</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Civil Procedure – Costs – Did lower courts fail to honour principle of indemnity for purposes of awarding costs? – Did Court of Appeal wrongfully interfere with trial judge’s exercise of discretion regarding scale of costs?</w:t>
            </w:r>
          </w:p>
        </w:tc>
      </w:tr>
      <w:tr w:rsidR="008C55EB" w:rsidRPr="002D43DE" w:rsidTr="00615810">
        <w:tc>
          <w:tcPr>
            <w:tcW w:w="5000" w:type="pct"/>
            <w:gridSpan w:val="3"/>
          </w:tcPr>
          <w:p w:rsidR="008C55EB" w:rsidRPr="002D43DE" w:rsidRDefault="008C55EB" w:rsidP="00615810">
            <w:pPr>
              <w:jc w:val="both"/>
              <w:rPr>
                <w:rFonts w:eastAsia="Calibri"/>
                <w:sz w:val="20"/>
              </w:rPr>
            </w:pPr>
          </w:p>
        </w:tc>
      </w:tr>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This application relates to an appeal and a cross-appeal from a costs award given after a lengthy trial concerning the effectiveness of a 1975-76 deed of appointment by the trustees of the Frederick W. Hill Family Trust.  The trust had been set up as a sprinkling trust, under which the trustees were given 21 years in which to decide how to allocate transfers of the capital among a class of beneficiaries.  Among the beneficiaries were the five young children of Fred Hill, two of whom were described as incapable of handling their own affairs.  The Applicant claimed that a year after the trust’s creation, the trustees executed a deed of appointment transferring the common shares of the family company to four of the five Hill children, of which he was one.  The deed of appointment was never found, and the Court of Queen’s Bench of Alberta ultimately held that no valid appointment of trust assets took place in 1975-76.  The Applicant’s action was accordingly dismissed, as was his appeal.  The parties’ dispute now relates to costs.</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November 7, 2012</w:t>
            </w:r>
          </w:p>
          <w:p w:rsidR="008C55EB" w:rsidRPr="002D43DE" w:rsidRDefault="008C55EB" w:rsidP="00615810">
            <w:pPr>
              <w:jc w:val="both"/>
              <w:rPr>
                <w:rFonts w:eastAsia="Calibri"/>
                <w:sz w:val="20"/>
              </w:rPr>
            </w:pPr>
            <w:r w:rsidRPr="002D43DE">
              <w:rPr>
                <w:rFonts w:eastAsia="Calibri"/>
                <w:sz w:val="20"/>
              </w:rPr>
              <w:t>Court of Queen’s Bench of Alberta</w:t>
            </w:r>
          </w:p>
          <w:p w:rsidR="008C55EB" w:rsidRPr="002D43DE" w:rsidRDefault="008C55EB" w:rsidP="00615810">
            <w:pPr>
              <w:jc w:val="both"/>
              <w:rPr>
                <w:rFonts w:eastAsia="Calibri"/>
                <w:sz w:val="20"/>
              </w:rPr>
            </w:pPr>
            <w:r w:rsidRPr="002D43DE">
              <w:rPr>
                <w:rFonts w:eastAsia="Calibri"/>
                <w:sz w:val="20"/>
              </w:rPr>
              <w:t>(Wilson J.)</w:t>
            </w:r>
          </w:p>
          <w:p w:rsidR="008C55EB" w:rsidRPr="002D43DE" w:rsidRDefault="008C55EB" w:rsidP="00615810">
            <w:pPr>
              <w:jc w:val="both"/>
              <w:rPr>
                <w:rFonts w:eastAsia="Calibri"/>
                <w:sz w:val="20"/>
              </w:rPr>
            </w:pPr>
            <w:r w:rsidRPr="002D43DE">
              <w:rPr>
                <w:rFonts w:eastAsia="Calibri"/>
                <w:sz w:val="20"/>
              </w:rPr>
              <w:t>No. 050100476</w:t>
            </w:r>
          </w:p>
          <w:bookmarkStart w:id="2" w:name="reflex-caselaw-13693644"/>
          <w:bookmarkEnd w:id="2"/>
          <w:p w:rsidR="008C55EB" w:rsidRDefault="0054414C" w:rsidP="00615810">
            <w:pPr>
              <w:jc w:val="both"/>
              <w:rPr>
                <w:rFonts w:eastAsia="Calibri"/>
                <w:sz w:val="20"/>
              </w:rPr>
            </w:pPr>
            <w:r w:rsidRPr="002D43DE">
              <w:rPr>
                <w:rFonts w:eastAsia="Calibri"/>
                <w:sz w:val="20"/>
              </w:rPr>
              <w:fldChar w:fldCharType="begin"/>
            </w:r>
            <w:r w:rsidR="008C55EB" w:rsidRPr="002D43DE">
              <w:rPr>
                <w:rFonts w:eastAsia="Calibri"/>
                <w:sz w:val="20"/>
              </w:rPr>
              <w:instrText xml:space="preserve"> HYPERLINK "http://www.canlii.org/en/ab/abqb/doc/2012/2012abqb694/2012abqb694.html?searchUrlHash=AAAAAQANMjAxMiBhYnFiIDY5NAAAAAAB" </w:instrText>
            </w:r>
            <w:r w:rsidR="0077107C" w:rsidRPr="002D43DE">
              <w:rPr>
                <w:rFonts w:eastAsia="Calibri"/>
                <w:sz w:val="20"/>
              </w:rPr>
            </w:r>
            <w:r w:rsidRPr="002D43DE">
              <w:rPr>
                <w:rFonts w:eastAsia="Calibri"/>
                <w:sz w:val="20"/>
              </w:rPr>
              <w:fldChar w:fldCharType="separate"/>
            </w:r>
            <w:r w:rsidR="008C55EB" w:rsidRPr="002D43DE">
              <w:rPr>
                <w:rFonts w:eastAsia="Calibri"/>
                <w:color w:val="0000FF"/>
                <w:sz w:val="20"/>
                <w:u w:val="single"/>
              </w:rPr>
              <w:t>2012 ABQB 694</w:t>
            </w:r>
            <w:r w:rsidRPr="002D43DE">
              <w:rPr>
                <w:rFonts w:eastAsia="Calibri"/>
                <w:sz w:val="20"/>
              </w:rPr>
              <w:fldChar w:fldCharType="end"/>
            </w:r>
          </w:p>
          <w:p w:rsidR="0013773E" w:rsidRPr="002D43DE" w:rsidRDefault="0013773E"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 xml:space="preserve">Costs awarded on party-party basis and calculated on 4 times “column 5 of Schedule C” of the </w:t>
            </w:r>
            <w:r w:rsidRPr="002D43DE">
              <w:rPr>
                <w:rFonts w:eastAsia="Calibri"/>
                <w:i/>
                <w:sz w:val="20"/>
              </w:rPr>
              <w:t>Alberta Rules of Court</w:t>
            </w:r>
            <w:r w:rsidRPr="002D43DE">
              <w:rPr>
                <w:rFonts w:eastAsia="Calibri"/>
                <w:sz w:val="20"/>
              </w:rPr>
              <w:t xml:space="preserve"> up to the close of the Applicant’s case at trial, and on single “column 5 of Schedule C” thereafter.</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September 27, 2013</w:t>
            </w:r>
          </w:p>
          <w:p w:rsidR="008C55EB" w:rsidRPr="002D43DE" w:rsidRDefault="008C55EB" w:rsidP="00615810">
            <w:pPr>
              <w:jc w:val="both"/>
              <w:rPr>
                <w:rFonts w:eastAsia="Calibri"/>
                <w:sz w:val="20"/>
              </w:rPr>
            </w:pPr>
            <w:r w:rsidRPr="002D43DE">
              <w:rPr>
                <w:rFonts w:eastAsia="Calibri"/>
                <w:sz w:val="20"/>
              </w:rPr>
              <w:t>Court of Appeal of Alberta (Calgary)</w:t>
            </w:r>
          </w:p>
          <w:p w:rsidR="008C55EB" w:rsidRPr="002D43DE" w:rsidRDefault="008C55EB" w:rsidP="00615810">
            <w:pPr>
              <w:jc w:val="both"/>
              <w:rPr>
                <w:rFonts w:eastAsia="Calibri"/>
                <w:sz w:val="20"/>
              </w:rPr>
            </w:pPr>
            <w:r w:rsidRPr="002D43DE">
              <w:rPr>
                <w:rFonts w:eastAsia="Calibri"/>
                <w:sz w:val="20"/>
              </w:rPr>
              <w:t>(Côté, Costigan and Hughes JJ.A.)</w:t>
            </w:r>
          </w:p>
          <w:p w:rsidR="008C55EB" w:rsidRPr="002D43DE" w:rsidRDefault="008C55EB" w:rsidP="00615810">
            <w:pPr>
              <w:jc w:val="both"/>
              <w:rPr>
                <w:rFonts w:eastAsia="Calibri"/>
                <w:sz w:val="20"/>
              </w:rPr>
            </w:pPr>
            <w:r w:rsidRPr="002D43DE">
              <w:rPr>
                <w:rFonts w:eastAsia="Calibri"/>
                <w:sz w:val="20"/>
              </w:rPr>
              <w:t>No. 1201-0333-AC</w:t>
            </w:r>
          </w:p>
          <w:p w:rsidR="008C55EB" w:rsidRPr="002D43DE" w:rsidRDefault="0077107C" w:rsidP="00615810">
            <w:pPr>
              <w:jc w:val="both"/>
              <w:rPr>
                <w:rFonts w:eastAsia="Calibri"/>
                <w:sz w:val="20"/>
              </w:rPr>
            </w:pPr>
            <w:hyperlink r:id="rId39" w:history="1">
              <w:r w:rsidR="008C55EB" w:rsidRPr="002D43DE">
                <w:rPr>
                  <w:rFonts w:eastAsia="Calibri"/>
                  <w:color w:val="0000FF"/>
                  <w:sz w:val="20"/>
                  <w:u w:val="single"/>
                </w:rPr>
                <w:t>2012 ABCA 313</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Applicant’s appeal dismissed; Respondents’ cross-appeal allowed.</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lastRenderedPageBreak/>
              <w:t>November 26, 2013</w:t>
            </w:r>
          </w:p>
          <w:p w:rsidR="008C55EB" w:rsidRPr="002D43DE" w:rsidRDefault="008C55EB" w:rsidP="00615810">
            <w:pPr>
              <w:jc w:val="both"/>
              <w:rPr>
                <w:rFonts w:eastAsia="Calibri"/>
                <w:sz w:val="20"/>
              </w:rPr>
            </w:pPr>
            <w:r w:rsidRPr="002D43DE">
              <w:rPr>
                <w:rFonts w:eastAsia="Calibri"/>
                <w:sz w:val="20"/>
              </w:rPr>
              <w:t>Supreme Court of Canada</w:t>
            </w: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Application for leave to appeal filed.</w:t>
            </w:r>
          </w:p>
          <w:p w:rsidR="008C55EB" w:rsidRPr="002D43DE" w:rsidRDefault="008C55EB" w:rsidP="00615810">
            <w:pPr>
              <w:jc w:val="both"/>
              <w:rPr>
                <w:rFonts w:eastAsia="Calibri"/>
                <w:sz w:val="20"/>
              </w:rPr>
            </w:pPr>
          </w:p>
        </w:tc>
      </w:tr>
    </w:tbl>
    <w:p w:rsidR="00A42D17" w:rsidRDefault="00A42D17" w:rsidP="00A42D17">
      <w:pPr>
        <w:rPr>
          <w:sz w:val="20"/>
          <w:szCs w:val="20"/>
        </w:rPr>
      </w:pPr>
    </w:p>
    <w:p w:rsidR="00A42D17" w:rsidRPr="00C50A5C" w:rsidRDefault="0077107C" w:rsidP="00A42D17">
      <w:pPr>
        <w:rPr>
          <w:sz w:val="20"/>
          <w:szCs w:val="20"/>
        </w:rPr>
      </w:pPr>
      <w:r>
        <w:rPr>
          <w:sz w:val="20"/>
          <w:szCs w:val="20"/>
          <w:lang w:val="fr-CA"/>
        </w:rPr>
        <w:pict>
          <v:rect id="_x0000_i1046" style="width:2in;height:1pt" o:hrpct="0" o:hralign="center" o:hrstd="t" o:hrnoshade="t" o:hr="t" fillcolor="black [3213]" stroked="f"/>
        </w:pict>
      </w:r>
    </w:p>
    <w:p w:rsidR="00A42D17" w:rsidRDefault="00A42D17" w:rsidP="00A42D17">
      <w:pPr>
        <w:rPr>
          <w:sz w:val="20"/>
          <w:szCs w:val="20"/>
        </w:rPr>
      </w:pPr>
    </w:p>
    <w:p w:rsidR="00A42D17" w:rsidRPr="001B157C" w:rsidRDefault="00A42D17" w:rsidP="00A42D17">
      <w:pPr>
        <w:rPr>
          <w:sz w:val="20"/>
          <w:szCs w:val="20"/>
          <w:u w:val="single"/>
          <w:lang w:val="fr-CA"/>
        </w:rPr>
      </w:pPr>
      <w:r w:rsidRPr="001B157C">
        <w:rPr>
          <w:sz w:val="20"/>
          <w:szCs w:val="20"/>
          <w:u w:val="single"/>
          <w:lang w:val="fr-CA"/>
        </w:rPr>
        <w:t>RÉSUMÉ DE L’AFFAIRE</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Procédure civile – Dépens – Les juridictions inférieures ont-elles omis de respecter le principe d'indemnisation dans l'adjudication des dépens? – La Cour d'appel s'est-elle indûment immiscée dans l'exercice du pouvoir discrétionnaire du juge de première instance relativement au barème des dépens?</w:t>
            </w:r>
          </w:p>
        </w:tc>
      </w:tr>
      <w:tr w:rsidR="008C55EB" w:rsidRPr="00DA4390" w:rsidTr="00615810">
        <w:tc>
          <w:tcPr>
            <w:tcW w:w="5000" w:type="pct"/>
            <w:gridSpan w:val="3"/>
          </w:tcPr>
          <w:p w:rsidR="008C55EB" w:rsidRPr="002D43DE" w:rsidRDefault="008C55EB" w:rsidP="00615810">
            <w:pPr>
              <w:jc w:val="both"/>
              <w:rPr>
                <w:rFonts w:eastAsia="Calibri"/>
                <w:sz w:val="20"/>
                <w:lang w:val="fr-CA"/>
              </w:rPr>
            </w:pPr>
          </w:p>
        </w:tc>
      </w:tr>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La présente demande a trait à l’appel et à l’appel incident d’une adjudication de dépens au terme d'un long procès portant sur l’effectivité d'un acte d’attribution de 1975-76 par les fiduciaires de la fiducie familiale Frederick W. Hill.  La fiducie avait été établie en tant que fiducie discrétionnaire en vertu de laquelle les fiduciaires disposaient de 21 ans pour décider comment attribuer les transferts de capital entre les membres d'une catégorie de bénéficiaires.  Parmi les bénéficiaires, il y avait les cinq enfants en bas âge de Fred Hill, dont deux étaient décrits comme étant incapables de gérer leurs propres affaires.  Le demandeur a allégué qu'un an après la création de la fiducie, les fiduciaires avaient conclu un acte d’attribution qui transférait les actions ordinaires de la compagnie familiale à quatre des cinq enfants Hill dont lui-même faisait partie.  L'acte d’attribution n'a jamais été retrouvé et la Cour du Banc de la Reine de l'Alberta a fini par statuer qu'aucune attribution valide des éléments d'actif de la fiducie n'avait eu lieu en 1975-76.  L'action du demandeur a donc été rejetée, tout comme son appel.  La question en litige en l'espèce a trait aux dépens.</w:t>
            </w:r>
          </w:p>
          <w:p w:rsidR="008C55EB" w:rsidRPr="002D43DE" w:rsidRDefault="008C55EB" w:rsidP="00615810">
            <w:pPr>
              <w:jc w:val="both"/>
              <w:rPr>
                <w:rFonts w:eastAsia="Calibri"/>
                <w:sz w:val="20"/>
                <w:lang w:val="fr-CA"/>
              </w:rPr>
            </w:pPr>
          </w:p>
        </w:tc>
      </w:tr>
      <w:tr w:rsidR="008C55EB" w:rsidRPr="00DA4390" w:rsidTr="0013773E">
        <w:trPr>
          <w:cantSplit/>
        </w:trPr>
        <w:tc>
          <w:tcPr>
            <w:tcW w:w="2427" w:type="pct"/>
          </w:tcPr>
          <w:p w:rsidR="008C55EB" w:rsidRPr="002D43DE" w:rsidRDefault="008C55EB" w:rsidP="00615810">
            <w:pPr>
              <w:jc w:val="both"/>
              <w:rPr>
                <w:rFonts w:eastAsia="Calibri"/>
                <w:sz w:val="20"/>
                <w:lang w:val="fr-CA"/>
              </w:rPr>
            </w:pPr>
            <w:r w:rsidRPr="002D43DE">
              <w:rPr>
                <w:rFonts w:eastAsia="Calibri"/>
                <w:sz w:val="20"/>
                <w:lang w:val="fr-CA"/>
              </w:rPr>
              <w:t>7 novembre 2012</w:t>
            </w:r>
          </w:p>
          <w:p w:rsidR="008C55EB" w:rsidRPr="002D43DE" w:rsidRDefault="008C55EB" w:rsidP="00615810">
            <w:pPr>
              <w:jc w:val="both"/>
              <w:rPr>
                <w:rFonts w:eastAsia="Calibri"/>
                <w:sz w:val="20"/>
                <w:lang w:val="fr-CA"/>
              </w:rPr>
            </w:pPr>
            <w:r w:rsidRPr="002D43DE">
              <w:rPr>
                <w:rFonts w:eastAsia="Calibri"/>
                <w:sz w:val="20"/>
                <w:lang w:val="fr-CA"/>
              </w:rPr>
              <w:t>Cour du Banc de la Reine de l'Alberta</w:t>
            </w:r>
          </w:p>
          <w:p w:rsidR="008C55EB" w:rsidRPr="002D43DE" w:rsidRDefault="008C55EB" w:rsidP="00615810">
            <w:pPr>
              <w:jc w:val="both"/>
              <w:rPr>
                <w:rFonts w:eastAsia="Calibri"/>
                <w:sz w:val="20"/>
                <w:lang w:val="fr-CA"/>
              </w:rPr>
            </w:pPr>
            <w:r w:rsidRPr="002D43DE">
              <w:rPr>
                <w:rFonts w:eastAsia="Calibri"/>
                <w:sz w:val="20"/>
                <w:lang w:val="fr-CA"/>
              </w:rPr>
              <w:t>(Juge Wilson)</w:t>
            </w:r>
          </w:p>
          <w:p w:rsidR="008C55EB" w:rsidRPr="002D43DE" w:rsidRDefault="008C55EB" w:rsidP="00615810">
            <w:pPr>
              <w:jc w:val="both"/>
              <w:rPr>
                <w:rFonts w:eastAsia="Calibri"/>
                <w:sz w:val="20"/>
                <w:lang w:val="fr-CA"/>
              </w:rPr>
            </w:pPr>
            <w:r w:rsidRPr="002D43DE">
              <w:rPr>
                <w:rFonts w:eastAsia="Calibri"/>
                <w:sz w:val="20"/>
                <w:lang w:val="fr-CA"/>
              </w:rPr>
              <w:t>N</w:t>
            </w:r>
            <w:r w:rsidRPr="002D43DE">
              <w:rPr>
                <w:rFonts w:eastAsia="Calibri"/>
                <w:sz w:val="20"/>
                <w:vertAlign w:val="superscript"/>
                <w:lang w:val="fr-CA"/>
              </w:rPr>
              <w:t>o</w:t>
            </w:r>
            <w:r w:rsidRPr="002D43DE">
              <w:rPr>
                <w:rFonts w:eastAsia="Calibri"/>
                <w:sz w:val="20"/>
                <w:lang w:val="fr-CA"/>
              </w:rPr>
              <w:t xml:space="preserve"> 050100476</w:t>
            </w:r>
          </w:p>
          <w:p w:rsidR="008C55EB" w:rsidRPr="002D43DE" w:rsidRDefault="0077107C" w:rsidP="00615810">
            <w:pPr>
              <w:jc w:val="both"/>
              <w:rPr>
                <w:rFonts w:eastAsia="Calibri"/>
                <w:sz w:val="20"/>
                <w:lang w:val="fr-CA"/>
              </w:rPr>
            </w:pPr>
            <w:hyperlink r:id="rId40" w:history="1">
              <w:r w:rsidR="008C55EB" w:rsidRPr="002D43DE">
                <w:rPr>
                  <w:rFonts w:eastAsia="Calibri"/>
                  <w:color w:val="0000FF"/>
                  <w:sz w:val="20"/>
                  <w:u w:val="single"/>
                  <w:lang w:val="fr-CA"/>
                </w:rPr>
                <w:t>2012 ABQB 694</w:t>
              </w:r>
            </w:hyperlink>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Dépens attribués entre parties et calculés à raison de 4 fois le montant inscrit à  [</w:t>
            </w:r>
            <w:r w:rsidRPr="002D43DE">
              <w:rPr>
                <w:rFonts w:eastAsia="Calibri"/>
                <w:smallCaps/>
                <w:sz w:val="20"/>
                <w:lang w:val="fr-CA"/>
              </w:rPr>
              <w:t>traduction</w:t>
            </w:r>
            <w:r w:rsidRPr="002D43DE">
              <w:rPr>
                <w:rFonts w:eastAsia="Calibri"/>
                <w:sz w:val="20"/>
                <w:lang w:val="fr-CA"/>
              </w:rPr>
              <w:t xml:space="preserve">] « la colonne 5 de l’annexe C » des </w:t>
            </w:r>
            <w:r w:rsidRPr="002D43DE">
              <w:rPr>
                <w:rFonts w:eastAsia="Calibri"/>
                <w:i/>
                <w:sz w:val="20"/>
                <w:lang w:val="fr-CA"/>
              </w:rPr>
              <w:t>Alberta Rules of Court</w:t>
            </w:r>
            <w:r w:rsidRPr="002D43DE">
              <w:rPr>
                <w:rFonts w:eastAsia="Calibri"/>
                <w:sz w:val="20"/>
                <w:lang w:val="fr-CA"/>
              </w:rPr>
              <w:t xml:space="preserve"> jusqu’à la clôture de la preuve du demandeur au procès, et à raison du montant inscrit à [</w:t>
            </w:r>
            <w:r w:rsidRPr="002D43DE">
              <w:rPr>
                <w:rFonts w:eastAsia="Calibri"/>
                <w:smallCaps/>
                <w:sz w:val="20"/>
                <w:lang w:val="fr-CA"/>
              </w:rPr>
              <w:t>traduction</w:t>
            </w:r>
            <w:r w:rsidRPr="002D43DE">
              <w:rPr>
                <w:rFonts w:eastAsia="Calibri"/>
                <w:sz w:val="20"/>
                <w:lang w:val="fr-CA"/>
              </w:rPr>
              <w:t>] « la colonne 5 de l’annexe C » par la suite.</w:t>
            </w:r>
          </w:p>
          <w:p w:rsidR="008C55EB" w:rsidRPr="002D43DE" w:rsidRDefault="008C55EB" w:rsidP="00615810">
            <w:pPr>
              <w:jc w:val="both"/>
              <w:rPr>
                <w:rFonts w:eastAsia="Calibri"/>
                <w:sz w:val="20"/>
                <w:lang w:val="fr-CA"/>
              </w:rPr>
            </w:pPr>
          </w:p>
        </w:tc>
      </w:tr>
      <w:tr w:rsidR="008C55EB" w:rsidRPr="00DA4390" w:rsidTr="0013773E">
        <w:trPr>
          <w:cantSplit/>
        </w:trPr>
        <w:tc>
          <w:tcPr>
            <w:tcW w:w="2427" w:type="pct"/>
          </w:tcPr>
          <w:p w:rsidR="008C55EB" w:rsidRPr="002D43DE" w:rsidRDefault="008C55EB" w:rsidP="00615810">
            <w:pPr>
              <w:jc w:val="both"/>
              <w:rPr>
                <w:rFonts w:eastAsia="Calibri"/>
                <w:sz w:val="20"/>
                <w:lang w:val="fr-CA"/>
              </w:rPr>
            </w:pPr>
            <w:r w:rsidRPr="002D43DE">
              <w:rPr>
                <w:rFonts w:eastAsia="Calibri"/>
                <w:sz w:val="20"/>
                <w:lang w:val="fr-CA"/>
              </w:rPr>
              <w:t>27 septembre 2013</w:t>
            </w:r>
          </w:p>
          <w:p w:rsidR="008C55EB" w:rsidRPr="002D43DE" w:rsidRDefault="008C55EB" w:rsidP="00615810">
            <w:pPr>
              <w:jc w:val="both"/>
              <w:rPr>
                <w:rFonts w:eastAsia="Calibri"/>
                <w:sz w:val="20"/>
                <w:lang w:val="fr-CA"/>
              </w:rPr>
            </w:pPr>
            <w:r w:rsidRPr="002D43DE">
              <w:rPr>
                <w:rFonts w:eastAsia="Calibri"/>
                <w:sz w:val="20"/>
                <w:lang w:val="fr-CA"/>
              </w:rPr>
              <w:t>Cour d'appel de l'Alberta (Calgary)</w:t>
            </w:r>
          </w:p>
          <w:p w:rsidR="008C55EB" w:rsidRPr="002D43DE" w:rsidRDefault="008C55EB" w:rsidP="00615810">
            <w:pPr>
              <w:jc w:val="both"/>
              <w:rPr>
                <w:rFonts w:eastAsia="Calibri"/>
                <w:sz w:val="20"/>
                <w:lang w:val="fr-CA"/>
              </w:rPr>
            </w:pPr>
            <w:r w:rsidRPr="002D43DE">
              <w:rPr>
                <w:rFonts w:eastAsia="Calibri"/>
                <w:sz w:val="20"/>
                <w:lang w:val="fr-CA"/>
              </w:rPr>
              <w:t>(Juges Côté, Costigan et Hughes)</w:t>
            </w:r>
          </w:p>
          <w:p w:rsidR="008C55EB" w:rsidRPr="002D43DE" w:rsidRDefault="008C55EB" w:rsidP="00615810">
            <w:pPr>
              <w:jc w:val="both"/>
              <w:rPr>
                <w:rFonts w:eastAsia="Calibri"/>
                <w:sz w:val="20"/>
                <w:lang w:val="fr-CA"/>
              </w:rPr>
            </w:pPr>
            <w:r w:rsidRPr="002D43DE">
              <w:rPr>
                <w:rFonts w:eastAsia="Calibri"/>
                <w:sz w:val="20"/>
                <w:lang w:val="fr-CA"/>
              </w:rPr>
              <w:t>N</w:t>
            </w:r>
            <w:r w:rsidRPr="002D43DE">
              <w:rPr>
                <w:rFonts w:eastAsia="Calibri"/>
                <w:sz w:val="20"/>
                <w:vertAlign w:val="superscript"/>
                <w:lang w:val="fr-CA"/>
              </w:rPr>
              <w:t>o</w:t>
            </w:r>
            <w:r w:rsidRPr="002D43DE">
              <w:rPr>
                <w:rFonts w:eastAsia="Calibri"/>
                <w:sz w:val="20"/>
                <w:lang w:val="fr-CA"/>
              </w:rPr>
              <w:t xml:space="preserve"> 1201-0333-AC</w:t>
            </w:r>
          </w:p>
          <w:p w:rsidR="008C55EB" w:rsidRPr="002D43DE" w:rsidRDefault="0077107C" w:rsidP="00615810">
            <w:pPr>
              <w:jc w:val="both"/>
              <w:rPr>
                <w:rFonts w:eastAsia="Calibri"/>
                <w:sz w:val="20"/>
                <w:lang w:val="fr-CA"/>
              </w:rPr>
            </w:pPr>
            <w:hyperlink r:id="rId41" w:history="1">
              <w:r w:rsidR="008C55EB" w:rsidRPr="002D43DE">
                <w:rPr>
                  <w:rFonts w:eastAsia="Calibri"/>
                  <w:color w:val="0000FF"/>
                  <w:sz w:val="20"/>
                  <w:u w:val="single"/>
                  <w:lang w:val="fr-CA"/>
                </w:rPr>
                <w:t>2012 ABCA 313</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Appel du demandeur rejeté; appel incident des intimés, accueilli.</w:t>
            </w:r>
          </w:p>
          <w:p w:rsidR="008C55EB" w:rsidRPr="002D43DE" w:rsidRDefault="008C55EB" w:rsidP="00615810">
            <w:pPr>
              <w:jc w:val="both"/>
              <w:rPr>
                <w:rFonts w:eastAsia="Calibri"/>
                <w:sz w:val="20"/>
                <w:lang w:val="fr-CA"/>
              </w:rPr>
            </w:pPr>
          </w:p>
        </w:tc>
      </w:tr>
      <w:tr w:rsidR="008C55EB" w:rsidRPr="002D43DE" w:rsidTr="0013773E">
        <w:trPr>
          <w:cantSplit/>
        </w:trPr>
        <w:tc>
          <w:tcPr>
            <w:tcW w:w="2427" w:type="pct"/>
          </w:tcPr>
          <w:p w:rsidR="008C55EB" w:rsidRPr="002D43DE" w:rsidRDefault="008C55EB" w:rsidP="00615810">
            <w:pPr>
              <w:jc w:val="both"/>
              <w:rPr>
                <w:rFonts w:eastAsia="Calibri"/>
                <w:sz w:val="20"/>
                <w:lang w:val="fr-CA"/>
              </w:rPr>
            </w:pPr>
            <w:r w:rsidRPr="002D43DE">
              <w:rPr>
                <w:rFonts w:eastAsia="Calibri"/>
                <w:sz w:val="20"/>
                <w:lang w:val="fr-CA"/>
              </w:rPr>
              <w:lastRenderedPageBreak/>
              <w:t>26 novembre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Demande d'autorisation d'appel, déposée.</w:t>
            </w:r>
          </w:p>
          <w:p w:rsidR="008C55EB" w:rsidRPr="002D43DE" w:rsidRDefault="008C55EB" w:rsidP="00615810">
            <w:pPr>
              <w:jc w:val="both"/>
              <w:rPr>
                <w:rFonts w:eastAsia="Calibri"/>
                <w:sz w:val="20"/>
                <w:lang w:val="fr-CA"/>
              </w:rPr>
            </w:pPr>
          </w:p>
        </w:tc>
      </w:tr>
    </w:tbl>
    <w:p w:rsidR="00A42D17" w:rsidRDefault="00A42D17" w:rsidP="00A42D17">
      <w:pPr>
        <w:rPr>
          <w:sz w:val="20"/>
          <w:szCs w:val="20"/>
        </w:rPr>
      </w:pPr>
    </w:p>
    <w:p w:rsidR="00A42D17" w:rsidRDefault="0077107C" w:rsidP="00A42D17">
      <w:pPr>
        <w:rPr>
          <w:sz w:val="20"/>
          <w:szCs w:val="20"/>
          <w:lang w:val="fr-CA"/>
        </w:rPr>
      </w:pPr>
      <w:r>
        <w:rPr>
          <w:sz w:val="20"/>
          <w:szCs w:val="20"/>
          <w:lang w:val="fr-CA"/>
        </w:rPr>
        <w:pict>
          <v:rect id="_x0000_i1047" style="width:2in;height:1pt" o:hrpct="0" o:hralign="center" o:hrstd="t" o:hrnoshade="t" o:hr="t" fillcolor="black [3213]" stroked="f"/>
        </w:pict>
      </w:r>
    </w:p>
    <w:p w:rsidR="00A42D17" w:rsidRDefault="00A42D17" w:rsidP="00A42D1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F6AF8" w:rsidRPr="00C3245A" w:rsidTr="005C5683">
        <w:trPr>
          <w:cantSplit/>
        </w:trPr>
        <w:tc>
          <w:tcPr>
            <w:tcW w:w="1458" w:type="dxa"/>
          </w:tcPr>
          <w:p w:rsidR="004F6AF8" w:rsidRPr="00C3245A" w:rsidRDefault="004F6AF8" w:rsidP="005C5683">
            <w:pPr>
              <w:rPr>
                <w:sz w:val="20"/>
                <w:szCs w:val="20"/>
              </w:rPr>
            </w:pPr>
            <w:r w:rsidRPr="00C3245A">
              <w:rPr>
                <w:rStyle w:val="SCCFileNumberChar"/>
                <w:sz w:val="20"/>
                <w:szCs w:val="20"/>
              </w:rPr>
              <w:t>35663</w:t>
            </w:r>
          </w:p>
          <w:p w:rsidR="004F6AF8" w:rsidRPr="00C3245A" w:rsidRDefault="004F6AF8" w:rsidP="005C5683">
            <w:pPr>
              <w:rPr>
                <w:b/>
                <w:sz w:val="20"/>
                <w:szCs w:val="20"/>
                <w:lang w:val="fr-CA"/>
              </w:rPr>
            </w:pPr>
          </w:p>
        </w:tc>
        <w:tc>
          <w:tcPr>
            <w:tcW w:w="8118" w:type="dxa"/>
          </w:tcPr>
          <w:p w:rsidR="004F6AF8" w:rsidRPr="00C3245A" w:rsidRDefault="004F6AF8" w:rsidP="005C5683">
            <w:pPr>
              <w:rPr>
                <w:sz w:val="20"/>
                <w:szCs w:val="20"/>
              </w:rPr>
            </w:pPr>
            <w:r w:rsidRPr="00C3245A">
              <w:rPr>
                <w:rStyle w:val="SCCLsocChar"/>
                <w:sz w:val="20"/>
                <w:szCs w:val="20"/>
                <w:lang w:val="en-CA"/>
              </w:rPr>
              <w:t>Danny Lalumiere v. Her Majesty the Queen</w:t>
            </w:r>
            <w:r w:rsidRPr="00C3245A">
              <w:rPr>
                <w:sz w:val="20"/>
                <w:szCs w:val="20"/>
              </w:rPr>
              <w:t xml:space="preserve"> (Ont.) (Criminal) (By Leave)</w:t>
            </w:r>
          </w:p>
          <w:p w:rsidR="004F6AF8" w:rsidRPr="00C3245A" w:rsidRDefault="004F6AF8" w:rsidP="005C5683">
            <w:pPr>
              <w:rPr>
                <w:sz w:val="20"/>
                <w:szCs w:val="20"/>
              </w:rPr>
            </w:pPr>
          </w:p>
        </w:tc>
      </w:tr>
      <w:tr w:rsidR="004F6AF8" w:rsidRPr="00C3245A" w:rsidTr="005C5683">
        <w:trPr>
          <w:cantSplit/>
        </w:trPr>
        <w:tc>
          <w:tcPr>
            <w:tcW w:w="1458" w:type="dxa"/>
          </w:tcPr>
          <w:p w:rsidR="004F6AF8" w:rsidRPr="00C3245A" w:rsidRDefault="004F6AF8" w:rsidP="005C5683">
            <w:pPr>
              <w:rPr>
                <w:sz w:val="20"/>
                <w:szCs w:val="20"/>
              </w:rPr>
            </w:pPr>
            <w:r w:rsidRPr="00C3245A">
              <w:rPr>
                <w:sz w:val="20"/>
                <w:szCs w:val="20"/>
              </w:rPr>
              <w:t>Coram :</w:t>
            </w:r>
          </w:p>
        </w:tc>
        <w:tc>
          <w:tcPr>
            <w:tcW w:w="8118" w:type="dxa"/>
          </w:tcPr>
          <w:p w:rsidR="004F6AF8" w:rsidRPr="00C3245A" w:rsidRDefault="004F6AF8" w:rsidP="005C5683">
            <w:pPr>
              <w:rPr>
                <w:sz w:val="20"/>
                <w:szCs w:val="20"/>
              </w:rPr>
            </w:pPr>
            <w:r w:rsidRPr="00C3245A">
              <w:rPr>
                <w:rStyle w:val="SCCCoramChar"/>
                <w:sz w:val="20"/>
                <w:szCs w:val="20"/>
                <w:lang w:val="en-CA"/>
              </w:rPr>
              <w:t>Abella, Rothstein and Moldaver JJ.</w:t>
            </w:r>
          </w:p>
          <w:p w:rsidR="004F6AF8" w:rsidRPr="00C3245A" w:rsidRDefault="004F6AF8" w:rsidP="005C5683">
            <w:pPr>
              <w:rPr>
                <w:sz w:val="20"/>
                <w:szCs w:val="20"/>
                <w:u w:val="single"/>
              </w:rPr>
            </w:pPr>
          </w:p>
        </w:tc>
      </w:tr>
      <w:tr w:rsidR="004F6AF8" w:rsidRPr="00DA4390" w:rsidTr="005C5683">
        <w:trPr>
          <w:cantSplit/>
        </w:trPr>
        <w:tc>
          <w:tcPr>
            <w:tcW w:w="9576" w:type="dxa"/>
            <w:gridSpan w:val="2"/>
          </w:tcPr>
          <w:p w:rsidR="004F6AF8" w:rsidRPr="00C3245A" w:rsidRDefault="004F6AF8" w:rsidP="005C5683">
            <w:pPr>
              <w:pStyle w:val="SCCShortJudgment"/>
              <w:rPr>
                <w:szCs w:val="20"/>
              </w:rPr>
            </w:pPr>
            <w:r w:rsidRPr="00C3245A">
              <w:rPr>
                <w:szCs w:val="20"/>
              </w:rPr>
              <w:t>The motion for an extension of time to serve and file the application for leave to appeal is dismissed.  In any event, had such motion been granted, the application for leave to appeal from the judgment of the Court of Appeal for Ontario, Number C53389, 2011 ONCA 826, dated December 23, 2011, would have been dismissed.</w:t>
            </w:r>
          </w:p>
          <w:p w:rsidR="004F6AF8" w:rsidRPr="00C3245A" w:rsidRDefault="004F6AF8" w:rsidP="005C5683">
            <w:pPr>
              <w:pStyle w:val="SCCShortJudgment"/>
              <w:ind w:firstLine="0"/>
              <w:rPr>
                <w:szCs w:val="20"/>
              </w:rPr>
            </w:pPr>
          </w:p>
          <w:p w:rsidR="004F6AF8" w:rsidRPr="00C3245A" w:rsidRDefault="004F6AF8" w:rsidP="005C5683">
            <w:pPr>
              <w:pStyle w:val="SCCShortJudgment"/>
              <w:rPr>
                <w:szCs w:val="20"/>
                <w:lang w:val="fr-CA"/>
              </w:rPr>
            </w:pPr>
            <w:r w:rsidRPr="00C3245A">
              <w:rPr>
                <w:szCs w:val="20"/>
                <w:lang w:val="fr-CA"/>
              </w:rPr>
              <w:t>La requête en prorogation du délai de signification et dépôt de la demande d’autorisation d’appel est rejetée.  Quoi qu’il en soit, même si la requête avait été accueillie, la demande d’autorisation d’appel de l’arrêt de la Cour d’appel de l’Ontario, numéro C53389, 2011 ONCA 826, daté du 23 décembre 2011, aurait été rejetée.</w:t>
            </w:r>
          </w:p>
        </w:tc>
      </w:tr>
    </w:tbl>
    <w:p w:rsidR="00A42D17" w:rsidRPr="004F6AF8" w:rsidRDefault="00A42D17" w:rsidP="00A42D17">
      <w:pPr>
        <w:rPr>
          <w:sz w:val="20"/>
          <w:szCs w:val="20"/>
          <w:lang w:val="fr-CA"/>
        </w:rPr>
      </w:pPr>
    </w:p>
    <w:p w:rsidR="00A42D17" w:rsidRPr="001B157C" w:rsidRDefault="00A42D17" w:rsidP="00A42D17">
      <w:pPr>
        <w:rPr>
          <w:sz w:val="20"/>
          <w:szCs w:val="20"/>
          <w:u w:val="single"/>
        </w:rPr>
      </w:pPr>
      <w:r w:rsidRPr="001B157C">
        <w:rPr>
          <w:sz w:val="20"/>
          <w:szCs w:val="20"/>
          <w:u w:val="single"/>
        </w:rPr>
        <w:t>CASE SUMMARY</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Criminal Law – Sentencing – Whether Supreme Court of Canada should review the fitness of a sentence when the first instance sentencing court was a court of appeal – Whether a sentence was unreasonable or unfit.</w:t>
            </w:r>
          </w:p>
        </w:tc>
      </w:tr>
      <w:tr w:rsidR="008C55EB" w:rsidRPr="002D43DE" w:rsidTr="00615810">
        <w:tc>
          <w:tcPr>
            <w:tcW w:w="5000" w:type="pct"/>
            <w:gridSpan w:val="3"/>
          </w:tcPr>
          <w:p w:rsidR="008C55EB" w:rsidRPr="002D43DE" w:rsidRDefault="008C55EB" w:rsidP="00615810">
            <w:pPr>
              <w:jc w:val="both"/>
              <w:rPr>
                <w:rFonts w:eastAsia="Calibri"/>
                <w:sz w:val="20"/>
              </w:rPr>
            </w:pPr>
          </w:p>
        </w:tc>
      </w:tr>
      <w:tr w:rsidR="008C55EB" w:rsidRPr="002D43DE" w:rsidTr="00615810">
        <w:tc>
          <w:tcPr>
            <w:tcW w:w="5000" w:type="pct"/>
            <w:gridSpan w:val="3"/>
          </w:tcPr>
          <w:p w:rsidR="008C55EB" w:rsidRPr="002D43DE" w:rsidRDefault="008C55EB" w:rsidP="00615810">
            <w:pPr>
              <w:jc w:val="both"/>
              <w:rPr>
                <w:rFonts w:eastAsia="Calibri"/>
                <w:sz w:val="20"/>
              </w:rPr>
            </w:pPr>
            <w:r w:rsidRPr="002D43DE">
              <w:rPr>
                <w:rFonts w:eastAsia="Calibri"/>
                <w:sz w:val="20"/>
              </w:rPr>
              <w:t>Mr. Lalumiere was in prison when he agreed to pay $5000 to an undercover police officer to have him kill his ex-wife and her boyfriend.  He provided details about their habits.  He was charged with two counts of counselling to commit murder.  He was convicted by a jury and sentenced to two concurrent life sentences.  The Court of Appeal allowed an appeal from the sentences.  It set aside the life sentences, designated Mr. Lalumiere a long-term offender, imposed sentences of 16-years’ imprisonment less credit for time served, and ordered long-term supervision for 10 years.</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August 27, 2010</w:t>
            </w:r>
          </w:p>
          <w:p w:rsidR="008C55EB" w:rsidRPr="002D43DE" w:rsidRDefault="008C55EB" w:rsidP="00615810">
            <w:pPr>
              <w:jc w:val="both"/>
              <w:rPr>
                <w:rFonts w:eastAsia="Calibri"/>
                <w:sz w:val="20"/>
              </w:rPr>
            </w:pPr>
            <w:r w:rsidRPr="002D43DE">
              <w:rPr>
                <w:rFonts w:eastAsia="Calibri"/>
                <w:sz w:val="20"/>
              </w:rPr>
              <w:t>Ontario Superior Court of Justice</w:t>
            </w:r>
          </w:p>
          <w:p w:rsidR="008C55EB" w:rsidRPr="002D43DE" w:rsidRDefault="008C55EB" w:rsidP="00615810">
            <w:pPr>
              <w:jc w:val="both"/>
              <w:rPr>
                <w:rFonts w:eastAsia="Calibri"/>
                <w:sz w:val="20"/>
              </w:rPr>
            </w:pPr>
            <w:r w:rsidRPr="002D43DE">
              <w:rPr>
                <w:rFonts w:eastAsia="Calibri"/>
                <w:sz w:val="20"/>
              </w:rPr>
              <w:t xml:space="preserve">(Hambly J.) </w:t>
            </w:r>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Sentence to two concurrent terms of life imprisonment</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December 23, 2011</w:t>
            </w:r>
          </w:p>
          <w:p w:rsidR="008C55EB" w:rsidRPr="002D43DE" w:rsidRDefault="008C55EB" w:rsidP="00615810">
            <w:pPr>
              <w:jc w:val="both"/>
              <w:rPr>
                <w:rFonts w:eastAsia="Calibri"/>
                <w:sz w:val="20"/>
              </w:rPr>
            </w:pPr>
            <w:r w:rsidRPr="002D43DE">
              <w:rPr>
                <w:rFonts w:eastAsia="Calibri"/>
                <w:sz w:val="20"/>
              </w:rPr>
              <w:t>Court of Appeal for Ontario</w:t>
            </w:r>
          </w:p>
          <w:p w:rsidR="008C55EB" w:rsidRPr="002D43DE" w:rsidRDefault="008C55EB" w:rsidP="00615810">
            <w:pPr>
              <w:jc w:val="both"/>
              <w:rPr>
                <w:rFonts w:eastAsia="Calibri"/>
                <w:sz w:val="20"/>
              </w:rPr>
            </w:pPr>
            <w:r w:rsidRPr="002D43DE">
              <w:rPr>
                <w:rFonts w:eastAsia="Calibri"/>
                <w:sz w:val="20"/>
              </w:rPr>
              <w:t>(Feldman, Simmons, Watt JJ.A.)</w:t>
            </w:r>
          </w:p>
          <w:p w:rsidR="008C55EB" w:rsidRPr="002D43DE" w:rsidRDefault="008C55EB" w:rsidP="00615810">
            <w:pPr>
              <w:jc w:val="both"/>
              <w:rPr>
                <w:rFonts w:eastAsia="Calibri"/>
                <w:sz w:val="20"/>
              </w:rPr>
            </w:pPr>
            <w:r w:rsidRPr="002D43DE">
              <w:rPr>
                <w:rFonts w:eastAsia="Calibri"/>
                <w:sz w:val="20"/>
              </w:rPr>
              <w:t xml:space="preserve">C53389; </w:t>
            </w:r>
            <w:hyperlink r:id="rId42" w:history="1">
              <w:r w:rsidRPr="002D43DE">
                <w:rPr>
                  <w:rFonts w:eastAsia="Calibri"/>
                  <w:color w:val="0000FF"/>
                  <w:sz w:val="20"/>
                  <w:u w:val="single"/>
                </w:rPr>
                <w:t>2011 ONCA 826</w:t>
              </w:r>
            </w:hyperlink>
          </w:p>
          <w:p w:rsidR="008C55EB" w:rsidRPr="002D43DE" w:rsidRDefault="008C55EB" w:rsidP="00615810">
            <w:pPr>
              <w:jc w:val="both"/>
              <w:rPr>
                <w:rFonts w:eastAsia="Calibri"/>
                <w:sz w:val="20"/>
              </w:rPr>
            </w:pP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Appeal from sentences allowed; Sentences reduced to 16-years followed by 10 years supervision</w:t>
            </w:r>
          </w:p>
          <w:p w:rsidR="008C55EB" w:rsidRPr="002D43DE" w:rsidRDefault="008C55EB" w:rsidP="00615810">
            <w:pPr>
              <w:jc w:val="both"/>
              <w:rPr>
                <w:rFonts w:eastAsia="Calibri"/>
                <w:sz w:val="20"/>
              </w:rPr>
            </w:pPr>
          </w:p>
        </w:tc>
      </w:tr>
      <w:tr w:rsidR="008C55EB" w:rsidRPr="002D43DE" w:rsidTr="00615810">
        <w:tc>
          <w:tcPr>
            <w:tcW w:w="2427" w:type="pct"/>
          </w:tcPr>
          <w:p w:rsidR="008C55EB" w:rsidRPr="002D43DE" w:rsidRDefault="008C55EB" w:rsidP="00615810">
            <w:pPr>
              <w:jc w:val="both"/>
              <w:rPr>
                <w:rFonts w:eastAsia="Calibri"/>
                <w:sz w:val="20"/>
              </w:rPr>
            </w:pPr>
            <w:r w:rsidRPr="002D43DE">
              <w:rPr>
                <w:rFonts w:eastAsia="Calibri"/>
                <w:sz w:val="20"/>
              </w:rPr>
              <w:t>December 23, 2013</w:t>
            </w:r>
          </w:p>
          <w:p w:rsidR="008C55EB" w:rsidRPr="002D43DE" w:rsidRDefault="008C55EB" w:rsidP="00615810">
            <w:pPr>
              <w:jc w:val="both"/>
              <w:rPr>
                <w:rFonts w:eastAsia="Calibri"/>
                <w:sz w:val="20"/>
              </w:rPr>
            </w:pPr>
            <w:r w:rsidRPr="002D43DE">
              <w:rPr>
                <w:rFonts w:eastAsia="Calibri"/>
                <w:sz w:val="20"/>
              </w:rPr>
              <w:t>Supreme Court of Canada</w:t>
            </w:r>
          </w:p>
        </w:tc>
        <w:tc>
          <w:tcPr>
            <w:tcW w:w="243" w:type="pct"/>
          </w:tcPr>
          <w:p w:rsidR="008C55EB" w:rsidRPr="002D43DE" w:rsidRDefault="008C55EB" w:rsidP="00615810">
            <w:pPr>
              <w:jc w:val="both"/>
              <w:rPr>
                <w:rFonts w:eastAsia="Calibri"/>
                <w:sz w:val="20"/>
              </w:rPr>
            </w:pPr>
          </w:p>
        </w:tc>
        <w:tc>
          <w:tcPr>
            <w:tcW w:w="2330" w:type="pct"/>
          </w:tcPr>
          <w:p w:rsidR="008C55EB" w:rsidRPr="002D43DE" w:rsidRDefault="008C55EB" w:rsidP="00615810">
            <w:pPr>
              <w:jc w:val="both"/>
              <w:rPr>
                <w:rFonts w:eastAsia="Calibri"/>
                <w:sz w:val="20"/>
              </w:rPr>
            </w:pPr>
            <w:r w:rsidRPr="002D43DE">
              <w:rPr>
                <w:rFonts w:eastAsia="Calibri"/>
                <w:sz w:val="20"/>
              </w:rPr>
              <w:t>Motion for extension of time to serve and file application for leave to appeal and Application for leave to appeal filed</w:t>
            </w:r>
          </w:p>
        </w:tc>
      </w:tr>
    </w:tbl>
    <w:p w:rsidR="00A42D17" w:rsidRDefault="00A42D17" w:rsidP="00A42D17">
      <w:pPr>
        <w:rPr>
          <w:sz w:val="20"/>
          <w:szCs w:val="20"/>
        </w:rPr>
      </w:pPr>
    </w:p>
    <w:p w:rsidR="00A42D17" w:rsidRPr="00C50A5C" w:rsidRDefault="0077107C" w:rsidP="00A42D17">
      <w:pPr>
        <w:rPr>
          <w:sz w:val="20"/>
          <w:szCs w:val="20"/>
        </w:rPr>
      </w:pPr>
      <w:r>
        <w:rPr>
          <w:sz w:val="20"/>
          <w:szCs w:val="20"/>
          <w:lang w:val="fr-CA"/>
        </w:rPr>
        <w:pict>
          <v:rect id="_x0000_i1048" style="width:2in;height:1pt" o:hrpct="0" o:hralign="center" o:hrstd="t" o:hrnoshade="t" o:hr="t" fillcolor="black [3213]" stroked="f"/>
        </w:pict>
      </w:r>
    </w:p>
    <w:p w:rsidR="00A42D17" w:rsidRDefault="00A42D17" w:rsidP="00A42D17">
      <w:pPr>
        <w:rPr>
          <w:sz w:val="20"/>
          <w:szCs w:val="20"/>
        </w:rPr>
      </w:pPr>
    </w:p>
    <w:p w:rsidR="00A42D17" w:rsidRPr="001B157C" w:rsidRDefault="00A42D17" w:rsidP="00A42D17">
      <w:pPr>
        <w:rPr>
          <w:sz w:val="20"/>
          <w:szCs w:val="20"/>
          <w:u w:val="single"/>
          <w:lang w:val="fr-CA"/>
        </w:rPr>
      </w:pPr>
      <w:r w:rsidRPr="001B157C">
        <w:rPr>
          <w:sz w:val="20"/>
          <w:szCs w:val="20"/>
          <w:u w:val="single"/>
          <w:lang w:val="fr-CA"/>
        </w:rPr>
        <w:t>RÉSUMÉ DE L’AFFAIRE</w:t>
      </w:r>
    </w:p>
    <w:p w:rsidR="00A42D17" w:rsidRDefault="00A42D17" w:rsidP="00A42D1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Droit criminel – Détermination de la peine – La Cour suprême du Canada devrait-elle examiner la justesse d'une peine imposée par une cour d'appel? – La peine était-elle déraisonnable ou inappropriée?</w:t>
            </w:r>
          </w:p>
        </w:tc>
      </w:tr>
      <w:tr w:rsidR="008C55EB" w:rsidRPr="00DA4390" w:rsidTr="00615810">
        <w:tc>
          <w:tcPr>
            <w:tcW w:w="5000" w:type="pct"/>
            <w:gridSpan w:val="3"/>
          </w:tcPr>
          <w:p w:rsidR="008C55EB" w:rsidRPr="002D43DE" w:rsidRDefault="008C55EB" w:rsidP="00615810">
            <w:pPr>
              <w:jc w:val="both"/>
              <w:rPr>
                <w:rFonts w:eastAsia="Calibri"/>
                <w:sz w:val="20"/>
                <w:lang w:val="fr-CA"/>
              </w:rPr>
            </w:pPr>
          </w:p>
        </w:tc>
      </w:tr>
      <w:tr w:rsidR="008C55EB" w:rsidRPr="00DA4390" w:rsidTr="00615810">
        <w:tc>
          <w:tcPr>
            <w:tcW w:w="5000" w:type="pct"/>
            <w:gridSpan w:val="3"/>
          </w:tcPr>
          <w:p w:rsidR="008C55EB" w:rsidRPr="002D43DE" w:rsidRDefault="008C55EB" w:rsidP="00615810">
            <w:pPr>
              <w:jc w:val="both"/>
              <w:rPr>
                <w:rFonts w:eastAsia="Calibri"/>
                <w:sz w:val="20"/>
                <w:lang w:val="fr-CA"/>
              </w:rPr>
            </w:pPr>
            <w:r w:rsidRPr="002D43DE">
              <w:rPr>
                <w:rFonts w:eastAsia="Calibri"/>
                <w:sz w:val="20"/>
                <w:lang w:val="fr-CA"/>
              </w:rPr>
              <w:t>Monsieur Lalumiere était en prison lorsqu'il a accepté de payer 5000 $ à un policier banalisé pour que celui-ci tue son ex-épouse et le petit ami de cette dernière.  Monsieur Lalumière a fourni des détails au sujet de leurs habitudes.  Il a été accusé sous deux chefs d’avoir conseillé la perpétration d’un meurtre.  Il a été déclaré coupable par un jury et condamné à deux peines concurrentes d’emprisonnement à perpétuité.  La Cour d’appel a accueilli l’appel des peines.  Elle a annulé les peines d’emprisonnement à perpétuité, désigné M. Lalumiere délinquant à contrôler, imposé des peines de 16 ans d’emprisonnement desquelles elle a retranché la durée de la détention avant procès, et a ordonné une surveillance de longue durée de 10 ans.</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27 août 2010</w:t>
            </w:r>
          </w:p>
          <w:p w:rsidR="008C55EB" w:rsidRPr="002D43DE" w:rsidRDefault="008C55EB" w:rsidP="00615810">
            <w:pPr>
              <w:jc w:val="both"/>
              <w:rPr>
                <w:rFonts w:eastAsia="Calibri"/>
                <w:sz w:val="20"/>
                <w:lang w:val="fr-CA"/>
              </w:rPr>
            </w:pPr>
            <w:r w:rsidRPr="002D43DE">
              <w:rPr>
                <w:rFonts w:eastAsia="Calibri"/>
                <w:sz w:val="20"/>
                <w:lang w:val="fr-CA"/>
              </w:rPr>
              <w:t>Cour supérieure de justice de l’Ontario</w:t>
            </w:r>
          </w:p>
          <w:p w:rsidR="008C55EB" w:rsidRPr="002D43DE" w:rsidRDefault="008C55EB" w:rsidP="00615810">
            <w:pPr>
              <w:jc w:val="both"/>
              <w:rPr>
                <w:rFonts w:eastAsia="Calibri"/>
                <w:sz w:val="20"/>
                <w:lang w:val="fr-CA"/>
              </w:rPr>
            </w:pPr>
            <w:r w:rsidRPr="002D43DE">
              <w:rPr>
                <w:rFonts w:eastAsia="Calibri"/>
                <w:sz w:val="20"/>
                <w:lang w:val="fr-CA"/>
              </w:rPr>
              <w:t xml:space="preserve">(Juge Hambly) </w:t>
            </w:r>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 xml:space="preserve">Condamnation à deux peines concurrentes d’emprisonnement à perpétuité  </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23 décembre 2011</w:t>
            </w:r>
          </w:p>
          <w:p w:rsidR="008C55EB" w:rsidRPr="002D43DE" w:rsidRDefault="008C55EB" w:rsidP="00615810">
            <w:pPr>
              <w:jc w:val="both"/>
              <w:rPr>
                <w:rFonts w:eastAsia="Calibri"/>
                <w:sz w:val="20"/>
                <w:lang w:val="fr-CA"/>
              </w:rPr>
            </w:pPr>
            <w:r w:rsidRPr="002D43DE">
              <w:rPr>
                <w:rFonts w:eastAsia="Calibri"/>
                <w:sz w:val="20"/>
                <w:lang w:val="fr-CA"/>
              </w:rPr>
              <w:t>Cour d’appel de l’Ontario</w:t>
            </w:r>
          </w:p>
          <w:p w:rsidR="008C55EB" w:rsidRPr="002D43DE" w:rsidRDefault="008C55EB" w:rsidP="00615810">
            <w:pPr>
              <w:jc w:val="both"/>
              <w:rPr>
                <w:rFonts w:eastAsia="Calibri"/>
                <w:sz w:val="20"/>
                <w:lang w:val="fr-CA"/>
              </w:rPr>
            </w:pPr>
            <w:r w:rsidRPr="002D43DE">
              <w:rPr>
                <w:rFonts w:eastAsia="Calibri"/>
                <w:sz w:val="20"/>
                <w:lang w:val="fr-CA"/>
              </w:rPr>
              <w:t>(Juges Feldman, Simmons et Watt)</w:t>
            </w:r>
          </w:p>
          <w:p w:rsidR="008C55EB" w:rsidRPr="002D43DE" w:rsidRDefault="008C55EB" w:rsidP="00615810">
            <w:pPr>
              <w:jc w:val="both"/>
              <w:rPr>
                <w:rFonts w:eastAsia="Calibri"/>
                <w:sz w:val="20"/>
                <w:lang w:val="fr-CA"/>
              </w:rPr>
            </w:pPr>
            <w:r w:rsidRPr="002D43DE">
              <w:rPr>
                <w:rFonts w:eastAsia="Calibri"/>
                <w:sz w:val="20"/>
                <w:lang w:val="fr-CA"/>
              </w:rPr>
              <w:t xml:space="preserve">C53389; </w:t>
            </w:r>
            <w:hyperlink r:id="rId43" w:history="1">
              <w:r w:rsidRPr="002D43DE">
                <w:rPr>
                  <w:rFonts w:eastAsia="Calibri"/>
                  <w:color w:val="0000FF"/>
                  <w:sz w:val="20"/>
                  <w:u w:val="single"/>
                  <w:lang w:val="fr-CA"/>
                </w:rPr>
                <w:t>2011 ONCA 826</w:t>
              </w:r>
            </w:hyperlink>
          </w:p>
          <w:p w:rsidR="008C55EB" w:rsidRPr="002D43DE" w:rsidRDefault="008C55EB" w:rsidP="00615810">
            <w:pPr>
              <w:jc w:val="both"/>
              <w:rPr>
                <w:rFonts w:eastAsia="Calibri"/>
                <w:sz w:val="20"/>
                <w:lang w:val="fr-CA"/>
              </w:rPr>
            </w:pP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Appel des peines accueilli; peines réduites à 16 ans, suivies d’une surveillance de 10 ans</w:t>
            </w:r>
          </w:p>
          <w:p w:rsidR="008C55EB" w:rsidRPr="002D43DE" w:rsidRDefault="008C55EB" w:rsidP="00615810">
            <w:pPr>
              <w:jc w:val="both"/>
              <w:rPr>
                <w:rFonts w:eastAsia="Calibri"/>
                <w:sz w:val="20"/>
                <w:lang w:val="fr-CA"/>
              </w:rPr>
            </w:pPr>
          </w:p>
        </w:tc>
      </w:tr>
      <w:tr w:rsidR="008C55EB" w:rsidRPr="00DA4390" w:rsidTr="00615810">
        <w:tc>
          <w:tcPr>
            <w:tcW w:w="2427" w:type="pct"/>
          </w:tcPr>
          <w:p w:rsidR="008C55EB" w:rsidRPr="002D43DE" w:rsidRDefault="008C55EB" w:rsidP="00615810">
            <w:pPr>
              <w:jc w:val="both"/>
              <w:rPr>
                <w:rFonts w:eastAsia="Calibri"/>
                <w:sz w:val="20"/>
                <w:lang w:val="fr-CA"/>
              </w:rPr>
            </w:pPr>
            <w:r w:rsidRPr="002D43DE">
              <w:rPr>
                <w:rFonts w:eastAsia="Calibri"/>
                <w:sz w:val="20"/>
                <w:lang w:val="fr-CA"/>
              </w:rPr>
              <w:t>23 décembre 2013</w:t>
            </w:r>
          </w:p>
          <w:p w:rsidR="008C55EB" w:rsidRPr="002D43DE" w:rsidRDefault="008C55EB" w:rsidP="00615810">
            <w:pPr>
              <w:jc w:val="both"/>
              <w:rPr>
                <w:rFonts w:eastAsia="Calibri"/>
                <w:sz w:val="20"/>
                <w:lang w:val="fr-CA"/>
              </w:rPr>
            </w:pPr>
            <w:r w:rsidRPr="002D43DE">
              <w:rPr>
                <w:rFonts w:eastAsia="Calibri"/>
                <w:sz w:val="20"/>
                <w:lang w:val="fr-CA"/>
              </w:rPr>
              <w:t>Cour suprême du Canada</w:t>
            </w:r>
          </w:p>
        </w:tc>
        <w:tc>
          <w:tcPr>
            <w:tcW w:w="243" w:type="pct"/>
          </w:tcPr>
          <w:p w:rsidR="008C55EB" w:rsidRPr="002D43DE" w:rsidRDefault="008C55EB" w:rsidP="00615810">
            <w:pPr>
              <w:jc w:val="both"/>
              <w:rPr>
                <w:rFonts w:eastAsia="Calibri"/>
                <w:sz w:val="20"/>
                <w:lang w:val="fr-CA"/>
              </w:rPr>
            </w:pPr>
          </w:p>
        </w:tc>
        <w:tc>
          <w:tcPr>
            <w:tcW w:w="2330" w:type="pct"/>
          </w:tcPr>
          <w:p w:rsidR="008C55EB" w:rsidRPr="002D43DE" w:rsidRDefault="008C55EB" w:rsidP="00615810">
            <w:pPr>
              <w:jc w:val="both"/>
              <w:rPr>
                <w:rFonts w:eastAsia="Calibri"/>
                <w:sz w:val="20"/>
                <w:lang w:val="fr-CA"/>
              </w:rPr>
            </w:pPr>
            <w:r w:rsidRPr="002D43DE">
              <w:rPr>
                <w:rFonts w:eastAsia="Calibri"/>
                <w:sz w:val="20"/>
                <w:lang w:val="fr-CA"/>
              </w:rPr>
              <w:t>Requête en prorogation du délai de signification et de dépôt de la demande d'autorisation d'appel et demande d'autorisation d'appel, déposées</w:t>
            </w:r>
          </w:p>
        </w:tc>
      </w:tr>
    </w:tbl>
    <w:p w:rsidR="00A42D17" w:rsidRPr="008C55EB" w:rsidRDefault="00A42D17" w:rsidP="00A42D17">
      <w:pPr>
        <w:rPr>
          <w:sz w:val="20"/>
          <w:szCs w:val="20"/>
          <w:lang w:val="fr-CA"/>
        </w:rPr>
      </w:pPr>
    </w:p>
    <w:p w:rsidR="00A42D17" w:rsidRDefault="0077107C" w:rsidP="00A42D17">
      <w:pPr>
        <w:rPr>
          <w:sz w:val="20"/>
          <w:szCs w:val="20"/>
          <w:lang w:val="fr-CA"/>
        </w:rPr>
      </w:pPr>
      <w:r>
        <w:rPr>
          <w:sz w:val="20"/>
          <w:szCs w:val="20"/>
          <w:lang w:val="fr-CA"/>
        </w:rPr>
        <w:pict>
          <v:rect id="_x0000_i1049" style="width:2in;height:1pt" o:hrpct="0" o:hralign="center" o:hrstd="t" o:hrnoshade="t" o:hr="t" fillcolor="black [3213]" stroked="f"/>
        </w:pict>
      </w:r>
    </w:p>
    <w:p w:rsidR="00A42D17" w:rsidRDefault="00A42D17" w:rsidP="00A42D17">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17.02.2014</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Before / Devant :   CROMWELL J. / LE JUGE CROMWELL</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DA4390" w:rsidTr="005C5683">
        <w:tc>
          <w:tcPr>
            <w:tcW w:w="4338" w:type="dxa"/>
          </w:tcPr>
          <w:p w:rsidR="000D2318" w:rsidRPr="000D2318" w:rsidRDefault="000D2318" w:rsidP="000D2318">
            <w:pPr>
              <w:tabs>
                <w:tab w:val="left" w:pos="-1440"/>
                <w:tab w:val="left" w:pos="-720"/>
              </w:tabs>
              <w:jc w:val="both"/>
              <w:rPr>
                <w:b/>
              </w:rPr>
            </w:pPr>
            <w:r w:rsidRPr="000D2318">
              <w:rPr>
                <w:b/>
                <w:bCs/>
                <w:color w:val="000000"/>
                <w:lang w:val="en-US"/>
              </w:rPr>
              <w:t>Motion to extend the time to serve and/or file the application for leave to appeal</w:t>
            </w:r>
            <w:r w:rsidRPr="000D2318">
              <w:rPr>
                <w:szCs w:val="24"/>
                <w:lang w:val="en-US"/>
              </w:rPr>
              <w:t xml:space="preserve"> </w:t>
            </w:r>
            <w:r w:rsidR="0054414C" w:rsidRPr="000D2318">
              <w:rPr>
                <w:szCs w:val="24"/>
                <w:lang w:val="en-US"/>
              </w:rPr>
              <w:fldChar w:fldCharType="begin"/>
            </w:r>
            <w:r w:rsidRPr="000D2318">
              <w:rPr>
                <w:szCs w:val="24"/>
                <w:lang w:val="en-US"/>
              </w:rPr>
              <w:instrText xml:space="preserve"> SEQ CHAPTER \h \r 1</w:instrText>
            </w:r>
            <w:r w:rsidR="0054414C" w:rsidRPr="000D2318">
              <w:rPr>
                <w:szCs w:val="24"/>
                <w:lang w:val="en-US"/>
              </w:rPr>
              <w:fldChar w:fldCharType="end"/>
            </w:r>
          </w:p>
        </w:tc>
        <w:tc>
          <w:tcPr>
            <w:tcW w:w="1170" w:type="dxa"/>
          </w:tcPr>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tc>
        <w:tc>
          <w:tcPr>
            <w:tcW w:w="4327" w:type="dxa"/>
          </w:tcPr>
          <w:p w:rsidR="000D2318" w:rsidRPr="000D2318" w:rsidRDefault="000D2318" w:rsidP="000D2318">
            <w:pPr>
              <w:tabs>
                <w:tab w:val="left" w:pos="-1440"/>
                <w:tab w:val="left" w:pos="-720"/>
              </w:tabs>
              <w:jc w:val="both"/>
              <w:rPr>
                <w:lang w:val="fr-CA"/>
              </w:rPr>
            </w:pPr>
            <w:r w:rsidRPr="000D2318">
              <w:rPr>
                <w:b/>
                <w:bCs/>
                <w:color w:val="000000"/>
                <w:lang w:val="fr-CA"/>
              </w:rPr>
              <w:t>Requête en prorogation du délai de signification et/ou de dépôt de la demande d’autorisation d’appel</w:t>
            </w:r>
            <w:r w:rsidRPr="000D2318">
              <w:rPr>
                <w:szCs w:val="24"/>
                <w:lang w:val="fr-CA"/>
              </w:rPr>
              <w:t xml:space="preserve"> </w:t>
            </w:r>
            <w:r w:rsidR="0054414C" w:rsidRPr="000D2318">
              <w:rPr>
                <w:szCs w:val="24"/>
                <w:lang w:val="en-US"/>
              </w:rPr>
              <w:fldChar w:fldCharType="begin"/>
            </w:r>
            <w:r w:rsidRPr="000D2318">
              <w:rPr>
                <w:szCs w:val="24"/>
                <w:lang w:val="fr-CA"/>
              </w:rPr>
              <w:instrText xml:space="preserve"> SEQ CHAPTER \h \r 1</w:instrText>
            </w:r>
            <w:r w:rsidR="0054414C" w:rsidRPr="000D2318">
              <w:rPr>
                <w:szCs w:val="24"/>
                <w:lang w:val="en-US"/>
              </w:rPr>
              <w:fldChar w:fldCharType="end"/>
            </w:r>
            <w:r w:rsidRPr="000D2318">
              <w:rPr>
                <w:szCs w:val="24"/>
                <w:lang w:val="fr-CA"/>
              </w:rPr>
              <w:t xml:space="preserve"> </w:t>
            </w:r>
            <w:r w:rsidR="0054414C" w:rsidRPr="000D2318">
              <w:rPr>
                <w:szCs w:val="24"/>
                <w:lang w:val="en-US"/>
              </w:rPr>
              <w:fldChar w:fldCharType="begin"/>
            </w:r>
            <w:r w:rsidRPr="000D2318">
              <w:rPr>
                <w:szCs w:val="24"/>
                <w:lang w:val="fr-CA"/>
              </w:rPr>
              <w:instrText xml:space="preserve"> SEQ CHAPTER \h \r 1</w:instrText>
            </w:r>
            <w:r w:rsidR="0054414C" w:rsidRPr="000D2318">
              <w:rPr>
                <w:szCs w:val="24"/>
                <w:lang w:val="en-US"/>
              </w:rPr>
              <w:fldChar w:fldCharType="end"/>
            </w:r>
            <w:r w:rsidR="0054414C" w:rsidRPr="000D2318">
              <w:rPr>
                <w:szCs w:val="24"/>
                <w:lang w:val="en-US"/>
              </w:rPr>
              <w:fldChar w:fldCharType="begin"/>
            </w:r>
            <w:r w:rsidRPr="000D2318">
              <w:rPr>
                <w:szCs w:val="24"/>
                <w:lang w:val="fr-CA"/>
              </w:rPr>
              <w:instrText xml:space="preserve"> SEQ CHAPTER \h \r 1</w:instrText>
            </w:r>
            <w:r w:rsidR="0054414C" w:rsidRPr="000D2318">
              <w:rPr>
                <w:szCs w:val="24"/>
                <w:lang w:val="en-US"/>
              </w:rPr>
              <w:fldChar w:fldCharType="end"/>
            </w:r>
          </w:p>
        </w:tc>
      </w:tr>
      <w:tr w:rsidR="000D2318" w:rsidRPr="000D2318" w:rsidTr="005C5683">
        <w:tc>
          <w:tcPr>
            <w:tcW w:w="4338" w:type="dxa"/>
          </w:tcPr>
          <w:p w:rsidR="000D2318" w:rsidRPr="000D2318" w:rsidRDefault="000D2318" w:rsidP="000D2318">
            <w:pPr>
              <w:tabs>
                <w:tab w:val="left" w:pos="-1440"/>
                <w:tab w:val="left" w:pos="-720"/>
              </w:tabs>
              <w:jc w:val="both"/>
            </w:pPr>
            <w:r w:rsidRPr="000D2318">
              <w:t>Neila Catherine MacQueen et al.</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ab/>
              <w:t>v. (35706)</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Attorney General of Canada et al. (N.S.)</w:t>
            </w:r>
          </w:p>
        </w:tc>
        <w:tc>
          <w:tcPr>
            <w:tcW w:w="1170" w:type="dxa"/>
          </w:tcPr>
          <w:p w:rsidR="000D2318" w:rsidRPr="000D2318" w:rsidRDefault="000D2318" w:rsidP="000D2318">
            <w:pPr>
              <w:tabs>
                <w:tab w:val="left" w:pos="-1440"/>
                <w:tab w:val="left" w:pos="-720"/>
              </w:tabs>
              <w:jc w:val="both"/>
            </w:pPr>
          </w:p>
        </w:tc>
        <w:tc>
          <w:tcPr>
            <w:tcW w:w="4327" w:type="dxa"/>
          </w:tcPr>
          <w:p w:rsidR="000D2318" w:rsidRPr="000D2318" w:rsidRDefault="000D2318" w:rsidP="000D2318">
            <w:pPr>
              <w:tabs>
                <w:tab w:val="left" w:pos="-1440"/>
                <w:tab w:val="left" w:pos="-720"/>
              </w:tabs>
              <w:jc w:val="both"/>
            </w:pPr>
          </w:p>
        </w:tc>
      </w:tr>
    </w:tbl>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b/>
          <w:sz w:val="20"/>
          <w:szCs w:val="20"/>
          <w:lang w:val="fr-CA" w:eastAsia="en-CA"/>
        </w:rPr>
      </w:pPr>
      <w:r w:rsidRPr="000D2318">
        <w:rPr>
          <w:rFonts w:eastAsia="Times New Roman" w:cs="Times New Roman"/>
          <w:b/>
          <w:sz w:val="20"/>
          <w:szCs w:val="20"/>
          <w:lang w:val="fr-CA" w:eastAsia="en-CA"/>
        </w:rPr>
        <w:t>GRANTED / ACCORDÉE</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77107C" w:rsidP="000D231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2" style="width:2in;height:1pt" o:hrpct="0" o:hralign="center" o:hrstd="t" o:hrnoshade="t" o:hr="t" fillcolor="black [3213]" stroked="f"/>
        </w:pic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17.02.2014</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Before / Devant :   CROMWELL J. / LE JUGE CROMWELL</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0D2318" w:rsidTr="005C5683">
        <w:tc>
          <w:tcPr>
            <w:tcW w:w="4338" w:type="dxa"/>
          </w:tcPr>
          <w:p w:rsidR="000D2318" w:rsidRPr="000D2318" w:rsidRDefault="0054414C" w:rsidP="000D2318">
            <w:pPr>
              <w:tabs>
                <w:tab w:val="left" w:pos="-1440"/>
                <w:tab w:val="left" w:pos="-720"/>
              </w:tabs>
              <w:jc w:val="both"/>
              <w:rPr>
                <w:b/>
              </w:rPr>
            </w:pPr>
            <w:r w:rsidRPr="000D2318">
              <w:rPr>
                <w:szCs w:val="24"/>
                <w:lang w:val="en-US"/>
              </w:rPr>
              <w:fldChar w:fldCharType="begin"/>
            </w:r>
            <w:r w:rsidR="000D2318" w:rsidRPr="000D2318">
              <w:rPr>
                <w:szCs w:val="24"/>
                <w:lang w:val="en-US"/>
              </w:rPr>
              <w:instrText xml:space="preserve"> SEQ CHAPTER \h \r 1</w:instrText>
            </w:r>
            <w:r w:rsidRPr="000D2318">
              <w:rPr>
                <w:szCs w:val="24"/>
                <w:lang w:val="en-US"/>
              </w:rPr>
              <w:fldChar w:fldCharType="end"/>
            </w:r>
            <w:r w:rsidRPr="000D2318">
              <w:rPr>
                <w:szCs w:val="24"/>
                <w:lang w:val="en-US"/>
              </w:rPr>
              <w:fldChar w:fldCharType="begin"/>
            </w:r>
            <w:r w:rsidR="000D2318" w:rsidRPr="000D2318">
              <w:rPr>
                <w:szCs w:val="24"/>
                <w:lang w:val="en-US"/>
              </w:rPr>
              <w:instrText xml:space="preserve"> SEQ CHAPTER \h \r 1</w:instrText>
            </w:r>
            <w:r w:rsidRPr="000D2318">
              <w:rPr>
                <w:szCs w:val="24"/>
                <w:lang w:val="en-US"/>
              </w:rPr>
              <w:fldChar w:fldCharType="end"/>
            </w:r>
            <w:r w:rsidR="000D2318" w:rsidRPr="000D2318">
              <w:rPr>
                <w:b/>
                <w:bCs/>
                <w:lang w:val="en-US"/>
              </w:rPr>
              <w:t xml:space="preserve">Order </w:t>
            </w:r>
          </w:p>
        </w:tc>
        <w:tc>
          <w:tcPr>
            <w:tcW w:w="1170" w:type="dxa"/>
          </w:tcPr>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tc>
        <w:tc>
          <w:tcPr>
            <w:tcW w:w="4327" w:type="dxa"/>
          </w:tcPr>
          <w:p w:rsidR="000D2318" w:rsidRPr="000D2318" w:rsidRDefault="0054414C" w:rsidP="000D2318">
            <w:pPr>
              <w:tabs>
                <w:tab w:val="left" w:pos="-1440"/>
                <w:tab w:val="left" w:pos="-720"/>
              </w:tabs>
              <w:jc w:val="both"/>
              <w:rPr>
                <w:lang w:val="fr-CA"/>
              </w:rPr>
            </w:pPr>
            <w:r w:rsidRPr="000D2318">
              <w:rPr>
                <w:szCs w:val="24"/>
                <w:lang w:val="en-US"/>
              </w:rPr>
              <w:fldChar w:fldCharType="begin"/>
            </w:r>
            <w:r w:rsidR="000D2318" w:rsidRPr="000D2318">
              <w:rPr>
                <w:szCs w:val="24"/>
                <w:lang w:val="fr-CA"/>
              </w:rPr>
              <w:instrText xml:space="preserve"> SEQ CHAPTER \h \r 1</w:instrText>
            </w:r>
            <w:r w:rsidRPr="000D2318">
              <w:rPr>
                <w:szCs w:val="24"/>
                <w:lang w:val="en-US"/>
              </w:rPr>
              <w:fldChar w:fldCharType="end"/>
            </w:r>
            <w:r w:rsidR="000D2318" w:rsidRPr="000D2318">
              <w:rPr>
                <w:b/>
                <w:bCs/>
                <w:lang w:val="fr-CA"/>
              </w:rPr>
              <w:t xml:space="preserve">Ordonnance </w:t>
            </w:r>
            <w:r w:rsidRPr="000D2318">
              <w:rPr>
                <w:szCs w:val="24"/>
                <w:lang w:val="en-US"/>
              </w:rPr>
              <w:fldChar w:fldCharType="begin"/>
            </w:r>
            <w:r w:rsidR="000D2318" w:rsidRPr="000D2318">
              <w:rPr>
                <w:szCs w:val="24"/>
                <w:lang w:val="fr-CA"/>
              </w:rPr>
              <w:instrText xml:space="preserve"> SEQ CHAPTER \h \r 1</w:instrText>
            </w:r>
            <w:r w:rsidRPr="000D2318">
              <w:rPr>
                <w:szCs w:val="24"/>
                <w:lang w:val="en-US"/>
              </w:rPr>
              <w:fldChar w:fldCharType="end"/>
            </w:r>
            <w:r w:rsidRPr="000D2318">
              <w:rPr>
                <w:szCs w:val="24"/>
                <w:lang w:val="en-US"/>
              </w:rPr>
              <w:fldChar w:fldCharType="begin"/>
            </w:r>
            <w:r w:rsidR="000D2318" w:rsidRPr="000D2318">
              <w:rPr>
                <w:szCs w:val="24"/>
                <w:lang w:val="fr-CA"/>
              </w:rPr>
              <w:instrText xml:space="preserve"> SEQ CHAPTER \h \r 1</w:instrText>
            </w:r>
            <w:r w:rsidRPr="000D2318">
              <w:rPr>
                <w:szCs w:val="24"/>
                <w:lang w:val="en-US"/>
              </w:rPr>
              <w:fldChar w:fldCharType="end"/>
            </w:r>
          </w:p>
        </w:tc>
      </w:tr>
      <w:tr w:rsidR="000D2318" w:rsidRPr="000D2318" w:rsidTr="005C5683">
        <w:tc>
          <w:tcPr>
            <w:tcW w:w="4338" w:type="dxa"/>
          </w:tcPr>
          <w:p w:rsidR="000D2318" w:rsidRPr="000D2318" w:rsidRDefault="000D2318" w:rsidP="000D2318">
            <w:pPr>
              <w:tabs>
                <w:tab w:val="left" w:pos="-1440"/>
                <w:tab w:val="left" w:pos="-720"/>
              </w:tabs>
              <w:jc w:val="both"/>
            </w:pPr>
            <w:r w:rsidRPr="000D2318">
              <w:t>X et al.</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ab/>
              <w:t>v. (35538)</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Her Majesty the Queen et al. (Crim.) (B.C.)</w:t>
            </w:r>
          </w:p>
        </w:tc>
        <w:tc>
          <w:tcPr>
            <w:tcW w:w="1170" w:type="dxa"/>
          </w:tcPr>
          <w:p w:rsidR="000D2318" w:rsidRPr="000D2318" w:rsidRDefault="000D2318" w:rsidP="000D2318">
            <w:pPr>
              <w:tabs>
                <w:tab w:val="left" w:pos="-1440"/>
                <w:tab w:val="left" w:pos="-720"/>
              </w:tabs>
              <w:jc w:val="both"/>
            </w:pPr>
          </w:p>
        </w:tc>
        <w:tc>
          <w:tcPr>
            <w:tcW w:w="4327" w:type="dxa"/>
          </w:tcPr>
          <w:p w:rsidR="000D2318" w:rsidRPr="000D2318" w:rsidRDefault="000D2318" w:rsidP="000D2318">
            <w:pPr>
              <w:tabs>
                <w:tab w:val="left" w:pos="-1440"/>
                <w:tab w:val="left" w:pos="-720"/>
              </w:tabs>
              <w:jc w:val="both"/>
            </w:pPr>
          </w:p>
        </w:tc>
      </w:tr>
    </w:tbl>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b/>
          <w:sz w:val="20"/>
          <w:szCs w:val="20"/>
          <w:lang w:val="fr-CA" w:eastAsia="en-CA"/>
        </w:rPr>
      </w:pPr>
      <w:r w:rsidRPr="000D2318">
        <w:rPr>
          <w:rFonts w:eastAsia="Times New Roman" w:cs="Times New Roman"/>
          <w:b/>
          <w:sz w:val="20"/>
          <w:szCs w:val="20"/>
          <w:lang w:val="fr-CA" w:eastAsia="en-CA"/>
        </w:rPr>
        <w:t>GRANTED IN PART / ACCORDÉE EN PARTIE</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jc w:val="both"/>
        <w:rPr>
          <w:rFonts w:eastAsia="Times New Roman" w:cs="Times New Roman"/>
          <w:sz w:val="20"/>
          <w:szCs w:val="20"/>
          <w:lang w:eastAsia="en-CA"/>
        </w:rPr>
      </w:pPr>
      <w:r w:rsidRPr="000D2318">
        <w:rPr>
          <w:rFonts w:eastAsia="Times New Roman" w:cs="Times New Roman"/>
          <w:b/>
          <w:sz w:val="20"/>
          <w:szCs w:val="20"/>
          <w:lang w:eastAsia="en-CA"/>
        </w:rPr>
        <w:t>UPON REQUEST</w:t>
      </w:r>
      <w:r w:rsidRPr="000D2318">
        <w:rPr>
          <w:rFonts w:eastAsia="Times New Roman" w:cs="Times New Roman"/>
          <w:sz w:val="20"/>
          <w:szCs w:val="20"/>
          <w:lang w:eastAsia="en-CA"/>
        </w:rPr>
        <w:t xml:space="preserve"> by the media respondents to rescind the limited term sealing order of Cromwell J., dated December 23, 2013; </w:t>
      </w:r>
    </w:p>
    <w:p w:rsidR="000D2318" w:rsidRPr="000D2318" w:rsidRDefault="000D2318" w:rsidP="000D2318">
      <w:pPr>
        <w:jc w:val="both"/>
        <w:rPr>
          <w:rFonts w:eastAsia="Times New Roman" w:cs="Times New Roman"/>
          <w:sz w:val="20"/>
          <w:szCs w:val="20"/>
          <w:lang w:eastAsia="en-CA"/>
        </w:rPr>
      </w:pPr>
    </w:p>
    <w:p w:rsidR="000D2318" w:rsidRPr="000D2318" w:rsidRDefault="000D2318" w:rsidP="000D2318">
      <w:pPr>
        <w:jc w:val="both"/>
        <w:rPr>
          <w:rFonts w:eastAsia="Times New Roman" w:cs="Times New Roman"/>
          <w:sz w:val="20"/>
          <w:szCs w:val="20"/>
          <w:lang w:eastAsia="en-CA"/>
        </w:rPr>
      </w:pPr>
      <w:r w:rsidRPr="000D2318">
        <w:rPr>
          <w:rFonts w:eastAsia="Times New Roman" w:cs="Times New Roman"/>
          <w:b/>
          <w:sz w:val="20"/>
          <w:szCs w:val="20"/>
          <w:lang w:eastAsia="en-CA"/>
        </w:rPr>
        <w:t>AND UPON BEING ADVISED</w:t>
      </w:r>
      <w:r w:rsidRPr="000D2318">
        <w:rPr>
          <w:rFonts w:eastAsia="Times New Roman" w:cs="Times New Roman"/>
          <w:sz w:val="20"/>
          <w:szCs w:val="20"/>
          <w:lang w:eastAsia="en-CA"/>
        </w:rPr>
        <w:t xml:space="preserve"> that on January 20, 2014, Justice Wedge of the Supreme Court of British Columbia dismissed the Applications of Persons X and Y for Sealing Orders;</w:t>
      </w:r>
    </w:p>
    <w:p w:rsidR="000D2318" w:rsidRPr="000D2318" w:rsidRDefault="000D2318" w:rsidP="000D2318">
      <w:pPr>
        <w:jc w:val="both"/>
        <w:rPr>
          <w:rFonts w:eastAsia="Times New Roman" w:cs="Times New Roman"/>
          <w:b/>
          <w:sz w:val="20"/>
          <w:szCs w:val="20"/>
          <w:lang w:eastAsia="en-CA"/>
        </w:rPr>
      </w:pPr>
    </w:p>
    <w:p w:rsidR="000D2318" w:rsidRPr="000D2318" w:rsidRDefault="000D2318" w:rsidP="000D2318">
      <w:pPr>
        <w:jc w:val="both"/>
        <w:rPr>
          <w:rFonts w:eastAsia="Times New Roman" w:cs="Times New Roman"/>
          <w:sz w:val="20"/>
          <w:szCs w:val="20"/>
          <w:lang w:eastAsia="en-CA"/>
        </w:rPr>
      </w:pPr>
      <w:r w:rsidRPr="000D2318">
        <w:rPr>
          <w:rFonts w:eastAsia="Times New Roman" w:cs="Times New Roman"/>
          <w:b/>
          <w:sz w:val="20"/>
          <w:szCs w:val="20"/>
          <w:lang w:eastAsia="en-CA"/>
        </w:rPr>
        <w:t xml:space="preserve">AND NOTING </w:t>
      </w:r>
      <w:r w:rsidRPr="000D2318">
        <w:rPr>
          <w:rFonts w:eastAsia="Times New Roman" w:cs="Times New Roman"/>
          <w:sz w:val="20"/>
          <w:szCs w:val="20"/>
          <w:lang w:eastAsia="en-CA"/>
        </w:rPr>
        <w:t>that</w:t>
      </w:r>
      <w:r w:rsidRPr="000D2318">
        <w:rPr>
          <w:rFonts w:eastAsia="Times New Roman" w:cs="Times New Roman"/>
          <w:b/>
          <w:sz w:val="20"/>
          <w:szCs w:val="20"/>
          <w:lang w:eastAsia="en-CA"/>
        </w:rPr>
        <w:t xml:space="preserve"> </w:t>
      </w:r>
      <w:r w:rsidRPr="000D2318">
        <w:rPr>
          <w:rFonts w:eastAsia="Times New Roman" w:cs="Times New Roman"/>
          <w:sz w:val="20"/>
          <w:szCs w:val="20"/>
          <w:lang w:eastAsia="en-CA"/>
        </w:rPr>
        <w:t>the applicants X and Y request permission to file redacted versions of their applications for leave to appeal and related motion materials and that the media respondents do not oppose the request;</w:t>
      </w:r>
    </w:p>
    <w:p w:rsidR="000D2318" w:rsidRPr="000D2318" w:rsidRDefault="000D2318" w:rsidP="000D2318">
      <w:pPr>
        <w:jc w:val="both"/>
        <w:rPr>
          <w:rFonts w:eastAsia="Times New Roman" w:cs="Times New Roman"/>
          <w:sz w:val="20"/>
          <w:szCs w:val="20"/>
          <w:lang w:eastAsia="en-CA"/>
        </w:rPr>
      </w:pPr>
    </w:p>
    <w:p w:rsidR="000D2318" w:rsidRPr="000D2318" w:rsidRDefault="000D2318" w:rsidP="000D2318">
      <w:pPr>
        <w:jc w:val="both"/>
        <w:rPr>
          <w:rFonts w:eastAsia="Times New Roman" w:cs="Times New Roman"/>
          <w:sz w:val="20"/>
          <w:szCs w:val="20"/>
          <w:lang w:eastAsia="en-CA"/>
        </w:rPr>
      </w:pPr>
      <w:r w:rsidRPr="000D2318">
        <w:rPr>
          <w:rFonts w:eastAsia="Times New Roman" w:cs="Times New Roman"/>
          <w:b/>
          <w:sz w:val="20"/>
          <w:szCs w:val="20"/>
          <w:lang w:eastAsia="en-CA"/>
        </w:rPr>
        <w:t>AND THE MATERIAL FILED</w:t>
      </w:r>
      <w:r w:rsidRPr="000D2318">
        <w:rPr>
          <w:rFonts w:eastAsia="Times New Roman" w:cs="Times New Roman"/>
          <w:sz w:val="20"/>
          <w:szCs w:val="20"/>
          <w:lang w:eastAsia="en-CA"/>
        </w:rPr>
        <w:t xml:space="preserve"> having been read;</w:t>
      </w:r>
    </w:p>
    <w:p w:rsidR="000D2318" w:rsidRPr="000D2318" w:rsidRDefault="000D2318" w:rsidP="000D2318">
      <w:pPr>
        <w:jc w:val="both"/>
        <w:rPr>
          <w:rFonts w:eastAsia="Times New Roman" w:cs="Times New Roman"/>
          <w:sz w:val="20"/>
          <w:szCs w:val="20"/>
          <w:lang w:eastAsia="en-CA"/>
        </w:rPr>
      </w:pPr>
    </w:p>
    <w:p w:rsidR="000D2318" w:rsidRPr="000D2318" w:rsidRDefault="000D2318" w:rsidP="000D2318">
      <w:pPr>
        <w:jc w:val="both"/>
        <w:rPr>
          <w:rFonts w:eastAsia="Times New Roman" w:cs="Times New Roman"/>
          <w:b/>
          <w:sz w:val="20"/>
          <w:szCs w:val="20"/>
          <w:lang w:eastAsia="en-CA"/>
        </w:rPr>
      </w:pPr>
      <w:r w:rsidRPr="000D2318">
        <w:rPr>
          <w:rFonts w:eastAsia="Times New Roman" w:cs="Times New Roman"/>
          <w:b/>
          <w:sz w:val="20"/>
          <w:szCs w:val="20"/>
          <w:lang w:eastAsia="en-CA"/>
        </w:rPr>
        <w:t>IT IS HEREBY ORDERED THAT:</w:t>
      </w:r>
    </w:p>
    <w:p w:rsidR="000D2318" w:rsidRPr="000D2318" w:rsidRDefault="000D2318" w:rsidP="000D2318">
      <w:pPr>
        <w:jc w:val="both"/>
        <w:rPr>
          <w:rFonts w:eastAsia="Times New Roman" w:cs="Times New Roman"/>
          <w:sz w:val="20"/>
          <w:szCs w:val="20"/>
          <w:lang w:eastAsia="en-CA"/>
        </w:rPr>
      </w:pPr>
    </w:p>
    <w:p w:rsidR="000D2318" w:rsidRPr="000D2318" w:rsidRDefault="000D2318" w:rsidP="000D2318">
      <w:pPr>
        <w:widowControl w:val="0"/>
        <w:numPr>
          <w:ilvl w:val="0"/>
          <w:numId w:val="7"/>
        </w:numPr>
        <w:autoSpaceDE w:val="0"/>
        <w:autoSpaceDN w:val="0"/>
        <w:adjustRightInd w:val="0"/>
        <w:ind w:left="720"/>
        <w:contextualSpacing/>
        <w:jc w:val="both"/>
        <w:rPr>
          <w:rFonts w:cs="Times New Roman"/>
          <w:sz w:val="20"/>
          <w:szCs w:val="20"/>
        </w:rPr>
      </w:pPr>
      <w:r w:rsidRPr="000D2318">
        <w:rPr>
          <w:rFonts w:cs="Times New Roman"/>
          <w:sz w:val="20"/>
          <w:szCs w:val="20"/>
        </w:rPr>
        <w:t xml:space="preserve">The orders issued by Justice Wedge of the Supreme Court of British Columbia pursuant to s. 486.5 of the </w:t>
      </w:r>
      <w:r w:rsidRPr="000D2318">
        <w:rPr>
          <w:rFonts w:cs="Times New Roman"/>
          <w:i/>
          <w:sz w:val="20"/>
          <w:szCs w:val="20"/>
        </w:rPr>
        <w:t xml:space="preserve">Criminal Code </w:t>
      </w:r>
      <w:r w:rsidRPr="000D2318">
        <w:rPr>
          <w:rFonts w:cs="Times New Roman"/>
          <w:sz w:val="20"/>
          <w:szCs w:val="20"/>
        </w:rPr>
        <w:t>prohibiting the publication of information that could identify the applicants X and Y are confirmed in this Court.</w:t>
      </w:r>
    </w:p>
    <w:p w:rsidR="000D2318" w:rsidRPr="000D2318" w:rsidRDefault="000D2318" w:rsidP="000D2318">
      <w:pPr>
        <w:ind w:left="720" w:hanging="720"/>
        <w:contextualSpacing/>
        <w:jc w:val="both"/>
        <w:rPr>
          <w:rFonts w:cs="Times New Roman"/>
          <w:sz w:val="20"/>
          <w:szCs w:val="20"/>
        </w:rPr>
      </w:pPr>
    </w:p>
    <w:p w:rsidR="000D2318" w:rsidRPr="000D2318" w:rsidRDefault="000D2318" w:rsidP="000D2318">
      <w:pPr>
        <w:widowControl w:val="0"/>
        <w:numPr>
          <w:ilvl w:val="0"/>
          <w:numId w:val="7"/>
        </w:numPr>
        <w:autoSpaceDE w:val="0"/>
        <w:autoSpaceDN w:val="0"/>
        <w:adjustRightInd w:val="0"/>
        <w:ind w:left="720"/>
        <w:contextualSpacing/>
        <w:jc w:val="both"/>
        <w:rPr>
          <w:rFonts w:cs="Times New Roman"/>
          <w:sz w:val="20"/>
          <w:szCs w:val="20"/>
        </w:rPr>
      </w:pPr>
      <w:r w:rsidRPr="000D2318">
        <w:rPr>
          <w:rFonts w:cs="Times New Roman"/>
          <w:sz w:val="20"/>
          <w:szCs w:val="20"/>
        </w:rPr>
        <w:t xml:space="preserve">The limited term sealing order of Cromwell J., dated December 23, 2013, is rescinded. The parties shall file redacted versions of their applications for leave to appeal and related motion materials that omit information that could identify the applicants X and Y and upon which the parties have agreed. However, the information upon which the parties have not agreed shall not be redacted. </w:t>
      </w:r>
    </w:p>
    <w:p w:rsidR="000D2318" w:rsidRPr="000D2318" w:rsidRDefault="000D2318" w:rsidP="000D2318">
      <w:pPr>
        <w:jc w:val="both"/>
        <w:rPr>
          <w:rFonts w:eastAsia="Times New Roman" w:cs="Times New Roman"/>
          <w:sz w:val="20"/>
          <w:szCs w:val="20"/>
          <w:lang w:eastAsia="en-CA"/>
        </w:rPr>
      </w:pPr>
    </w:p>
    <w:p w:rsidR="000D2318" w:rsidRPr="000D2318" w:rsidRDefault="000D2318" w:rsidP="000D2318">
      <w:pPr>
        <w:ind w:left="720" w:hanging="720"/>
        <w:jc w:val="both"/>
        <w:rPr>
          <w:rFonts w:eastAsia="Times New Roman" w:cs="Times New Roman"/>
          <w:sz w:val="20"/>
          <w:szCs w:val="20"/>
          <w:lang w:eastAsia="en-CA"/>
        </w:rPr>
      </w:pPr>
      <w:r w:rsidRPr="000D2318">
        <w:rPr>
          <w:rFonts w:eastAsia="Times New Roman" w:cs="Times New Roman"/>
          <w:sz w:val="20"/>
          <w:szCs w:val="20"/>
          <w:lang w:eastAsia="en-CA"/>
        </w:rPr>
        <w:lastRenderedPageBreak/>
        <w:t>3)</w:t>
      </w:r>
      <w:r w:rsidRPr="000D2318">
        <w:rPr>
          <w:rFonts w:eastAsia="Times New Roman" w:cs="Times New Roman"/>
          <w:sz w:val="20"/>
          <w:szCs w:val="20"/>
          <w:lang w:eastAsia="en-CA"/>
        </w:rPr>
        <w:tab/>
        <w:t>The sealing and publication ban order of Karakatsanis J., dated October 16, 2013, is rescinded.</w:t>
      </w:r>
    </w:p>
    <w:p w:rsidR="000D2318" w:rsidRPr="000D2318" w:rsidRDefault="000D2318" w:rsidP="000D2318">
      <w:pPr>
        <w:ind w:left="720" w:hanging="720"/>
        <w:jc w:val="both"/>
        <w:rPr>
          <w:rFonts w:eastAsia="Times New Roman" w:cs="Times New Roman"/>
          <w:sz w:val="20"/>
          <w:szCs w:val="20"/>
          <w:lang w:val="en-US" w:eastAsia="en-CA"/>
        </w:rPr>
      </w:pPr>
    </w:p>
    <w:p w:rsidR="000D2318" w:rsidRPr="000D2318" w:rsidRDefault="000D2318" w:rsidP="000D2318">
      <w:pPr>
        <w:ind w:left="720" w:hanging="720"/>
        <w:rPr>
          <w:rFonts w:eastAsia="Times New Roman" w:cs="Times New Roman"/>
          <w:sz w:val="20"/>
          <w:szCs w:val="20"/>
          <w:lang w:val="en-US" w:eastAsia="en-CA"/>
        </w:rPr>
      </w:pPr>
    </w:p>
    <w:p w:rsidR="000D2318" w:rsidRPr="000D2318" w:rsidRDefault="000D2318" w:rsidP="000D2318">
      <w:pPr>
        <w:jc w:val="both"/>
        <w:rPr>
          <w:rFonts w:eastAsia="Times New Roman" w:cs="Times New Roman"/>
          <w:bCs/>
          <w:sz w:val="20"/>
          <w:szCs w:val="20"/>
          <w:lang w:eastAsia="en-CA"/>
        </w:rPr>
      </w:pPr>
    </w:p>
    <w:p w:rsidR="000D2318" w:rsidRPr="000D2318" w:rsidRDefault="000D2318" w:rsidP="000D2318">
      <w:pPr>
        <w:jc w:val="both"/>
        <w:rPr>
          <w:rFonts w:eastAsia="Times New Roman" w:cs="Times New Roman"/>
          <w:bCs/>
          <w:sz w:val="20"/>
          <w:szCs w:val="20"/>
          <w:lang w:val="fr-CA" w:eastAsia="en-CA"/>
        </w:rPr>
      </w:pPr>
      <w:r w:rsidRPr="000D2318">
        <w:rPr>
          <w:rFonts w:eastAsia="Times New Roman" w:cs="Times New Roman"/>
          <w:b/>
          <w:bCs/>
          <w:sz w:val="20"/>
          <w:szCs w:val="20"/>
          <w:lang w:val="fr-CA" w:eastAsia="en-CA"/>
        </w:rPr>
        <w:t xml:space="preserve">À LA SUITE DE LA DEMANDE </w:t>
      </w:r>
      <w:r w:rsidRPr="000D2318">
        <w:rPr>
          <w:rFonts w:eastAsia="Times New Roman" w:cs="Times New Roman"/>
          <w:bCs/>
          <w:sz w:val="20"/>
          <w:szCs w:val="20"/>
          <w:lang w:val="fr-CA" w:eastAsia="en-CA"/>
        </w:rPr>
        <w:t>des médias intimés pour que soit révoquée l’ordonnance de mise sous scellés temporaire prononcée par le juge Cromwell le 23 décembre 2013;</w:t>
      </w:r>
    </w:p>
    <w:p w:rsidR="000D2318" w:rsidRPr="000D2318" w:rsidRDefault="000D2318" w:rsidP="000D2318">
      <w:pPr>
        <w:jc w:val="both"/>
        <w:rPr>
          <w:rFonts w:eastAsia="Times New Roman" w:cs="Times New Roman"/>
          <w:bCs/>
          <w:sz w:val="20"/>
          <w:szCs w:val="20"/>
          <w:lang w:val="fr-CA" w:eastAsia="en-CA"/>
        </w:rPr>
      </w:pPr>
    </w:p>
    <w:p w:rsidR="000D2318" w:rsidRPr="000D2318" w:rsidRDefault="000D2318" w:rsidP="000D2318">
      <w:pPr>
        <w:jc w:val="both"/>
        <w:rPr>
          <w:rFonts w:eastAsia="Times New Roman" w:cs="Times New Roman"/>
          <w:bCs/>
          <w:sz w:val="20"/>
          <w:szCs w:val="20"/>
          <w:lang w:val="fr-CA" w:eastAsia="en-CA"/>
        </w:rPr>
      </w:pPr>
      <w:r w:rsidRPr="000D2318">
        <w:rPr>
          <w:rFonts w:eastAsia="Times New Roman" w:cs="Times New Roman"/>
          <w:b/>
          <w:bCs/>
          <w:sz w:val="20"/>
          <w:szCs w:val="20"/>
          <w:lang w:val="fr-CA" w:eastAsia="en-CA"/>
        </w:rPr>
        <w:t>ET APRÈS QUE LA COUR A ÉTÉ INFORMÉE</w:t>
      </w:r>
      <w:r w:rsidRPr="000D2318">
        <w:rPr>
          <w:rFonts w:eastAsia="Times New Roman" w:cs="Times New Roman"/>
          <w:bCs/>
          <w:sz w:val="20"/>
          <w:szCs w:val="20"/>
          <w:lang w:val="fr-CA" w:eastAsia="en-CA"/>
        </w:rPr>
        <w:t xml:space="preserve"> du fait que le 20 janvier 2014, la juge Wedge de la Cour suprême de la Colombie-Britannique a rejeté les demandes de mise sous scellés présentées par les individus X et Y;</w:t>
      </w:r>
    </w:p>
    <w:p w:rsidR="000D2318" w:rsidRPr="000D2318" w:rsidRDefault="000D2318" w:rsidP="000D2318">
      <w:pPr>
        <w:jc w:val="both"/>
        <w:rPr>
          <w:rFonts w:eastAsia="Times New Roman" w:cs="Times New Roman"/>
          <w:bCs/>
          <w:sz w:val="20"/>
          <w:szCs w:val="20"/>
          <w:lang w:val="fr-CA" w:eastAsia="en-CA"/>
        </w:rPr>
      </w:pPr>
    </w:p>
    <w:p w:rsidR="000D2318" w:rsidRPr="000D2318" w:rsidRDefault="000D2318" w:rsidP="000D2318">
      <w:pPr>
        <w:jc w:val="both"/>
        <w:rPr>
          <w:rFonts w:eastAsia="Times New Roman" w:cs="Times New Roman"/>
          <w:bCs/>
          <w:sz w:val="20"/>
          <w:szCs w:val="20"/>
          <w:lang w:val="fr-CA" w:eastAsia="en-CA"/>
        </w:rPr>
      </w:pPr>
      <w:r w:rsidRPr="000D2318">
        <w:rPr>
          <w:rFonts w:eastAsia="Times New Roman" w:cs="Times New Roman"/>
          <w:b/>
          <w:bCs/>
          <w:sz w:val="20"/>
          <w:szCs w:val="20"/>
          <w:lang w:val="fr-CA" w:eastAsia="en-CA"/>
        </w:rPr>
        <w:t>ET COMPTE TENU</w:t>
      </w:r>
      <w:r w:rsidRPr="000D2318">
        <w:rPr>
          <w:rFonts w:eastAsia="Times New Roman" w:cs="Times New Roman"/>
          <w:bCs/>
          <w:sz w:val="20"/>
          <w:szCs w:val="20"/>
          <w:lang w:val="fr-CA" w:eastAsia="en-CA"/>
        </w:rPr>
        <w:t xml:space="preserve"> de la demande présentée par X et Y pour être autorisés à déposer des versions caviardées de leur demande d’autorisation d’appel et des documents à l’appui de ces demandes et des autres requêtes au dossier ainsi que du fait que les médias intimés ne s’opposent pas à cette demande;</w:t>
      </w:r>
    </w:p>
    <w:p w:rsidR="000D2318" w:rsidRPr="000D2318" w:rsidRDefault="000D2318" w:rsidP="000D2318">
      <w:pPr>
        <w:jc w:val="both"/>
        <w:rPr>
          <w:rFonts w:eastAsia="Times New Roman" w:cs="Times New Roman"/>
          <w:bCs/>
          <w:sz w:val="20"/>
          <w:szCs w:val="20"/>
          <w:lang w:val="fr-CA" w:eastAsia="en-CA"/>
        </w:rPr>
      </w:pPr>
    </w:p>
    <w:p w:rsidR="000D2318" w:rsidRPr="000D2318" w:rsidRDefault="000D2318" w:rsidP="000D2318">
      <w:pPr>
        <w:jc w:val="both"/>
        <w:rPr>
          <w:rFonts w:eastAsia="Times New Roman" w:cs="Times New Roman"/>
          <w:bCs/>
          <w:sz w:val="20"/>
          <w:szCs w:val="20"/>
          <w:lang w:val="fr-CA" w:eastAsia="en-CA"/>
        </w:rPr>
      </w:pPr>
      <w:r w:rsidRPr="000D2318">
        <w:rPr>
          <w:rFonts w:eastAsia="Times New Roman" w:cs="Times New Roman"/>
          <w:b/>
          <w:bCs/>
          <w:sz w:val="20"/>
          <w:szCs w:val="20"/>
          <w:lang w:val="fr-CA" w:eastAsia="en-CA"/>
        </w:rPr>
        <w:t>ET APRÈS EXAMEN</w:t>
      </w:r>
      <w:r w:rsidRPr="000D2318">
        <w:rPr>
          <w:rFonts w:eastAsia="Times New Roman" w:cs="Times New Roman"/>
          <w:bCs/>
          <w:sz w:val="20"/>
          <w:szCs w:val="20"/>
          <w:lang w:val="fr-CA" w:eastAsia="en-CA"/>
        </w:rPr>
        <w:t xml:space="preserve"> des documents déposés;</w:t>
      </w:r>
    </w:p>
    <w:p w:rsidR="000D2318" w:rsidRPr="000D2318" w:rsidRDefault="000D2318" w:rsidP="000D2318">
      <w:pPr>
        <w:jc w:val="both"/>
        <w:rPr>
          <w:rFonts w:eastAsia="Times New Roman" w:cs="Times New Roman"/>
          <w:bCs/>
          <w:sz w:val="20"/>
          <w:szCs w:val="20"/>
          <w:lang w:val="fr-CA" w:eastAsia="en-CA"/>
        </w:rPr>
      </w:pPr>
    </w:p>
    <w:p w:rsidR="000D2318" w:rsidRPr="000D2318" w:rsidRDefault="000D2318" w:rsidP="000D2318">
      <w:pPr>
        <w:jc w:val="both"/>
        <w:rPr>
          <w:rFonts w:eastAsia="Times New Roman" w:cs="Times New Roman"/>
          <w:b/>
          <w:bCs/>
          <w:sz w:val="20"/>
          <w:szCs w:val="20"/>
          <w:lang w:val="fr-CA" w:eastAsia="en-CA"/>
        </w:rPr>
      </w:pPr>
      <w:r w:rsidRPr="000D2318">
        <w:rPr>
          <w:rFonts w:eastAsia="Times New Roman" w:cs="Times New Roman"/>
          <w:b/>
          <w:bCs/>
          <w:sz w:val="20"/>
          <w:szCs w:val="20"/>
          <w:lang w:val="fr-CA" w:eastAsia="en-CA"/>
        </w:rPr>
        <w:t>IL EST ORDONNÉ CE QUI SUIT :</w:t>
      </w:r>
    </w:p>
    <w:p w:rsidR="000D2318" w:rsidRPr="000D2318" w:rsidRDefault="000D2318" w:rsidP="000D2318">
      <w:pPr>
        <w:ind w:left="720" w:hanging="720"/>
        <w:jc w:val="both"/>
        <w:rPr>
          <w:rFonts w:eastAsia="Times New Roman" w:cs="Times New Roman"/>
          <w:bCs/>
          <w:sz w:val="20"/>
          <w:szCs w:val="20"/>
          <w:lang w:val="fr-CA" w:eastAsia="en-CA"/>
        </w:rPr>
      </w:pPr>
    </w:p>
    <w:p w:rsidR="000D2318" w:rsidRPr="000D2318" w:rsidRDefault="000D2318" w:rsidP="000D2318">
      <w:pPr>
        <w:widowControl w:val="0"/>
        <w:numPr>
          <w:ilvl w:val="0"/>
          <w:numId w:val="10"/>
        </w:numPr>
        <w:autoSpaceDE w:val="0"/>
        <w:autoSpaceDN w:val="0"/>
        <w:adjustRightInd w:val="0"/>
        <w:ind w:left="720" w:hanging="720"/>
        <w:contextualSpacing/>
        <w:jc w:val="both"/>
        <w:rPr>
          <w:rFonts w:cs="Times New Roman"/>
          <w:bCs/>
          <w:sz w:val="20"/>
          <w:szCs w:val="20"/>
          <w:lang w:val="fr-CA"/>
        </w:rPr>
      </w:pPr>
      <w:r w:rsidRPr="000D2318">
        <w:rPr>
          <w:rFonts w:cs="Times New Roman"/>
          <w:bCs/>
          <w:sz w:val="20"/>
          <w:szCs w:val="20"/>
          <w:lang w:val="fr-CA"/>
        </w:rPr>
        <w:t xml:space="preserve">Les ordonnances rendues par la juge Wedge de la Cour suprême de la Colombie-Britannique en vertu de l’art. 486.5 du </w:t>
      </w:r>
      <w:r w:rsidRPr="000D2318">
        <w:rPr>
          <w:rFonts w:cs="Times New Roman"/>
          <w:bCs/>
          <w:i/>
          <w:sz w:val="20"/>
          <w:szCs w:val="20"/>
          <w:lang w:val="fr-CA"/>
        </w:rPr>
        <w:t>Code criminel</w:t>
      </w:r>
      <w:r w:rsidRPr="000D2318">
        <w:rPr>
          <w:rFonts w:cs="Times New Roman"/>
          <w:bCs/>
          <w:sz w:val="20"/>
          <w:szCs w:val="20"/>
          <w:lang w:val="fr-CA"/>
        </w:rPr>
        <w:t xml:space="preserve"> interdisant la publication de renseignements susceptibles de révéler l’identité des demandeurs X et Y sont confirmées par la Cour.</w:t>
      </w:r>
    </w:p>
    <w:p w:rsidR="000D2318" w:rsidRPr="000D2318" w:rsidRDefault="000D2318" w:rsidP="000D2318">
      <w:pPr>
        <w:ind w:left="720" w:hanging="720"/>
        <w:contextualSpacing/>
        <w:jc w:val="both"/>
        <w:rPr>
          <w:rFonts w:cs="Times New Roman"/>
          <w:bCs/>
          <w:sz w:val="20"/>
          <w:szCs w:val="20"/>
          <w:lang w:val="fr-CA"/>
        </w:rPr>
      </w:pPr>
    </w:p>
    <w:p w:rsidR="000D2318" w:rsidRPr="000D2318" w:rsidRDefault="000D2318" w:rsidP="000D2318">
      <w:pPr>
        <w:widowControl w:val="0"/>
        <w:numPr>
          <w:ilvl w:val="0"/>
          <w:numId w:val="10"/>
        </w:numPr>
        <w:autoSpaceDE w:val="0"/>
        <w:autoSpaceDN w:val="0"/>
        <w:adjustRightInd w:val="0"/>
        <w:ind w:left="720" w:hanging="720"/>
        <w:contextualSpacing/>
        <w:jc w:val="both"/>
        <w:rPr>
          <w:rFonts w:cs="Times New Roman"/>
          <w:bCs/>
          <w:sz w:val="20"/>
          <w:szCs w:val="20"/>
          <w:lang w:val="fr-CA"/>
        </w:rPr>
      </w:pPr>
      <w:r w:rsidRPr="000D2318">
        <w:rPr>
          <w:rFonts w:cs="Times New Roman"/>
          <w:bCs/>
          <w:sz w:val="20"/>
          <w:szCs w:val="20"/>
          <w:lang w:val="fr-CA"/>
        </w:rPr>
        <w:t xml:space="preserve">L’ordonnance de mise sous scellés temporaire prononcée par le juge Cromwell le 23 décembre 2013 est révoquée.  Les parties déposeront des versions caviardées de leur demande d’autorisation d’appel et des documents à l’appui de ces demandes et des autres requêtes au dossier qui omettront ainsi les renseignements susceptibles de révéler l’identité des demandeurs X et Y et à l’égard desquels les parties se sont entendus.  Par contre, les renseignements n’ayant pas fait l’objet d’une entente entre les parties ne seront pas caviardés. </w:t>
      </w:r>
    </w:p>
    <w:p w:rsidR="000D2318" w:rsidRPr="000D2318" w:rsidRDefault="000D2318" w:rsidP="000D2318">
      <w:pPr>
        <w:ind w:left="720" w:hanging="720"/>
        <w:contextualSpacing/>
        <w:rPr>
          <w:rFonts w:cs="Times New Roman"/>
          <w:bCs/>
          <w:sz w:val="20"/>
          <w:szCs w:val="20"/>
          <w:lang w:val="fr-CA"/>
        </w:rPr>
      </w:pPr>
    </w:p>
    <w:p w:rsidR="000D2318" w:rsidRPr="000D2318" w:rsidRDefault="000D2318" w:rsidP="000D2318">
      <w:pPr>
        <w:widowControl w:val="0"/>
        <w:numPr>
          <w:ilvl w:val="0"/>
          <w:numId w:val="10"/>
        </w:numPr>
        <w:autoSpaceDE w:val="0"/>
        <w:autoSpaceDN w:val="0"/>
        <w:adjustRightInd w:val="0"/>
        <w:ind w:left="720" w:hanging="720"/>
        <w:contextualSpacing/>
        <w:jc w:val="both"/>
        <w:rPr>
          <w:rFonts w:cs="Times New Roman"/>
          <w:bCs/>
          <w:sz w:val="20"/>
          <w:szCs w:val="20"/>
          <w:lang w:val="fr-CA"/>
        </w:rPr>
      </w:pPr>
      <w:r w:rsidRPr="000D2318">
        <w:rPr>
          <w:rFonts w:cs="Times New Roman"/>
          <w:bCs/>
          <w:sz w:val="20"/>
          <w:szCs w:val="20"/>
          <w:lang w:val="fr-CA"/>
        </w:rPr>
        <w:t>L’ordonnance de mise sous scellés et de non-publication rendue par la juge Karakatsanis le 16 octobre 2013 est révoquée.</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77107C" w:rsidP="000D231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18.02.2014</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r w:rsidRPr="000D2318">
        <w:rPr>
          <w:rFonts w:eastAsia="Times New Roman" w:cs="Times New Roman"/>
          <w:sz w:val="20"/>
          <w:szCs w:val="20"/>
          <w:lang w:eastAsia="en-CA"/>
        </w:rPr>
        <w:t>Before / Devant:   THE DEPUTY REGISTRAR / LA REGISTRAIRE ADJOINTE</w:t>
      </w:r>
    </w:p>
    <w:p w:rsidR="000D2318" w:rsidRPr="000D2318" w:rsidRDefault="000D2318" w:rsidP="000D2318">
      <w:pPr>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DA4390" w:rsidTr="005C5683">
        <w:trPr>
          <w:trHeight w:val="151"/>
        </w:trPr>
        <w:tc>
          <w:tcPr>
            <w:tcW w:w="4338" w:type="dxa"/>
          </w:tcPr>
          <w:p w:rsidR="000D2318" w:rsidRPr="000D2318" w:rsidRDefault="0054414C" w:rsidP="000D2318">
            <w:pPr>
              <w:tabs>
                <w:tab w:val="left" w:pos="-1440"/>
                <w:tab w:val="left" w:pos="-720"/>
              </w:tabs>
              <w:jc w:val="both"/>
            </w:pPr>
            <w:r w:rsidRPr="000D2318">
              <w:rPr>
                <w:lang w:val="en-US"/>
              </w:rPr>
              <w:fldChar w:fldCharType="begin"/>
            </w:r>
            <w:r w:rsidR="000D2318" w:rsidRPr="000D2318">
              <w:instrText xml:space="preserve"> SEQ CHAPTER \h \r 1</w:instrText>
            </w:r>
            <w:r w:rsidRPr="000D2318">
              <w:rPr>
                <w:lang w:val="en-US"/>
              </w:rPr>
              <w:fldChar w:fldCharType="end"/>
            </w:r>
            <w:r w:rsidR="000D2318" w:rsidRPr="000D2318">
              <w:rPr>
                <w:b/>
                <w:bCs/>
              </w:rPr>
              <w:t>Motion by counsel for an order accepting the record, vol</w:t>
            </w:r>
            <w:r w:rsidR="00DA4390">
              <w:rPr>
                <w:b/>
                <w:bCs/>
              </w:rPr>
              <w:t>ume</w:t>
            </w:r>
            <w:r w:rsidR="000D2318" w:rsidRPr="000D2318">
              <w:rPr>
                <w:b/>
                <w:bCs/>
              </w:rPr>
              <w:t>s A, B, I, II, III and IV of the appellant</w:t>
            </w:r>
          </w:p>
          <w:p w:rsidR="000D2318" w:rsidRPr="000D2318" w:rsidRDefault="0054414C" w:rsidP="000D2318">
            <w:pPr>
              <w:tabs>
                <w:tab w:val="left" w:pos="-1440"/>
                <w:tab w:val="left" w:pos="-720"/>
              </w:tabs>
              <w:jc w:val="both"/>
            </w:pPr>
            <w:r w:rsidRPr="000D2318">
              <w:rPr>
                <w:lang w:val="en-US"/>
              </w:rPr>
              <w:fldChar w:fldCharType="begin"/>
            </w:r>
            <w:r w:rsidR="000D2318" w:rsidRPr="000D2318">
              <w:instrText xml:space="preserve"> SEQ CHAPTER \h \r 1</w:instrText>
            </w:r>
            <w:r w:rsidRPr="000D2318">
              <w:rPr>
                <w:lang w:val="en-US"/>
              </w:rPr>
              <w:fldChar w:fldCharType="end"/>
            </w:r>
          </w:p>
        </w:tc>
        <w:tc>
          <w:tcPr>
            <w:tcW w:w="1170" w:type="dxa"/>
          </w:tcPr>
          <w:p w:rsidR="000D2318" w:rsidRPr="000D2318" w:rsidRDefault="000D2318" w:rsidP="000D2318">
            <w:pPr>
              <w:jc w:val="both"/>
            </w:pPr>
          </w:p>
          <w:p w:rsidR="000D2318" w:rsidRPr="000D2318" w:rsidRDefault="000D2318" w:rsidP="000D2318">
            <w:pPr>
              <w:jc w:val="both"/>
            </w:pPr>
          </w:p>
          <w:p w:rsidR="000D2318" w:rsidRPr="000D2318" w:rsidRDefault="000D2318" w:rsidP="000D2318">
            <w:pPr>
              <w:jc w:val="both"/>
            </w:pPr>
          </w:p>
          <w:p w:rsidR="000D2318" w:rsidRPr="000D2318" w:rsidRDefault="000D2318" w:rsidP="000D2318">
            <w:pPr>
              <w:jc w:val="both"/>
            </w:pPr>
          </w:p>
        </w:tc>
        <w:tc>
          <w:tcPr>
            <w:tcW w:w="4327" w:type="dxa"/>
          </w:tcPr>
          <w:p w:rsidR="000D2318" w:rsidRPr="000D2318" w:rsidRDefault="0054414C" w:rsidP="000D2318">
            <w:pPr>
              <w:jc w:val="both"/>
              <w:rPr>
                <w:b/>
                <w:lang w:val="fr-CA"/>
              </w:rPr>
            </w:pPr>
            <w:r w:rsidRPr="000D2318">
              <w:rPr>
                <w:lang w:val="en-US"/>
              </w:rPr>
              <w:fldChar w:fldCharType="begin"/>
            </w:r>
            <w:r w:rsidR="000D2318" w:rsidRPr="000D2318">
              <w:rPr>
                <w:lang w:val="fr-CA"/>
              </w:rPr>
              <w:instrText xml:space="preserve"> SEQ CHAPTER \h \r 1</w:instrText>
            </w:r>
            <w:r w:rsidRPr="000D2318">
              <w:rPr>
                <w:lang w:val="en-US"/>
              </w:rPr>
              <w:fldChar w:fldCharType="end"/>
            </w:r>
            <w:r w:rsidR="000D2318" w:rsidRPr="000D2318">
              <w:rPr>
                <w:b/>
                <w:bCs/>
                <w:lang w:val="fr-CA"/>
              </w:rPr>
              <w:t>Requête de l’avocat sollicitant l’acceptation des volumes A, B, I, II, III et IV du dossier de l’appelant</w:t>
            </w:r>
          </w:p>
          <w:p w:rsidR="000D2318" w:rsidRPr="000D2318" w:rsidRDefault="0054414C" w:rsidP="000D2318">
            <w:pPr>
              <w:jc w:val="both"/>
              <w:rPr>
                <w:b/>
                <w:lang w:val="fr-CA"/>
              </w:rPr>
            </w:pPr>
            <w:r w:rsidRPr="000D2318">
              <w:rPr>
                <w:b/>
                <w:lang w:val="en-US"/>
              </w:rPr>
              <w:fldChar w:fldCharType="begin"/>
            </w:r>
            <w:r w:rsidR="000D2318" w:rsidRPr="000D2318">
              <w:rPr>
                <w:b/>
                <w:lang w:val="fr-CA"/>
              </w:rPr>
              <w:instrText xml:space="preserve"> SEQ CHAPTER \h \r 1</w:instrText>
            </w:r>
            <w:r w:rsidRPr="000D2318">
              <w:rPr>
                <w:b/>
                <w:lang w:val="en-US"/>
              </w:rPr>
              <w:fldChar w:fldCharType="end"/>
            </w:r>
            <w:r w:rsidRPr="000D2318">
              <w:rPr>
                <w:b/>
                <w:lang w:val="en-US"/>
              </w:rPr>
              <w:fldChar w:fldCharType="begin"/>
            </w:r>
            <w:r w:rsidR="000D2318" w:rsidRPr="000D2318">
              <w:rPr>
                <w:b/>
                <w:lang w:val="fr-CA"/>
              </w:rPr>
              <w:instrText xml:space="preserve"> SEQ CHAPTER \h \r 1</w:instrText>
            </w:r>
            <w:r w:rsidRPr="000D2318">
              <w:rPr>
                <w:b/>
                <w:lang w:val="en-US"/>
              </w:rPr>
              <w:fldChar w:fldCharType="end"/>
            </w:r>
          </w:p>
        </w:tc>
      </w:tr>
      <w:tr w:rsidR="000D2318" w:rsidRPr="000D2318" w:rsidTr="005C5683">
        <w:trPr>
          <w:trHeight w:val="150"/>
        </w:trPr>
        <w:tc>
          <w:tcPr>
            <w:tcW w:w="4338" w:type="dxa"/>
          </w:tcPr>
          <w:p w:rsidR="000D2318" w:rsidRPr="000D2318" w:rsidRDefault="000D2318" w:rsidP="000D2318">
            <w:pPr>
              <w:tabs>
                <w:tab w:val="left" w:pos="-1440"/>
                <w:tab w:val="left" w:pos="-720"/>
              </w:tabs>
              <w:jc w:val="both"/>
            </w:pPr>
            <w:r w:rsidRPr="000D2318">
              <w:t>Douglas Jackson</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ab/>
              <w:t>v. (35622)</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rPr>
                <w:lang w:val="fr-CA"/>
              </w:rPr>
            </w:pPr>
            <w:r w:rsidRPr="000D2318">
              <w:t xml:space="preserve">Her Majesty the Queen et al. </w:t>
            </w:r>
            <w:r w:rsidRPr="000D2318">
              <w:rPr>
                <w:lang w:val="fr-CA"/>
              </w:rPr>
              <w:t>(Crim.) (Ont.)</w:t>
            </w:r>
          </w:p>
        </w:tc>
        <w:tc>
          <w:tcPr>
            <w:tcW w:w="1170" w:type="dxa"/>
          </w:tcPr>
          <w:p w:rsidR="000D2318" w:rsidRPr="000D2318" w:rsidRDefault="000D2318" w:rsidP="000D2318">
            <w:pPr>
              <w:jc w:val="both"/>
              <w:rPr>
                <w:lang w:val="fr-CA"/>
              </w:rPr>
            </w:pPr>
          </w:p>
        </w:tc>
        <w:tc>
          <w:tcPr>
            <w:tcW w:w="4327" w:type="dxa"/>
          </w:tcPr>
          <w:p w:rsidR="000D2318" w:rsidRPr="000D2318" w:rsidRDefault="000D2318" w:rsidP="000D2318">
            <w:pPr>
              <w:jc w:val="both"/>
              <w:rPr>
                <w:lang w:val="fr-CA"/>
              </w:rPr>
            </w:pPr>
          </w:p>
        </w:tc>
      </w:tr>
    </w:tbl>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b/>
          <w:sz w:val="20"/>
          <w:szCs w:val="20"/>
          <w:lang w:val="fr-CA" w:eastAsia="en-CA"/>
        </w:rPr>
        <w:t>GRANTED / ACCORDÉE</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77107C" w:rsidP="000D231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0D2318" w:rsidRPr="000D2318" w:rsidRDefault="000D2318" w:rsidP="000D2318">
      <w:pPr>
        <w:rPr>
          <w:rFonts w:eastAsia="Times New Roman" w:cs="Times New Roman"/>
          <w:sz w:val="20"/>
          <w:szCs w:val="20"/>
          <w:lang w:val="fr-CA" w:eastAsia="en-CA"/>
        </w:rPr>
      </w:pPr>
      <w:r w:rsidRPr="000D2318">
        <w:rPr>
          <w:rFonts w:eastAsia="Times New Roman" w:cs="Times New Roman"/>
          <w:sz w:val="20"/>
          <w:szCs w:val="20"/>
          <w:lang w:val="fr-CA" w:eastAsia="en-CA"/>
        </w:rPr>
        <w:br w:type="page"/>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18.02.2014</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Before / Devant :   THE CHIEF JUSTICE / LA JUGE EN CHEF</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DA4390" w:rsidTr="005C5683">
        <w:tc>
          <w:tcPr>
            <w:tcW w:w="4338" w:type="dxa"/>
          </w:tcPr>
          <w:p w:rsidR="000D2318" w:rsidRPr="000D2318" w:rsidRDefault="0054414C" w:rsidP="000D2318">
            <w:pPr>
              <w:tabs>
                <w:tab w:val="left" w:pos="-1440"/>
                <w:tab w:val="left" w:pos="-720"/>
              </w:tabs>
              <w:jc w:val="both"/>
              <w:rPr>
                <w:b/>
              </w:rPr>
            </w:pPr>
            <w:r w:rsidRPr="000D2318">
              <w:rPr>
                <w:lang w:val="en-US"/>
              </w:rPr>
              <w:fldChar w:fldCharType="begin"/>
            </w:r>
            <w:r w:rsidR="000D2318" w:rsidRPr="000D2318">
              <w:rPr>
                <w:lang w:val="en-US"/>
              </w:rPr>
              <w:instrText xml:space="preserve"> SEQ CHAPTER \h \r 1</w:instrText>
            </w:r>
            <w:r w:rsidRPr="000D2318">
              <w:rPr>
                <w:lang w:val="en-US"/>
              </w:rPr>
              <w:fldChar w:fldCharType="end"/>
            </w:r>
            <w:r w:rsidR="000D2318" w:rsidRPr="000D2318">
              <w:rPr>
                <w:b/>
                <w:bCs/>
                <w:lang w:val="en-US"/>
              </w:rPr>
              <w:t>Motion to state constitutional questions</w:t>
            </w:r>
          </w:p>
        </w:tc>
        <w:tc>
          <w:tcPr>
            <w:tcW w:w="1170" w:type="dxa"/>
          </w:tcPr>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tc>
        <w:tc>
          <w:tcPr>
            <w:tcW w:w="4327" w:type="dxa"/>
          </w:tcPr>
          <w:p w:rsidR="000D2318" w:rsidRPr="000D2318" w:rsidRDefault="0054414C" w:rsidP="000D2318">
            <w:pPr>
              <w:tabs>
                <w:tab w:val="left" w:pos="-1440"/>
                <w:tab w:val="left" w:pos="-720"/>
              </w:tabs>
              <w:jc w:val="both"/>
              <w:rPr>
                <w:lang w:val="fr-CA"/>
              </w:rPr>
            </w:pPr>
            <w:r w:rsidRPr="000D2318">
              <w:rPr>
                <w:lang w:val="en-US"/>
              </w:rPr>
              <w:fldChar w:fldCharType="begin"/>
            </w:r>
            <w:r w:rsidR="000D2318" w:rsidRPr="000D2318">
              <w:rPr>
                <w:lang w:val="fr-CA"/>
              </w:rPr>
              <w:instrText xml:space="preserve"> SEQ CHAPTER \h \r 1</w:instrText>
            </w:r>
            <w:r w:rsidRPr="000D2318">
              <w:rPr>
                <w:lang w:val="en-US"/>
              </w:rPr>
              <w:fldChar w:fldCharType="end"/>
            </w:r>
            <w:r w:rsidR="000D2318" w:rsidRPr="000D2318">
              <w:rPr>
                <w:b/>
                <w:bCs/>
                <w:lang w:val="fr-CA"/>
              </w:rPr>
              <w:t>Requête en formulation de questions constitutionnelles</w:t>
            </w:r>
            <w:r w:rsidRPr="000D2318">
              <w:rPr>
                <w:lang w:val="en-US"/>
              </w:rPr>
              <w:fldChar w:fldCharType="begin"/>
            </w:r>
            <w:r w:rsidR="000D2318" w:rsidRPr="000D2318">
              <w:rPr>
                <w:lang w:val="fr-CA"/>
              </w:rPr>
              <w:instrText xml:space="preserve"> SEQ CHAPTER \h \r 1</w:instrText>
            </w:r>
            <w:r w:rsidRPr="000D2318">
              <w:rPr>
                <w:lang w:val="en-US"/>
              </w:rPr>
              <w:fldChar w:fldCharType="end"/>
            </w:r>
            <w:r w:rsidRPr="000D2318">
              <w:rPr>
                <w:lang w:val="en-US"/>
              </w:rPr>
              <w:fldChar w:fldCharType="begin"/>
            </w:r>
            <w:r w:rsidR="000D2318" w:rsidRPr="000D2318">
              <w:rPr>
                <w:lang w:val="fr-CA"/>
              </w:rPr>
              <w:instrText xml:space="preserve"> SEQ CHAPTER \h \r 1</w:instrText>
            </w:r>
            <w:r w:rsidRPr="000D2318">
              <w:rPr>
                <w:lang w:val="en-US"/>
              </w:rPr>
              <w:fldChar w:fldCharType="end"/>
            </w:r>
            <w:r w:rsidRPr="000D2318">
              <w:rPr>
                <w:lang w:val="en-US"/>
              </w:rPr>
              <w:fldChar w:fldCharType="begin"/>
            </w:r>
            <w:r w:rsidR="000D2318" w:rsidRPr="000D2318">
              <w:rPr>
                <w:lang w:val="fr-CA"/>
              </w:rPr>
              <w:instrText xml:space="preserve"> SEQ CHAPTER \h \r 1</w:instrText>
            </w:r>
            <w:r w:rsidRPr="000D2318">
              <w:rPr>
                <w:lang w:val="en-US"/>
              </w:rPr>
              <w:fldChar w:fldCharType="end"/>
            </w:r>
          </w:p>
        </w:tc>
      </w:tr>
      <w:tr w:rsidR="000D2318" w:rsidRPr="000D2318" w:rsidTr="005C5683">
        <w:tc>
          <w:tcPr>
            <w:tcW w:w="4338" w:type="dxa"/>
          </w:tcPr>
          <w:p w:rsidR="000D2318" w:rsidRPr="000D2318" w:rsidRDefault="000D2318" w:rsidP="000D2318">
            <w:pPr>
              <w:tabs>
                <w:tab w:val="left" w:pos="-1440"/>
                <w:tab w:val="left" w:pos="-720"/>
              </w:tabs>
              <w:jc w:val="both"/>
              <w:rPr>
                <w:lang w:val="fr-CA"/>
              </w:rPr>
            </w:pPr>
            <w:r w:rsidRPr="000D2318">
              <w:rPr>
                <w:lang w:val="fr-CA"/>
              </w:rPr>
              <w:t>Lee Carter et al.</w:t>
            </w:r>
          </w:p>
          <w:p w:rsidR="000D2318" w:rsidRPr="000D2318" w:rsidRDefault="000D2318" w:rsidP="000D2318">
            <w:pPr>
              <w:tabs>
                <w:tab w:val="left" w:pos="-1440"/>
                <w:tab w:val="left" w:pos="-720"/>
              </w:tabs>
              <w:jc w:val="both"/>
              <w:rPr>
                <w:lang w:val="fr-CA"/>
              </w:rPr>
            </w:pPr>
          </w:p>
          <w:p w:rsidR="000D2318" w:rsidRPr="000D2318" w:rsidRDefault="000D2318" w:rsidP="000D2318">
            <w:pPr>
              <w:tabs>
                <w:tab w:val="left" w:pos="-1440"/>
                <w:tab w:val="left" w:pos="-720"/>
              </w:tabs>
              <w:jc w:val="both"/>
              <w:rPr>
                <w:lang w:val="fr-CA"/>
              </w:rPr>
            </w:pPr>
            <w:r w:rsidRPr="000D2318">
              <w:rPr>
                <w:lang w:val="fr-CA"/>
              </w:rPr>
              <w:tab/>
              <w:t>v. (35591)</w:t>
            </w:r>
          </w:p>
          <w:p w:rsidR="000D2318" w:rsidRPr="000D2318" w:rsidRDefault="000D2318" w:rsidP="000D2318">
            <w:pPr>
              <w:tabs>
                <w:tab w:val="left" w:pos="-1440"/>
                <w:tab w:val="left" w:pos="-720"/>
              </w:tabs>
              <w:jc w:val="both"/>
              <w:rPr>
                <w:lang w:val="fr-CA"/>
              </w:rPr>
            </w:pPr>
          </w:p>
          <w:p w:rsidR="000D2318" w:rsidRPr="000D2318" w:rsidRDefault="000D2318" w:rsidP="000D2318">
            <w:pPr>
              <w:tabs>
                <w:tab w:val="left" w:pos="-1440"/>
                <w:tab w:val="left" w:pos="-720"/>
              </w:tabs>
              <w:jc w:val="both"/>
            </w:pPr>
            <w:r w:rsidRPr="000D2318">
              <w:t>Attorney General of Canada et al. (B.C.)</w:t>
            </w:r>
          </w:p>
        </w:tc>
        <w:tc>
          <w:tcPr>
            <w:tcW w:w="1170" w:type="dxa"/>
          </w:tcPr>
          <w:p w:rsidR="000D2318" w:rsidRPr="000D2318" w:rsidRDefault="000D2318" w:rsidP="000D2318">
            <w:pPr>
              <w:tabs>
                <w:tab w:val="left" w:pos="-1440"/>
                <w:tab w:val="left" w:pos="-720"/>
              </w:tabs>
              <w:jc w:val="both"/>
            </w:pPr>
          </w:p>
        </w:tc>
        <w:tc>
          <w:tcPr>
            <w:tcW w:w="4327" w:type="dxa"/>
          </w:tcPr>
          <w:p w:rsidR="000D2318" w:rsidRPr="000D2318" w:rsidRDefault="000D2318" w:rsidP="000D2318">
            <w:pPr>
              <w:tabs>
                <w:tab w:val="left" w:pos="-1440"/>
                <w:tab w:val="left" w:pos="-720"/>
              </w:tabs>
              <w:jc w:val="both"/>
            </w:pPr>
          </w:p>
        </w:tc>
      </w:tr>
    </w:tbl>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r w:rsidRPr="000D2318">
        <w:rPr>
          <w:rFonts w:eastAsia="Times New Roman" w:cs="Times New Roman"/>
          <w:b/>
          <w:sz w:val="20"/>
          <w:szCs w:val="20"/>
          <w:lang w:eastAsia="en-CA"/>
        </w:rPr>
        <w:t>GRANTED / ACCORDÉE</w:t>
      </w: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rPr>
          <w:rFonts w:eastAsia="Times New Roman" w:cs="Times New Roman"/>
          <w:sz w:val="20"/>
          <w:szCs w:val="20"/>
          <w:lang w:eastAsia="en-CA"/>
        </w:rPr>
      </w:pPr>
      <w:r w:rsidRPr="000D2318">
        <w:rPr>
          <w:rFonts w:eastAsia="Times New Roman" w:cs="Times New Roman"/>
          <w:b/>
          <w:bCs/>
          <w:sz w:val="20"/>
          <w:szCs w:val="20"/>
          <w:lang w:eastAsia="en-CA"/>
        </w:rPr>
        <w:t>UPON APPLICATION</w:t>
      </w:r>
      <w:r w:rsidRPr="000D2318">
        <w:rPr>
          <w:rFonts w:eastAsia="Times New Roman" w:cs="Times New Roman"/>
          <w:sz w:val="20"/>
          <w:szCs w:val="20"/>
          <w:lang w:eastAsia="en-CA"/>
        </w:rPr>
        <w:t xml:space="preserve"> by the appellants </w:t>
      </w:r>
      <w:r w:rsidR="0054414C" w:rsidRPr="000D2318">
        <w:rPr>
          <w:rFonts w:eastAsia="Times New Roman" w:cs="Times New Roman"/>
          <w:sz w:val="20"/>
          <w:szCs w:val="20"/>
          <w:lang w:eastAsia="en-CA"/>
        </w:rPr>
        <w:fldChar w:fldCharType="begin"/>
      </w:r>
      <w:r w:rsidRPr="000D2318">
        <w:rPr>
          <w:rFonts w:eastAsia="Times New Roman" w:cs="Times New Roman"/>
          <w:sz w:val="20"/>
          <w:szCs w:val="20"/>
          <w:lang w:eastAsia="en-CA"/>
        </w:rPr>
        <w:instrText xml:space="preserve"> SEQ CHAPTER \h \r 1</w:instrText>
      </w:r>
      <w:r w:rsidR="0054414C" w:rsidRPr="000D2318">
        <w:rPr>
          <w:rFonts w:eastAsia="Times New Roman" w:cs="Times New Roman"/>
          <w:sz w:val="20"/>
          <w:szCs w:val="20"/>
          <w:lang w:eastAsia="en-CA"/>
        </w:rPr>
        <w:fldChar w:fldCharType="end"/>
      </w:r>
      <w:r w:rsidRPr="000D2318">
        <w:rPr>
          <w:rFonts w:eastAsia="Times New Roman" w:cs="Times New Roman"/>
          <w:sz w:val="20"/>
          <w:szCs w:val="20"/>
          <w:lang w:eastAsia="en-CA"/>
        </w:rPr>
        <w:t>for an order stating constitutional questions in the above appeal;</w:t>
      </w:r>
    </w:p>
    <w:p w:rsidR="000D2318" w:rsidRPr="000D2318" w:rsidRDefault="000D2318" w:rsidP="000D2318">
      <w:pPr>
        <w:rPr>
          <w:rFonts w:eastAsia="Times New Roman" w:cs="Times New Roman"/>
          <w:sz w:val="20"/>
          <w:szCs w:val="20"/>
          <w:lang w:eastAsia="en-CA"/>
        </w:rPr>
      </w:pPr>
    </w:p>
    <w:p w:rsidR="000D2318" w:rsidRPr="000D2318" w:rsidRDefault="000D2318" w:rsidP="000D2318">
      <w:pPr>
        <w:rPr>
          <w:rFonts w:eastAsia="Times New Roman" w:cs="Times New Roman"/>
          <w:sz w:val="20"/>
          <w:szCs w:val="20"/>
          <w:lang w:eastAsia="en-CA"/>
        </w:rPr>
      </w:pPr>
      <w:r w:rsidRPr="000D2318">
        <w:rPr>
          <w:rFonts w:eastAsia="Times New Roman" w:cs="Times New Roman"/>
          <w:b/>
          <w:bCs/>
          <w:sz w:val="20"/>
          <w:szCs w:val="20"/>
          <w:lang w:eastAsia="en-CA"/>
        </w:rPr>
        <w:t>AND THE MATERIAL FILED</w:t>
      </w:r>
      <w:r w:rsidRPr="000D2318">
        <w:rPr>
          <w:rFonts w:eastAsia="Times New Roman" w:cs="Times New Roman"/>
          <w:sz w:val="20"/>
          <w:szCs w:val="20"/>
          <w:lang w:eastAsia="en-CA"/>
        </w:rPr>
        <w:t xml:space="preserve"> having been read;</w:t>
      </w:r>
    </w:p>
    <w:p w:rsidR="000D2318" w:rsidRPr="000D2318" w:rsidRDefault="000D2318" w:rsidP="000D2318">
      <w:pPr>
        <w:rPr>
          <w:rFonts w:eastAsia="Times New Roman" w:cs="Times New Roman"/>
          <w:sz w:val="20"/>
          <w:szCs w:val="20"/>
          <w:lang w:eastAsia="en-CA"/>
        </w:rPr>
      </w:pPr>
    </w:p>
    <w:p w:rsidR="000D2318" w:rsidRPr="000D2318" w:rsidRDefault="000D2318" w:rsidP="000D2318">
      <w:pPr>
        <w:rPr>
          <w:rFonts w:eastAsia="Times New Roman" w:cs="Times New Roman"/>
          <w:bCs/>
          <w:sz w:val="20"/>
          <w:szCs w:val="20"/>
          <w:lang w:eastAsia="en-CA"/>
        </w:rPr>
      </w:pPr>
      <w:r w:rsidRPr="000D2318">
        <w:rPr>
          <w:rFonts w:eastAsia="Times New Roman" w:cs="Times New Roman"/>
          <w:b/>
          <w:bCs/>
          <w:sz w:val="20"/>
          <w:szCs w:val="20"/>
          <w:lang w:eastAsia="en-CA"/>
        </w:rPr>
        <w:t>IT IS HEREBY ORDERED THAT THE CONSTITUTIONAL QUESTIONS BE STATED AS FOLLOWS:</w:t>
      </w:r>
    </w:p>
    <w:p w:rsidR="000D2318" w:rsidRPr="000D2318" w:rsidRDefault="000D2318" w:rsidP="000D2318">
      <w:pPr>
        <w:rPr>
          <w:rFonts w:eastAsia="Times New Roman" w:cs="Times New Roman"/>
          <w:bCs/>
          <w:sz w:val="20"/>
          <w:szCs w:val="20"/>
          <w:lang w:eastAsia="en-CA"/>
        </w:rPr>
      </w:pPr>
    </w:p>
    <w:p w:rsidR="000D2318" w:rsidRPr="000D2318" w:rsidRDefault="000D2318" w:rsidP="000D2318">
      <w:pPr>
        <w:widowControl w:val="0"/>
        <w:numPr>
          <w:ilvl w:val="0"/>
          <w:numId w:val="9"/>
        </w:numPr>
        <w:tabs>
          <w:tab w:val="left" w:pos="-1200"/>
          <w:tab w:val="left" w:pos="-720"/>
        </w:tabs>
        <w:autoSpaceDE w:val="0"/>
        <w:autoSpaceDN w:val="0"/>
        <w:adjustRightInd w:val="0"/>
        <w:contextualSpacing/>
        <w:jc w:val="both"/>
        <w:rPr>
          <w:rFonts w:cs="Times New Roman"/>
          <w:sz w:val="20"/>
          <w:szCs w:val="20"/>
        </w:rPr>
      </w:pPr>
      <w:r w:rsidRPr="000D2318">
        <w:rPr>
          <w:rFonts w:cs="Times New Roman"/>
          <w:sz w:val="20"/>
          <w:szCs w:val="20"/>
        </w:rPr>
        <w:t xml:space="preserve">Are ss. 14, 21, 22, 222 and 241 of the </w:t>
      </w:r>
      <w:r w:rsidRPr="000D2318">
        <w:rPr>
          <w:rFonts w:cs="Times New Roman"/>
          <w:i/>
          <w:sz w:val="20"/>
          <w:szCs w:val="20"/>
        </w:rPr>
        <w:t>Criminal Code</w:t>
      </w:r>
      <w:r w:rsidRPr="000D2318">
        <w:rPr>
          <w:rFonts w:cs="Times New Roman"/>
          <w:sz w:val="20"/>
          <w:szCs w:val="20"/>
        </w:rPr>
        <w:t>, R.S.C. 1985, c. C-46, constitutionally inapplicable to physician-assisted death by reason of the doctrine of interjurisdictional immunity?</w:t>
      </w:r>
    </w:p>
    <w:p w:rsidR="000D2318" w:rsidRPr="000D2318" w:rsidRDefault="000D2318" w:rsidP="000D2318">
      <w:pPr>
        <w:ind w:left="1440" w:hanging="720"/>
        <w:rPr>
          <w:rFonts w:eastAsia="Times New Roman" w:cs="Times New Roman"/>
          <w:sz w:val="20"/>
          <w:szCs w:val="20"/>
          <w:lang w:eastAsia="en-CA"/>
        </w:rPr>
      </w:pPr>
    </w:p>
    <w:p w:rsidR="000D2318" w:rsidRPr="000D2318" w:rsidRDefault="000D2318" w:rsidP="000D2318">
      <w:pPr>
        <w:widowControl w:val="0"/>
        <w:numPr>
          <w:ilvl w:val="0"/>
          <w:numId w:val="9"/>
        </w:numPr>
        <w:autoSpaceDE w:val="0"/>
        <w:autoSpaceDN w:val="0"/>
        <w:adjustRightInd w:val="0"/>
        <w:contextualSpacing/>
        <w:jc w:val="both"/>
        <w:rPr>
          <w:rFonts w:cs="Times New Roman"/>
          <w:sz w:val="20"/>
          <w:szCs w:val="20"/>
        </w:rPr>
      </w:pPr>
      <w:r w:rsidRPr="000D2318">
        <w:rPr>
          <w:rFonts w:cs="Times New Roman"/>
          <w:sz w:val="20"/>
          <w:szCs w:val="20"/>
        </w:rPr>
        <w:t xml:space="preserve">Do ss. 14, 21, 22, 222 and 241 of the </w:t>
      </w:r>
      <w:r w:rsidRPr="000D2318">
        <w:rPr>
          <w:rFonts w:cs="Times New Roman"/>
          <w:i/>
          <w:sz w:val="20"/>
          <w:szCs w:val="20"/>
        </w:rPr>
        <w:t>Criminal Code</w:t>
      </w:r>
      <w:r w:rsidRPr="000D2318">
        <w:rPr>
          <w:rFonts w:cs="Times New Roman"/>
          <w:sz w:val="20"/>
          <w:szCs w:val="20"/>
        </w:rPr>
        <w:t xml:space="preserve">, R.S.C. 1985, c. C-46, infringe s. 7 of the </w:t>
      </w:r>
      <w:r w:rsidRPr="000D2318">
        <w:rPr>
          <w:rFonts w:cs="Times New Roman"/>
          <w:i/>
          <w:sz w:val="20"/>
          <w:szCs w:val="20"/>
        </w:rPr>
        <w:t>Canadian Charter of Rights and Freedoms</w:t>
      </w:r>
      <w:r w:rsidRPr="000D2318">
        <w:rPr>
          <w:rFonts w:cs="Times New Roman"/>
          <w:sz w:val="20"/>
          <w:szCs w:val="20"/>
        </w:rPr>
        <w:t xml:space="preserve">?  </w:t>
      </w:r>
    </w:p>
    <w:p w:rsidR="000D2318" w:rsidRPr="000D2318" w:rsidRDefault="000D2318" w:rsidP="000D2318">
      <w:pPr>
        <w:rPr>
          <w:rFonts w:eastAsia="Times New Roman" w:cs="Times New Roman"/>
          <w:sz w:val="20"/>
          <w:szCs w:val="20"/>
          <w:lang w:eastAsia="en-CA"/>
        </w:rPr>
      </w:pPr>
    </w:p>
    <w:p w:rsidR="000D2318" w:rsidRPr="000D2318" w:rsidRDefault="000D2318" w:rsidP="000D2318">
      <w:pPr>
        <w:widowControl w:val="0"/>
        <w:numPr>
          <w:ilvl w:val="0"/>
          <w:numId w:val="9"/>
        </w:numPr>
        <w:tabs>
          <w:tab w:val="left" w:pos="-1200"/>
          <w:tab w:val="left" w:pos="-720"/>
        </w:tabs>
        <w:autoSpaceDE w:val="0"/>
        <w:autoSpaceDN w:val="0"/>
        <w:adjustRightInd w:val="0"/>
        <w:contextualSpacing/>
        <w:jc w:val="both"/>
        <w:rPr>
          <w:rFonts w:cs="Times New Roman"/>
          <w:sz w:val="20"/>
          <w:szCs w:val="20"/>
        </w:rPr>
      </w:pPr>
      <w:r w:rsidRPr="000D2318">
        <w:rPr>
          <w:rFonts w:cs="Times New Roman"/>
          <w:sz w:val="20"/>
          <w:szCs w:val="20"/>
        </w:rPr>
        <w:t xml:space="preserve">If so, is the infringement a reasonable limit prescribed by law as can be demonstrably justified in a free and democratic society under s. 1 of the </w:t>
      </w:r>
      <w:r w:rsidRPr="000D2318">
        <w:rPr>
          <w:rFonts w:cs="Times New Roman"/>
          <w:i/>
          <w:sz w:val="20"/>
          <w:szCs w:val="20"/>
        </w:rPr>
        <w:t>Canadian Charter of Rights and Freedoms</w:t>
      </w:r>
      <w:r w:rsidRPr="000D2318">
        <w:rPr>
          <w:rFonts w:cs="Times New Roman"/>
          <w:sz w:val="20"/>
          <w:szCs w:val="20"/>
        </w:rPr>
        <w:t xml:space="preserve">? </w:t>
      </w:r>
    </w:p>
    <w:p w:rsidR="000D2318" w:rsidRPr="000D2318" w:rsidRDefault="000D2318" w:rsidP="000D2318">
      <w:pPr>
        <w:rPr>
          <w:rFonts w:eastAsia="Times New Roman" w:cs="Times New Roman"/>
          <w:sz w:val="20"/>
          <w:szCs w:val="20"/>
          <w:lang w:eastAsia="en-CA"/>
        </w:rPr>
      </w:pPr>
    </w:p>
    <w:p w:rsidR="000D2318" w:rsidRPr="000D2318" w:rsidRDefault="000D2318" w:rsidP="000D2318">
      <w:pPr>
        <w:widowControl w:val="0"/>
        <w:numPr>
          <w:ilvl w:val="0"/>
          <w:numId w:val="9"/>
        </w:numPr>
        <w:tabs>
          <w:tab w:val="left" w:pos="-1200"/>
          <w:tab w:val="left" w:pos="-720"/>
        </w:tabs>
        <w:autoSpaceDE w:val="0"/>
        <w:autoSpaceDN w:val="0"/>
        <w:adjustRightInd w:val="0"/>
        <w:contextualSpacing/>
        <w:jc w:val="both"/>
        <w:rPr>
          <w:rFonts w:cs="Times New Roman"/>
          <w:sz w:val="20"/>
          <w:szCs w:val="20"/>
        </w:rPr>
      </w:pPr>
      <w:r w:rsidRPr="000D2318">
        <w:rPr>
          <w:rFonts w:cs="Times New Roman"/>
          <w:sz w:val="20"/>
          <w:szCs w:val="20"/>
        </w:rPr>
        <w:t xml:space="preserve">Do ss. 14, 21, 22, 222 and 241 of the </w:t>
      </w:r>
      <w:r w:rsidRPr="000D2318">
        <w:rPr>
          <w:rFonts w:cs="Times New Roman"/>
          <w:i/>
          <w:sz w:val="20"/>
          <w:szCs w:val="20"/>
        </w:rPr>
        <w:t>Criminal Code</w:t>
      </w:r>
      <w:r w:rsidRPr="000D2318">
        <w:rPr>
          <w:rFonts w:cs="Times New Roman"/>
          <w:sz w:val="20"/>
          <w:szCs w:val="20"/>
        </w:rPr>
        <w:t xml:space="preserve">, R.S.C. 1985, c. C-46, infringe s. 15 of the </w:t>
      </w:r>
      <w:r w:rsidRPr="000D2318">
        <w:rPr>
          <w:rFonts w:cs="Times New Roman"/>
          <w:i/>
          <w:sz w:val="20"/>
          <w:szCs w:val="20"/>
        </w:rPr>
        <w:t>Canadian Charter of Rights and Freedoms</w:t>
      </w:r>
      <w:r w:rsidRPr="000D2318">
        <w:rPr>
          <w:rFonts w:cs="Times New Roman"/>
          <w:sz w:val="20"/>
          <w:szCs w:val="20"/>
        </w:rPr>
        <w:t xml:space="preserve">?  </w:t>
      </w:r>
    </w:p>
    <w:p w:rsidR="000D2318" w:rsidRPr="000D2318" w:rsidRDefault="000D2318" w:rsidP="000D2318">
      <w:pPr>
        <w:rPr>
          <w:rFonts w:eastAsia="Times New Roman" w:cs="Times New Roman"/>
          <w:sz w:val="20"/>
          <w:szCs w:val="20"/>
          <w:lang w:eastAsia="en-CA"/>
        </w:rPr>
      </w:pPr>
    </w:p>
    <w:p w:rsidR="000D2318" w:rsidRPr="000D2318" w:rsidRDefault="000D2318" w:rsidP="000D2318">
      <w:pPr>
        <w:widowControl w:val="0"/>
        <w:numPr>
          <w:ilvl w:val="0"/>
          <w:numId w:val="9"/>
        </w:numPr>
        <w:tabs>
          <w:tab w:val="left" w:pos="-1200"/>
          <w:tab w:val="left" w:pos="-720"/>
        </w:tabs>
        <w:autoSpaceDE w:val="0"/>
        <w:autoSpaceDN w:val="0"/>
        <w:adjustRightInd w:val="0"/>
        <w:contextualSpacing/>
        <w:jc w:val="both"/>
        <w:rPr>
          <w:rFonts w:cs="Times New Roman"/>
          <w:sz w:val="20"/>
          <w:szCs w:val="20"/>
        </w:rPr>
      </w:pPr>
      <w:r w:rsidRPr="000D2318">
        <w:rPr>
          <w:rFonts w:cs="Times New Roman"/>
          <w:sz w:val="20"/>
          <w:szCs w:val="20"/>
        </w:rPr>
        <w:t xml:space="preserve">If so, is the infringement a reasonable limit prescribed by law as can be demonstrably justified in a free and democratic society under s. 1 of the </w:t>
      </w:r>
      <w:r w:rsidRPr="000D2318">
        <w:rPr>
          <w:rFonts w:cs="Times New Roman"/>
          <w:i/>
          <w:sz w:val="20"/>
          <w:szCs w:val="20"/>
        </w:rPr>
        <w:t>Canadian Charter of Rights and Freedoms</w:t>
      </w:r>
      <w:r w:rsidRPr="000D2318">
        <w:rPr>
          <w:rFonts w:cs="Times New Roman"/>
          <w:sz w:val="20"/>
          <w:szCs w:val="20"/>
        </w:rPr>
        <w:t xml:space="preserve">? </w:t>
      </w:r>
    </w:p>
    <w:p w:rsidR="000D2318" w:rsidRPr="000D2318" w:rsidRDefault="000D2318" w:rsidP="000D2318">
      <w:pPr>
        <w:ind w:left="720"/>
        <w:contextualSpacing/>
        <w:rPr>
          <w:rFonts w:cs="Times New Roman"/>
          <w:b/>
          <w:bCs/>
          <w:sz w:val="20"/>
          <w:szCs w:val="20"/>
        </w:rPr>
      </w:pPr>
    </w:p>
    <w:p w:rsidR="000D2318" w:rsidRPr="000D2318" w:rsidRDefault="000D2318" w:rsidP="000D2318">
      <w:pPr>
        <w:jc w:val="both"/>
        <w:rPr>
          <w:rFonts w:eastAsia="Times New Roman" w:cs="Times New Roman"/>
          <w:sz w:val="20"/>
          <w:szCs w:val="20"/>
          <w:lang w:eastAsia="en-CA"/>
        </w:rPr>
      </w:pPr>
      <w:r w:rsidRPr="000D2318">
        <w:rPr>
          <w:rFonts w:eastAsia="Times New Roman" w:cs="Times New Roman"/>
          <w:sz w:val="20"/>
          <w:szCs w:val="20"/>
          <w:lang w:eastAsia="en-CA"/>
        </w:rPr>
        <w:t xml:space="preserve">Any attorney general who intervenes pursuant to par. 61(4) of the </w:t>
      </w:r>
      <w:r w:rsidRPr="000D2318">
        <w:rPr>
          <w:rFonts w:eastAsia="Times New Roman" w:cs="Times New Roman"/>
          <w:i/>
          <w:sz w:val="20"/>
          <w:szCs w:val="20"/>
          <w:lang w:eastAsia="en-CA"/>
        </w:rPr>
        <w:t>Rules of the Supreme Court of Canada</w:t>
      </w:r>
      <w:r w:rsidRPr="000D2318">
        <w:rPr>
          <w:rFonts w:eastAsia="Times New Roman" w:cs="Times New Roman"/>
          <w:sz w:val="20"/>
          <w:szCs w:val="20"/>
          <w:lang w:eastAsia="en-CA"/>
        </w:rPr>
        <w:t xml:space="preserve"> shall pay the appellants and respondents the costs of any additional disbursements they incur as a result of the intervention.</w:t>
      </w:r>
    </w:p>
    <w:p w:rsidR="000D2318" w:rsidRPr="000D2318" w:rsidRDefault="000D2318" w:rsidP="000D2318">
      <w:pPr>
        <w:rPr>
          <w:rFonts w:eastAsia="Times New Roman" w:cs="Times New Roman"/>
          <w:sz w:val="20"/>
          <w:szCs w:val="20"/>
          <w:lang w:val="en-US" w:eastAsia="en-CA"/>
        </w:rPr>
      </w:pPr>
    </w:p>
    <w:p w:rsidR="000D2318" w:rsidRPr="000D2318" w:rsidRDefault="000D2318" w:rsidP="000D2318">
      <w:pPr>
        <w:rPr>
          <w:rFonts w:eastAsia="Times New Roman" w:cs="Times New Roman"/>
          <w:b/>
          <w:bCs/>
          <w:sz w:val="20"/>
          <w:szCs w:val="20"/>
          <w:lang w:val="en-US" w:eastAsia="en-CA"/>
        </w:rPr>
      </w:pPr>
    </w:p>
    <w:p w:rsidR="000D2318" w:rsidRPr="000D2318" w:rsidRDefault="000D2318" w:rsidP="000D2318">
      <w:pPr>
        <w:rPr>
          <w:rFonts w:eastAsia="Times New Roman" w:cs="Times New Roman"/>
          <w:b/>
          <w:bCs/>
          <w:sz w:val="20"/>
          <w:szCs w:val="20"/>
          <w:lang w:val="en-US" w:eastAsia="en-CA"/>
        </w:rPr>
      </w:pPr>
    </w:p>
    <w:p w:rsidR="000D2318" w:rsidRPr="000D2318" w:rsidRDefault="000D2318" w:rsidP="000D2318">
      <w:pPr>
        <w:jc w:val="both"/>
        <w:rPr>
          <w:rFonts w:eastAsia="Times New Roman" w:cs="Times New Roman"/>
          <w:sz w:val="20"/>
          <w:szCs w:val="20"/>
          <w:lang w:val="fr-CA" w:eastAsia="en-CA"/>
        </w:rPr>
      </w:pPr>
      <w:r w:rsidRPr="000D2318">
        <w:rPr>
          <w:rFonts w:eastAsia="Times New Roman" w:cs="Times New Roman"/>
          <w:b/>
          <w:bCs/>
          <w:sz w:val="20"/>
          <w:szCs w:val="20"/>
          <w:lang w:val="fr-CA" w:eastAsia="en-CA"/>
        </w:rPr>
        <w:t>À LA SUITE DE LA DEMANDE</w:t>
      </w:r>
      <w:r w:rsidRPr="000D2318">
        <w:rPr>
          <w:rFonts w:eastAsia="Times New Roman" w:cs="Times New Roman"/>
          <w:sz w:val="20"/>
          <w:szCs w:val="20"/>
          <w:lang w:val="fr-CA" w:eastAsia="en-CA"/>
        </w:rPr>
        <w:t xml:space="preserve"> des appelants visant à obtenir la formulation de questions constitutionnelles dans l'appel susmentionné;</w: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rPr>
          <w:rFonts w:eastAsia="Times New Roman" w:cs="Times New Roman"/>
          <w:sz w:val="20"/>
          <w:szCs w:val="20"/>
          <w:lang w:val="fr-CA" w:eastAsia="en-CA"/>
        </w:rPr>
      </w:pPr>
      <w:r w:rsidRPr="000D2318">
        <w:rPr>
          <w:rFonts w:eastAsia="Times New Roman" w:cs="Times New Roman"/>
          <w:b/>
          <w:bCs/>
          <w:sz w:val="20"/>
          <w:szCs w:val="20"/>
          <w:lang w:val="fr-CA" w:eastAsia="en-CA"/>
        </w:rPr>
        <w:t>ET APRÈS AVOIR LU</w:t>
      </w:r>
      <w:r w:rsidRPr="000D2318">
        <w:rPr>
          <w:rFonts w:eastAsia="Times New Roman" w:cs="Times New Roman"/>
          <w:sz w:val="20"/>
          <w:szCs w:val="20"/>
          <w:lang w:val="fr-CA" w:eastAsia="en-CA"/>
        </w:rPr>
        <w:t xml:space="preserve"> la documentation déposée,</w: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rPr>
          <w:rFonts w:eastAsia="Times New Roman" w:cs="Times New Roman"/>
          <w:b/>
          <w:bCs/>
          <w:sz w:val="20"/>
          <w:szCs w:val="20"/>
          <w:lang w:val="fr-CA" w:eastAsia="en-CA"/>
        </w:rPr>
      </w:pPr>
      <w:r w:rsidRPr="000D2318">
        <w:rPr>
          <w:rFonts w:eastAsia="Times New Roman" w:cs="Times New Roman"/>
          <w:b/>
          <w:bCs/>
          <w:sz w:val="20"/>
          <w:szCs w:val="20"/>
          <w:lang w:val="fr-CA" w:eastAsia="en-CA"/>
        </w:rPr>
        <w:t>LES QUESTIONS CONSTITUTIONNELLES SUIVANTES SONT FORMULÉES :</w:t>
      </w:r>
    </w:p>
    <w:p w:rsidR="000D2318" w:rsidRPr="000D2318" w:rsidRDefault="000D2318" w:rsidP="000D2318">
      <w:pPr>
        <w:rPr>
          <w:rFonts w:eastAsia="Times New Roman" w:cs="Times New Roman"/>
          <w:b/>
          <w:bCs/>
          <w:sz w:val="20"/>
          <w:szCs w:val="20"/>
          <w:lang w:val="fr-CA" w:eastAsia="en-CA"/>
        </w:rPr>
      </w:pPr>
    </w:p>
    <w:p w:rsidR="000D2318" w:rsidRPr="000D2318" w:rsidRDefault="000D2318" w:rsidP="000D2318">
      <w:pPr>
        <w:widowControl w:val="0"/>
        <w:numPr>
          <w:ilvl w:val="0"/>
          <w:numId w:val="8"/>
        </w:numPr>
        <w:autoSpaceDE w:val="0"/>
        <w:autoSpaceDN w:val="0"/>
        <w:adjustRightInd w:val="0"/>
        <w:contextualSpacing/>
        <w:jc w:val="both"/>
        <w:rPr>
          <w:rFonts w:cs="Times New Roman"/>
          <w:sz w:val="20"/>
          <w:szCs w:val="20"/>
          <w:lang w:val="fr-CA"/>
        </w:rPr>
      </w:pPr>
      <w:r w:rsidRPr="000D2318">
        <w:rPr>
          <w:rFonts w:cs="Times New Roman"/>
          <w:sz w:val="20"/>
          <w:szCs w:val="20"/>
          <w:lang w:val="fr-CA"/>
        </w:rPr>
        <w:t xml:space="preserve">Les articles 14, 21, 22, 222 et 241 du </w:t>
      </w:r>
      <w:r w:rsidRPr="000D2318">
        <w:rPr>
          <w:rFonts w:cs="Times New Roman"/>
          <w:i/>
          <w:sz w:val="20"/>
          <w:szCs w:val="20"/>
          <w:lang w:val="fr-CA"/>
        </w:rPr>
        <w:t>Code criminel</w:t>
      </w:r>
      <w:r w:rsidRPr="000D2318">
        <w:rPr>
          <w:rFonts w:cs="Times New Roman"/>
          <w:sz w:val="20"/>
          <w:szCs w:val="20"/>
          <w:lang w:val="fr-CA"/>
        </w:rPr>
        <w:t>, L.R.C. 1985, ch. C-46, sont-ils constitutionnellement inapplicables à l’aide médicale à mourir en raison de la doctrine de l’exclusivité des compétences?</w:t>
      </w:r>
    </w:p>
    <w:p w:rsidR="000D2318" w:rsidRPr="000D2318" w:rsidRDefault="000D2318" w:rsidP="000D2318">
      <w:pPr>
        <w:ind w:left="720"/>
        <w:contextualSpacing/>
        <w:rPr>
          <w:rFonts w:cs="Times New Roman"/>
          <w:sz w:val="20"/>
          <w:szCs w:val="20"/>
          <w:lang w:val="fr-CA"/>
        </w:rPr>
      </w:pPr>
    </w:p>
    <w:p w:rsidR="000D2318" w:rsidRPr="000D2318" w:rsidRDefault="000D2318" w:rsidP="000D2318">
      <w:pPr>
        <w:widowControl w:val="0"/>
        <w:numPr>
          <w:ilvl w:val="0"/>
          <w:numId w:val="8"/>
        </w:numPr>
        <w:autoSpaceDE w:val="0"/>
        <w:autoSpaceDN w:val="0"/>
        <w:adjustRightInd w:val="0"/>
        <w:contextualSpacing/>
        <w:jc w:val="both"/>
        <w:rPr>
          <w:rFonts w:cs="Times New Roman"/>
          <w:sz w:val="20"/>
          <w:szCs w:val="20"/>
          <w:lang w:val="fr-CA"/>
        </w:rPr>
      </w:pPr>
      <w:r w:rsidRPr="000D2318">
        <w:rPr>
          <w:rFonts w:cs="Times New Roman"/>
          <w:sz w:val="20"/>
          <w:szCs w:val="20"/>
          <w:lang w:val="fr-CA"/>
        </w:rPr>
        <w:t xml:space="preserve">Les articles 14, 21, 22, 222 et 241 of the </w:t>
      </w:r>
      <w:r w:rsidRPr="000D2318">
        <w:rPr>
          <w:rFonts w:cs="Times New Roman"/>
          <w:i/>
          <w:sz w:val="20"/>
          <w:szCs w:val="20"/>
          <w:lang w:val="fr-CA"/>
        </w:rPr>
        <w:t>Code criminel</w:t>
      </w:r>
      <w:r w:rsidRPr="000D2318">
        <w:rPr>
          <w:rFonts w:cs="Times New Roman"/>
          <w:sz w:val="20"/>
          <w:szCs w:val="20"/>
          <w:lang w:val="fr-CA"/>
        </w:rPr>
        <w:t xml:space="preserve">, L.R.C. 1985, ch. C-46, violent-ils l’art. 7 de la </w:t>
      </w:r>
      <w:r w:rsidRPr="000D2318">
        <w:rPr>
          <w:rFonts w:cs="Times New Roman"/>
          <w:i/>
          <w:sz w:val="20"/>
          <w:szCs w:val="20"/>
          <w:lang w:val="fr-CA"/>
        </w:rPr>
        <w:t xml:space="preserve">Charte </w:t>
      </w:r>
      <w:r w:rsidRPr="000D2318">
        <w:rPr>
          <w:rFonts w:cs="Times New Roman"/>
          <w:i/>
          <w:sz w:val="20"/>
          <w:szCs w:val="20"/>
          <w:lang w:val="fr-CA"/>
        </w:rPr>
        <w:lastRenderedPageBreak/>
        <w:t>canadienne des droits et libertés</w:t>
      </w:r>
      <w:r w:rsidRPr="000D2318">
        <w:rPr>
          <w:rFonts w:cs="Times New Roman"/>
          <w:sz w:val="20"/>
          <w:szCs w:val="20"/>
          <w:lang w:val="fr-CA"/>
        </w:rPr>
        <w:t xml:space="preserve">?  </w:t>
      </w:r>
    </w:p>
    <w:p w:rsidR="000D2318" w:rsidRPr="000D2318" w:rsidRDefault="000D2318" w:rsidP="000D2318">
      <w:pPr>
        <w:ind w:left="720"/>
        <w:contextualSpacing/>
        <w:rPr>
          <w:rFonts w:cs="Times New Roman"/>
          <w:sz w:val="20"/>
          <w:szCs w:val="20"/>
          <w:lang w:val="fr-CA"/>
        </w:rPr>
      </w:pPr>
    </w:p>
    <w:p w:rsidR="000D2318" w:rsidRPr="000D2318" w:rsidRDefault="000D2318" w:rsidP="000D2318">
      <w:pPr>
        <w:widowControl w:val="0"/>
        <w:numPr>
          <w:ilvl w:val="0"/>
          <w:numId w:val="8"/>
        </w:numPr>
        <w:autoSpaceDE w:val="0"/>
        <w:autoSpaceDN w:val="0"/>
        <w:adjustRightInd w:val="0"/>
        <w:contextualSpacing/>
        <w:jc w:val="both"/>
        <w:rPr>
          <w:rFonts w:cs="Times New Roman"/>
          <w:sz w:val="20"/>
          <w:szCs w:val="20"/>
          <w:lang w:val="fr-CA"/>
        </w:rPr>
      </w:pPr>
      <w:r w:rsidRPr="000D2318">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0D2318">
        <w:rPr>
          <w:rFonts w:cs="Times New Roman"/>
          <w:i/>
          <w:sz w:val="20"/>
          <w:szCs w:val="20"/>
          <w:lang w:val="fr-CA"/>
        </w:rPr>
        <w:t>Charte canadienne des droits et libertés</w:t>
      </w:r>
      <w:r w:rsidRPr="000D2318">
        <w:rPr>
          <w:sz w:val="20"/>
          <w:szCs w:val="20"/>
          <w:lang w:val="fr-CA"/>
        </w:rPr>
        <w:t> ?</w:t>
      </w:r>
      <w:r w:rsidRPr="000D2318">
        <w:rPr>
          <w:rFonts w:cs="Times New Roman"/>
          <w:sz w:val="20"/>
          <w:szCs w:val="20"/>
          <w:lang w:val="fr-CA"/>
        </w:rPr>
        <w:t xml:space="preserve"> </w: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widowControl w:val="0"/>
        <w:numPr>
          <w:ilvl w:val="0"/>
          <w:numId w:val="8"/>
        </w:numPr>
        <w:autoSpaceDE w:val="0"/>
        <w:autoSpaceDN w:val="0"/>
        <w:adjustRightInd w:val="0"/>
        <w:contextualSpacing/>
        <w:jc w:val="both"/>
        <w:rPr>
          <w:rFonts w:cs="Times New Roman"/>
          <w:sz w:val="20"/>
          <w:szCs w:val="20"/>
          <w:lang w:val="fr-CA"/>
        </w:rPr>
      </w:pPr>
      <w:r w:rsidRPr="000D2318">
        <w:rPr>
          <w:rFonts w:cs="Times New Roman"/>
          <w:sz w:val="20"/>
          <w:szCs w:val="20"/>
          <w:lang w:val="fr-CA"/>
        </w:rPr>
        <w:t xml:space="preserve">Les articles 14, 21, 22, 222 et 241 du </w:t>
      </w:r>
      <w:r w:rsidRPr="000D2318">
        <w:rPr>
          <w:rFonts w:cs="Times New Roman"/>
          <w:i/>
          <w:sz w:val="20"/>
          <w:szCs w:val="20"/>
          <w:lang w:val="fr-CA"/>
        </w:rPr>
        <w:t>Code criminel</w:t>
      </w:r>
      <w:r w:rsidRPr="000D2318">
        <w:rPr>
          <w:rFonts w:cs="Times New Roman"/>
          <w:sz w:val="20"/>
          <w:szCs w:val="20"/>
          <w:lang w:val="fr-CA"/>
        </w:rPr>
        <w:t xml:space="preserve">, L.R.C. 1985, ch. C-46, violent-ils l’art. 15 de la </w:t>
      </w:r>
      <w:r w:rsidRPr="000D2318">
        <w:rPr>
          <w:rFonts w:cs="Times New Roman"/>
          <w:i/>
          <w:sz w:val="20"/>
          <w:szCs w:val="20"/>
          <w:lang w:val="fr-CA"/>
        </w:rPr>
        <w:t>Charte canadienne des droits et libertés</w:t>
      </w:r>
      <w:r w:rsidRPr="000D2318">
        <w:rPr>
          <w:rFonts w:cs="Times New Roman"/>
          <w:sz w:val="20"/>
          <w:szCs w:val="20"/>
          <w:lang w:val="fr-CA"/>
        </w:rPr>
        <w:t xml:space="preserve">?  </w: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widowControl w:val="0"/>
        <w:numPr>
          <w:ilvl w:val="0"/>
          <w:numId w:val="8"/>
        </w:numPr>
        <w:autoSpaceDE w:val="0"/>
        <w:autoSpaceDN w:val="0"/>
        <w:adjustRightInd w:val="0"/>
        <w:contextualSpacing/>
        <w:jc w:val="both"/>
        <w:rPr>
          <w:rFonts w:cs="Times New Roman"/>
          <w:sz w:val="20"/>
          <w:szCs w:val="20"/>
          <w:lang w:val="fr-CA"/>
        </w:rPr>
      </w:pPr>
      <w:r w:rsidRPr="000D2318">
        <w:rPr>
          <w:rFonts w:cs="Times New Roman"/>
          <w:sz w:val="20"/>
          <w:szCs w:val="20"/>
          <w:lang w:val="fr-CA"/>
        </w:rPr>
        <w:t xml:space="preserve">Dans l’affirmative, s’agit-il d’une violation constituant une limite raisonnable, établie par une règle de droit et dont la justification peut se démontrer dans le cadre d’une société libre et démocratique conformément à l’article premier de la </w:t>
      </w:r>
      <w:r w:rsidRPr="000D2318">
        <w:rPr>
          <w:rFonts w:cs="Times New Roman"/>
          <w:i/>
          <w:sz w:val="20"/>
          <w:szCs w:val="20"/>
          <w:lang w:val="fr-CA"/>
        </w:rPr>
        <w:t>Charte canadienne des droits et libertés</w:t>
      </w:r>
      <w:r w:rsidRPr="000D2318">
        <w:rPr>
          <w:sz w:val="20"/>
          <w:szCs w:val="20"/>
          <w:lang w:val="fr-CA"/>
        </w:rPr>
        <w:t>?</w:t>
      </w:r>
      <w:r w:rsidRPr="000D2318">
        <w:rPr>
          <w:rFonts w:cs="Times New Roman"/>
          <w:sz w:val="20"/>
          <w:szCs w:val="20"/>
          <w:lang w:val="fr-CA"/>
        </w:rPr>
        <w:t xml:space="preserve"> </w:t>
      </w:r>
    </w:p>
    <w:p w:rsidR="000D2318" w:rsidRPr="000D2318" w:rsidRDefault="000D2318" w:rsidP="000D2318">
      <w:pPr>
        <w:rPr>
          <w:rFonts w:eastAsia="Times New Roman" w:cs="Times New Roman"/>
          <w:sz w:val="20"/>
          <w:szCs w:val="20"/>
          <w:lang w:val="fr-CA" w:eastAsia="en-CA"/>
        </w:rPr>
      </w:pPr>
    </w:p>
    <w:p w:rsidR="000D2318" w:rsidRPr="000D2318" w:rsidRDefault="000D2318" w:rsidP="000D2318">
      <w:pPr>
        <w:jc w:val="both"/>
        <w:rPr>
          <w:rFonts w:eastAsia="Times New Roman" w:cs="Times New Roman"/>
          <w:sz w:val="20"/>
          <w:szCs w:val="20"/>
          <w:lang w:val="fr-FR" w:eastAsia="en-CA"/>
        </w:rPr>
      </w:pPr>
      <w:r w:rsidRPr="000D2318">
        <w:rPr>
          <w:rFonts w:eastAsia="Times New Roman" w:cs="Times New Roman"/>
          <w:sz w:val="20"/>
          <w:szCs w:val="20"/>
          <w:lang w:val="fr-CA" w:eastAsia="en-CA"/>
        </w:rPr>
        <w:t>T</w:t>
      </w:r>
      <w:r w:rsidRPr="000D2318">
        <w:rPr>
          <w:rFonts w:eastAsia="Times New Roman" w:cs="Times New Roman"/>
          <w:sz w:val="20"/>
          <w:szCs w:val="20"/>
          <w:lang w:val="fr-FR" w:eastAsia="en-CA"/>
        </w:rPr>
        <w:t xml:space="preserve">out procureur général qui interviendra en vertu du par. 61(4) des </w:t>
      </w:r>
      <w:r w:rsidRPr="000D2318">
        <w:rPr>
          <w:rFonts w:eastAsia="Times New Roman" w:cs="Times New Roman"/>
          <w:i/>
          <w:iCs/>
          <w:sz w:val="20"/>
          <w:szCs w:val="20"/>
          <w:lang w:val="fr-FR" w:eastAsia="en-CA"/>
        </w:rPr>
        <w:t>Règles de la Cour suprême du Canada</w:t>
      </w:r>
      <w:r w:rsidRPr="000D2318">
        <w:rPr>
          <w:rFonts w:eastAsia="Times New Roman" w:cs="Times New Roman"/>
          <w:sz w:val="20"/>
          <w:szCs w:val="20"/>
          <w:lang w:val="fr-FR" w:eastAsia="en-CA"/>
        </w:rPr>
        <w:t xml:space="preserve"> sera tenu de payer aux appelants et aux intimés les dépens supplémentaires résultant de son intervention.</w:t>
      </w:r>
    </w:p>
    <w:p w:rsidR="000D2318" w:rsidRPr="000D2318" w:rsidRDefault="000D2318" w:rsidP="000D2318">
      <w:pPr>
        <w:tabs>
          <w:tab w:val="left" w:pos="-1440"/>
          <w:tab w:val="left" w:pos="-720"/>
        </w:tabs>
        <w:jc w:val="both"/>
        <w:rPr>
          <w:rFonts w:eastAsia="Times New Roman" w:cs="Times New Roman"/>
          <w:sz w:val="20"/>
          <w:szCs w:val="20"/>
          <w:lang w:val="fr-FR" w:eastAsia="en-CA"/>
        </w:rPr>
      </w:pPr>
    </w:p>
    <w:p w:rsidR="000D2318" w:rsidRPr="000D2318" w:rsidRDefault="0077107C" w:rsidP="000D231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19.02.2014</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Before / Devant :   CROMWELL J. / LE JUGE CROMWELL</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0D2318" w:rsidTr="005C5683">
        <w:trPr>
          <w:trHeight w:val="151"/>
        </w:trPr>
        <w:tc>
          <w:tcPr>
            <w:tcW w:w="4338" w:type="dxa"/>
          </w:tcPr>
          <w:p w:rsidR="000D2318" w:rsidRPr="000D2318" w:rsidRDefault="0054414C" w:rsidP="000D2318">
            <w:pPr>
              <w:tabs>
                <w:tab w:val="left" w:pos="-1440"/>
                <w:tab w:val="left" w:pos="-720"/>
              </w:tabs>
              <w:jc w:val="both"/>
              <w:rPr>
                <w:lang w:val="fr-CA"/>
              </w:rPr>
            </w:pPr>
            <w:r w:rsidRPr="000D2318">
              <w:rPr>
                <w:lang w:val="en-US"/>
              </w:rPr>
              <w:fldChar w:fldCharType="begin"/>
            </w:r>
            <w:r w:rsidR="000D2318" w:rsidRPr="000D2318">
              <w:rPr>
                <w:lang w:val="fr-CA"/>
              </w:rPr>
              <w:instrText xml:space="preserve"> SEQ CHAPTER \h \r 1</w:instrText>
            </w:r>
            <w:r w:rsidRPr="000D2318">
              <w:rPr>
                <w:lang w:val="en-US"/>
              </w:rPr>
              <w:fldChar w:fldCharType="end"/>
            </w:r>
            <w:r w:rsidR="000D2318" w:rsidRPr="000D2318">
              <w:rPr>
                <w:b/>
                <w:bCs/>
                <w:lang w:val="fr-CA"/>
              </w:rPr>
              <w:t>Order</w:t>
            </w:r>
          </w:p>
          <w:p w:rsidR="000D2318" w:rsidRPr="000D2318" w:rsidRDefault="0054414C" w:rsidP="000D2318">
            <w:pPr>
              <w:tabs>
                <w:tab w:val="left" w:pos="-1440"/>
                <w:tab w:val="left" w:pos="-720"/>
              </w:tabs>
              <w:jc w:val="both"/>
              <w:rPr>
                <w:lang w:val="fr-CA"/>
              </w:rPr>
            </w:pPr>
            <w:r w:rsidRPr="000D2318">
              <w:rPr>
                <w:lang w:val="en-US"/>
              </w:rPr>
              <w:fldChar w:fldCharType="begin"/>
            </w:r>
            <w:r w:rsidR="000D2318" w:rsidRPr="000D2318">
              <w:rPr>
                <w:lang w:val="fr-CA"/>
              </w:rPr>
              <w:instrText xml:space="preserve"> SEQ CHAPTER \h \r 1</w:instrText>
            </w:r>
            <w:r w:rsidRPr="000D2318">
              <w:rPr>
                <w:lang w:val="en-US"/>
              </w:rPr>
              <w:fldChar w:fldCharType="end"/>
            </w:r>
          </w:p>
        </w:tc>
        <w:tc>
          <w:tcPr>
            <w:tcW w:w="1170" w:type="dxa"/>
          </w:tcPr>
          <w:p w:rsidR="000D2318" w:rsidRPr="000D2318" w:rsidRDefault="000D2318" w:rsidP="000D2318">
            <w:pPr>
              <w:jc w:val="both"/>
              <w:rPr>
                <w:lang w:val="fr-CA"/>
              </w:rPr>
            </w:pPr>
          </w:p>
          <w:p w:rsidR="000D2318" w:rsidRPr="000D2318" w:rsidRDefault="000D2318" w:rsidP="000D2318">
            <w:pPr>
              <w:jc w:val="both"/>
              <w:rPr>
                <w:lang w:val="fr-CA"/>
              </w:rPr>
            </w:pPr>
          </w:p>
        </w:tc>
        <w:tc>
          <w:tcPr>
            <w:tcW w:w="4327" w:type="dxa"/>
          </w:tcPr>
          <w:p w:rsidR="000D2318" w:rsidRPr="000D2318" w:rsidRDefault="0054414C" w:rsidP="000D2318">
            <w:pPr>
              <w:jc w:val="both"/>
              <w:rPr>
                <w:b/>
                <w:lang w:val="fr-CA"/>
              </w:rPr>
            </w:pPr>
            <w:r w:rsidRPr="000D2318">
              <w:rPr>
                <w:lang w:val="en-US"/>
              </w:rPr>
              <w:fldChar w:fldCharType="begin"/>
            </w:r>
            <w:r w:rsidR="000D2318" w:rsidRPr="000D2318">
              <w:rPr>
                <w:lang w:val="fr-CA"/>
              </w:rPr>
              <w:instrText xml:space="preserve"> SEQ CHAPTER \h \r 1</w:instrText>
            </w:r>
            <w:r w:rsidRPr="000D2318">
              <w:rPr>
                <w:lang w:val="en-US"/>
              </w:rPr>
              <w:fldChar w:fldCharType="end"/>
            </w:r>
            <w:r w:rsidR="000D2318" w:rsidRPr="000D2318">
              <w:rPr>
                <w:b/>
                <w:bCs/>
                <w:lang w:val="fr-CA"/>
              </w:rPr>
              <w:t>Ordonnance</w:t>
            </w:r>
          </w:p>
          <w:p w:rsidR="000D2318" w:rsidRPr="000D2318" w:rsidRDefault="0054414C" w:rsidP="000D2318">
            <w:pPr>
              <w:jc w:val="both"/>
              <w:rPr>
                <w:b/>
                <w:lang w:val="fr-CA"/>
              </w:rPr>
            </w:pPr>
            <w:r w:rsidRPr="000D2318">
              <w:rPr>
                <w:b/>
                <w:lang w:val="en-US"/>
              </w:rPr>
              <w:fldChar w:fldCharType="begin"/>
            </w:r>
            <w:r w:rsidR="000D2318" w:rsidRPr="000D2318">
              <w:rPr>
                <w:b/>
                <w:lang w:val="fr-CA"/>
              </w:rPr>
              <w:instrText xml:space="preserve"> SEQ CHAPTER \h \r 1</w:instrText>
            </w:r>
            <w:r w:rsidRPr="000D2318">
              <w:rPr>
                <w:b/>
                <w:lang w:val="en-US"/>
              </w:rPr>
              <w:fldChar w:fldCharType="end"/>
            </w:r>
            <w:r w:rsidRPr="000D2318">
              <w:rPr>
                <w:b/>
                <w:lang w:val="en-US"/>
              </w:rPr>
              <w:fldChar w:fldCharType="begin"/>
            </w:r>
            <w:r w:rsidR="000D2318" w:rsidRPr="000D2318">
              <w:rPr>
                <w:b/>
                <w:lang w:val="fr-CA"/>
              </w:rPr>
              <w:instrText xml:space="preserve"> SEQ CHAPTER \h \r 1</w:instrText>
            </w:r>
            <w:r w:rsidRPr="000D2318">
              <w:rPr>
                <w:b/>
                <w:lang w:val="en-US"/>
              </w:rPr>
              <w:fldChar w:fldCharType="end"/>
            </w:r>
          </w:p>
        </w:tc>
      </w:tr>
      <w:tr w:rsidR="000D2318" w:rsidRPr="00DA4390" w:rsidTr="005C5683">
        <w:trPr>
          <w:trHeight w:val="150"/>
        </w:trPr>
        <w:tc>
          <w:tcPr>
            <w:tcW w:w="4338" w:type="dxa"/>
          </w:tcPr>
          <w:p w:rsidR="000D2318" w:rsidRPr="000D2318" w:rsidRDefault="000D2318" w:rsidP="000D2318">
            <w:pPr>
              <w:tabs>
                <w:tab w:val="left" w:pos="-1440"/>
                <w:tab w:val="left" w:pos="-720"/>
              </w:tabs>
              <w:jc w:val="both"/>
              <w:rPr>
                <w:lang w:val="fr-CA"/>
              </w:rPr>
            </w:pPr>
            <w:r w:rsidRPr="000D2318">
              <w:rPr>
                <w:lang w:val="fr-CA"/>
              </w:rPr>
              <w:t>Albert Beauchamp</w:t>
            </w:r>
          </w:p>
          <w:p w:rsidR="000D2318" w:rsidRPr="000D2318" w:rsidRDefault="000D2318" w:rsidP="000D2318">
            <w:pPr>
              <w:tabs>
                <w:tab w:val="left" w:pos="-1440"/>
                <w:tab w:val="left" w:pos="-720"/>
              </w:tabs>
              <w:jc w:val="both"/>
              <w:rPr>
                <w:lang w:val="fr-CA"/>
              </w:rPr>
            </w:pPr>
          </w:p>
          <w:p w:rsidR="000D2318" w:rsidRPr="000D2318" w:rsidRDefault="000D2318" w:rsidP="000D2318">
            <w:pPr>
              <w:tabs>
                <w:tab w:val="left" w:pos="-1440"/>
                <w:tab w:val="left" w:pos="-720"/>
              </w:tabs>
              <w:jc w:val="both"/>
              <w:rPr>
                <w:lang w:val="fr-CA"/>
              </w:rPr>
            </w:pPr>
            <w:r w:rsidRPr="000D2318">
              <w:rPr>
                <w:lang w:val="fr-CA"/>
              </w:rPr>
              <w:tab/>
              <w:t>c. (35267)</w:t>
            </w:r>
          </w:p>
          <w:p w:rsidR="000D2318" w:rsidRPr="000D2318" w:rsidRDefault="000D2318" w:rsidP="000D2318">
            <w:pPr>
              <w:tabs>
                <w:tab w:val="left" w:pos="-1440"/>
                <w:tab w:val="left" w:pos="-720"/>
              </w:tabs>
              <w:jc w:val="both"/>
              <w:rPr>
                <w:lang w:val="fr-CA"/>
              </w:rPr>
            </w:pPr>
          </w:p>
          <w:p w:rsidR="000D2318" w:rsidRPr="000D2318" w:rsidRDefault="000D2318" w:rsidP="000D2318">
            <w:pPr>
              <w:tabs>
                <w:tab w:val="left" w:pos="-1440"/>
                <w:tab w:val="left" w:pos="-720"/>
              </w:tabs>
              <w:jc w:val="both"/>
              <w:rPr>
                <w:lang w:val="fr-CA"/>
              </w:rPr>
            </w:pPr>
            <w:r w:rsidRPr="000D2318">
              <w:rPr>
                <w:lang w:val="fr-CA"/>
              </w:rPr>
              <w:t>Gouvernement du Québec et autres (Qc)</w:t>
            </w:r>
          </w:p>
        </w:tc>
        <w:tc>
          <w:tcPr>
            <w:tcW w:w="1170" w:type="dxa"/>
          </w:tcPr>
          <w:p w:rsidR="000D2318" w:rsidRPr="000D2318" w:rsidRDefault="000D2318" w:rsidP="000D2318">
            <w:pPr>
              <w:jc w:val="both"/>
              <w:rPr>
                <w:lang w:val="fr-CA"/>
              </w:rPr>
            </w:pPr>
          </w:p>
        </w:tc>
        <w:tc>
          <w:tcPr>
            <w:tcW w:w="4327" w:type="dxa"/>
          </w:tcPr>
          <w:p w:rsidR="000D2318" w:rsidRPr="000D2318" w:rsidRDefault="000D2318" w:rsidP="000D2318">
            <w:pPr>
              <w:jc w:val="both"/>
              <w:rPr>
                <w:lang w:val="fr-CA"/>
              </w:rPr>
            </w:pPr>
          </w:p>
        </w:tc>
      </w:tr>
    </w:tbl>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bCs/>
          <w:color w:val="000000"/>
          <w:sz w:val="20"/>
          <w:szCs w:val="20"/>
          <w:lang w:eastAsia="fr-FR"/>
        </w:rPr>
      </w:pPr>
      <w:r w:rsidRPr="000D2318">
        <w:rPr>
          <w:rFonts w:eastAsiaTheme="minorEastAsia" w:cs="Times New Roman"/>
          <w:b/>
          <w:bCs/>
          <w:color w:val="000000"/>
          <w:sz w:val="20"/>
          <w:szCs w:val="20"/>
          <w:lang w:eastAsia="fr-FR"/>
        </w:rPr>
        <w:t>WHEREAS</w:t>
      </w:r>
      <w:r w:rsidRPr="000D2318">
        <w:rPr>
          <w:rFonts w:eastAsiaTheme="minorEastAsia" w:cs="Times New Roman"/>
          <w:bCs/>
          <w:color w:val="000000"/>
          <w:sz w:val="20"/>
          <w:szCs w:val="20"/>
          <w:lang w:eastAsia="fr-FR"/>
        </w:rPr>
        <w:t xml:space="preserve"> the Registrar has, pursuant to Rule 67 of the </w:t>
      </w:r>
      <w:r w:rsidRPr="000D2318">
        <w:rPr>
          <w:rFonts w:eastAsiaTheme="minorEastAsia" w:cs="Times New Roman"/>
          <w:bCs/>
          <w:i/>
          <w:color w:val="000000"/>
          <w:sz w:val="20"/>
          <w:szCs w:val="20"/>
          <w:lang w:eastAsia="fr-FR"/>
        </w:rPr>
        <w:t>Rules of the Supreme Court of Canada</w:t>
      </w:r>
      <w:r w:rsidRPr="000D2318">
        <w:rPr>
          <w:rFonts w:eastAsiaTheme="minorEastAsia" w:cs="Times New Roman"/>
          <w:bCs/>
          <w:color w:val="000000"/>
          <w:sz w:val="20"/>
          <w:szCs w:val="20"/>
          <w:lang w:eastAsia="fr-FR"/>
        </w:rPr>
        <w:t>, requested that a judge make an order under Rule 66;</w:t>
      </w:r>
    </w:p>
    <w:p w:rsidR="000D2318" w:rsidRPr="000D2318" w:rsidRDefault="000D2318" w:rsidP="000D2318">
      <w:pPr>
        <w:tabs>
          <w:tab w:val="left" w:pos="-1200"/>
          <w:tab w:val="left" w:pos="-720"/>
        </w:tabs>
        <w:autoSpaceDE w:val="0"/>
        <w:autoSpaceDN w:val="0"/>
        <w:adjustRightInd w:val="0"/>
        <w:jc w:val="both"/>
        <w:rPr>
          <w:rFonts w:eastAsiaTheme="minorEastAsia" w:cs="Times New Roman"/>
          <w:b/>
          <w:bCs/>
          <w:color w:val="000000"/>
          <w:sz w:val="20"/>
          <w:szCs w:val="20"/>
          <w:lang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r w:rsidRPr="000D2318">
        <w:rPr>
          <w:rFonts w:eastAsiaTheme="minorEastAsia" w:cs="Times New Roman"/>
          <w:b/>
          <w:bCs/>
          <w:color w:val="000000"/>
          <w:sz w:val="20"/>
          <w:szCs w:val="20"/>
          <w:lang w:eastAsia="fr-FR"/>
        </w:rPr>
        <w:t>WHEREAS</w:t>
      </w:r>
      <w:r w:rsidRPr="000D2318">
        <w:rPr>
          <w:rFonts w:eastAsiaTheme="minorEastAsia" w:cs="Times New Roman"/>
          <w:color w:val="000000"/>
          <w:sz w:val="20"/>
          <w:szCs w:val="20"/>
          <w:lang w:eastAsia="fr-FR"/>
        </w:rPr>
        <w:t xml:space="preserve"> a notice has been sent to the parties in accordance with Rule 67 </w:t>
      </w:r>
      <w:r w:rsidRPr="000D2318">
        <w:rPr>
          <w:rFonts w:eastAsiaTheme="minorEastAsia" w:cs="Times New Roman"/>
          <w:bCs/>
          <w:color w:val="000000"/>
          <w:sz w:val="20"/>
          <w:szCs w:val="20"/>
          <w:lang w:eastAsia="fr-FR"/>
        </w:rPr>
        <w:t xml:space="preserve">of the </w:t>
      </w:r>
      <w:r w:rsidRPr="000D2318">
        <w:rPr>
          <w:rFonts w:eastAsiaTheme="minorEastAsia" w:cs="Times New Roman"/>
          <w:bCs/>
          <w:i/>
          <w:color w:val="000000"/>
          <w:sz w:val="20"/>
          <w:szCs w:val="20"/>
          <w:lang w:eastAsia="fr-FR"/>
        </w:rPr>
        <w:t>Rules of the Supreme Court of Canada</w:t>
      </w:r>
      <w:r w:rsidRPr="000D2318">
        <w:rPr>
          <w:rFonts w:eastAsiaTheme="minorEastAsia" w:cs="Times New Roman"/>
          <w:color w:val="000000"/>
          <w:sz w:val="20"/>
          <w:szCs w:val="20"/>
          <w:lang w:eastAsia="fr-FR"/>
        </w:rPr>
        <w:t>;</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r w:rsidRPr="000D2318">
        <w:rPr>
          <w:rFonts w:eastAsiaTheme="minorEastAsia" w:cs="Times New Roman"/>
          <w:b/>
          <w:bCs/>
          <w:color w:val="000000"/>
          <w:sz w:val="20"/>
          <w:szCs w:val="20"/>
          <w:lang w:eastAsia="fr-FR"/>
        </w:rPr>
        <w:t>WHEREAS</w:t>
      </w:r>
      <w:r w:rsidRPr="000D2318">
        <w:rPr>
          <w:rFonts w:eastAsiaTheme="minorEastAsia" w:cs="Times New Roman"/>
          <w:bCs/>
          <w:color w:val="000000"/>
          <w:sz w:val="20"/>
          <w:szCs w:val="20"/>
          <w:lang w:eastAsia="fr-FR"/>
        </w:rPr>
        <w:t xml:space="preserve"> representations have been made in response to the notice given under Rule </w:t>
      </w:r>
      <w:r w:rsidRPr="000D2318">
        <w:rPr>
          <w:rFonts w:eastAsiaTheme="minorEastAsia" w:cs="Times New Roman"/>
          <w:color w:val="000000"/>
          <w:sz w:val="20"/>
          <w:szCs w:val="20"/>
          <w:lang w:eastAsia="fr-FR"/>
        </w:rPr>
        <w:t xml:space="preserve">67; </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r w:rsidRPr="000D2318">
        <w:rPr>
          <w:rFonts w:eastAsiaTheme="minorEastAsia" w:cs="Times New Roman"/>
          <w:b/>
          <w:bCs/>
          <w:color w:val="000000"/>
          <w:sz w:val="20"/>
          <w:szCs w:val="20"/>
          <w:lang w:eastAsia="fr-FR"/>
        </w:rPr>
        <w:t>AND THE NOTICE</w:t>
      </w:r>
      <w:r w:rsidRPr="000D2318">
        <w:rPr>
          <w:rFonts w:eastAsiaTheme="minorEastAsia" w:cs="Times New Roman"/>
          <w:color w:val="000000"/>
          <w:sz w:val="20"/>
          <w:szCs w:val="20"/>
          <w:lang w:eastAsia="fr-FR"/>
        </w:rPr>
        <w:t xml:space="preserve"> of the Registrar and the representations made having been read;</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r w:rsidRPr="000D2318">
        <w:rPr>
          <w:rFonts w:eastAsiaTheme="minorEastAsia" w:cs="Times New Roman"/>
          <w:b/>
          <w:bCs/>
          <w:color w:val="000000"/>
          <w:sz w:val="20"/>
          <w:szCs w:val="20"/>
          <w:lang w:eastAsia="fr-FR"/>
        </w:rPr>
        <w:t>BY VIRTUE OF THE</w:t>
      </w:r>
      <w:r w:rsidRPr="000D2318">
        <w:rPr>
          <w:rFonts w:eastAsiaTheme="minorEastAsia" w:cs="Times New Roman"/>
          <w:bCs/>
          <w:color w:val="000000"/>
          <w:sz w:val="20"/>
          <w:szCs w:val="20"/>
          <w:lang w:eastAsia="fr-FR"/>
        </w:rPr>
        <w:t xml:space="preserve"> power given to me under Rule </w:t>
      </w:r>
      <w:r w:rsidRPr="000D2318">
        <w:rPr>
          <w:rFonts w:eastAsiaTheme="minorEastAsia" w:cs="Times New Roman"/>
          <w:color w:val="000000"/>
          <w:sz w:val="20"/>
          <w:szCs w:val="20"/>
          <w:lang w:eastAsia="fr-FR"/>
        </w:rPr>
        <w:t xml:space="preserve">66 </w:t>
      </w:r>
      <w:r w:rsidRPr="000D2318">
        <w:rPr>
          <w:rFonts w:eastAsiaTheme="minorEastAsia" w:cs="Times New Roman"/>
          <w:bCs/>
          <w:color w:val="000000"/>
          <w:sz w:val="20"/>
          <w:szCs w:val="20"/>
          <w:lang w:eastAsia="fr-FR"/>
        </w:rPr>
        <w:t xml:space="preserve">of the </w:t>
      </w:r>
      <w:r w:rsidRPr="000D2318">
        <w:rPr>
          <w:rFonts w:eastAsiaTheme="minorEastAsia" w:cs="Times New Roman"/>
          <w:bCs/>
          <w:i/>
          <w:color w:val="000000"/>
          <w:sz w:val="20"/>
          <w:szCs w:val="20"/>
          <w:lang w:eastAsia="fr-FR"/>
        </w:rPr>
        <w:t>Rules of the Supreme Court of Canada</w:t>
      </w:r>
      <w:r w:rsidRPr="000D2318">
        <w:rPr>
          <w:rFonts w:eastAsiaTheme="minorEastAsia" w:cs="Times New Roman"/>
          <w:color w:val="000000"/>
          <w:sz w:val="20"/>
          <w:szCs w:val="20"/>
          <w:lang w:eastAsia="fr-FR"/>
        </w:rPr>
        <w:t>,</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eastAsia="fr-FR"/>
        </w:rPr>
      </w:pPr>
    </w:p>
    <w:p w:rsidR="000D2318" w:rsidRPr="000D2318" w:rsidRDefault="000D2318" w:rsidP="000D2318">
      <w:pPr>
        <w:jc w:val="both"/>
        <w:rPr>
          <w:rFonts w:eastAsia="Times New Roman" w:cs="Times New Roman"/>
          <w:bCs/>
          <w:color w:val="000000"/>
          <w:sz w:val="20"/>
          <w:szCs w:val="20"/>
          <w:lang w:eastAsia="en-CA"/>
        </w:rPr>
      </w:pPr>
      <w:r w:rsidRPr="000D2318">
        <w:rPr>
          <w:rFonts w:eastAsia="Times New Roman" w:cs="Times New Roman"/>
          <w:b/>
          <w:bCs/>
          <w:color w:val="000000"/>
          <w:sz w:val="20"/>
          <w:szCs w:val="20"/>
          <w:lang w:eastAsia="en-CA"/>
        </w:rPr>
        <w:t>I HEREBY ORDER THAT:</w:t>
      </w:r>
      <w:r w:rsidRPr="000D2318">
        <w:rPr>
          <w:rFonts w:eastAsia="Times New Roman" w:cs="Times New Roman"/>
          <w:bCs/>
          <w:color w:val="000000"/>
          <w:sz w:val="20"/>
          <w:szCs w:val="20"/>
          <w:lang w:eastAsia="en-CA"/>
        </w:rPr>
        <w:t xml:space="preserve"> </w:t>
      </w:r>
    </w:p>
    <w:p w:rsidR="000D2318" w:rsidRPr="000D2318" w:rsidRDefault="000D2318" w:rsidP="000D2318">
      <w:pPr>
        <w:jc w:val="both"/>
        <w:rPr>
          <w:rFonts w:eastAsia="Times New Roman" w:cs="Times New Roman"/>
          <w:color w:val="000000"/>
          <w:sz w:val="20"/>
          <w:szCs w:val="20"/>
          <w:lang w:eastAsia="en-CA"/>
        </w:rPr>
      </w:pPr>
    </w:p>
    <w:p w:rsidR="000D2318" w:rsidRPr="000D2318" w:rsidRDefault="000D2318" w:rsidP="000D2318">
      <w:pPr>
        <w:jc w:val="both"/>
        <w:rPr>
          <w:rFonts w:eastAsia="Times New Roman" w:cs="Times New Roman"/>
          <w:sz w:val="20"/>
          <w:szCs w:val="20"/>
          <w:lang w:eastAsia="en-CA"/>
        </w:rPr>
      </w:pPr>
      <w:r w:rsidRPr="000D2318">
        <w:rPr>
          <w:rFonts w:eastAsia="Times New Roman" w:cs="Times New Roman"/>
          <w:color w:val="000000"/>
          <w:sz w:val="20"/>
          <w:szCs w:val="20"/>
          <w:lang w:eastAsia="en-CA"/>
        </w:rPr>
        <w:t>Albert Beauchamp is barred from filing any further documents relating to this proceeding.</w:t>
      </w: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bCs/>
          <w:color w:val="000000"/>
          <w:sz w:val="20"/>
          <w:szCs w:val="20"/>
          <w:lang w:val="fr-CA" w:eastAsia="fr-FR"/>
        </w:rPr>
      </w:pPr>
      <w:r w:rsidRPr="000D2318">
        <w:rPr>
          <w:rFonts w:eastAsiaTheme="minorEastAsia" w:cs="Times New Roman"/>
          <w:b/>
          <w:bCs/>
          <w:color w:val="000000"/>
          <w:sz w:val="20"/>
          <w:szCs w:val="20"/>
          <w:lang w:val="fr-CA" w:eastAsia="fr-FR"/>
        </w:rPr>
        <w:t>ATTENDU QUE</w:t>
      </w:r>
      <w:r w:rsidRPr="000D2318">
        <w:rPr>
          <w:rFonts w:eastAsiaTheme="minorEastAsia" w:cs="Times New Roman"/>
          <w:bCs/>
          <w:color w:val="000000"/>
          <w:sz w:val="20"/>
          <w:szCs w:val="20"/>
          <w:lang w:val="fr-CA" w:eastAsia="fr-FR"/>
        </w:rPr>
        <w:t xml:space="preserve">, en vertu de l’art. 67 des </w:t>
      </w:r>
      <w:r w:rsidRPr="000D2318">
        <w:rPr>
          <w:rFonts w:eastAsiaTheme="minorEastAsia" w:cs="Times New Roman"/>
          <w:bCs/>
          <w:i/>
          <w:color w:val="000000"/>
          <w:sz w:val="20"/>
          <w:szCs w:val="20"/>
          <w:lang w:val="fr-CA" w:eastAsia="fr-FR"/>
        </w:rPr>
        <w:t>Règles de la Cour Suprême du Canada</w:t>
      </w:r>
      <w:r w:rsidRPr="000D2318">
        <w:rPr>
          <w:rFonts w:eastAsiaTheme="minorEastAsia" w:cs="Times New Roman"/>
          <w:bCs/>
          <w:color w:val="000000"/>
          <w:sz w:val="20"/>
          <w:szCs w:val="20"/>
          <w:lang w:val="fr-CA" w:eastAsia="fr-FR"/>
        </w:rPr>
        <w:t>, le registraire a demandé à un juge de rendre une ordonnance fondée sur l’art. 66;</w:t>
      </w:r>
    </w:p>
    <w:p w:rsidR="000D2318" w:rsidRPr="000D2318" w:rsidRDefault="000D2318" w:rsidP="000D2318">
      <w:pPr>
        <w:tabs>
          <w:tab w:val="left" w:pos="-1200"/>
          <w:tab w:val="left" w:pos="-720"/>
        </w:tabs>
        <w:autoSpaceDE w:val="0"/>
        <w:autoSpaceDN w:val="0"/>
        <w:adjustRightInd w:val="0"/>
        <w:jc w:val="both"/>
        <w:rPr>
          <w:rFonts w:eastAsiaTheme="minorEastAsia" w:cs="Times New Roman"/>
          <w:b/>
          <w:bCs/>
          <w:color w:val="000000"/>
          <w:sz w:val="20"/>
          <w:szCs w:val="20"/>
          <w:lang w:val="fr-CA" w:eastAsia="fr-FR"/>
        </w:rPr>
      </w:pPr>
    </w:p>
    <w:p w:rsidR="000D2318" w:rsidRPr="000D2318" w:rsidRDefault="000D2318" w:rsidP="000D2318">
      <w:pPr>
        <w:autoSpaceDE w:val="0"/>
        <w:autoSpaceDN w:val="0"/>
        <w:adjustRightInd w:val="0"/>
        <w:jc w:val="both"/>
        <w:rPr>
          <w:rFonts w:eastAsiaTheme="minorEastAsia" w:cs="Times New Roman"/>
          <w:color w:val="000000"/>
          <w:sz w:val="20"/>
          <w:szCs w:val="20"/>
          <w:lang w:val="fr-CA" w:eastAsia="fr-FR"/>
        </w:rPr>
      </w:pPr>
      <w:r w:rsidRPr="000D2318">
        <w:rPr>
          <w:rFonts w:eastAsiaTheme="minorEastAsia" w:cs="Times New Roman"/>
          <w:b/>
          <w:bCs/>
          <w:color w:val="000000"/>
          <w:sz w:val="20"/>
          <w:szCs w:val="20"/>
          <w:lang w:val="fr-CA" w:eastAsia="fr-FR"/>
        </w:rPr>
        <w:t xml:space="preserve">ATTENDU QUE </w:t>
      </w:r>
      <w:r w:rsidRPr="000D2318">
        <w:rPr>
          <w:rFonts w:eastAsiaTheme="minorEastAsia" w:cs="Times New Roman"/>
          <w:color w:val="000000"/>
          <w:sz w:val="20"/>
          <w:szCs w:val="20"/>
          <w:lang w:val="fr-CA" w:eastAsia="fr-FR"/>
        </w:rPr>
        <w:t xml:space="preserve">les parties ont été avisées conformément à l’art. 67 des </w:t>
      </w:r>
      <w:r w:rsidRPr="000D2318">
        <w:rPr>
          <w:rFonts w:eastAsiaTheme="minorEastAsia" w:cs="Times New Roman"/>
          <w:i/>
          <w:iCs/>
          <w:color w:val="000000"/>
          <w:sz w:val="20"/>
          <w:szCs w:val="20"/>
          <w:lang w:val="fr-CA" w:eastAsia="fr-FR"/>
        </w:rPr>
        <w:t>Règles de la Cour suprême du Canada</w:t>
      </w:r>
      <w:r w:rsidRPr="000D2318">
        <w:rPr>
          <w:rFonts w:eastAsiaTheme="minorEastAsia" w:cs="Times New Roman"/>
          <w:color w:val="000000"/>
          <w:sz w:val="20"/>
          <w:szCs w:val="20"/>
          <w:lang w:val="fr-CA" w:eastAsia="fr-FR"/>
        </w:rPr>
        <w:t>;</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val="fr-CA"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val="fr-CA" w:eastAsia="fr-FR"/>
        </w:rPr>
      </w:pPr>
      <w:r w:rsidRPr="000D2318">
        <w:rPr>
          <w:rFonts w:eastAsiaTheme="minorEastAsia" w:cs="Times New Roman"/>
          <w:b/>
          <w:bCs/>
          <w:color w:val="000000"/>
          <w:sz w:val="20"/>
          <w:szCs w:val="20"/>
          <w:lang w:val="fr-CA" w:eastAsia="fr-FR"/>
        </w:rPr>
        <w:t>ATTENDU QUE</w:t>
      </w:r>
      <w:r w:rsidRPr="000D2318">
        <w:rPr>
          <w:rFonts w:eastAsiaTheme="minorEastAsia" w:cs="Times New Roman"/>
          <w:bCs/>
          <w:color w:val="000000"/>
          <w:sz w:val="20"/>
          <w:szCs w:val="20"/>
          <w:lang w:val="fr-CA" w:eastAsia="fr-FR"/>
        </w:rPr>
        <w:t xml:space="preserve"> des observations ont été soumises </w:t>
      </w:r>
      <w:r w:rsidRPr="000D2318">
        <w:rPr>
          <w:rFonts w:eastAsiaTheme="minorEastAsia" w:cs="Times New Roman"/>
          <w:color w:val="000000"/>
          <w:sz w:val="20"/>
          <w:szCs w:val="20"/>
          <w:lang w:val="fr-CA" w:eastAsia="fr-FR"/>
        </w:rPr>
        <w:t xml:space="preserve">en réponse au préavis donné en vertu de la règle 67; </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val="fr-CA"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val="fr-CA" w:eastAsia="fr-FR"/>
        </w:rPr>
      </w:pPr>
      <w:r w:rsidRPr="000D2318">
        <w:rPr>
          <w:rFonts w:eastAsiaTheme="minorEastAsia" w:cs="Times New Roman"/>
          <w:b/>
          <w:bCs/>
          <w:color w:val="000000"/>
          <w:sz w:val="20"/>
          <w:szCs w:val="20"/>
          <w:lang w:val="fr-CA" w:eastAsia="fr-FR"/>
        </w:rPr>
        <w:t>APRÈS EXAMEN</w:t>
      </w:r>
      <w:r w:rsidRPr="000D2318">
        <w:rPr>
          <w:rFonts w:eastAsiaTheme="minorEastAsia" w:cs="Times New Roman"/>
          <w:color w:val="000000"/>
          <w:sz w:val="20"/>
          <w:szCs w:val="20"/>
          <w:lang w:val="fr-CA" w:eastAsia="fr-FR"/>
        </w:rPr>
        <w:t xml:space="preserve"> du préavis donné par le registraire et des observations soumises;</w:t>
      </w: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val="fr-CA" w:eastAsia="fr-FR"/>
        </w:rPr>
      </w:pPr>
    </w:p>
    <w:p w:rsidR="000D2318" w:rsidRPr="000D2318" w:rsidRDefault="000D2318" w:rsidP="000D2318">
      <w:pPr>
        <w:tabs>
          <w:tab w:val="left" w:pos="-1200"/>
          <w:tab w:val="left" w:pos="-720"/>
        </w:tabs>
        <w:autoSpaceDE w:val="0"/>
        <w:autoSpaceDN w:val="0"/>
        <w:adjustRightInd w:val="0"/>
        <w:jc w:val="both"/>
        <w:rPr>
          <w:rFonts w:eastAsiaTheme="minorEastAsia" w:cs="Times New Roman"/>
          <w:color w:val="000000"/>
          <w:sz w:val="20"/>
          <w:szCs w:val="20"/>
          <w:lang w:val="fr-CA" w:eastAsia="fr-FR"/>
        </w:rPr>
      </w:pPr>
      <w:r w:rsidRPr="000D2318">
        <w:rPr>
          <w:rFonts w:eastAsiaTheme="minorEastAsia" w:cs="Times New Roman"/>
          <w:b/>
          <w:bCs/>
          <w:color w:val="000000"/>
          <w:sz w:val="20"/>
          <w:szCs w:val="20"/>
          <w:lang w:val="fr-CA" w:eastAsia="fr-FR"/>
        </w:rPr>
        <w:t>EN VERTU DU</w:t>
      </w:r>
      <w:r w:rsidRPr="000D2318">
        <w:rPr>
          <w:rFonts w:eastAsiaTheme="minorEastAsia" w:cs="Times New Roman"/>
          <w:bCs/>
          <w:color w:val="000000"/>
          <w:sz w:val="20"/>
          <w:szCs w:val="20"/>
          <w:lang w:val="fr-CA" w:eastAsia="fr-FR"/>
        </w:rPr>
        <w:t xml:space="preserve"> pouvoir qui m’est conféré </w:t>
      </w:r>
      <w:r w:rsidRPr="000D2318">
        <w:rPr>
          <w:rFonts w:eastAsiaTheme="minorEastAsia" w:cs="Times New Roman"/>
          <w:color w:val="000000"/>
          <w:sz w:val="20"/>
          <w:szCs w:val="20"/>
          <w:lang w:val="fr-CA" w:eastAsia="fr-FR"/>
        </w:rPr>
        <w:t xml:space="preserve">par l’art. 66 des </w:t>
      </w:r>
      <w:r w:rsidRPr="000D2318">
        <w:rPr>
          <w:rFonts w:eastAsiaTheme="minorEastAsia" w:cs="Times New Roman"/>
          <w:i/>
          <w:iCs/>
          <w:color w:val="000000"/>
          <w:sz w:val="20"/>
          <w:szCs w:val="20"/>
          <w:lang w:val="fr-CA" w:eastAsia="fr-FR"/>
        </w:rPr>
        <w:t>Règles de la Cour suprême du Canada</w:t>
      </w:r>
      <w:r w:rsidRPr="000D2318">
        <w:rPr>
          <w:rFonts w:eastAsiaTheme="minorEastAsia" w:cs="Times New Roman"/>
          <w:color w:val="000000"/>
          <w:sz w:val="20"/>
          <w:szCs w:val="20"/>
          <w:lang w:val="fr-CA" w:eastAsia="fr-FR"/>
        </w:rPr>
        <w:t>,</w:t>
      </w:r>
    </w:p>
    <w:p w:rsidR="000D2318" w:rsidRPr="000D2318" w:rsidRDefault="000D2318" w:rsidP="000D2318">
      <w:pPr>
        <w:spacing w:line="233" w:lineRule="auto"/>
        <w:jc w:val="both"/>
        <w:rPr>
          <w:rFonts w:eastAsia="Times New Roman" w:cs="Times New Roman"/>
          <w:b/>
          <w:bCs/>
          <w:color w:val="000000"/>
          <w:sz w:val="20"/>
          <w:szCs w:val="20"/>
          <w:lang w:val="fr-CA" w:eastAsia="en-CA"/>
        </w:rPr>
      </w:pPr>
    </w:p>
    <w:p w:rsidR="000D2318" w:rsidRPr="000D2318" w:rsidRDefault="000D2318" w:rsidP="000D2318">
      <w:pPr>
        <w:spacing w:line="233" w:lineRule="auto"/>
        <w:jc w:val="both"/>
        <w:rPr>
          <w:rFonts w:eastAsia="Times New Roman" w:cs="Times New Roman"/>
          <w:bCs/>
          <w:color w:val="000000"/>
          <w:sz w:val="20"/>
          <w:szCs w:val="20"/>
          <w:lang w:val="fr-CA" w:eastAsia="en-CA"/>
        </w:rPr>
      </w:pPr>
      <w:r w:rsidRPr="000D2318">
        <w:rPr>
          <w:rFonts w:eastAsia="Times New Roman" w:cs="Times New Roman"/>
          <w:b/>
          <w:bCs/>
          <w:color w:val="000000"/>
          <w:sz w:val="20"/>
          <w:szCs w:val="20"/>
          <w:lang w:val="fr-CA" w:eastAsia="en-CA"/>
        </w:rPr>
        <w:t>J’ORDONNE PAR LES PRÉSENTES CE QUI SUIT :</w:t>
      </w:r>
      <w:r w:rsidRPr="000D2318">
        <w:rPr>
          <w:rFonts w:eastAsia="Times New Roman" w:cs="Times New Roman"/>
          <w:bCs/>
          <w:color w:val="000000"/>
          <w:sz w:val="20"/>
          <w:szCs w:val="20"/>
          <w:lang w:val="fr-CA" w:eastAsia="en-CA"/>
        </w:rPr>
        <w:t xml:space="preserve"> </w:t>
      </w:r>
    </w:p>
    <w:p w:rsidR="000D2318" w:rsidRPr="000D2318" w:rsidRDefault="000D2318" w:rsidP="000D2318">
      <w:pPr>
        <w:spacing w:line="233" w:lineRule="auto"/>
        <w:jc w:val="both"/>
        <w:rPr>
          <w:rFonts w:eastAsia="Times New Roman" w:cs="Times New Roman"/>
          <w:color w:val="000000"/>
          <w:sz w:val="20"/>
          <w:szCs w:val="20"/>
          <w:lang w:val="fr-CA" w:eastAsia="en-CA"/>
        </w:rPr>
      </w:pPr>
    </w:p>
    <w:p w:rsidR="000D2318" w:rsidRPr="000D2318" w:rsidRDefault="000D2318" w:rsidP="000D2318">
      <w:pPr>
        <w:spacing w:line="233" w:lineRule="auto"/>
        <w:jc w:val="both"/>
        <w:rPr>
          <w:rFonts w:eastAsia="Times New Roman" w:cs="Times New Roman"/>
          <w:sz w:val="20"/>
          <w:szCs w:val="20"/>
          <w:lang w:val="fr-CA" w:eastAsia="en-CA"/>
        </w:rPr>
      </w:pPr>
      <w:r w:rsidRPr="000D2318">
        <w:rPr>
          <w:rFonts w:eastAsia="Times New Roman" w:cs="Times New Roman"/>
          <w:color w:val="000000"/>
          <w:sz w:val="20"/>
          <w:szCs w:val="20"/>
          <w:lang w:val="fr-CA" w:eastAsia="en-CA"/>
        </w:rPr>
        <w:t>Il est interdit à M. Albert Beauchamp de déposer tout autre document relativement à la présente procédure.</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77107C" w:rsidP="000D231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r w:rsidRPr="000D2318">
        <w:rPr>
          <w:rFonts w:eastAsia="Times New Roman" w:cs="Times New Roman"/>
          <w:sz w:val="20"/>
          <w:szCs w:val="20"/>
          <w:lang w:eastAsia="en-CA"/>
        </w:rPr>
        <w:t>20.02.2014</w:t>
      </w: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jc w:val="both"/>
        <w:rPr>
          <w:rFonts w:eastAsia="Times New Roman" w:cs="Times New Roman"/>
          <w:sz w:val="20"/>
          <w:szCs w:val="20"/>
          <w:lang w:val="fr-CA" w:eastAsia="en-CA"/>
        </w:rPr>
      </w:pPr>
      <w:r w:rsidRPr="000D2318">
        <w:rPr>
          <w:rFonts w:eastAsia="Times New Roman" w:cs="Times New Roman"/>
          <w:sz w:val="20"/>
          <w:szCs w:val="20"/>
          <w:lang w:val="fr-CA" w:eastAsia="en-CA"/>
        </w:rPr>
        <w:t>Before / Devant:   THE DEPUTY REGISTRAR / LA REGISTRAIRE ADJOINTE</w:t>
      </w:r>
    </w:p>
    <w:p w:rsidR="000D2318" w:rsidRPr="000D2318" w:rsidRDefault="000D2318" w:rsidP="000D2318">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DA4390" w:rsidTr="005C5683">
        <w:trPr>
          <w:trHeight w:val="151"/>
        </w:trPr>
        <w:tc>
          <w:tcPr>
            <w:tcW w:w="4338" w:type="dxa"/>
          </w:tcPr>
          <w:p w:rsidR="000D2318" w:rsidRPr="000D2318" w:rsidRDefault="0054414C" w:rsidP="000D2318">
            <w:pPr>
              <w:jc w:val="both"/>
              <w:rPr>
                <w:lang w:val="en-US"/>
              </w:rPr>
            </w:pPr>
            <w:r w:rsidRPr="000D2318">
              <w:rPr>
                <w:lang w:val="en-US"/>
              </w:rPr>
              <w:fldChar w:fldCharType="begin"/>
            </w:r>
            <w:r w:rsidR="000D2318" w:rsidRPr="000D2318">
              <w:rPr>
                <w:lang w:val="en-US"/>
              </w:rPr>
              <w:instrText xml:space="preserve"> SEQ CHAPTER \h \r 1</w:instrText>
            </w:r>
            <w:r w:rsidRPr="000D2318">
              <w:rPr>
                <w:lang w:val="en-US"/>
              </w:rPr>
              <w:fldChar w:fldCharType="end"/>
            </w:r>
            <w:r w:rsidR="000D2318" w:rsidRPr="000D2318">
              <w:rPr>
                <w:b/>
                <w:bCs/>
                <w:lang w:val="en-US"/>
              </w:rPr>
              <w:t xml:space="preserve">Motion for examination of evidence </w:t>
            </w:r>
          </w:p>
        </w:tc>
        <w:tc>
          <w:tcPr>
            <w:tcW w:w="1170" w:type="dxa"/>
          </w:tcPr>
          <w:p w:rsidR="000D2318" w:rsidRPr="000D2318" w:rsidRDefault="000D2318" w:rsidP="000D2318">
            <w:pPr>
              <w:jc w:val="both"/>
            </w:pPr>
          </w:p>
          <w:p w:rsidR="000D2318" w:rsidRPr="000D2318" w:rsidRDefault="000D2318" w:rsidP="000D2318">
            <w:pPr>
              <w:jc w:val="both"/>
            </w:pPr>
          </w:p>
          <w:p w:rsidR="000D2318" w:rsidRPr="000D2318" w:rsidRDefault="000D2318" w:rsidP="000D2318">
            <w:pPr>
              <w:jc w:val="both"/>
            </w:pPr>
          </w:p>
        </w:tc>
        <w:tc>
          <w:tcPr>
            <w:tcW w:w="4327" w:type="dxa"/>
          </w:tcPr>
          <w:p w:rsidR="000D2318" w:rsidRPr="000D2318" w:rsidRDefault="0054414C" w:rsidP="000D2318">
            <w:pPr>
              <w:jc w:val="both"/>
              <w:rPr>
                <w:b/>
                <w:lang w:val="fr-CA"/>
              </w:rPr>
            </w:pPr>
            <w:r w:rsidRPr="000D2318">
              <w:rPr>
                <w:lang w:val="en-US"/>
              </w:rPr>
              <w:fldChar w:fldCharType="begin"/>
            </w:r>
            <w:r w:rsidR="000D2318" w:rsidRPr="000D2318">
              <w:rPr>
                <w:lang w:val="fr-CA"/>
              </w:rPr>
              <w:instrText xml:space="preserve"> SEQ CHAPTER \h \r 1</w:instrText>
            </w:r>
            <w:r w:rsidRPr="000D2318">
              <w:rPr>
                <w:lang w:val="en-US"/>
              </w:rPr>
              <w:fldChar w:fldCharType="end"/>
            </w:r>
            <w:r w:rsidR="000D2318" w:rsidRPr="000D2318">
              <w:rPr>
                <w:b/>
                <w:bCs/>
                <w:lang w:val="fr-CA"/>
              </w:rPr>
              <w:t>Requête sollicitant l’examen d’éléments de preuve</w:t>
            </w:r>
            <w:r w:rsidRPr="000D2318">
              <w:rPr>
                <w:b/>
                <w:lang w:val="en-US"/>
              </w:rPr>
              <w:fldChar w:fldCharType="begin"/>
            </w:r>
            <w:r w:rsidR="000D2318" w:rsidRPr="000D2318">
              <w:rPr>
                <w:b/>
                <w:lang w:val="fr-CA"/>
              </w:rPr>
              <w:instrText xml:space="preserve"> SEQ CHAPTER \h \r 1</w:instrText>
            </w:r>
            <w:r w:rsidRPr="000D2318">
              <w:rPr>
                <w:b/>
                <w:lang w:val="en-US"/>
              </w:rPr>
              <w:fldChar w:fldCharType="end"/>
            </w:r>
          </w:p>
        </w:tc>
      </w:tr>
      <w:tr w:rsidR="000D2318" w:rsidRPr="000D2318" w:rsidTr="005C5683">
        <w:trPr>
          <w:trHeight w:val="150"/>
        </w:trPr>
        <w:tc>
          <w:tcPr>
            <w:tcW w:w="4338" w:type="dxa"/>
          </w:tcPr>
          <w:p w:rsidR="000D2318" w:rsidRPr="000D2318" w:rsidRDefault="000D2318" w:rsidP="000D2318">
            <w:pPr>
              <w:tabs>
                <w:tab w:val="left" w:pos="-1440"/>
                <w:tab w:val="left" w:pos="-720"/>
              </w:tabs>
              <w:jc w:val="both"/>
            </w:pPr>
            <w:r w:rsidRPr="000D2318">
              <w:t>Larry Peter Klippenstein</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ab/>
              <w:t>v. (35588)</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r w:rsidRPr="000D2318">
              <w:t>Manitoba Human Rights Commission (Man.)</w:t>
            </w:r>
          </w:p>
        </w:tc>
        <w:tc>
          <w:tcPr>
            <w:tcW w:w="1170" w:type="dxa"/>
          </w:tcPr>
          <w:p w:rsidR="000D2318" w:rsidRPr="000D2318" w:rsidRDefault="000D2318" w:rsidP="000D2318">
            <w:pPr>
              <w:jc w:val="both"/>
            </w:pPr>
          </w:p>
        </w:tc>
        <w:tc>
          <w:tcPr>
            <w:tcW w:w="4327" w:type="dxa"/>
          </w:tcPr>
          <w:p w:rsidR="000D2318" w:rsidRPr="000D2318" w:rsidRDefault="000D2318" w:rsidP="000D2318">
            <w:pPr>
              <w:jc w:val="both"/>
            </w:pPr>
          </w:p>
        </w:tc>
      </w:tr>
    </w:tbl>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r w:rsidRPr="000D2318">
        <w:rPr>
          <w:rFonts w:eastAsia="Times New Roman" w:cs="Times New Roman"/>
          <w:b/>
          <w:sz w:val="20"/>
          <w:szCs w:val="20"/>
          <w:lang w:eastAsia="en-CA"/>
        </w:rPr>
        <w:t>DISMISSED / REJETÉE</w:t>
      </w: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77107C" w:rsidP="000D231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0D2318" w:rsidRPr="000D2318" w:rsidRDefault="000D2318" w:rsidP="000D2318">
      <w:pPr>
        <w:rPr>
          <w:rFonts w:eastAsia="Times New Roman" w:cs="Times New Roman"/>
          <w:sz w:val="20"/>
          <w:szCs w:val="20"/>
          <w:lang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20.02.2014</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val="fr-CA" w:eastAsia="en-CA"/>
        </w:rPr>
      </w:pPr>
      <w:r w:rsidRPr="000D2318">
        <w:rPr>
          <w:rFonts w:eastAsia="Times New Roman" w:cs="Times New Roman"/>
          <w:sz w:val="20"/>
          <w:szCs w:val="20"/>
          <w:lang w:val="fr-CA" w:eastAsia="en-CA"/>
        </w:rPr>
        <w:t>Before / Devant :   LEBEL J. / LE JUGE LEBEL</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D2318" w:rsidRPr="000D2318" w:rsidTr="005C5683">
        <w:tc>
          <w:tcPr>
            <w:tcW w:w="4338" w:type="dxa"/>
          </w:tcPr>
          <w:p w:rsidR="000D2318" w:rsidRPr="000D2318" w:rsidRDefault="000D2318" w:rsidP="000D2318">
            <w:pPr>
              <w:tabs>
                <w:tab w:val="left" w:pos="-1440"/>
                <w:tab w:val="left" w:pos="-720"/>
              </w:tabs>
              <w:jc w:val="both"/>
              <w:rPr>
                <w:b/>
                <w:bCs/>
                <w:lang w:val="en-US"/>
              </w:rPr>
            </w:pPr>
            <w:r w:rsidRPr="000D2318">
              <w:rPr>
                <w:b/>
                <w:bCs/>
              </w:rPr>
              <w:t>Miscellaneous motion</w:t>
            </w:r>
            <w:r w:rsidRPr="000D2318">
              <w:rPr>
                <w:b/>
                <w:bCs/>
                <w:lang w:val="en-US"/>
              </w:rPr>
              <w:t xml:space="preserve"> </w:t>
            </w:r>
          </w:p>
          <w:p w:rsidR="000D2318" w:rsidRPr="000D2318" w:rsidRDefault="000D2318" w:rsidP="000D2318">
            <w:pPr>
              <w:tabs>
                <w:tab w:val="left" w:pos="-1440"/>
                <w:tab w:val="left" w:pos="-720"/>
              </w:tabs>
              <w:jc w:val="both"/>
              <w:rPr>
                <w:b/>
              </w:rPr>
            </w:pPr>
          </w:p>
        </w:tc>
        <w:tc>
          <w:tcPr>
            <w:tcW w:w="1170" w:type="dxa"/>
          </w:tcPr>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pPr>
          </w:p>
        </w:tc>
        <w:tc>
          <w:tcPr>
            <w:tcW w:w="4327" w:type="dxa"/>
          </w:tcPr>
          <w:p w:rsidR="000D2318" w:rsidRPr="000D2318" w:rsidRDefault="0054414C" w:rsidP="000D2318">
            <w:pPr>
              <w:tabs>
                <w:tab w:val="left" w:pos="-1440"/>
                <w:tab w:val="left" w:pos="-720"/>
              </w:tabs>
              <w:jc w:val="both"/>
              <w:rPr>
                <w:b/>
                <w:lang w:val="fr-CA"/>
              </w:rPr>
            </w:pPr>
            <w:r w:rsidRPr="000D2318">
              <w:rPr>
                <w:b/>
                <w:lang w:val="en-US"/>
              </w:rPr>
              <w:fldChar w:fldCharType="begin"/>
            </w:r>
            <w:r w:rsidR="000D2318" w:rsidRPr="000D2318">
              <w:rPr>
                <w:b/>
                <w:lang w:val="fr-CA"/>
              </w:rPr>
              <w:instrText xml:space="preserve"> SEQ CHAPTER \h \r 1</w:instrText>
            </w:r>
            <w:r w:rsidRPr="000D2318">
              <w:rPr>
                <w:b/>
                <w:lang w:val="en-US"/>
              </w:rPr>
              <w:fldChar w:fldCharType="end"/>
            </w:r>
            <w:r w:rsidR="000D2318" w:rsidRPr="000D2318">
              <w:rPr>
                <w:b/>
                <w:bCs/>
                <w:lang w:val="fr-CA"/>
              </w:rPr>
              <w:t>Requête diverse</w:t>
            </w:r>
            <w:r w:rsidRPr="000D2318">
              <w:rPr>
                <w:b/>
                <w:lang w:val="en-US"/>
              </w:rPr>
              <w:fldChar w:fldCharType="begin"/>
            </w:r>
            <w:r w:rsidR="000D2318" w:rsidRPr="000D2318">
              <w:rPr>
                <w:b/>
                <w:lang w:val="fr-CA"/>
              </w:rPr>
              <w:instrText xml:space="preserve"> SEQ CHAPTER \h \r 1</w:instrText>
            </w:r>
            <w:r w:rsidRPr="000D2318">
              <w:rPr>
                <w:b/>
                <w:lang w:val="en-US"/>
              </w:rPr>
              <w:fldChar w:fldCharType="end"/>
            </w:r>
          </w:p>
        </w:tc>
      </w:tr>
      <w:tr w:rsidR="000D2318" w:rsidRPr="000D2318" w:rsidTr="005C5683">
        <w:tc>
          <w:tcPr>
            <w:tcW w:w="4338" w:type="dxa"/>
          </w:tcPr>
          <w:p w:rsidR="000D2318" w:rsidRPr="000D2318" w:rsidRDefault="000D2318" w:rsidP="000D2318">
            <w:pPr>
              <w:tabs>
                <w:tab w:val="left" w:pos="-1440"/>
                <w:tab w:val="left" w:pos="-720"/>
              </w:tabs>
              <w:jc w:val="both"/>
              <w:rPr>
                <w:lang w:val="fr-CA"/>
              </w:rPr>
            </w:pPr>
            <w:r w:rsidRPr="000D2318">
              <w:rPr>
                <w:lang w:val="fr-CA"/>
              </w:rPr>
              <w:t>Marine Services International Limited et al.</w:t>
            </w:r>
          </w:p>
          <w:p w:rsidR="000D2318" w:rsidRPr="000D2318" w:rsidRDefault="000D2318" w:rsidP="000D2318">
            <w:pPr>
              <w:tabs>
                <w:tab w:val="left" w:pos="-1440"/>
                <w:tab w:val="left" w:pos="-720"/>
              </w:tabs>
              <w:jc w:val="both"/>
              <w:rPr>
                <w:lang w:val="fr-CA"/>
              </w:rPr>
            </w:pPr>
          </w:p>
          <w:p w:rsidR="000D2318" w:rsidRPr="000D2318" w:rsidRDefault="000D2318" w:rsidP="000D2318">
            <w:pPr>
              <w:tabs>
                <w:tab w:val="left" w:pos="-1440"/>
                <w:tab w:val="left" w:pos="-720"/>
              </w:tabs>
              <w:jc w:val="both"/>
            </w:pPr>
            <w:r w:rsidRPr="000D2318">
              <w:rPr>
                <w:lang w:val="fr-CA"/>
              </w:rPr>
              <w:tab/>
            </w:r>
            <w:r w:rsidRPr="000D2318">
              <w:t>v. (34429)</w:t>
            </w:r>
          </w:p>
          <w:p w:rsidR="000D2318" w:rsidRPr="000D2318" w:rsidRDefault="000D2318" w:rsidP="000D2318">
            <w:pPr>
              <w:tabs>
                <w:tab w:val="left" w:pos="-1440"/>
                <w:tab w:val="left" w:pos="-720"/>
              </w:tabs>
              <w:jc w:val="both"/>
            </w:pPr>
          </w:p>
          <w:p w:rsidR="000D2318" w:rsidRPr="000D2318" w:rsidRDefault="000D2318" w:rsidP="000D2318">
            <w:pPr>
              <w:tabs>
                <w:tab w:val="left" w:pos="-1440"/>
                <w:tab w:val="left" w:pos="-720"/>
              </w:tabs>
              <w:jc w:val="both"/>
              <w:rPr>
                <w:lang w:val="fr-CA"/>
              </w:rPr>
            </w:pPr>
            <w:r w:rsidRPr="000D2318">
              <w:t xml:space="preserve">Estate of Joseph Ryan, by its Administratrix, Yvonne Ryan et al. </w:t>
            </w:r>
            <w:r w:rsidRPr="000D2318">
              <w:rPr>
                <w:lang w:val="fr-CA"/>
              </w:rPr>
              <w:t>(N.L.)</w:t>
            </w:r>
          </w:p>
        </w:tc>
        <w:tc>
          <w:tcPr>
            <w:tcW w:w="1170" w:type="dxa"/>
          </w:tcPr>
          <w:p w:rsidR="000D2318" w:rsidRPr="000D2318" w:rsidRDefault="000D2318" w:rsidP="000D2318">
            <w:pPr>
              <w:tabs>
                <w:tab w:val="left" w:pos="-1440"/>
                <w:tab w:val="left" w:pos="-720"/>
              </w:tabs>
              <w:jc w:val="both"/>
              <w:rPr>
                <w:lang w:val="fr-CA"/>
              </w:rPr>
            </w:pPr>
          </w:p>
        </w:tc>
        <w:tc>
          <w:tcPr>
            <w:tcW w:w="4327" w:type="dxa"/>
          </w:tcPr>
          <w:p w:rsidR="000D2318" w:rsidRPr="000D2318" w:rsidRDefault="000D2318" w:rsidP="000D2318">
            <w:pPr>
              <w:tabs>
                <w:tab w:val="left" w:pos="-1440"/>
                <w:tab w:val="left" w:pos="-720"/>
              </w:tabs>
              <w:jc w:val="both"/>
              <w:rPr>
                <w:lang w:val="fr-CA"/>
              </w:rPr>
            </w:pPr>
          </w:p>
        </w:tc>
      </w:tr>
    </w:tbl>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0D2318" w:rsidP="000D2318">
      <w:pPr>
        <w:tabs>
          <w:tab w:val="left" w:pos="-1440"/>
          <w:tab w:val="left" w:pos="-720"/>
        </w:tabs>
        <w:jc w:val="both"/>
        <w:rPr>
          <w:rFonts w:eastAsia="Times New Roman" w:cs="Times New Roman"/>
          <w:sz w:val="20"/>
          <w:szCs w:val="20"/>
          <w:lang w:eastAsia="en-CA"/>
        </w:rPr>
      </w:pPr>
      <w:r w:rsidRPr="000D2318">
        <w:rPr>
          <w:rFonts w:eastAsia="Times New Roman" w:cs="Times New Roman"/>
          <w:b/>
          <w:sz w:val="20"/>
          <w:szCs w:val="20"/>
          <w:lang w:eastAsia="en-CA"/>
        </w:rPr>
        <w:t>DISMISSED / REJETÉE</w:t>
      </w:r>
    </w:p>
    <w:p w:rsidR="000D2318" w:rsidRPr="000D2318" w:rsidRDefault="000D2318" w:rsidP="000D2318">
      <w:pPr>
        <w:tabs>
          <w:tab w:val="left" w:pos="-1440"/>
          <w:tab w:val="left" w:pos="-720"/>
        </w:tabs>
        <w:jc w:val="both"/>
        <w:rPr>
          <w:rFonts w:eastAsia="Times New Roman" w:cs="Times New Roman"/>
          <w:sz w:val="20"/>
          <w:szCs w:val="20"/>
          <w:lang w:eastAsia="en-CA"/>
        </w:rPr>
      </w:pPr>
    </w:p>
    <w:p w:rsidR="000D2318" w:rsidRPr="000D2318" w:rsidRDefault="000D2318" w:rsidP="000D2318">
      <w:pPr>
        <w:spacing w:line="208" w:lineRule="auto"/>
        <w:jc w:val="both"/>
        <w:rPr>
          <w:rFonts w:eastAsia="Times New Roman" w:cs="Times New Roman"/>
          <w:sz w:val="20"/>
          <w:szCs w:val="20"/>
          <w:lang w:eastAsia="en-CA"/>
        </w:rPr>
      </w:pPr>
      <w:r w:rsidRPr="000D2318">
        <w:rPr>
          <w:rFonts w:eastAsia="Times New Roman" w:cs="Times New Roman"/>
          <w:b/>
          <w:bCs/>
          <w:sz w:val="20"/>
          <w:szCs w:val="20"/>
          <w:lang w:eastAsia="en-CA"/>
        </w:rPr>
        <w:t>UPON APPLICATION</w:t>
      </w:r>
      <w:r w:rsidRPr="000D2318">
        <w:rPr>
          <w:rFonts w:eastAsia="Times New Roman" w:cs="Times New Roman"/>
          <w:sz w:val="20"/>
          <w:szCs w:val="20"/>
          <w:lang w:eastAsia="en-CA"/>
        </w:rPr>
        <w:t xml:space="preserve"> by the intervener, Workplace Health, Safety and Compensation Commission, for an extension of time to serve and file a motion pursuant to Rules 76 and 81 of the </w:t>
      </w:r>
      <w:r w:rsidRPr="000D2318">
        <w:rPr>
          <w:rFonts w:eastAsia="Times New Roman" w:cs="Times New Roman"/>
          <w:i/>
          <w:sz w:val="20"/>
          <w:szCs w:val="20"/>
          <w:lang w:eastAsia="en-CA"/>
        </w:rPr>
        <w:t>Rules of the Supreme Court of Canada</w:t>
      </w:r>
      <w:r w:rsidRPr="000D2318">
        <w:rPr>
          <w:rFonts w:eastAsia="Times New Roman" w:cs="Times New Roman"/>
          <w:sz w:val="20"/>
          <w:szCs w:val="20"/>
          <w:lang w:eastAsia="en-CA"/>
        </w:rPr>
        <w:t>;</w:t>
      </w:r>
    </w:p>
    <w:p w:rsidR="000D2318" w:rsidRPr="000D2318" w:rsidRDefault="000D2318" w:rsidP="000D2318">
      <w:pPr>
        <w:spacing w:line="208" w:lineRule="auto"/>
        <w:jc w:val="both"/>
        <w:rPr>
          <w:rFonts w:eastAsia="Times New Roman" w:cs="Times New Roman"/>
          <w:sz w:val="20"/>
          <w:szCs w:val="20"/>
          <w:lang w:eastAsia="en-CA"/>
        </w:rPr>
      </w:pPr>
    </w:p>
    <w:p w:rsidR="000D2318" w:rsidRPr="000D2318" w:rsidRDefault="000D2318" w:rsidP="000D2318">
      <w:pPr>
        <w:spacing w:line="208" w:lineRule="auto"/>
        <w:jc w:val="both"/>
        <w:rPr>
          <w:rFonts w:eastAsia="Times New Roman" w:cs="Times New Roman"/>
          <w:sz w:val="20"/>
          <w:szCs w:val="20"/>
          <w:lang w:eastAsia="en-CA"/>
        </w:rPr>
      </w:pPr>
      <w:r w:rsidRPr="000D2318">
        <w:rPr>
          <w:rFonts w:eastAsia="Times New Roman" w:cs="Times New Roman"/>
          <w:b/>
          <w:sz w:val="20"/>
          <w:szCs w:val="20"/>
          <w:lang w:eastAsia="en-CA"/>
        </w:rPr>
        <w:t>AND UPON APPLICATION</w:t>
      </w:r>
      <w:r w:rsidRPr="000D2318">
        <w:rPr>
          <w:rFonts w:eastAsia="Times New Roman" w:cs="Times New Roman"/>
          <w:sz w:val="20"/>
          <w:szCs w:val="20"/>
          <w:lang w:eastAsia="en-CA"/>
        </w:rPr>
        <w:t xml:space="preserve"> by the intervener, Workplace Health, Safety and Compensation Commission, for a re-hearing of the appeal or, in the alternative, for an order amending the judgment of the appeal rendered August 2, 2013;</w:t>
      </w:r>
    </w:p>
    <w:p w:rsidR="000D2318" w:rsidRPr="000D2318" w:rsidRDefault="000D2318" w:rsidP="000D2318">
      <w:pPr>
        <w:spacing w:line="230" w:lineRule="auto"/>
        <w:ind w:firstLine="720"/>
        <w:jc w:val="both"/>
        <w:rPr>
          <w:rFonts w:eastAsia="Times New Roman" w:cs="Times New Roman"/>
          <w:sz w:val="20"/>
          <w:szCs w:val="20"/>
          <w:lang w:eastAsia="en-CA"/>
        </w:rPr>
      </w:pPr>
      <w:r w:rsidRPr="000D2318">
        <w:rPr>
          <w:rFonts w:eastAsia="Times New Roman" w:cs="Times New Roman"/>
          <w:sz w:val="20"/>
          <w:szCs w:val="20"/>
          <w:lang w:eastAsia="en-CA"/>
        </w:rPr>
        <w:t xml:space="preserve"> </w:t>
      </w:r>
    </w:p>
    <w:p w:rsidR="000D2318" w:rsidRPr="000D2318" w:rsidRDefault="000D2318" w:rsidP="000D2318">
      <w:pPr>
        <w:spacing w:line="230" w:lineRule="auto"/>
        <w:jc w:val="both"/>
        <w:rPr>
          <w:rFonts w:eastAsia="Times New Roman" w:cs="Times New Roman"/>
          <w:sz w:val="20"/>
          <w:szCs w:val="20"/>
          <w:lang w:eastAsia="en-CA"/>
        </w:rPr>
      </w:pPr>
      <w:r w:rsidRPr="000D2318">
        <w:rPr>
          <w:rFonts w:eastAsia="Times New Roman" w:cs="Times New Roman"/>
          <w:b/>
          <w:bCs/>
          <w:sz w:val="20"/>
          <w:szCs w:val="20"/>
          <w:lang w:eastAsia="en-CA"/>
        </w:rPr>
        <w:t xml:space="preserve">AND THE MATERIAL FILED </w:t>
      </w:r>
      <w:r w:rsidRPr="000D2318">
        <w:rPr>
          <w:rFonts w:eastAsia="Times New Roman" w:cs="Times New Roman"/>
          <w:bCs/>
          <w:sz w:val="20"/>
          <w:szCs w:val="20"/>
          <w:lang w:eastAsia="en-CA"/>
        </w:rPr>
        <w:t>having been read</w:t>
      </w:r>
      <w:r w:rsidRPr="000D2318">
        <w:rPr>
          <w:rFonts w:eastAsia="Times New Roman" w:cs="Times New Roman"/>
          <w:sz w:val="20"/>
          <w:szCs w:val="20"/>
          <w:lang w:eastAsia="en-CA"/>
        </w:rPr>
        <w:t>;</w:t>
      </w:r>
    </w:p>
    <w:p w:rsidR="000D2318" w:rsidRPr="000D2318" w:rsidRDefault="000D2318" w:rsidP="000D2318">
      <w:pPr>
        <w:spacing w:line="230" w:lineRule="auto"/>
        <w:jc w:val="both"/>
        <w:rPr>
          <w:rFonts w:eastAsia="Times New Roman" w:cs="Times New Roman"/>
          <w:sz w:val="20"/>
          <w:szCs w:val="20"/>
          <w:lang w:eastAsia="en-CA"/>
        </w:rPr>
      </w:pPr>
    </w:p>
    <w:p w:rsidR="000D2318" w:rsidRPr="000D2318" w:rsidRDefault="000D2318" w:rsidP="000D2318">
      <w:pPr>
        <w:spacing w:line="230" w:lineRule="auto"/>
        <w:jc w:val="both"/>
        <w:rPr>
          <w:rFonts w:eastAsia="Times New Roman" w:cs="Times New Roman"/>
          <w:sz w:val="20"/>
          <w:szCs w:val="20"/>
          <w:lang w:eastAsia="en-CA"/>
        </w:rPr>
      </w:pPr>
      <w:r w:rsidRPr="000D2318">
        <w:rPr>
          <w:rFonts w:eastAsia="Times New Roman" w:cs="Times New Roman"/>
          <w:b/>
          <w:bCs/>
          <w:sz w:val="20"/>
          <w:szCs w:val="20"/>
          <w:lang w:eastAsia="en-CA"/>
        </w:rPr>
        <w:t>IT IS HEREBY ORDERED THAT:</w:t>
      </w:r>
    </w:p>
    <w:p w:rsidR="000D2318" w:rsidRPr="000D2318" w:rsidRDefault="000D2318" w:rsidP="000D2318">
      <w:pPr>
        <w:spacing w:line="230" w:lineRule="auto"/>
        <w:jc w:val="both"/>
        <w:rPr>
          <w:rFonts w:eastAsia="Times New Roman" w:cs="Times New Roman"/>
          <w:sz w:val="20"/>
          <w:szCs w:val="20"/>
          <w:lang w:eastAsia="en-CA"/>
        </w:rPr>
      </w:pPr>
    </w:p>
    <w:p w:rsidR="000D2318" w:rsidRPr="000D2318" w:rsidRDefault="000D2318" w:rsidP="000D2318">
      <w:pPr>
        <w:spacing w:line="230" w:lineRule="auto"/>
        <w:jc w:val="both"/>
        <w:rPr>
          <w:rFonts w:eastAsia="Times New Roman" w:cs="Times New Roman"/>
          <w:sz w:val="20"/>
          <w:szCs w:val="20"/>
          <w:lang w:eastAsia="en-CA"/>
        </w:rPr>
      </w:pPr>
      <w:r w:rsidRPr="000D2318">
        <w:rPr>
          <w:rFonts w:eastAsia="Times New Roman" w:cs="Times New Roman"/>
          <w:sz w:val="20"/>
          <w:szCs w:val="20"/>
          <w:lang w:eastAsia="en-CA"/>
        </w:rPr>
        <w:t xml:space="preserve">The motion for an extension of time is granted. In the circumstances, it is appropriate to proceed with the motion for an order amending the judgment of the appeal rendered August 2, 2013 under Rule 81. The motion is dismissed without costs. The original order of this Court is clear that no costs are awarded in this Court and that the orders of the lower courts are overturned in their entirety, including the costs awards that were incidental to them. </w:t>
      </w:r>
    </w:p>
    <w:p w:rsidR="000D2318" w:rsidRPr="000D2318" w:rsidRDefault="000D2318" w:rsidP="000D2318">
      <w:pPr>
        <w:spacing w:line="230" w:lineRule="auto"/>
        <w:jc w:val="both"/>
        <w:rPr>
          <w:rFonts w:eastAsia="Times New Roman" w:cs="Times New Roman"/>
          <w:sz w:val="20"/>
          <w:szCs w:val="20"/>
          <w:lang w:eastAsia="en-CA"/>
        </w:rPr>
      </w:pPr>
    </w:p>
    <w:p w:rsidR="000D2318" w:rsidRPr="000D2318" w:rsidRDefault="000D2318" w:rsidP="000D2318">
      <w:pPr>
        <w:spacing w:line="230" w:lineRule="auto"/>
        <w:jc w:val="both"/>
        <w:rPr>
          <w:rFonts w:eastAsia="Times New Roman" w:cs="Times New Roman"/>
          <w:sz w:val="20"/>
          <w:szCs w:val="20"/>
          <w:lang w:eastAsia="en-CA"/>
        </w:rPr>
      </w:pPr>
    </w:p>
    <w:p w:rsidR="000D2318" w:rsidRPr="000D2318" w:rsidRDefault="000D2318" w:rsidP="000D2318">
      <w:pPr>
        <w:spacing w:line="230" w:lineRule="auto"/>
        <w:jc w:val="both"/>
        <w:rPr>
          <w:rFonts w:eastAsia="Times New Roman" w:cs="Times New Roman"/>
          <w:sz w:val="20"/>
          <w:szCs w:val="20"/>
          <w:lang w:eastAsia="en-CA"/>
        </w:rPr>
      </w:pPr>
    </w:p>
    <w:p w:rsidR="000D2318" w:rsidRPr="000D2318" w:rsidRDefault="000D2318" w:rsidP="000D2318">
      <w:pPr>
        <w:spacing w:line="230" w:lineRule="auto"/>
        <w:jc w:val="both"/>
        <w:rPr>
          <w:rFonts w:eastAsia="Times New Roman" w:cs="Times New Roman"/>
          <w:sz w:val="20"/>
          <w:szCs w:val="20"/>
          <w:lang w:val="fr-CA" w:eastAsia="en-CA"/>
        </w:rPr>
      </w:pPr>
      <w:r w:rsidRPr="000D2318">
        <w:rPr>
          <w:rFonts w:eastAsia="Times New Roman" w:cs="Times New Roman"/>
          <w:b/>
          <w:sz w:val="20"/>
          <w:szCs w:val="20"/>
          <w:lang w:val="fr-CA" w:eastAsia="en-CA"/>
        </w:rPr>
        <w:t>À LA SUITE DE LA DEMANDE</w:t>
      </w:r>
      <w:r w:rsidRPr="000D2318">
        <w:rPr>
          <w:rFonts w:eastAsia="Times New Roman" w:cs="Times New Roman"/>
          <w:sz w:val="20"/>
          <w:szCs w:val="20"/>
          <w:lang w:val="fr-CA" w:eastAsia="en-CA"/>
        </w:rPr>
        <w:t xml:space="preserve"> présentée par l’intervenante, la Workplace Health, Safety and Compensation Commission, pour obtenir la prorogation du délai pour signifier et déposer une requête en vertu des articles 76 et 81 des </w:t>
      </w:r>
      <w:r w:rsidRPr="000D2318">
        <w:rPr>
          <w:rFonts w:eastAsia="Times New Roman" w:cs="Times New Roman"/>
          <w:i/>
          <w:sz w:val="20"/>
          <w:szCs w:val="20"/>
          <w:lang w:val="fr-CA" w:eastAsia="en-CA"/>
        </w:rPr>
        <w:t>Règles de la Cour suprême du Canada</w:t>
      </w:r>
      <w:r w:rsidRPr="000D2318">
        <w:rPr>
          <w:rFonts w:eastAsia="Times New Roman" w:cs="Times New Roman"/>
          <w:sz w:val="20"/>
          <w:szCs w:val="20"/>
          <w:lang w:val="fr-CA" w:eastAsia="en-CA"/>
        </w:rPr>
        <w:t>;</w:t>
      </w:r>
    </w:p>
    <w:p w:rsidR="000D2318" w:rsidRPr="000D2318" w:rsidRDefault="000D2318" w:rsidP="000D2318">
      <w:pPr>
        <w:spacing w:line="230" w:lineRule="auto"/>
        <w:jc w:val="both"/>
        <w:rPr>
          <w:rFonts w:eastAsia="Times New Roman" w:cs="Times New Roman"/>
          <w:sz w:val="20"/>
          <w:szCs w:val="20"/>
          <w:lang w:val="fr-CA" w:eastAsia="en-CA"/>
        </w:rPr>
      </w:pPr>
    </w:p>
    <w:p w:rsidR="000D2318" w:rsidRPr="000D2318" w:rsidRDefault="000D2318" w:rsidP="000D2318">
      <w:pPr>
        <w:spacing w:line="230" w:lineRule="auto"/>
        <w:jc w:val="both"/>
        <w:rPr>
          <w:rFonts w:eastAsia="Times New Roman" w:cs="Times New Roman"/>
          <w:sz w:val="20"/>
          <w:szCs w:val="20"/>
          <w:lang w:val="fr-CA" w:eastAsia="en-CA"/>
        </w:rPr>
      </w:pPr>
      <w:r w:rsidRPr="000D2318">
        <w:rPr>
          <w:rFonts w:eastAsia="Times New Roman" w:cs="Times New Roman"/>
          <w:b/>
          <w:sz w:val="20"/>
          <w:szCs w:val="20"/>
          <w:lang w:val="fr-CA" w:eastAsia="en-CA"/>
        </w:rPr>
        <w:t>ET À LA SUITE DE LA DEMANDE</w:t>
      </w:r>
      <w:r w:rsidRPr="000D2318">
        <w:rPr>
          <w:rFonts w:eastAsia="Times New Roman" w:cs="Times New Roman"/>
          <w:sz w:val="20"/>
          <w:szCs w:val="20"/>
          <w:lang w:val="fr-CA" w:eastAsia="en-CA"/>
        </w:rPr>
        <w:t xml:space="preserve"> présentée par l’intervenante, la Workplace Health, Safety and Compensation Commission, en nouvelle audition de l’appel ou, subsidiairement, pour obtenir une ordonnance modifiant le jugement statuant sur l’appel rendu le 2 août 2013;</w:t>
      </w:r>
    </w:p>
    <w:p w:rsidR="000D2318" w:rsidRPr="000D2318" w:rsidRDefault="000D2318" w:rsidP="000D2318">
      <w:pPr>
        <w:spacing w:line="230" w:lineRule="auto"/>
        <w:jc w:val="both"/>
        <w:rPr>
          <w:rFonts w:eastAsia="Times New Roman" w:cs="Times New Roman"/>
          <w:sz w:val="20"/>
          <w:szCs w:val="20"/>
          <w:lang w:val="fr-CA" w:eastAsia="en-CA"/>
        </w:rPr>
      </w:pPr>
    </w:p>
    <w:p w:rsidR="000D2318" w:rsidRPr="000D2318" w:rsidRDefault="000D2318" w:rsidP="000D2318">
      <w:pPr>
        <w:spacing w:line="230" w:lineRule="auto"/>
        <w:jc w:val="both"/>
        <w:rPr>
          <w:rFonts w:eastAsia="Times New Roman" w:cs="Times New Roman"/>
          <w:sz w:val="20"/>
          <w:szCs w:val="20"/>
          <w:lang w:val="fr-CA" w:eastAsia="en-CA"/>
        </w:rPr>
      </w:pPr>
      <w:r w:rsidRPr="000D2318">
        <w:rPr>
          <w:rFonts w:eastAsia="Times New Roman" w:cs="Times New Roman"/>
          <w:b/>
          <w:sz w:val="20"/>
          <w:szCs w:val="20"/>
          <w:lang w:val="fr-CA" w:eastAsia="en-CA"/>
        </w:rPr>
        <w:t>ET APRÈS EXAMEN</w:t>
      </w:r>
      <w:r w:rsidRPr="000D2318">
        <w:rPr>
          <w:rFonts w:eastAsia="Times New Roman" w:cs="Times New Roman"/>
          <w:sz w:val="20"/>
          <w:szCs w:val="20"/>
          <w:lang w:val="fr-CA" w:eastAsia="en-CA"/>
        </w:rPr>
        <w:t xml:space="preserve"> des documents déposés;</w:t>
      </w:r>
    </w:p>
    <w:p w:rsidR="000D2318" w:rsidRPr="000D2318" w:rsidRDefault="000D2318" w:rsidP="000D2318">
      <w:pPr>
        <w:spacing w:line="230" w:lineRule="auto"/>
        <w:jc w:val="both"/>
        <w:rPr>
          <w:rFonts w:eastAsia="Times New Roman" w:cs="Times New Roman"/>
          <w:sz w:val="20"/>
          <w:szCs w:val="20"/>
          <w:lang w:val="fr-CA" w:eastAsia="en-CA"/>
        </w:rPr>
      </w:pPr>
    </w:p>
    <w:p w:rsidR="000D2318" w:rsidRPr="000D2318" w:rsidRDefault="000D2318" w:rsidP="000D2318">
      <w:pPr>
        <w:spacing w:line="230" w:lineRule="auto"/>
        <w:jc w:val="both"/>
        <w:rPr>
          <w:rFonts w:eastAsia="Times New Roman" w:cs="Times New Roman"/>
          <w:b/>
          <w:sz w:val="20"/>
          <w:szCs w:val="20"/>
          <w:lang w:val="fr-CA" w:eastAsia="en-CA"/>
        </w:rPr>
      </w:pPr>
      <w:r w:rsidRPr="000D2318">
        <w:rPr>
          <w:rFonts w:eastAsia="Times New Roman" w:cs="Times New Roman"/>
          <w:b/>
          <w:sz w:val="20"/>
          <w:szCs w:val="20"/>
          <w:lang w:val="fr-CA" w:eastAsia="en-CA"/>
        </w:rPr>
        <w:t>IL EST ORDONNÉ CE QUI SUIT :</w:t>
      </w:r>
    </w:p>
    <w:p w:rsidR="000D2318" w:rsidRPr="000D2318" w:rsidRDefault="000D2318" w:rsidP="000D2318">
      <w:pPr>
        <w:spacing w:line="230" w:lineRule="auto"/>
        <w:jc w:val="both"/>
        <w:rPr>
          <w:rFonts w:eastAsia="Times New Roman" w:cs="Times New Roman"/>
          <w:sz w:val="20"/>
          <w:szCs w:val="20"/>
          <w:lang w:val="fr-CA" w:eastAsia="en-CA"/>
        </w:rPr>
      </w:pPr>
    </w:p>
    <w:p w:rsidR="000D2318" w:rsidRPr="000D2318" w:rsidRDefault="000D2318" w:rsidP="000D2318">
      <w:pPr>
        <w:spacing w:line="230" w:lineRule="auto"/>
        <w:jc w:val="both"/>
        <w:rPr>
          <w:rFonts w:eastAsia="Times New Roman" w:cs="Times New Roman"/>
          <w:sz w:val="20"/>
          <w:szCs w:val="20"/>
          <w:lang w:val="fr-CA" w:eastAsia="en-CA"/>
        </w:rPr>
      </w:pPr>
      <w:r w:rsidRPr="000D2318">
        <w:rPr>
          <w:rFonts w:eastAsia="Times New Roman" w:cs="Times New Roman"/>
          <w:sz w:val="20"/>
          <w:szCs w:val="20"/>
          <w:lang w:val="fr-CA" w:eastAsia="en-CA"/>
        </w:rPr>
        <w:t>La requête en prorogation du délai est accueillie.  Dans les circonstances, il convient de trancher la requête pour obtenir une ordonnance modifiant le jugement statuant sur l’appel rendu le 2 août 2013 présentée en vertu de la règle 81.  La requête est rejetée sans dépens.  L’ordonnance originale rendue par la Cour énonce clairement qu’aucuns dépens n’est accordé pour l’appel devant elle et que les ordonnances rendues par les cours d’instance inférieure sont entièrement infirmées y compris les mentions qui y étaient accessoires relatives aux dépens.</w:t>
      </w:r>
    </w:p>
    <w:p w:rsidR="000D2318" w:rsidRPr="000D2318" w:rsidRDefault="000D2318" w:rsidP="000D2318">
      <w:pPr>
        <w:tabs>
          <w:tab w:val="left" w:pos="-1440"/>
          <w:tab w:val="left" w:pos="-720"/>
        </w:tabs>
        <w:jc w:val="both"/>
        <w:rPr>
          <w:rFonts w:eastAsia="Times New Roman" w:cs="Times New Roman"/>
          <w:sz w:val="20"/>
          <w:szCs w:val="20"/>
          <w:lang w:val="fr-CA" w:eastAsia="en-CA"/>
        </w:rPr>
      </w:pPr>
    </w:p>
    <w:p w:rsidR="000D2318" w:rsidRPr="000D2318" w:rsidRDefault="0077107C" w:rsidP="000D2318">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0D2318" w:rsidRPr="000D2318" w:rsidRDefault="000D2318" w:rsidP="000D2318">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DA4390"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BB066D" w:rsidRDefault="00BB066D" w:rsidP="00BB066D">
      <w:pPr>
        <w:widowControl w:val="0"/>
        <w:rPr>
          <w:sz w:val="20"/>
          <w:szCs w:val="20"/>
        </w:rPr>
      </w:pPr>
      <w:r>
        <w:rPr>
          <w:sz w:val="20"/>
          <w:szCs w:val="20"/>
        </w:rPr>
        <w:t>21.02.2014</w:t>
      </w:r>
    </w:p>
    <w:p w:rsidR="00BB066D" w:rsidRDefault="00BB066D" w:rsidP="00BB066D">
      <w:pPr>
        <w:widowControl w:val="0"/>
        <w:rPr>
          <w:sz w:val="20"/>
          <w:szCs w:val="20"/>
        </w:rPr>
      </w:pPr>
    </w:p>
    <w:p w:rsidR="00BB066D" w:rsidRPr="00E55BA6" w:rsidRDefault="00BB066D" w:rsidP="00BB066D">
      <w:pPr>
        <w:widowControl w:val="0"/>
        <w:ind w:left="720" w:hanging="720"/>
        <w:rPr>
          <w:sz w:val="20"/>
          <w:szCs w:val="20"/>
          <w:u w:val="single"/>
        </w:rPr>
      </w:pPr>
      <w:r w:rsidRPr="00E55BA6">
        <w:rPr>
          <w:sz w:val="20"/>
          <w:szCs w:val="20"/>
        </w:rPr>
        <w:t xml:space="preserve">Coram: </w:t>
      </w:r>
      <w:r w:rsidRPr="00E55BA6">
        <w:rPr>
          <w:sz w:val="20"/>
          <w:szCs w:val="20"/>
        </w:rPr>
        <w:tab/>
      </w:r>
      <w:r w:rsidRPr="00E55BA6">
        <w:rPr>
          <w:sz w:val="20"/>
          <w:szCs w:val="20"/>
          <w:u w:val="single"/>
        </w:rPr>
        <w:t>McLachlin C.J. and Cromwell, Moldaver, Karakatsanis and Wagner JJ.</w:t>
      </w:r>
    </w:p>
    <w:p w:rsidR="00BB066D" w:rsidRDefault="00BB066D" w:rsidP="00BB066D">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B066D" w:rsidRPr="00C50A5C" w:rsidTr="00A42D17">
        <w:tc>
          <w:tcPr>
            <w:tcW w:w="4380" w:type="dxa"/>
            <w:tcMar>
              <w:left w:w="0" w:type="dxa"/>
              <w:right w:w="0" w:type="dxa"/>
            </w:tcMar>
          </w:tcPr>
          <w:p w:rsidR="00BB066D" w:rsidRDefault="00BB066D" w:rsidP="00A42D17">
            <w:pPr>
              <w:widowControl w:val="0"/>
              <w:tabs>
                <w:tab w:val="left" w:pos="720"/>
                <w:tab w:val="left" w:pos="1440"/>
                <w:tab w:val="left" w:pos="2851"/>
                <w:tab w:val="left" w:pos="4320"/>
                <w:tab w:val="left" w:pos="10224"/>
                <w:tab w:val="left" w:pos="11376"/>
              </w:tabs>
              <w:rPr>
                <w:b/>
                <w:sz w:val="20"/>
                <w:szCs w:val="20"/>
              </w:rPr>
            </w:pPr>
            <w:r w:rsidRPr="00E55BA6">
              <w:rPr>
                <w:b/>
                <w:sz w:val="20"/>
                <w:szCs w:val="20"/>
              </w:rPr>
              <w:t xml:space="preserve">Alvin Daniel Waite </w:t>
            </w:r>
          </w:p>
          <w:p w:rsidR="00BB066D" w:rsidRDefault="00BB066D" w:rsidP="00A42D17">
            <w:pPr>
              <w:widowControl w:val="0"/>
              <w:tabs>
                <w:tab w:val="left" w:pos="720"/>
                <w:tab w:val="left" w:pos="1440"/>
                <w:tab w:val="left" w:pos="2851"/>
                <w:tab w:val="left" w:pos="4320"/>
                <w:tab w:val="left" w:pos="10224"/>
                <w:tab w:val="left" w:pos="11376"/>
              </w:tabs>
              <w:rPr>
                <w:b/>
                <w:sz w:val="20"/>
                <w:szCs w:val="20"/>
              </w:rPr>
            </w:pPr>
          </w:p>
          <w:p w:rsidR="00BB066D" w:rsidRPr="00E55BA6" w:rsidRDefault="00BB066D" w:rsidP="00A42D17">
            <w:pPr>
              <w:widowControl w:val="0"/>
              <w:tabs>
                <w:tab w:val="left" w:pos="720"/>
                <w:tab w:val="left" w:pos="1440"/>
                <w:tab w:val="left" w:pos="2851"/>
                <w:tab w:val="left" w:pos="4320"/>
                <w:tab w:val="left" w:pos="10224"/>
                <w:tab w:val="left" w:pos="11376"/>
              </w:tabs>
              <w:rPr>
                <w:sz w:val="20"/>
                <w:szCs w:val="20"/>
              </w:rPr>
            </w:pPr>
            <w:r>
              <w:rPr>
                <w:b/>
                <w:sz w:val="20"/>
                <w:szCs w:val="20"/>
              </w:rPr>
              <w:tab/>
            </w:r>
            <w:r w:rsidRPr="00E55BA6">
              <w:rPr>
                <w:b/>
                <w:sz w:val="20"/>
                <w:szCs w:val="20"/>
              </w:rPr>
              <w:t xml:space="preserve">v. </w:t>
            </w:r>
            <w:r w:rsidRPr="00E55BA6">
              <w:rPr>
                <w:sz w:val="20"/>
                <w:szCs w:val="20"/>
              </w:rPr>
              <w:t>(</w:t>
            </w:r>
            <w:hyperlink r:id="rId56" w:history="1">
              <w:r w:rsidRPr="00E55BA6">
                <w:rPr>
                  <w:rStyle w:val="Hyperlink"/>
                  <w:sz w:val="20"/>
                  <w:szCs w:val="20"/>
                </w:rPr>
                <w:t>35499</w:t>
              </w:r>
            </w:hyperlink>
            <w:r w:rsidRPr="00E55BA6">
              <w:rPr>
                <w:sz w:val="20"/>
                <w:szCs w:val="20"/>
              </w:rPr>
              <w:t>)</w:t>
            </w:r>
          </w:p>
          <w:p w:rsidR="00BB066D" w:rsidRDefault="00BB066D" w:rsidP="00A42D17">
            <w:pPr>
              <w:widowControl w:val="0"/>
              <w:jc w:val="both"/>
              <w:rPr>
                <w:b/>
                <w:sz w:val="20"/>
                <w:szCs w:val="20"/>
              </w:rPr>
            </w:pPr>
          </w:p>
          <w:p w:rsidR="00BB066D" w:rsidRPr="0093057E" w:rsidRDefault="00BB066D" w:rsidP="00BB066D">
            <w:pPr>
              <w:widowControl w:val="0"/>
              <w:jc w:val="both"/>
              <w:rPr>
                <w:sz w:val="20"/>
                <w:szCs w:val="20"/>
              </w:rPr>
            </w:pPr>
            <w:r w:rsidRPr="00E55BA6">
              <w:rPr>
                <w:b/>
                <w:sz w:val="20"/>
                <w:szCs w:val="20"/>
              </w:rPr>
              <w:t>Her Majesty the Queen (Alta.) (Criminal) (As</w:t>
            </w:r>
            <w:r>
              <w:rPr>
                <w:b/>
                <w:sz w:val="20"/>
                <w:szCs w:val="20"/>
              </w:rPr>
              <w:t> </w:t>
            </w:r>
            <w:r w:rsidRPr="00E55BA6">
              <w:rPr>
                <w:b/>
                <w:sz w:val="20"/>
                <w:szCs w:val="20"/>
              </w:rPr>
              <w:t>of</w:t>
            </w:r>
            <w:r>
              <w:rPr>
                <w:b/>
                <w:sz w:val="20"/>
                <w:szCs w:val="20"/>
              </w:rPr>
              <w:t> </w:t>
            </w:r>
            <w:r w:rsidRPr="00E55BA6">
              <w:rPr>
                <w:b/>
                <w:sz w:val="20"/>
                <w:szCs w:val="20"/>
              </w:rPr>
              <w:t>Right)</w:t>
            </w:r>
          </w:p>
        </w:tc>
        <w:tc>
          <w:tcPr>
            <w:tcW w:w="720" w:type="dxa"/>
            <w:tcMar>
              <w:left w:w="0" w:type="dxa"/>
              <w:right w:w="0" w:type="dxa"/>
            </w:tcMar>
          </w:tcPr>
          <w:p w:rsidR="00BB066D" w:rsidRPr="0093057E" w:rsidRDefault="00BB066D" w:rsidP="00A42D17">
            <w:pPr>
              <w:widowControl w:val="0"/>
              <w:jc w:val="center"/>
              <w:rPr>
                <w:sz w:val="20"/>
                <w:szCs w:val="20"/>
              </w:rPr>
            </w:pPr>
          </w:p>
        </w:tc>
        <w:tc>
          <w:tcPr>
            <w:tcW w:w="4380" w:type="dxa"/>
            <w:tcMar>
              <w:left w:w="0" w:type="dxa"/>
              <w:right w:w="0" w:type="dxa"/>
            </w:tcMar>
          </w:tcPr>
          <w:p w:rsidR="00EC5D9D" w:rsidRPr="00830CB0" w:rsidRDefault="00EC5D9D" w:rsidP="00EC5D9D">
            <w:pPr>
              <w:tabs>
                <w:tab w:val="left" w:pos="-2970"/>
              </w:tabs>
              <w:rPr>
                <w:sz w:val="20"/>
                <w:szCs w:val="20"/>
                <w:lang w:val="en-US"/>
              </w:rPr>
            </w:pPr>
            <w:r w:rsidRPr="00830CB0">
              <w:rPr>
                <w:sz w:val="20"/>
                <w:szCs w:val="20"/>
                <w:lang w:val="en-US"/>
              </w:rPr>
              <w:t>C. John Hooker</w:t>
            </w:r>
            <w:r>
              <w:rPr>
                <w:sz w:val="20"/>
                <w:szCs w:val="20"/>
                <w:lang w:val="en-US"/>
              </w:rPr>
              <w:t xml:space="preserve"> and </w:t>
            </w:r>
            <w:r w:rsidRPr="00830CB0">
              <w:rPr>
                <w:sz w:val="20"/>
                <w:szCs w:val="20"/>
                <w:lang w:val="en-US"/>
              </w:rPr>
              <w:t>Eleanor Funk</w:t>
            </w:r>
            <w:r>
              <w:rPr>
                <w:sz w:val="20"/>
                <w:szCs w:val="20"/>
                <w:lang w:val="en-US"/>
              </w:rPr>
              <w:t xml:space="preserve"> f</w:t>
            </w:r>
            <w:r w:rsidRPr="00830CB0">
              <w:rPr>
                <w:sz w:val="20"/>
                <w:szCs w:val="20"/>
                <w:lang w:val="en-US"/>
              </w:rPr>
              <w:t xml:space="preserve">or the </w:t>
            </w:r>
            <w:r>
              <w:rPr>
                <w:sz w:val="20"/>
                <w:szCs w:val="20"/>
                <w:lang w:val="en-US"/>
              </w:rPr>
              <w:t>a</w:t>
            </w:r>
            <w:r w:rsidRPr="00830CB0">
              <w:rPr>
                <w:sz w:val="20"/>
                <w:szCs w:val="20"/>
                <w:lang w:val="en-US"/>
              </w:rPr>
              <w:t>ppellant.</w:t>
            </w:r>
          </w:p>
          <w:p w:rsidR="00EC5D9D" w:rsidRPr="00830CB0" w:rsidRDefault="00EC5D9D" w:rsidP="00EC5D9D">
            <w:pPr>
              <w:tabs>
                <w:tab w:val="left" w:pos="-2970"/>
              </w:tabs>
              <w:rPr>
                <w:sz w:val="20"/>
                <w:szCs w:val="20"/>
                <w:lang w:val="en-US"/>
              </w:rPr>
            </w:pPr>
          </w:p>
          <w:p w:rsidR="00BB066D" w:rsidRPr="00C50A5C" w:rsidRDefault="00EC5D9D" w:rsidP="00EC5D9D">
            <w:pPr>
              <w:widowControl w:val="0"/>
              <w:jc w:val="both"/>
              <w:rPr>
                <w:sz w:val="20"/>
                <w:szCs w:val="20"/>
              </w:rPr>
            </w:pPr>
            <w:r w:rsidRPr="00830CB0">
              <w:rPr>
                <w:sz w:val="20"/>
                <w:szCs w:val="20"/>
                <w:lang w:val="en-US"/>
              </w:rPr>
              <w:t>Jolaine Antonio</w:t>
            </w:r>
            <w:r>
              <w:rPr>
                <w:sz w:val="20"/>
                <w:szCs w:val="20"/>
                <w:lang w:val="en-US"/>
              </w:rPr>
              <w:t xml:space="preserve"> and </w:t>
            </w:r>
            <w:r w:rsidRPr="00830CB0">
              <w:rPr>
                <w:sz w:val="20"/>
                <w:szCs w:val="20"/>
                <w:lang w:val="en-US"/>
              </w:rPr>
              <w:t>Matt Dalidowicz</w:t>
            </w:r>
            <w:r>
              <w:rPr>
                <w:sz w:val="20"/>
                <w:szCs w:val="20"/>
                <w:lang w:val="en-US"/>
              </w:rPr>
              <w:t xml:space="preserve"> f</w:t>
            </w:r>
            <w:r w:rsidRPr="00830CB0">
              <w:rPr>
                <w:sz w:val="20"/>
                <w:szCs w:val="20"/>
                <w:lang w:val="en-US"/>
              </w:rPr>
              <w:t xml:space="preserve">or the </w:t>
            </w:r>
            <w:r>
              <w:rPr>
                <w:sz w:val="20"/>
                <w:szCs w:val="20"/>
                <w:lang w:val="en-US"/>
              </w:rPr>
              <w:t>r</w:t>
            </w:r>
            <w:r w:rsidRPr="00830CB0">
              <w:rPr>
                <w:sz w:val="20"/>
                <w:szCs w:val="20"/>
                <w:lang w:val="en-US"/>
              </w:rPr>
              <w:t>espondent.</w:t>
            </w:r>
          </w:p>
        </w:tc>
      </w:tr>
    </w:tbl>
    <w:p w:rsidR="00BB066D" w:rsidRDefault="00BB066D" w:rsidP="00BB066D">
      <w:pPr>
        <w:widowControl w:val="0"/>
        <w:rPr>
          <w:sz w:val="20"/>
          <w:szCs w:val="20"/>
        </w:rPr>
      </w:pPr>
    </w:p>
    <w:p w:rsidR="00BB066D" w:rsidRPr="00E55BA6" w:rsidRDefault="00BB066D" w:rsidP="00BB066D">
      <w:pPr>
        <w:widowControl w:val="0"/>
        <w:tabs>
          <w:tab w:val="left" w:pos="720"/>
          <w:tab w:val="left" w:pos="1440"/>
          <w:tab w:val="left" w:pos="2851"/>
          <w:tab w:val="left" w:pos="4320"/>
          <w:tab w:val="left" w:pos="10224"/>
          <w:tab w:val="left" w:pos="11376"/>
        </w:tabs>
        <w:rPr>
          <w:b/>
          <w:sz w:val="20"/>
          <w:szCs w:val="20"/>
        </w:rPr>
      </w:pPr>
      <w:r w:rsidRPr="00E55BA6">
        <w:rPr>
          <w:b/>
          <w:sz w:val="20"/>
          <w:szCs w:val="20"/>
        </w:rPr>
        <w:t>2014 SCC 17 / 2014 CSC 17</w:t>
      </w:r>
    </w:p>
    <w:p w:rsidR="00BB066D" w:rsidRDefault="00BB066D" w:rsidP="00BB066D">
      <w:pPr>
        <w:widowControl w:val="0"/>
        <w:rPr>
          <w:sz w:val="20"/>
          <w:szCs w:val="20"/>
        </w:rPr>
      </w:pPr>
    </w:p>
    <w:p w:rsidR="00BB066D" w:rsidRPr="00E55BA6" w:rsidRDefault="00BB066D" w:rsidP="00BB066D">
      <w:pPr>
        <w:widowControl w:val="0"/>
        <w:rPr>
          <w:sz w:val="20"/>
          <w:szCs w:val="20"/>
        </w:rPr>
      </w:pPr>
      <w:r w:rsidRPr="00E55BA6">
        <w:rPr>
          <w:b/>
          <w:sz w:val="20"/>
          <w:szCs w:val="20"/>
        </w:rPr>
        <w:t>DISMISSED / REJETÉ</w:t>
      </w:r>
    </w:p>
    <w:p w:rsidR="00BB066D" w:rsidRDefault="00BB066D" w:rsidP="00BB066D"/>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B066D" w:rsidRPr="00DA4390" w:rsidTr="00A42D17">
        <w:tc>
          <w:tcPr>
            <w:tcW w:w="4380" w:type="dxa"/>
            <w:tcMar>
              <w:left w:w="0" w:type="dxa"/>
              <w:right w:w="0" w:type="dxa"/>
            </w:tcMar>
          </w:tcPr>
          <w:p w:rsidR="00BB066D" w:rsidRPr="00CC4D84" w:rsidRDefault="00BB066D" w:rsidP="00A42D17">
            <w:pPr>
              <w:widowControl w:val="0"/>
              <w:jc w:val="both"/>
              <w:rPr>
                <w:b/>
                <w:sz w:val="20"/>
                <w:szCs w:val="20"/>
                <w:u w:val="single"/>
              </w:rPr>
            </w:pPr>
            <w:r>
              <w:rPr>
                <w:b/>
                <w:sz w:val="20"/>
                <w:szCs w:val="20"/>
                <w:u w:val="single"/>
              </w:rPr>
              <w:t>JUDGMENT</w:t>
            </w:r>
            <w:r w:rsidRPr="00CC4D84">
              <w:rPr>
                <w:b/>
                <w:sz w:val="20"/>
                <w:szCs w:val="20"/>
                <w:u w:val="single"/>
              </w:rPr>
              <w:t>:</w:t>
            </w:r>
          </w:p>
          <w:p w:rsidR="00BB066D" w:rsidRPr="001A663B" w:rsidRDefault="00BB066D" w:rsidP="00A42D17">
            <w:pPr>
              <w:widowControl w:val="0"/>
              <w:jc w:val="both"/>
              <w:rPr>
                <w:b/>
                <w:sz w:val="20"/>
                <w:szCs w:val="20"/>
              </w:rPr>
            </w:pPr>
          </w:p>
          <w:p w:rsidR="00676832" w:rsidRPr="00501808" w:rsidRDefault="00676832" w:rsidP="00676832">
            <w:pPr>
              <w:jc w:val="both"/>
              <w:rPr>
                <w:sz w:val="20"/>
                <w:szCs w:val="20"/>
              </w:rPr>
            </w:pPr>
            <w:r w:rsidRPr="00501808">
              <w:rPr>
                <w:sz w:val="20"/>
                <w:szCs w:val="20"/>
              </w:rPr>
              <w:t xml:space="preserve">The appeal from the judgment of the Court of Appeal of Alberta (Calgary), Number 0801-0092-A, 2013 ABCA 257, dated July 11, 2013, was heard on February 21, 2014, and the Court on that day delivered the following judgment orally: </w:t>
            </w:r>
          </w:p>
          <w:p w:rsidR="00676832" w:rsidRPr="00501808" w:rsidRDefault="00676832" w:rsidP="00676832">
            <w:pPr>
              <w:jc w:val="both"/>
              <w:rPr>
                <w:sz w:val="20"/>
                <w:szCs w:val="20"/>
              </w:rPr>
            </w:pPr>
          </w:p>
          <w:p w:rsidR="00676832" w:rsidRPr="00676832" w:rsidRDefault="00676832" w:rsidP="00676832">
            <w:pPr>
              <w:pStyle w:val="ParaNoNdepar-AltN"/>
              <w:numPr>
                <w:ilvl w:val="0"/>
                <w:numId w:val="0"/>
              </w:numPr>
              <w:spacing w:before="0" w:after="0" w:line="240" w:lineRule="auto"/>
              <w:rPr>
                <w:rFonts w:cs="Times New Roman"/>
                <w:smallCaps/>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r w:rsidRPr="00676832">
              <w:rPr>
                <w:smallCaps/>
                <w:sz w:val="20"/>
                <w:szCs w:val="20"/>
                <w:lang w:val="en-CA"/>
              </w:rPr>
              <w:t xml:space="preserve">The Chief Justice </w:t>
            </w:r>
            <w:r w:rsidRPr="00676832">
              <w:rPr>
                <w:rFonts w:cs="Times New Roman"/>
                <w:smallCaps/>
                <w:sz w:val="20"/>
                <w:szCs w:val="20"/>
                <w:lang w:val="en-CA"/>
              </w:rPr>
              <w:t xml:space="preserve">— </w:t>
            </w:r>
            <w:r w:rsidRPr="00676832">
              <w:rPr>
                <w:rFonts w:cs="Times New Roman"/>
                <w:sz w:val="20"/>
                <w:szCs w:val="20"/>
                <w:lang w:val="en-CA"/>
              </w:rPr>
              <w:t xml:space="preserve">On this appeal as of right, the appellant raises three questions of law on which a judge of the Alberta Court of Appeal dissented.  Two of them can be dealt with summarily.  First, the appellant submits that the trial judge was required as part of her instructions on reasonable doubt to specifically direct the jury that they had to acquit both accused if they could not decide which accused had committed the murder.  Second, the appellant submits that the trial judge failed to properly explain to the jury the relationship between the intoxication defence and the </w:t>
            </w:r>
            <w:r w:rsidRPr="00676832">
              <w:rPr>
                <w:rFonts w:cs="Times New Roman"/>
                <w:i/>
                <w:sz w:val="20"/>
                <w:szCs w:val="20"/>
                <w:lang w:val="en-CA"/>
              </w:rPr>
              <w:t xml:space="preserve">mens rea </w:t>
            </w:r>
            <w:r w:rsidRPr="00676832">
              <w:rPr>
                <w:rFonts w:cs="Times New Roman"/>
                <w:sz w:val="20"/>
                <w:szCs w:val="20"/>
                <w:lang w:val="en-CA"/>
              </w:rPr>
              <w:t>required for aiding and abetting second degree murder.  For the reasons given by Rowbotham J.A. in the Court of Appeal, we would not give effect to these grounds.</w:t>
            </w: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r w:rsidRPr="00676832">
              <w:rPr>
                <w:rFonts w:cs="Times New Roman"/>
                <w:sz w:val="20"/>
                <w:szCs w:val="20"/>
                <w:lang w:val="en-CA"/>
              </w:rPr>
              <w:t>The third ground of appeal relates to certain out-of-court statements made by the appellant’s co-accused and which the Crown introduced into evidence against the co-accused as party admissions. The appellant submits that the trial judge erred by failing to instruct the jury that it could rely on those statements for their truth in determining their verdict in relation to the appellant.</w:t>
            </w: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r w:rsidRPr="00676832">
              <w:rPr>
                <w:rFonts w:cs="Times New Roman"/>
                <w:sz w:val="20"/>
                <w:szCs w:val="20"/>
                <w:lang w:val="en-CA"/>
              </w:rPr>
              <w:t>We would not give effect to this argument. The general rule is that out</w:t>
            </w:r>
            <w:r w:rsidRPr="00676832">
              <w:rPr>
                <w:rFonts w:cs="Times New Roman"/>
                <w:sz w:val="20"/>
                <w:szCs w:val="20"/>
                <w:lang w:val="en-CA"/>
              </w:rPr>
              <w:noBreakHyphen/>
              <w:t>of</w:t>
            </w:r>
            <w:r w:rsidRPr="00676832">
              <w:rPr>
                <w:rFonts w:cs="Times New Roman"/>
                <w:sz w:val="20"/>
                <w:szCs w:val="20"/>
                <w:lang w:val="en-CA"/>
              </w:rPr>
              <w:noBreakHyphen/>
              <w:t>court statements by a party may be adduced as evidence of their truth by an opposite party. But, as the trial judge instructed the jury, statements admitted on that basis may in general be used only in deciding the case of the accused who made the statements.  The trial judge gave this standard instruction with the express agreement of trial counsel. She did not err in doing so. The appellant’s counsel at trial did not seek to adduce the co-accused’s out</w:t>
            </w:r>
            <w:r w:rsidRPr="00676832">
              <w:rPr>
                <w:rFonts w:cs="Times New Roman"/>
                <w:sz w:val="20"/>
                <w:szCs w:val="20"/>
                <w:lang w:val="en-CA"/>
              </w:rPr>
              <w:noBreakHyphen/>
              <w:t>of</w:t>
            </w:r>
            <w:r w:rsidRPr="00676832">
              <w:rPr>
                <w:rFonts w:cs="Times New Roman"/>
                <w:sz w:val="20"/>
                <w:szCs w:val="20"/>
                <w:lang w:val="en-CA"/>
              </w:rPr>
              <w:noBreakHyphen/>
              <w:t xml:space="preserve">court statements for their truth as part of the appellant’s case under the principled approach to the hearsay rule or on any other basis. </w:t>
            </w: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r w:rsidRPr="00676832">
              <w:rPr>
                <w:rFonts w:cs="Times New Roman"/>
                <w:sz w:val="20"/>
                <w:szCs w:val="20"/>
                <w:lang w:val="en-CA"/>
              </w:rPr>
              <w:t xml:space="preserve">There appears to be nothing that would have prevented the appellant from attempting to have these statements considered for their truth under the principled approach to the hearsay rule.  However, no such attempt was made here.  There was, therefore, no basis raised for the judge to give the instruction now sought.  We note that </w:t>
            </w:r>
            <w:r w:rsidRPr="00676832">
              <w:rPr>
                <w:rFonts w:cs="Times New Roman"/>
                <w:i/>
                <w:sz w:val="20"/>
                <w:szCs w:val="20"/>
                <w:lang w:val="en-CA"/>
              </w:rPr>
              <w:t>R. v. Edwards</w:t>
            </w:r>
            <w:r w:rsidRPr="00676832">
              <w:rPr>
                <w:rFonts w:cs="Times New Roman"/>
                <w:sz w:val="20"/>
                <w:szCs w:val="20"/>
                <w:lang w:val="en-CA"/>
              </w:rPr>
              <w:t>, 2004 BCCA 558, in which one accused adduced in evidence as part of his case an inculpatory out of court statement by a co-accused, gives rise to different issues which we do not have to address here.</w:t>
            </w:r>
          </w:p>
          <w:p w:rsidR="00676832" w:rsidRPr="00676832" w:rsidRDefault="00676832" w:rsidP="00676832">
            <w:pPr>
              <w:pStyle w:val="ParaNoNdepar-AltN"/>
              <w:numPr>
                <w:ilvl w:val="0"/>
                <w:numId w:val="0"/>
              </w:numPr>
              <w:spacing w:before="0" w:after="0" w:line="240" w:lineRule="auto"/>
              <w:rPr>
                <w:rFonts w:cs="Times New Roman"/>
                <w:sz w:val="20"/>
                <w:szCs w:val="20"/>
                <w:lang w:val="en-CA"/>
              </w:rPr>
            </w:pPr>
          </w:p>
          <w:p w:rsidR="00676832" w:rsidRPr="00501808" w:rsidRDefault="00676832" w:rsidP="00676832">
            <w:pPr>
              <w:pStyle w:val="ParaNoNdepar-AltN"/>
              <w:numPr>
                <w:ilvl w:val="0"/>
                <w:numId w:val="0"/>
              </w:numPr>
              <w:spacing w:before="0" w:after="0" w:line="240" w:lineRule="auto"/>
              <w:rPr>
                <w:rFonts w:cs="Times New Roman"/>
                <w:sz w:val="20"/>
                <w:szCs w:val="20"/>
              </w:rPr>
            </w:pPr>
            <w:r w:rsidRPr="00676832">
              <w:rPr>
                <w:rFonts w:cs="Times New Roman"/>
                <w:sz w:val="20"/>
                <w:szCs w:val="20"/>
                <w:lang w:val="en-CA"/>
              </w:rPr>
              <w:t xml:space="preserve">While that is sufficient to address the legal issues on which the dissent in the Court of Appeal was based, we also observe that the statements made by the appellant and his co-accused were highly unreliable on their face and tended, in any event, to incriminate both of them. There is no suggestion that defence counsel not pursuing the admissibility of these statements as evidence of their truth by virtue of the principled approach to hearsay or seeking a severance so that the co-accused would be a compellable witness were anything other than reasonable tactical decisions. No basis has been shown to permit the appellant to revisit these matters on appeal: see </w:t>
            </w:r>
            <w:r w:rsidRPr="00676832">
              <w:rPr>
                <w:rFonts w:cs="Times New Roman"/>
                <w:i/>
                <w:sz w:val="20"/>
                <w:szCs w:val="20"/>
                <w:lang w:val="en-CA"/>
              </w:rPr>
              <w:t>R. v. J.F.</w:t>
            </w:r>
            <w:r w:rsidRPr="00676832">
              <w:rPr>
                <w:rFonts w:cs="Times New Roman"/>
                <w:sz w:val="20"/>
                <w:szCs w:val="20"/>
                <w:lang w:val="en-CA"/>
              </w:rPr>
              <w:t xml:space="preserve">, 2013 SCC 12, at para. </w:t>
            </w:r>
            <w:r w:rsidRPr="00501808">
              <w:rPr>
                <w:rFonts w:cs="Times New Roman"/>
                <w:sz w:val="20"/>
                <w:szCs w:val="20"/>
              </w:rPr>
              <w:t xml:space="preserve">68. </w:t>
            </w:r>
          </w:p>
          <w:p w:rsidR="00676832" w:rsidRPr="00501808" w:rsidRDefault="00676832" w:rsidP="00676832">
            <w:pPr>
              <w:pStyle w:val="ParaNoNdepar-AltN"/>
              <w:numPr>
                <w:ilvl w:val="0"/>
                <w:numId w:val="0"/>
              </w:numPr>
              <w:spacing w:before="0" w:after="0" w:line="240" w:lineRule="auto"/>
              <w:rPr>
                <w:rFonts w:cs="Times New Roman"/>
                <w:sz w:val="20"/>
                <w:szCs w:val="20"/>
              </w:rPr>
            </w:pPr>
          </w:p>
          <w:p w:rsidR="00676832" w:rsidRPr="00501808" w:rsidRDefault="00676832" w:rsidP="00676832">
            <w:pPr>
              <w:pStyle w:val="ParaNoNdepar-AltN"/>
              <w:numPr>
                <w:ilvl w:val="0"/>
                <w:numId w:val="0"/>
              </w:numPr>
              <w:spacing w:before="0" w:after="0" w:line="240" w:lineRule="auto"/>
              <w:rPr>
                <w:rFonts w:cs="Times New Roman"/>
                <w:sz w:val="20"/>
                <w:szCs w:val="20"/>
              </w:rPr>
            </w:pPr>
          </w:p>
          <w:p w:rsidR="00676832" w:rsidRPr="00501808" w:rsidRDefault="00676832" w:rsidP="00676832">
            <w:pPr>
              <w:pStyle w:val="ParaNoNdepar-AltN"/>
              <w:numPr>
                <w:ilvl w:val="0"/>
                <w:numId w:val="0"/>
              </w:numPr>
              <w:spacing w:before="0" w:after="0" w:line="240" w:lineRule="auto"/>
              <w:rPr>
                <w:rFonts w:cs="Times New Roman"/>
                <w:sz w:val="20"/>
                <w:szCs w:val="20"/>
              </w:rPr>
            </w:pPr>
          </w:p>
          <w:p w:rsidR="00BB066D" w:rsidRPr="00C1697B" w:rsidRDefault="00676832" w:rsidP="00676832">
            <w:pPr>
              <w:pStyle w:val="ParaNoNdepar-AltN"/>
              <w:numPr>
                <w:ilvl w:val="0"/>
                <w:numId w:val="0"/>
              </w:numPr>
              <w:spacing w:before="0" w:after="0" w:line="240" w:lineRule="auto"/>
              <w:rPr>
                <w:b/>
                <w:sz w:val="20"/>
                <w:szCs w:val="20"/>
              </w:rPr>
            </w:pPr>
            <w:r w:rsidRPr="00501808">
              <w:rPr>
                <w:rFonts w:cs="Times New Roman"/>
                <w:sz w:val="20"/>
                <w:szCs w:val="20"/>
              </w:rPr>
              <w:t xml:space="preserve">For these reasons, the appeal is dismissed. </w:t>
            </w:r>
          </w:p>
        </w:tc>
        <w:tc>
          <w:tcPr>
            <w:tcW w:w="720" w:type="dxa"/>
            <w:tcMar>
              <w:left w:w="0" w:type="dxa"/>
              <w:right w:w="0" w:type="dxa"/>
            </w:tcMar>
          </w:tcPr>
          <w:p w:rsidR="00BB066D" w:rsidRPr="00C1697B" w:rsidRDefault="00BB066D" w:rsidP="00A42D17">
            <w:pPr>
              <w:widowControl w:val="0"/>
              <w:jc w:val="center"/>
              <w:rPr>
                <w:sz w:val="20"/>
                <w:szCs w:val="20"/>
              </w:rPr>
            </w:pPr>
          </w:p>
        </w:tc>
        <w:tc>
          <w:tcPr>
            <w:tcW w:w="4380" w:type="dxa"/>
            <w:tcMar>
              <w:left w:w="0" w:type="dxa"/>
              <w:right w:w="0" w:type="dxa"/>
            </w:tcMar>
          </w:tcPr>
          <w:p w:rsidR="00BB066D" w:rsidRPr="00CC4D84" w:rsidRDefault="00BB066D" w:rsidP="00A42D17">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BB066D" w:rsidRPr="00C1697B" w:rsidRDefault="00BB066D" w:rsidP="00A42D17">
            <w:pPr>
              <w:widowControl w:val="0"/>
              <w:jc w:val="both"/>
              <w:rPr>
                <w:sz w:val="20"/>
                <w:szCs w:val="20"/>
                <w:lang w:val="fr-CA"/>
              </w:rPr>
            </w:pPr>
          </w:p>
          <w:p w:rsidR="00676832" w:rsidRPr="00501808" w:rsidRDefault="00676832" w:rsidP="00676832">
            <w:pPr>
              <w:jc w:val="both"/>
              <w:rPr>
                <w:sz w:val="20"/>
                <w:szCs w:val="20"/>
                <w:lang w:val="fr-CA"/>
              </w:rPr>
            </w:pPr>
            <w:r w:rsidRPr="00501808">
              <w:rPr>
                <w:sz w:val="20"/>
                <w:szCs w:val="20"/>
                <w:lang w:val="fr-CA"/>
              </w:rPr>
              <w:t>L’appel interjeté contre l’arrêt de la Cour d'appel de l’Alberta (Calgary), numéro 0801-0092-A, 2013 ABCA 257, en date du 11 juillet 2013, a été entendu le 21 février 2014, et la Cour a prononcé oralement le même jour le jugement suivant :</w:t>
            </w:r>
          </w:p>
          <w:p w:rsidR="00676832" w:rsidRPr="00501808" w:rsidRDefault="00676832" w:rsidP="00676832">
            <w:pPr>
              <w:jc w:val="both"/>
              <w:rPr>
                <w:sz w:val="20"/>
                <w:szCs w:val="20"/>
                <w:lang w:val="fr-CA"/>
              </w:rPr>
            </w:pPr>
          </w:p>
          <w:p w:rsidR="00676832" w:rsidRPr="00501808" w:rsidRDefault="00676832" w:rsidP="00676832">
            <w:pPr>
              <w:jc w:val="both"/>
              <w:rPr>
                <w:sz w:val="20"/>
                <w:szCs w:val="20"/>
                <w:lang w:val="fr-CA"/>
              </w:rPr>
            </w:pPr>
            <w:r w:rsidRPr="00501808">
              <w:rPr>
                <w:sz w:val="20"/>
                <w:szCs w:val="20"/>
                <w:lang w:val="fr-CA"/>
              </w:rPr>
              <w:t>[</w:t>
            </w:r>
            <w:r w:rsidRPr="00501808">
              <w:rPr>
                <w:smallCaps/>
                <w:sz w:val="20"/>
                <w:szCs w:val="20"/>
                <w:lang w:val="fr-CA"/>
              </w:rPr>
              <w:t>traduction]</w:t>
            </w:r>
          </w:p>
          <w:p w:rsidR="00676832" w:rsidRPr="00501808" w:rsidRDefault="00676832" w:rsidP="00676832">
            <w:pPr>
              <w:jc w:val="both"/>
              <w:rPr>
                <w:smallCaps/>
                <w:sz w:val="20"/>
                <w:szCs w:val="20"/>
                <w:lang w:val="fr-CA"/>
              </w:rPr>
            </w:pPr>
            <w:r w:rsidRPr="00501808">
              <w:rPr>
                <w:smallCaps/>
                <w:sz w:val="20"/>
                <w:szCs w:val="20"/>
                <w:lang w:val="fr-CA"/>
              </w:rPr>
              <w:t xml:space="preserve">La Juge en Chef </w:t>
            </w:r>
            <w:r w:rsidRPr="00501808">
              <w:rPr>
                <w:rFonts w:cs="Times New Roman"/>
                <w:smallCaps/>
                <w:sz w:val="20"/>
                <w:szCs w:val="20"/>
                <w:lang w:val="fr-CA"/>
              </w:rPr>
              <w:t xml:space="preserve">— </w:t>
            </w:r>
            <w:r w:rsidRPr="00501808">
              <w:rPr>
                <w:rFonts w:cs="Times New Roman"/>
                <w:sz w:val="20"/>
                <w:szCs w:val="20"/>
                <w:lang w:val="fr-CA"/>
              </w:rPr>
              <w:t xml:space="preserve">Dans le présent appel de plein droit, l’appelant soulève trois questions de droit sur lesquelles une juge de la Cour d’appel de l’Alberta a exprimé sa dissidence.   Deux de ces questions peuvent être tranchées sommairement.  Premièrement, l’appelant soutient que la juge du procès était tenue, dans ses directives sur le doute raisonnable, de dire expressément aux jurés qu’ils devaient acquitter les deux accusés s’ils étaient incapables de décider lequel de ceux-ci avait commis le meurtre.  Deuxièmement, l’appelant prétend que la juge du procès n’a pas expliqué adéquatement au jury le lien entre la défense d’ivresse et la </w:t>
            </w:r>
            <w:r w:rsidRPr="00501808">
              <w:rPr>
                <w:rFonts w:cs="Times New Roman"/>
                <w:i/>
                <w:sz w:val="20"/>
                <w:szCs w:val="20"/>
                <w:lang w:val="fr-CA"/>
              </w:rPr>
              <w:t xml:space="preserve">mens rea </w:t>
            </w:r>
            <w:r w:rsidRPr="00501808">
              <w:rPr>
                <w:rFonts w:cs="Times New Roman"/>
                <w:sz w:val="20"/>
                <w:szCs w:val="20"/>
                <w:lang w:val="fr-CA"/>
              </w:rPr>
              <w:t>requise pour l’infraction d’avoir aidé et encouragé quelqu’un à commettre un meurtre au deuxième degré.  Pour les motifs exposés par la juge Rowbotham de la Cour d’appel,  nous sommes d’avis de rejeter ces moyens d’appel.</w:t>
            </w:r>
            <w:r w:rsidRPr="00501808">
              <w:rPr>
                <w:smallCaps/>
                <w:sz w:val="20"/>
                <w:szCs w:val="20"/>
                <w:lang w:val="fr-CA"/>
              </w:rPr>
              <w:t xml:space="preserve"> </w:t>
            </w:r>
          </w:p>
          <w:p w:rsidR="00676832" w:rsidRPr="00501808" w:rsidRDefault="00676832" w:rsidP="00676832">
            <w:pPr>
              <w:jc w:val="both"/>
              <w:rPr>
                <w:smallCaps/>
                <w:sz w:val="20"/>
                <w:szCs w:val="20"/>
                <w:lang w:val="fr-CA"/>
              </w:rPr>
            </w:pPr>
          </w:p>
          <w:p w:rsidR="00676832" w:rsidRPr="00501808" w:rsidRDefault="00676832" w:rsidP="00676832">
            <w:pPr>
              <w:pStyle w:val="ParaNoNdepar-AltN"/>
              <w:numPr>
                <w:ilvl w:val="0"/>
                <w:numId w:val="0"/>
              </w:numPr>
              <w:spacing w:before="0" w:after="0" w:line="240" w:lineRule="auto"/>
              <w:rPr>
                <w:rFonts w:cs="Times New Roman"/>
                <w:sz w:val="20"/>
                <w:szCs w:val="20"/>
              </w:rPr>
            </w:pPr>
            <w:r w:rsidRPr="00501808">
              <w:rPr>
                <w:rFonts w:cs="Times New Roman"/>
                <w:sz w:val="20"/>
                <w:szCs w:val="20"/>
              </w:rPr>
              <w:t xml:space="preserve">Le troisième moyen d’appel porte sur certaines déclarations extrajudiciaires faites par le co-accusé de l’appelant et que le ministère public a déposées en preuve contre le co-accusé en tant qu’aveux.  L’appelant plaide que la juge du procès a fait erreur en omettant de dire aux jurés que, pour rendre leur verdict à l’égard de l’appelant, ils pouvaient s’appuyer sur ces déclarations comme preuves de la véracité de </w:t>
            </w:r>
            <w:r w:rsidRPr="00501808">
              <w:rPr>
                <w:rFonts w:cs="Times New Roman"/>
                <w:sz w:val="20"/>
                <w:szCs w:val="20"/>
              </w:rPr>
              <w:lastRenderedPageBreak/>
              <w:t>leur contenu.</w:t>
            </w:r>
          </w:p>
          <w:p w:rsidR="00676832" w:rsidRPr="00501808" w:rsidRDefault="00676832" w:rsidP="00676832">
            <w:pPr>
              <w:jc w:val="both"/>
              <w:rPr>
                <w:smallCaps/>
                <w:sz w:val="20"/>
                <w:szCs w:val="20"/>
                <w:lang w:val="fr-CA"/>
              </w:rPr>
            </w:pPr>
          </w:p>
          <w:p w:rsidR="00676832" w:rsidRPr="00501808" w:rsidRDefault="00676832" w:rsidP="00676832">
            <w:pPr>
              <w:pStyle w:val="ParaNoNdepar-AltN"/>
              <w:numPr>
                <w:ilvl w:val="0"/>
                <w:numId w:val="0"/>
              </w:numPr>
              <w:spacing w:before="0" w:after="0" w:line="240" w:lineRule="auto"/>
              <w:rPr>
                <w:rFonts w:cs="Times New Roman"/>
                <w:sz w:val="20"/>
                <w:szCs w:val="20"/>
              </w:rPr>
            </w:pPr>
            <w:r w:rsidRPr="00501808">
              <w:rPr>
                <w:rFonts w:cs="Times New Roman"/>
                <w:sz w:val="20"/>
                <w:szCs w:val="20"/>
              </w:rPr>
              <w:t xml:space="preserve">Cet argument ne peut selon nous être retenu.  Selon la règle générale, les déclarations extrajudiciaires d’une partie peuvent être produites en preuve par une partie adverse comme preuves de la véracité de leur contenu.  Mais, comme l’a dit au jury la juge du procès, en général les déclarations admises en preuve sur cette base peuvent être utilisées uniquement pour décider du sort de leur auteur.  Elle a formulé cette directive standard avec l’assentiment exprès des avocats au procès.  Elle n’a pas commis d’erreur en le faisant.  Au procès, l’avocat de l’appelant n’a pas tenté, dans le cadre de la défense de son client, de présenter les déclarations extrajudiciaires du co-accusé comme preuves de la véracité de leur contenu en vertu de l’approche raisonnée en matière de ouï-dire ou de quelque autre fondement. </w:t>
            </w:r>
          </w:p>
          <w:p w:rsidR="00676832" w:rsidRPr="00501808" w:rsidRDefault="00676832" w:rsidP="00676832">
            <w:pPr>
              <w:pStyle w:val="ParaNoNdepar-AltN"/>
              <w:numPr>
                <w:ilvl w:val="0"/>
                <w:numId w:val="0"/>
              </w:numPr>
              <w:spacing w:before="0" w:after="0" w:line="240" w:lineRule="auto"/>
              <w:rPr>
                <w:rFonts w:cs="Times New Roman"/>
                <w:sz w:val="20"/>
                <w:szCs w:val="20"/>
              </w:rPr>
            </w:pPr>
          </w:p>
          <w:p w:rsidR="00676832" w:rsidRPr="00501808" w:rsidRDefault="00676832" w:rsidP="00676832">
            <w:pPr>
              <w:pStyle w:val="ParaNoNdepar-AltN"/>
              <w:numPr>
                <w:ilvl w:val="0"/>
                <w:numId w:val="0"/>
              </w:numPr>
              <w:spacing w:before="0" w:after="0" w:line="240" w:lineRule="auto"/>
              <w:rPr>
                <w:rFonts w:cs="Times New Roman"/>
                <w:sz w:val="20"/>
                <w:szCs w:val="20"/>
              </w:rPr>
            </w:pPr>
            <w:r w:rsidRPr="00501808">
              <w:rPr>
                <w:rFonts w:cs="Times New Roman"/>
                <w:sz w:val="20"/>
                <w:szCs w:val="20"/>
              </w:rPr>
              <w:t xml:space="preserve">Il semble que rien n’empêchait l’appelant de tenter de soumettre ces déclarations comme preuves de la véracité de leur contenu suivant cette approche.  Or, aucune tentative de la sorte n’a été faite en l’espèce.  Il ne s’est donc rien produit qui aurait justifié la juge de formuler la directive sollicitée aujourd’hui.  Soulignons que l’affaire </w:t>
            </w:r>
            <w:r w:rsidRPr="00501808">
              <w:rPr>
                <w:rFonts w:cs="Times New Roman"/>
                <w:i/>
                <w:sz w:val="20"/>
                <w:szCs w:val="20"/>
              </w:rPr>
              <w:t>R. c. Edwards</w:t>
            </w:r>
            <w:r w:rsidRPr="00501808">
              <w:rPr>
                <w:rFonts w:cs="Times New Roman"/>
                <w:sz w:val="20"/>
                <w:szCs w:val="20"/>
              </w:rPr>
              <w:t>, 2004 BCCA 558, où un accusé a produit en preuve pour sa défense la déclaration incriminante de son co-accusé, soulève des questions différentes, que nous n’avons pas à examiner en l’espèce.</w:t>
            </w:r>
          </w:p>
          <w:p w:rsidR="00676832" w:rsidRPr="00501808" w:rsidRDefault="00676832" w:rsidP="00676832">
            <w:pPr>
              <w:pStyle w:val="ParaNoNdepar-AltN"/>
              <w:numPr>
                <w:ilvl w:val="0"/>
                <w:numId w:val="0"/>
              </w:numPr>
              <w:spacing w:before="0" w:after="0" w:line="240" w:lineRule="auto"/>
              <w:rPr>
                <w:rFonts w:cs="Times New Roman"/>
                <w:sz w:val="20"/>
                <w:szCs w:val="20"/>
              </w:rPr>
            </w:pPr>
          </w:p>
          <w:p w:rsidR="00676832" w:rsidRPr="00501808" w:rsidRDefault="00676832" w:rsidP="00676832">
            <w:pPr>
              <w:jc w:val="both"/>
              <w:rPr>
                <w:rFonts w:cs="Times New Roman"/>
                <w:sz w:val="20"/>
                <w:szCs w:val="20"/>
                <w:lang w:val="fr-CA"/>
              </w:rPr>
            </w:pPr>
            <w:r w:rsidRPr="00501808">
              <w:rPr>
                <w:rFonts w:cs="Times New Roman"/>
                <w:sz w:val="20"/>
                <w:szCs w:val="20"/>
                <w:lang w:val="fr-CA"/>
              </w:rPr>
              <w:t xml:space="preserve">Bien que ce qui précède suffise pour  trancher les questions de droit sur lesquelles reposait la dissidence en Cour d’appel, nous tenons également à souligner que les déclarations de l’appelant et de son co-accusé étaient en apparence très peu fiables et tendaient, en tout état de cause, à les incriminer tous les deux.  Personne ne prétend que constituait autre chose que des décisions tactiques raisonnables le fait pour l’avocat de la défense de ne pas avoir sollicité l’admission de ces déclarations comme preuves de la véracité de leur contenu suivant l’approche raisonnée en matière de ouï-dire, ou la tenue d’un procès distinct pour que le co-accusé devienne un témoin contraignable.  Aucune raison justifiant de permettre à l’appelant de réexaminer ces questions en appel n’a été démontrée : voir </w:t>
            </w:r>
            <w:r w:rsidRPr="00501808">
              <w:rPr>
                <w:rFonts w:cs="Times New Roman"/>
                <w:i/>
                <w:sz w:val="20"/>
                <w:szCs w:val="20"/>
                <w:lang w:val="fr-CA"/>
              </w:rPr>
              <w:t>R. c. J.F.</w:t>
            </w:r>
            <w:r w:rsidRPr="00501808">
              <w:rPr>
                <w:rFonts w:cs="Times New Roman"/>
                <w:sz w:val="20"/>
                <w:szCs w:val="20"/>
                <w:lang w:val="fr-CA"/>
              </w:rPr>
              <w:t>, 2013 CSC 12, par. 68.</w:t>
            </w:r>
          </w:p>
          <w:p w:rsidR="00676832" w:rsidRPr="00501808" w:rsidRDefault="00676832" w:rsidP="00676832">
            <w:pPr>
              <w:jc w:val="both"/>
              <w:rPr>
                <w:rFonts w:cs="Times New Roman"/>
                <w:sz w:val="20"/>
                <w:szCs w:val="20"/>
                <w:lang w:val="fr-CA"/>
              </w:rPr>
            </w:pPr>
          </w:p>
          <w:p w:rsidR="00BB066D" w:rsidRPr="00C1697B" w:rsidRDefault="00676832" w:rsidP="00676832">
            <w:pPr>
              <w:jc w:val="both"/>
              <w:rPr>
                <w:sz w:val="20"/>
                <w:szCs w:val="20"/>
                <w:lang w:val="fr-CA"/>
              </w:rPr>
            </w:pPr>
            <w:r w:rsidRPr="00501808">
              <w:rPr>
                <w:rFonts w:cs="Times New Roman"/>
                <w:sz w:val="20"/>
                <w:szCs w:val="20"/>
                <w:lang w:val="fr-CA"/>
              </w:rPr>
              <w:t>Pour ces motifs, l’appel est rejeté.</w:t>
            </w:r>
          </w:p>
        </w:tc>
      </w:tr>
    </w:tbl>
    <w:p w:rsidR="00BB066D" w:rsidRPr="00DE1CAD" w:rsidRDefault="00BB066D" w:rsidP="00BB066D">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B066D" w:rsidRPr="00DA4390" w:rsidTr="00A42D17">
        <w:tc>
          <w:tcPr>
            <w:tcW w:w="4380" w:type="dxa"/>
            <w:tcMar>
              <w:left w:w="0" w:type="dxa"/>
              <w:right w:w="0" w:type="dxa"/>
            </w:tcMar>
          </w:tcPr>
          <w:p w:rsidR="00BB066D" w:rsidRPr="00CC4D84" w:rsidRDefault="00BB066D" w:rsidP="00A42D17">
            <w:pPr>
              <w:widowControl w:val="0"/>
              <w:jc w:val="both"/>
              <w:rPr>
                <w:b/>
                <w:sz w:val="20"/>
                <w:szCs w:val="20"/>
                <w:u w:val="single"/>
              </w:rPr>
            </w:pPr>
            <w:r w:rsidRPr="00CC4D84">
              <w:rPr>
                <w:b/>
                <w:sz w:val="20"/>
                <w:szCs w:val="20"/>
                <w:u w:val="single"/>
              </w:rPr>
              <w:t>Nature of the case:</w:t>
            </w:r>
          </w:p>
          <w:p w:rsidR="00BB066D" w:rsidRPr="001A663B" w:rsidRDefault="00BB066D" w:rsidP="00A42D17">
            <w:pPr>
              <w:widowControl w:val="0"/>
              <w:jc w:val="both"/>
              <w:rPr>
                <w:b/>
                <w:sz w:val="20"/>
                <w:szCs w:val="20"/>
              </w:rPr>
            </w:pPr>
          </w:p>
          <w:p w:rsidR="00BB066D" w:rsidRPr="00C1697B" w:rsidRDefault="00EC5D9D" w:rsidP="00A42D17">
            <w:pPr>
              <w:widowControl w:val="0"/>
              <w:jc w:val="both"/>
              <w:rPr>
                <w:b/>
                <w:sz w:val="20"/>
                <w:szCs w:val="20"/>
              </w:rPr>
            </w:pPr>
            <w:r w:rsidRPr="00A20CAC">
              <w:rPr>
                <w:sz w:val="20"/>
                <w:szCs w:val="20"/>
              </w:rPr>
              <w:t xml:space="preserve">Criminal law - Charge to jury - Whether the trial judge erred by failing to advise the jury that if it found </w:t>
            </w:r>
            <w:r w:rsidRPr="00A20CAC">
              <w:rPr>
                <w:sz w:val="20"/>
                <w:szCs w:val="20"/>
              </w:rPr>
              <w:lastRenderedPageBreak/>
              <w:t>that a co-accused had admitted, in an out-of-court statement, that he was the one who killed the victim, or alternatively, that he was the person who slit the victim’s throat, the admission could be used in determining the accused’s culpability - Whether the trial judge erred by failing to instruct the jury properly on the potential acquittal of both co-accused - Whether the trial judge erred in failing to adequately instruct the jury in relation to aiding and abetting, and intoxication.</w:t>
            </w:r>
          </w:p>
        </w:tc>
        <w:tc>
          <w:tcPr>
            <w:tcW w:w="720" w:type="dxa"/>
            <w:tcMar>
              <w:left w:w="0" w:type="dxa"/>
              <w:right w:w="0" w:type="dxa"/>
            </w:tcMar>
          </w:tcPr>
          <w:p w:rsidR="00BB066D" w:rsidRPr="00C1697B" w:rsidRDefault="00BB066D" w:rsidP="00A42D17">
            <w:pPr>
              <w:widowControl w:val="0"/>
              <w:jc w:val="center"/>
              <w:rPr>
                <w:sz w:val="20"/>
                <w:szCs w:val="20"/>
              </w:rPr>
            </w:pPr>
          </w:p>
        </w:tc>
        <w:tc>
          <w:tcPr>
            <w:tcW w:w="4380" w:type="dxa"/>
            <w:tcMar>
              <w:left w:w="0" w:type="dxa"/>
              <w:right w:w="0" w:type="dxa"/>
            </w:tcMar>
          </w:tcPr>
          <w:p w:rsidR="00BB066D" w:rsidRPr="00CC4D84" w:rsidRDefault="00BB066D" w:rsidP="00A42D17">
            <w:pPr>
              <w:widowControl w:val="0"/>
              <w:jc w:val="both"/>
              <w:rPr>
                <w:b/>
                <w:sz w:val="20"/>
                <w:szCs w:val="20"/>
                <w:u w:val="single"/>
                <w:lang w:val="fr-CA"/>
              </w:rPr>
            </w:pPr>
            <w:r w:rsidRPr="00CC4D84">
              <w:rPr>
                <w:b/>
                <w:sz w:val="20"/>
                <w:szCs w:val="20"/>
                <w:u w:val="single"/>
                <w:lang w:val="fr-CA"/>
              </w:rPr>
              <w:t>Nature de la cause :</w:t>
            </w:r>
          </w:p>
          <w:p w:rsidR="00BB066D" w:rsidRPr="00C1697B" w:rsidRDefault="00BB066D" w:rsidP="00A42D17">
            <w:pPr>
              <w:widowControl w:val="0"/>
              <w:jc w:val="both"/>
              <w:rPr>
                <w:sz w:val="20"/>
                <w:szCs w:val="20"/>
                <w:lang w:val="fr-CA"/>
              </w:rPr>
            </w:pPr>
          </w:p>
          <w:p w:rsidR="00BB066D" w:rsidRPr="00C1697B" w:rsidRDefault="00EC5D9D" w:rsidP="00A42D17">
            <w:pPr>
              <w:widowControl w:val="0"/>
              <w:jc w:val="both"/>
              <w:rPr>
                <w:sz w:val="20"/>
                <w:szCs w:val="20"/>
                <w:lang w:val="fr-CA"/>
              </w:rPr>
            </w:pPr>
            <w:r w:rsidRPr="009526EE">
              <w:rPr>
                <w:sz w:val="20"/>
                <w:szCs w:val="20"/>
                <w:lang w:val="fr-CA"/>
              </w:rPr>
              <w:t xml:space="preserve">Droit criminel - Exposé au jury - Le juge du procès a-t-il eu tort de ne pas dire au jury que s’il concluait </w:t>
            </w:r>
            <w:r w:rsidRPr="009526EE">
              <w:rPr>
                <w:sz w:val="20"/>
                <w:szCs w:val="20"/>
                <w:lang w:val="fr-CA"/>
              </w:rPr>
              <w:lastRenderedPageBreak/>
              <w:t>qu’un coaccusé avait admis, dans une déclaration extrajudiciaire, être celui qui avait tué la victime ou, subsidiairement, être la personne qui avait tranché la gorge de la victime, l’admission pourrait être utilisée pour déterminer la culpabilité de l’accusé? - Le juge du procès a-t-il eu tort de ne pas donner au jury des directives appropriées sur l’acquittement éventuel des deux coaccusés? - Le juge du procès a-t-il eu tort de ne pas donner au jury des directives adéquates en lien avec l’aide et l’encouragement et l’intoxication?</w:t>
            </w:r>
          </w:p>
        </w:tc>
      </w:tr>
    </w:tbl>
    <w:p w:rsidR="00BB066D" w:rsidRDefault="00BB066D" w:rsidP="00BB066D">
      <w:pPr>
        <w:widowControl w:val="0"/>
        <w:rPr>
          <w:sz w:val="20"/>
          <w:szCs w:val="20"/>
          <w:lang w:val="fr-CA"/>
        </w:rPr>
      </w:pPr>
    </w:p>
    <w:p w:rsidR="00BB066D" w:rsidRDefault="0077107C" w:rsidP="00BB066D">
      <w:pPr>
        <w:widowControl w:val="0"/>
        <w:rPr>
          <w:sz w:val="20"/>
          <w:szCs w:val="20"/>
          <w:lang w:val="fr-CA"/>
        </w:rPr>
      </w:pPr>
      <w:r>
        <w:rPr>
          <w:sz w:val="20"/>
          <w:szCs w:val="20"/>
          <w:lang w:val="fr-CA"/>
        </w:rPr>
        <w:pict>
          <v:rect id="_x0000_i1061" style="width:2in;height:1pt" o:hrpct="0" o:hralign="center" o:hrstd="t" o:hrnoshade="t" o:hr="t" fillcolor="black [3213]" stroked="f"/>
        </w:pict>
      </w:r>
    </w:p>
    <w:p w:rsidR="00BB066D" w:rsidRPr="00C1697B" w:rsidRDefault="00BB066D" w:rsidP="00BB066D">
      <w:pPr>
        <w:widowControl w:val="0"/>
        <w:rPr>
          <w:sz w:val="20"/>
          <w:szCs w:val="20"/>
          <w:lang w:val="fr-CA"/>
        </w:rPr>
      </w:pPr>
    </w:p>
    <w:p w:rsidR="00BB066D" w:rsidRDefault="00BB066D" w:rsidP="00BB066D">
      <w:pPr>
        <w:widowControl w:val="0"/>
        <w:rPr>
          <w:sz w:val="20"/>
          <w:szCs w:val="20"/>
        </w:rPr>
      </w:pPr>
      <w:r>
        <w:rPr>
          <w:sz w:val="20"/>
          <w:szCs w:val="20"/>
        </w:rPr>
        <w:t>21.02.2014</w:t>
      </w:r>
    </w:p>
    <w:p w:rsidR="00BB066D" w:rsidRDefault="00BB066D" w:rsidP="00BB066D">
      <w:pPr>
        <w:widowControl w:val="0"/>
        <w:rPr>
          <w:sz w:val="20"/>
          <w:szCs w:val="20"/>
        </w:rPr>
      </w:pPr>
    </w:p>
    <w:p w:rsidR="00BB066D" w:rsidRPr="00E55BA6" w:rsidRDefault="00BB066D" w:rsidP="00BB066D">
      <w:pPr>
        <w:widowControl w:val="0"/>
        <w:ind w:left="720" w:hanging="720"/>
        <w:rPr>
          <w:sz w:val="20"/>
          <w:szCs w:val="20"/>
          <w:u w:val="single"/>
        </w:rPr>
      </w:pPr>
      <w:r w:rsidRPr="00E55BA6">
        <w:rPr>
          <w:sz w:val="20"/>
          <w:szCs w:val="20"/>
        </w:rPr>
        <w:t xml:space="preserve">Coram: </w:t>
      </w:r>
      <w:r w:rsidRPr="00E55BA6">
        <w:rPr>
          <w:sz w:val="20"/>
          <w:szCs w:val="20"/>
        </w:rPr>
        <w:tab/>
      </w:r>
      <w:r w:rsidRPr="00E55BA6">
        <w:rPr>
          <w:sz w:val="20"/>
          <w:szCs w:val="20"/>
          <w:u w:val="single"/>
        </w:rPr>
        <w:t>McLachlin C.J. and Cromwell, Moldaver, Karakatsanis and Wagner JJ.</w:t>
      </w:r>
    </w:p>
    <w:p w:rsidR="00BB066D" w:rsidRDefault="00BB066D" w:rsidP="00BB066D">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B066D" w:rsidRPr="00C50A5C" w:rsidTr="00A42D17">
        <w:tc>
          <w:tcPr>
            <w:tcW w:w="4380" w:type="dxa"/>
            <w:tcMar>
              <w:left w:w="0" w:type="dxa"/>
              <w:right w:w="0" w:type="dxa"/>
            </w:tcMar>
          </w:tcPr>
          <w:p w:rsidR="00BB066D" w:rsidRDefault="00BB066D" w:rsidP="00BB066D">
            <w:pPr>
              <w:widowControl w:val="0"/>
              <w:rPr>
                <w:b/>
                <w:sz w:val="20"/>
                <w:szCs w:val="20"/>
              </w:rPr>
            </w:pPr>
            <w:r w:rsidRPr="00E55BA6">
              <w:rPr>
                <w:b/>
                <w:sz w:val="20"/>
                <w:szCs w:val="20"/>
              </w:rPr>
              <w:t xml:space="preserve">Her Majesty the Queen </w:t>
            </w:r>
          </w:p>
          <w:p w:rsidR="00BB066D" w:rsidRDefault="00BB066D" w:rsidP="00BB066D">
            <w:pPr>
              <w:widowControl w:val="0"/>
              <w:rPr>
                <w:b/>
                <w:sz w:val="20"/>
                <w:szCs w:val="20"/>
              </w:rPr>
            </w:pPr>
          </w:p>
          <w:p w:rsidR="00BB066D" w:rsidRPr="00E55BA6" w:rsidRDefault="00BB066D" w:rsidP="00BB066D">
            <w:pPr>
              <w:widowControl w:val="0"/>
              <w:rPr>
                <w:sz w:val="20"/>
                <w:szCs w:val="20"/>
              </w:rPr>
            </w:pPr>
            <w:r>
              <w:rPr>
                <w:b/>
                <w:sz w:val="20"/>
                <w:szCs w:val="20"/>
              </w:rPr>
              <w:tab/>
            </w:r>
            <w:r w:rsidRPr="00E55BA6">
              <w:rPr>
                <w:b/>
                <w:sz w:val="20"/>
                <w:szCs w:val="20"/>
              </w:rPr>
              <w:t xml:space="preserve">v. </w:t>
            </w:r>
            <w:r w:rsidRPr="00E55BA6">
              <w:rPr>
                <w:sz w:val="20"/>
                <w:szCs w:val="20"/>
              </w:rPr>
              <w:t>(</w:t>
            </w:r>
            <w:hyperlink r:id="rId57" w:history="1">
              <w:r w:rsidRPr="00E55BA6">
                <w:rPr>
                  <w:rStyle w:val="Hyperlink"/>
                  <w:sz w:val="20"/>
                  <w:szCs w:val="20"/>
                </w:rPr>
                <w:t>35504</w:t>
              </w:r>
            </w:hyperlink>
            <w:r w:rsidRPr="00E55BA6">
              <w:rPr>
                <w:sz w:val="20"/>
                <w:szCs w:val="20"/>
              </w:rPr>
              <w:t>)</w:t>
            </w:r>
          </w:p>
          <w:p w:rsidR="00BB066D" w:rsidRDefault="00BB066D" w:rsidP="00A42D17">
            <w:pPr>
              <w:widowControl w:val="0"/>
              <w:tabs>
                <w:tab w:val="left" w:pos="720"/>
                <w:tab w:val="left" w:pos="1440"/>
                <w:tab w:val="left" w:pos="2851"/>
                <w:tab w:val="left" w:pos="4320"/>
                <w:tab w:val="left" w:pos="10224"/>
                <w:tab w:val="left" w:pos="11376"/>
              </w:tabs>
              <w:rPr>
                <w:b/>
                <w:sz w:val="20"/>
                <w:szCs w:val="20"/>
              </w:rPr>
            </w:pPr>
          </w:p>
          <w:p w:rsidR="00BB066D" w:rsidRPr="0093057E" w:rsidRDefault="00BB066D" w:rsidP="00BB066D">
            <w:pPr>
              <w:widowControl w:val="0"/>
              <w:tabs>
                <w:tab w:val="left" w:pos="720"/>
                <w:tab w:val="left" w:pos="1440"/>
                <w:tab w:val="left" w:pos="2851"/>
                <w:tab w:val="left" w:pos="4320"/>
                <w:tab w:val="left" w:pos="10224"/>
                <w:tab w:val="left" w:pos="11376"/>
              </w:tabs>
              <w:rPr>
                <w:sz w:val="20"/>
                <w:szCs w:val="20"/>
              </w:rPr>
            </w:pPr>
            <w:r w:rsidRPr="00E55BA6">
              <w:rPr>
                <w:b/>
                <w:sz w:val="20"/>
                <w:szCs w:val="20"/>
              </w:rPr>
              <w:t>Jeffery Lea Hogg (P.E.I.) (Criminal) (As of Right)</w:t>
            </w:r>
          </w:p>
        </w:tc>
        <w:tc>
          <w:tcPr>
            <w:tcW w:w="720" w:type="dxa"/>
            <w:tcMar>
              <w:left w:w="0" w:type="dxa"/>
              <w:right w:w="0" w:type="dxa"/>
            </w:tcMar>
          </w:tcPr>
          <w:p w:rsidR="00BB066D" w:rsidRPr="0093057E" w:rsidRDefault="00BB066D" w:rsidP="00A42D17">
            <w:pPr>
              <w:widowControl w:val="0"/>
              <w:jc w:val="center"/>
              <w:rPr>
                <w:sz w:val="20"/>
                <w:szCs w:val="20"/>
              </w:rPr>
            </w:pPr>
          </w:p>
        </w:tc>
        <w:tc>
          <w:tcPr>
            <w:tcW w:w="4380" w:type="dxa"/>
            <w:tcMar>
              <w:left w:w="0" w:type="dxa"/>
              <w:right w:w="0" w:type="dxa"/>
            </w:tcMar>
          </w:tcPr>
          <w:p w:rsidR="00EC5D9D" w:rsidRPr="00D644CC" w:rsidRDefault="00EC5D9D" w:rsidP="00EC5D9D">
            <w:pPr>
              <w:tabs>
                <w:tab w:val="left" w:pos="-2970"/>
              </w:tabs>
              <w:rPr>
                <w:sz w:val="20"/>
                <w:szCs w:val="20"/>
                <w:lang w:val="en-US"/>
              </w:rPr>
            </w:pPr>
            <w:r w:rsidRPr="00D644CC">
              <w:rPr>
                <w:sz w:val="20"/>
                <w:szCs w:val="20"/>
                <w:lang w:val="en-US"/>
              </w:rPr>
              <w:t>Gerald K. Quinn Q.C.</w:t>
            </w:r>
            <w:r>
              <w:rPr>
                <w:sz w:val="20"/>
                <w:szCs w:val="20"/>
                <w:lang w:val="en-US"/>
              </w:rPr>
              <w:t xml:space="preserve"> and </w:t>
            </w:r>
            <w:r w:rsidRPr="00D644CC">
              <w:rPr>
                <w:sz w:val="20"/>
                <w:szCs w:val="20"/>
                <w:lang w:val="en-US"/>
              </w:rPr>
              <w:t>Henry S. Brown, Q.C.</w:t>
            </w:r>
            <w:r>
              <w:rPr>
                <w:sz w:val="20"/>
                <w:szCs w:val="20"/>
                <w:lang w:val="en-US"/>
              </w:rPr>
              <w:t xml:space="preserve"> f</w:t>
            </w:r>
            <w:r w:rsidRPr="00D644CC">
              <w:rPr>
                <w:sz w:val="20"/>
                <w:szCs w:val="20"/>
                <w:lang w:val="en-US"/>
              </w:rPr>
              <w:t xml:space="preserve">or the </w:t>
            </w:r>
            <w:r>
              <w:rPr>
                <w:sz w:val="20"/>
                <w:szCs w:val="20"/>
                <w:lang w:val="en-US"/>
              </w:rPr>
              <w:t>a</w:t>
            </w:r>
            <w:r w:rsidRPr="00D644CC">
              <w:rPr>
                <w:sz w:val="20"/>
                <w:szCs w:val="20"/>
                <w:lang w:val="en-US"/>
              </w:rPr>
              <w:t>ppellant.</w:t>
            </w:r>
          </w:p>
          <w:p w:rsidR="00EC5D9D" w:rsidRPr="00D644CC" w:rsidRDefault="00EC5D9D" w:rsidP="00EC5D9D">
            <w:pPr>
              <w:tabs>
                <w:tab w:val="left" w:pos="-2970"/>
              </w:tabs>
              <w:rPr>
                <w:sz w:val="20"/>
                <w:szCs w:val="20"/>
                <w:lang w:val="en-US"/>
              </w:rPr>
            </w:pPr>
          </w:p>
          <w:p w:rsidR="00BB066D" w:rsidRPr="00C50A5C" w:rsidRDefault="00EC5D9D" w:rsidP="00EC5D9D">
            <w:pPr>
              <w:widowControl w:val="0"/>
              <w:jc w:val="both"/>
              <w:rPr>
                <w:sz w:val="20"/>
                <w:szCs w:val="20"/>
              </w:rPr>
            </w:pPr>
            <w:r w:rsidRPr="00D644CC">
              <w:rPr>
                <w:sz w:val="20"/>
                <w:szCs w:val="20"/>
                <w:lang w:val="en-US"/>
              </w:rPr>
              <w:t>Mitchell T. MacLeod</w:t>
            </w:r>
            <w:r>
              <w:rPr>
                <w:sz w:val="20"/>
                <w:szCs w:val="20"/>
                <w:lang w:val="en-US"/>
              </w:rPr>
              <w:t xml:space="preserve"> and </w:t>
            </w:r>
            <w:r w:rsidRPr="00D644CC">
              <w:rPr>
                <w:sz w:val="20"/>
                <w:szCs w:val="20"/>
                <w:lang w:val="en-US"/>
              </w:rPr>
              <w:t>Jonathan Melo</w:t>
            </w:r>
            <w:r>
              <w:rPr>
                <w:sz w:val="20"/>
                <w:szCs w:val="20"/>
                <w:lang w:val="en-US"/>
              </w:rPr>
              <w:t xml:space="preserve"> f</w:t>
            </w:r>
            <w:r w:rsidRPr="00D644CC">
              <w:rPr>
                <w:sz w:val="20"/>
                <w:szCs w:val="20"/>
                <w:lang w:val="en-US"/>
              </w:rPr>
              <w:t xml:space="preserve">or the </w:t>
            </w:r>
            <w:r>
              <w:rPr>
                <w:sz w:val="20"/>
                <w:szCs w:val="20"/>
                <w:lang w:val="en-US"/>
              </w:rPr>
              <w:t>r</w:t>
            </w:r>
            <w:r w:rsidRPr="00D644CC">
              <w:rPr>
                <w:sz w:val="20"/>
                <w:szCs w:val="20"/>
                <w:lang w:val="en-US"/>
              </w:rPr>
              <w:t>espondent.</w:t>
            </w:r>
          </w:p>
        </w:tc>
      </w:tr>
    </w:tbl>
    <w:p w:rsidR="00BB066D" w:rsidRDefault="00BB066D" w:rsidP="00BB066D">
      <w:pPr>
        <w:widowControl w:val="0"/>
        <w:rPr>
          <w:sz w:val="20"/>
          <w:szCs w:val="20"/>
        </w:rPr>
      </w:pPr>
    </w:p>
    <w:p w:rsidR="00BB066D" w:rsidRPr="00E55BA6" w:rsidRDefault="00BB066D" w:rsidP="00BB066D">
      <w:pPr>
        <w:widowControl w:val="0"/>
        <w:tabs>
          <w:tab w:val="left" w:pos="720"/>
          <w:tab w:val="left" w:pos="1440"/>
          <w:tab w:val="left" w:pos="2851"/>
          <w:tab w:val="left" w:pos="4320"/>
          <w:tab w:val="left" w:pos="10224"/>
          <w:tab w:val="left" w:pos="11376"/>
        </w:tabs>
        <w:rPr>
          <w:b/>
          <w:sz w:val="20"/>
          <w:szCs w:val="20"/>
        </w:rPr>
      </w:pPr>
      <w:r w:rsidRPr="00E55BA6">
        <w:rPr>
          <w:b/>
          <w:sz w:val="20"/>
          <w:szCs w:val="20"/>
        </w:rPr>
        <w:t>2014 SCC 1</w:t>
      </w:r>
      <w:r>
        <w:rPr>
          <w:b/>
          <w:sz w:val="20"/>
          <w:szCs w:val="20"/>
        </w:rPr>
        <w:t>8</w:t>
      </w:r>
      <w:r w:rsidRPr="00E55BA6">
        <w:rPr>
          <w:b/>
          <w:sz w:val="20"/>
          <w:szCs w:val="20"/>
        </w:rPr>
        <w:t xml:space="preserve"> / 2014 CSC 1</w:t>
      </w:r>
      <w:r>
        <w:rPr>
          <w:b/>
          <w:sz w:val="20"/>
          <w:szCs w:val="20"/>
        </w:rPr>
        <w:t>8</w:t>
      </w:r>
    </w:p>
    <w:p w:rsidR="00BB066D" w:rsidRDefault="00BB066D" w:rsidP="00BB066D">
      <w:pPr>
        <w:widowControl w:val="0"/>
        <w:rPr>
          <w:sz w:val="20"/>
          <w:szCs w:val="20"/>
        </w:rPr>
      </w:pPr>
    </w:p>
    <w:p w:rsidR="00BB066D" w:rsidRPr="00E55BA6" w:rsidRDefault="00BB066D" w:rsidP="00BB066D">
      <w:pPr>
        <w:widowControl w:val="0"/>
        <w:rPr>
          <w:sz w:val="20"/>
          <w:szCs w:val="20"/>
        </w:rPr>
      </w:pPr>
      <w:r w:rsidRPr="00E55BA6">
        <w:rPr>
          <w:b/>
          <w:sz w:val="20"/>
          <w:szCs w:val="20"/>
        </w:rPr>
        <w:t>ALLOWED / ACCUEILLI</w:t>
      </w:r>
    </w:p>
    <w:p w:rsidR="00BB066D" w:rsidRDefault="00BB066D" w:rsidP="00BB066D"/>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B066D" w:rsidRPr="00DA4390" w:rsidTr="00A42D17">
        <w:tc>
          <w:tcPr>
            <w:tcW w:w="4380" w:type="dxa"/>
            <w:tcMar>
              <w:left w:w="0" w:type="dxa"/>
              <w:right w:w="0" w:type="dxa"/>
            </w:tcMar>
          </w:tcPr>
          <w:p w:rsidR="00BB066D" w:rsidRPr="00CC4D84" w:rsidRDefault="00BB066D" w:rsidP="00A42D17">
            <w:pPr>
              <w:widowControl w:val="0"/>
              <w:jc w:val="both"/>
              <w:rPr>
                <w:b/>
                <w:sz w:val="20"/>
                <w:szCs w:val="20"/>
                <w:u w:val="single"/>
              </w:rPr>
            </w:pPr>
            <w:r>
              <w:rPr>
                <w:b/>
                <w:sz w:val="20"/>
                <w:szCs w:val="20"/>
                <w:u w:val="single"/>
              </w:rPr>
              <w:t>JUDGMENT</w:t>
            </w:r>
            <w:r w:rsidRPr="00CC4D84">
              <w:rPr>
                <w:b/>
                <w:sz w:val="20"/>
                <w:szCs w:val="20"/>
                <w:u w:val="single"/>
              </w:rPr>
              <w:t>:</w:t>
            </w:r>
          </w:p>
          <w:p w:rsidR="00BB066D" w:rsidRPr="001A663B" w:rsidRDefault="00BB066D" w:rsidP="00A42D17">
            <w:pPr>
              <w:widowControl w:val="0"/>
              <w:jc w:val="both"/>
              <w:rPr>
                <w:b/>
                <w:sz w:val="20"/>
                <w:szCs w:val="20"/>
              </w:rPr>
            </w:pPr>
          </w:p>
          <w:p w:rsidR="00FB7C83" w:rsidRPr="009A36D2" w:rsidRDefault="00FB7C83" w:rsidP="00FB7C83">
            <w:pPr>
              <w:jc w:val="both"/>
              <w:rPr>
                <w:sz w:val="20"/>
                <w:szCs w:val="20"/>
              </w:rPr>
            </w:pPr>
            <w:r w:rsidRPr="009A36D2">
              <w:rPr>
                <w:sz w:val="20"/>
                <w:szCs w:val="20"/>
              </w:rPr>
              <w:t xml:space="preserve">The appeal from the judgment of the Prince Edward Island Court of Appeal, Number S1-CA-1261, 2013 PECA 11, dated August 2, 2013, was heard on February 21, 2014, and the Court on that day delivered the following judgment orally: </w:t>
            </w:r>
          </w:p>
          <w:p w:rsidR="00FB7C83" w:rsidRPr="009A36D2" w:rsidRDefault="00FB7C83" w:rsidP="00FB7C83">
            <w:pPr>
              <w:jc w:val="both"/>
              <w:rPr>
                <w:sz w:val="20"/>
                <w:szCs w:val="20"/>
              </w:rPr>
            </w:pPr>
          </w:p>
          <w:p w:rsidR="00FB7C83" w:rsidRPr="009A36D2" w:rsidRDefault="00FB7C83" w:rsidP="00FB7C83">
            <w:pPr>
              <w:jc w:val="both"/>
              <w:rPr>
                <w:rFonts w:cs="Times New Roman"/>
                <w:smallCaps/>
                <w:sz w:val="20"/>
                <w:szCs w:val="20"/>
              </w:rPr>
            </w:pPr>
          </w:p>
          <w:p w:rsidR="00BB066D" w:rsidRPr="00C1697B" w:rsidRDefault="00FB7C83" w:rsidP="00FB7C83">
            <w:pPr>
              <w:jc w:val="both"/>
              <w:rPr>
                <w:b/>
                <w:sz w:val="20"/>
                <w:szCs w:val="20"/>
              </w:rPr>
            </w:pPr>
            <w:r w:rsidRPr="009A36D2">
              <w:rPr>
                <w:rFonts w:cs="Times New Roman"/>
                <w:smallCaps/>
                <w:sz w:val="20"/>
                <w:szCs w:val="20"/>
              </w:rPr>
              <w:t xml:space="preserve">The Chief Justice — </w:t>
            </w:r>
            <w:r w:rsidRPr="009A36D2">
              <w:rPr>
                <w:rFonts w:cs="Times New Roman"/>
                <w:sz w:val="20"/>
                <w:szCs w:val="20"/>
              </w:rPr>
              <w:t>We agree with the conclusion reached by McQuaid J.A., dissenting in the Court of Appeal, that the trial judge did not err in his application of the burden of proof, and there was therefore no basis for appellate intervention.  The appeal is allowed and the conviction restored.</w:t>
            </w:r>
          </w:p>
        </w:tc>
        <w:tc>
          <w:tcPr>
            <w:tcW w:w="720" w:type="dxa"/>
            <w:tcMar>
              <w:left w:w="0" w:type="dxa"/>
              <w:right w:w="0" w:type="dxa"/>
            </w:tcMar>
          </w:tcPr>
          <w:p w:rsidR="00BB066D" w:rsidRPr="00C1697B" w:rsidRDefault="00BB066D" w:rsidP="00A42D17">
            <w:pPr>
              <w:widowControl w:val="0"/>
              <w:jc w:val="center"/>
              <w:rPr>
                <w:sz w:val="20"/>
                <w:szCs w:val="20"/>
              </w:rPr>
            </w:pPr>
          </w:p>
        </w:tc>
        <w:tc>
          <w:tcPr>
            <w:tcW w:w="4380" w:type="dxa"/>
            <w:tcMar>
              <w:left w:w="0" w:type="dxa"/>
              <w:right w:w="0" w:type="dxa"/>
            </w:tcMar>
          </w:tcPr>
          <w:p w:rsidR="00BB066D" w:rsidRPr="00CC4D84" w:rsidRDefault="00BB066D" w:rsidP="00A42D17">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BB066D" w:rsidRPr="00C1697B" w:rsidRDefault="00BB066D" w:rsidP="00A42D17">
            <w:pPr>
              <w:widowControl w:val="0"/>
              <w:jc w:val="both"/>
              <w:rPr>
                <w:sz w:val="20"/>
                <w:szCs w:val="20"/>
                <w:lang w:val="fr-CA"/>
              </w:rPr>
            </w:pPr>
          </w:p>
          <w:p w:rsidR="00FB7C83" w:rsidRPr="009A36D2" w:rsidRDefault="00FB7C83" w:rsidP="00FB7C83">
            <w:pPr>
              <w:jc w:val="both"/>
              <w:rPr>
                <w:sz w:val="20"/>
                <w:szCs w:val="20"/>
                <w:lang w:val="fr-CA"/>
              </w:rPr>
            </w:pPr>
            <w:r w:rsidRPr="009A36D2">
              <w:rPr>
                <w:sz w:val="20"/>
                <w:szCs w:val="20"/>
                <w:lang w:val="fr-CA"/>
              </w:rPr>
              <w:t>L’appel interjet</w:t>
            </w:r>
            <w:r w:rsidRPr="009A36D2">
              <w:rPr>
                <w:rFonts w:cs="Times New Roman"/>
                <w:sz w:val="20"/>
                <w:szCs w:val="20"/>
                <w:lang w:val="fr-CA"/>
              </w:rPr>
              <w:t>é</w:t>
            </w:r>
            <w:r w:rsidRPr="009A36D2">
              <w:rPr>
                <w:sz w:val="20"/>
                <w:szCs w:val="20"/>
                <w:lang w:val="fr-CA"/>
              </w:rPr>
              <w:t xml:space="preserve"> contre l’arrêt de la Cour d’appel de l’Île-du-Prince-Édouard, numéro S1-CA-1261, 2013 PECA 11, en date du 2 ao</w:t>
            </w:r>
            <w:r w:rsidRPr="009A36D2">
              <w:rPr>
                <w:rFonts w:cs="Times New Roman"/>
                <w:sz w:val="20"/>
                <w:szCs w:val="20"/>
                <w:lang w:val="fr-CA"/>
              </w:rPr>
              <w:t>û</w:t>
            </w:r>
            <w:r w:rsidRPr="009A36D2">
              <w:rPr>
                <w:sz w:val="20"/>
                <w:szCs w:val="20"/>
                <w:lang w:val="fr-CA"/>
              </w:rPr>
              <w:t>t 2013, a été entendu le 21 février 2014, et la Cour a prononcé oralement le même jour le jugement suivant :</w:t>
            </w:r>
          </w:p>
          <w:p w:rsidR="00FB7C83" w:rsidRPr="009A36D2" w:rsidRDefault="00FB7C83" w:rsidP="00FB7C83">
            <w:pPr>
              <w:jc w:val="both"/>
              <w:rPr>
                <w:sz w:val="20"/>
                <w:szCs w:val="20"/>
                <w:lang w:val="fr-CA"/>
              </w:rPr>
            </w:pPr>
            <w:r w:rsidRPr="009A36D2">
              <w:rPr>
                <w:sz w:val="20"/>
                <w:szCs w:val="20"/>
                <w:lang w:val="fr-CA"/>
              </w:rPr>
              <w:tab/>
            </w:r>
          </w:p>
          <w:p w:rsidR="00FB7C83" w:rsidRPr="009A36D2" w:rsidRDefault="00FB7C83" w:rsidP="00FB7C83">
            <w:pPr>
              <w:jc w:val="both"/>
              <w:rPr>
                <w:smallCaps/>
                <w:sz w:val="20"/>
                <w:szCs w:val="20"/>
                <w:lang w:val="fr-CA"/>
              </w:rPr>
            </w:pPr>
            <w:r w:rsidRPr="009A36D2">
              <w:rPr>
                <w:smallCaps/>
                <w:sz w:val="20"/>
                <w:szCs w:val="20"/>
                <w:lang w:val="fr-CA"/>
              </w:rPr>
              <w:t>[traduction]</w:t>
            </w:r>
          </w:p>
          <w:p w:rsidR="00BB066D" w:rsidRPr="00C1697B" w:rsidRDefault="00FB7C83" w:rsidP="00FB7C83">
            <w:pPr>
              <w:jc w:val="both"/>
              <w:rPr>
                <w:sz w:val="20"/>
                <w:szCs w:val="20"/>
                <w:lang w:val="fr-CA"/>
              </w:rPr>
            </w:pPr>
            <w:r w:rsidRPr="009A36D2">
              <w:rPr>
                <w:smallCaps/>
                <w:sz w:val="20"/>
                <w:szCs w:val="20"/>
                <w:lang w:val="fr-CA"/>
              </w:rPr>
              <w:t xml:space="preserve">La Juge en Chef — </w:t>
            </w:r>
            <w:r w:rsidRPr="009A36D2">
              <w:rPr>
                <w:sz w:val="20"/>
                <w:szCs w:val="20"/>
                <w:lang w:val="fr-CA"/>
              </w:rPr>
              <w:t>Nous souscrivons à la conclusion tirée par le juge McQuaid, dissident à la Cour d’appel, portant que le juge du procès n’a pas commis d’erreur en appliquant le fardeau de la preuve et qu’il n’y a donc pas matière à intervention en appel.  Le pourvoi est accueilli et la déclaration de culpabilité est rétablie.</w:t>
            </w:r>
          </w:p>
        </w:tc>
      </w:tr>
    </w:tbl>
    <w:p w:rsidR="00BB066D" w:rsidRPr="00DE1CAD" w:rsidRDefault="00BB066D" w:rsidP="00BB066D">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B066D" w:rsidRPr="00DA4390" w:rsidTr="00A42D17">
        <w:tc>
          <w:tcPr>
            <w:tcW w:w="4380" w:type="dxa"/>
            <w:tcMar>
              <w:left w:w="0" w:type="dxa"/>
              <w:right w:w="0" w:type="dxa"/>
            </w:tcMar>
          </w:tcPr>
          <w:p w:rsidR="00BB066D" w:rsidRPr="00CC4D84" w:rsidRDefault="00BB066D" w:rsidP="00A42D17">
            <w:pPr>
              <w:widowControl w:val="0"/>
              <w:jc w:val="both"/>
              <w:rPr>
                <w:b/>
                <w:sz w:val="20"/>
                <w:szCs w:val="20"/>
                <w:u w:val="single"/>
              </w:rPr>
            </w:pPr>
            <w:r w:rsidRPr="00CC4D84">
              <w:rPr>
                <w:b/>
                <w:sz w:val="20"/>
                <w:szCs w:val="20"/>
                <w:u w:val="single"/>
              </w:rPr>
              <w:t>Nature of the case:</w:t>
            </w:r>
          </w:p>
          <w:p w:rsidR="00BB066D" w:rsidRPr="001A663B" w:rsidRDefault="00BB066D" w:rsidP="00A42D17">
            <w:pPr>
              <w:widowControl w:val="0"/>
              <w:jc w:val="both"/>
              <w:rPr>
                <w:b/>
                <w:sz w:val="20"/>
                <w:szCs w:val="20"/>
              </w:rPr>
            </w:pPr>
          </w:p>
          <w:p w:rsidR="00EC5D9D" w:rsidRPr="000032BB" w:rsidRDefault="00EC5D9D" w:rsidP="00EC5D9D">
            <w:pPr>
              <w:widowControl w:val="0"/>
              <w:jc w:val="both"/>
              <w:rPr>
                <w:smallCaps/>
                <w:sz w:val="20"/>
                <w:szCs w:val="20"/>
              </w:rPr>
            </w:pPr>
            <w:r w:rsidRPr="000032BB">
              <w:rPr>
                <w:smallCaps/>
                <w:sz w:val="20"/>
                <w:szCs w:val="20"/>
              </w:rPr>
              <w:t>(Publication Ban in Case)</w:t>
            </w:r>
          </w:p>
          <w:p w:rsidR="00EC5D9D" w:rsidRDefault="00EC5D9D" w:rsidP="00EC5D9D">
            <w:pPr>
              <w:widowControl w:val="0"/>
              <w:jc w:val="both"/>
              <w:rPr>
                <w:sz w:val="20"/>
                <w:szCs w:val="20"/>
              </w:rPr>
            </w:pPr>
          </w:p>
          <w:p w:rsidR="00EC5D9D" w:rsidRPr="000032BB" w:rsidRDefault="00EC5D9D" w:rsidP="00EC5D9D">
            <w:pPr>
              <w:widowControl w:val="0"/>
              <w:jc w:val="both"/>
              <w:rPr>
                <w:sz w:val="20"/>
                <w:szCs w:val="20"/>
              </w:rPr>
            </w:pPr>
          </w:p>
          <w:p w:rsidR="00BB066D" w:rsidRPr="00C1697B" w:rsidRDefault="00EC5D9D" w:rsidP="00EC5D9D">
            <w:pPr>
              <w:widowControl w:val="0"/>
              <w:jc w:val="both"/>
              <w:rPr>
                <w:b/>
                <w:sz w:val="20"/>
                <w:szCs w:val="20"/>
              </w:rPr>
            </w:pPr>
            <w:r w:rsidRPr="000032BB">
              <w:rPr>
                <w:sz w:val="20"/>
                <w:szCs w:val="20"/>
              </w:rPr>
              <w:t xml:space="preserve">Criminal law - Sexual assault - Burden of proof - Whether the trial judge misapplied the law with </w:t>
            </w:r>
            <w:r w:rsidRPr="000032BB">
              <w:rPr>
                <w:sz w:val="20"/>
                <w:szCs w:val="20"/>
              </w:rPr>
              <w:lastRenderedPageBreak/>
              <w:t xml:space="preserve">respect to the applicable burden of proof - Whether the majority erred in its interpretation and analysis of </w:t>
            </w:r>
            <w:r w:rsidRPr="000032BB">
              <w:rPr>
                <w:i/>
                <w:sz w:val="20"/>
                <w:szCs w:val="20"/>
              </w:rPr>
              <w:t>R. v. W.(D.)</w:t>
            </w:r>
            <w:r w:rsidRPr="000032BB">
              <w:rPr>
                <w:sz w:val="20"/>
                <w:szCs w:val="20"/>
              </w:rPr>
              <w:t>, [1994] 3 S.C.R. 521.</w:t>
            </w:r>
          </w:p>
        </w:tc>
        <w:tc>
          <w:tcPr>
            <w:tcW w:w="720" w:type="dxa"/>
            <w:tcMar>
              <w:left w:w="0" w:type="dxa"/>
              <w:right w:w="0" w:type="dxa"/>
            </w:tcMar>
          </w:tcPr>
          <w:p w:rsidR="00BB066D" w:rsidRPr="00C1697B" w:rsidRDefault="00BB066D" w:rsidP="00A42D17">
            <w:pPr>
              <w:widowControl w:val="0"/>
              <w:jc w:val="center"/>
              <w:rPr>
                <w:sz w:val="20"/>
                <w:szCs w:val="20"/>
              </w:rPr>
            </w:pPr>
          </w:p>
        </w:tc>
        <w:tc>
          <w:tcPr>
            <w:tcW w:w="4380" w:type="dxa"/>
            <w:tcMar>
              <w:left w:w="0" w:type="dxa"/>
              <w:right w:w="0" w:type="dxa"/>
            </w:tcMar>
          </w:tcPr>
          <w:p w:rsidR="00BB066D" w:rsidRPr="00CC4D84" w:rsidRDefault="00BB066D" w:rsidP="00A42D17">
            <w:pPr>
              <w:widowControl w:val="0"/>
              <w:jc w:val="both"/>
              <w:rPr>
                <w:b/>
                <w:sz w:val="20"/>
                <w:szCs w:val="20"/>
                <w:u w:val="single"/>
                <w:lang w:val="fr-CA"/>
              </w:rPr>
            </w:pPr>
            <w:r w:rsidRPr="00CC4D84">
              <w:rPr>
                <w:b/>
                <w:sz w:val="20"/>
                <w:szCs w:val="20"/>
                <w:u w:val="single"/>
                <w:lang w:val="fr-CA"/>
              </w:rPr>
              <w:t>Nature de la cause :</w:t>
            </w:r>
          </w:p>
          <w:p w:rsidR="00BB066D" w:rsidRPr="00C1697B" w:rsidRDefault="00BB066D" w:rsidP="00A42D17">
            <w:pPr>
              <w:widowControl w:val="0"/>
              <w:jc w:val="both"/>
              <w:rPr>
                <w:sz w:val="20"/>
                <w:szCs w:val="20"/>
                <w:lang w:val="fr-CA"/>
              </w:rPr>
            </w:pPr>
          </w:p>
          <w:p w:rsidR="00EC5D9D" w:rsidRPr="008756AB" w:rsidRDefault="00EC5D9D" w:rsidP="00EC5D9D">
            <w:pPr>
              <w:widowControl w:val="0"/>
              <w:jc w:val="both"/>
              <w:rPr>
                <w:smallCaps/>
                <w:sz w:val="20"/>
                <w:szCs w:val="20"/>
                <w:lang w:val="fr-CA"/>
              </w:rPr>
            </w:pPr>
            <w:r w:rsidRPr="008756AB">
              <w:rPr>
                <w:smallCaps/>
                <w:sz w:val="20"/>
                <w:szCs w:val="20"/>
                <w:lang w:val="fr-CA"/>
              </w:rPr>
              <w:t>(Ordonnance de non-publication dans le dossier)</w:t>
            </w:r>
          </w:p>
          <w:p w:rsidR="00EC5D9D" w:rsidRPr="008756AB" w:rsidRDefault="00EC5D9D" w:rsidP="00EC5D9D">
            <w:pPr>
              <w:widowControl w:val="0"/>
              <w:jc w:val="both"/>
              <w:rPr>
                <w:sz w:val="20"/>
                <w:szCs w:val="20"/>
                <w:lang w:val="fr-CA"/>
              </w:rPr>
            </w:pPr>
          </w:p>
          <w:p w:rsidR="00BB066D" w:rsidRPr="00C1697B" w:rsidRDefault="00EC5D9D" w:rsidP="00EC5D9D">
            <w:pPr>
              <w:widowControl w:val="0"/>
              <w:jc w:val="both"/>
              <w:rPr>
                <w:sz w:val="20"/>
                <w:szCs w:val="20"/>
                <w:lang w:val="fr-CA"/>
              </w:rPr>
            </w:pPr>
            <w:r w:rsidRPr="008756AB">
              <w:rPr>
                <w:sz w:val="20"/>
                <w:szCs w:val="20"/>
                <w:lang w:val="fr-CA"/>
              </w:rPr>
              <w:t xml:space="preserve">Droit criminel - Agression sexuelle - Fardeau de la preuve - Le juge du procès a-t-il mal appliqué le droit </w:t>
            </w:r>
            <w:r w:rsidRPr="008756AB">
              <w:rPr>
                <w:sz w:val="20"/>
                <w:szCs w:val="20"/>
                <w:lang w:val="fr-CA"/>
              </w:rPr>
              <w:lastRenderedPageBreak/>
              <w:t xml:space="preserve">relatif au fardeau de la preuve applicable? - Les juges majoritaires ont-ils commis une erreur dans leur interprétation et analyse de l’arrêt </w:t>
            </w:r>
            <w:r w:rsidRPr="008756AB">
              <w:rPr>
                <w:i/>
                <w:sz w:val="20"/>
                <w:szCs w:val="20"/>
                <w:lang w:val="fr-CA"/>
              </w:rPr>
              <w:t>R. c. W.(D.)</w:t>
            </w:r>
            <w:r w:rsidRPr="008756AB">
              <w:rPr>
                <w:sz w:val="20"/>
                <w:szCs w:val="20"/>
                <w:lang w:val="fr-CA"/>
              </w:rPr>
              <w:t>, [1994] 3 R.C.S. 521?</w:t>
            </w:r>
          </w:p>
        </w:tc>
      </w:tr>
    </w:tbl>
    <w:p w:rsidR="00BB066D" w:rsidRDefault="00BB066D" w:rsidP="00BB066D">
      <w:pPr>
        <w:widowControl w:val="0"/>
        <w:rPr>
          <w:sz w:val="20"/>
          <w:szCs w:val="20"/>
          <w:lang w:val="fr-CA"/>
        </w:rPr>
      </w:pPr>
    </w:p>
    <w:p w:rsidR="00732DB7" w:rsidRPr="00C1697B" w:rsidRDefault="0077107C" w:rsidP="00732DB7">
      <w:pPr>
        <w:widowControl w:val="0"/>
        <w:rPr>
          <w:sz w:val="20"/>
          <w:szCs w:val="20"/>
          <w:lang w:val="fr-CA"/>
        </w:rPr>
      </w:pPr>
      <w:r>
        <w:rPr>
          <w:sz w:val="20"/>
          <w:szCs w:val="20"/>
          <w:lang w:val="fr-CA"/>
        </w:rPr>
        <w:pict>
          <v:rect id="_x0000_i1062"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p w:rsidR="0081610A" w:rsidRPr="002E0C7E" w:rsidRDefault="00FD3588" w:rsidP="0081610A">
      <w:pPr>
        <w:widowControl w:val="0"/>
        <w:spacing w:line="180" w:lineRule="auto"/>
        <w:jc w:val="center"/>
        <w:rPr>
          <w:rFonts w:asciiTheme="minorHAnsi" w:hAnsiTheme="minorHAnsi" w:cstheme="minorHAnsi"/>
          <w:b/>
          <w:szCs w:val="24"/>
        </w:rPr>
      </w:pPr>
      <w:r>
        <w:rPr>
          <w:rFonts w:asciiTheme="minorHAnsi" w:hAnsiTheme="minorHAnsi" w:cstheme="minorHAnsi"/>
          <w:b/>
          <w:szCs w:val="24"/>
        </w:rPr>
        <w:lastRenderedPageBreak/>
        <w:t xml:space="preserve"> </w:t>
      </w:r>
      <w:r w:rsidR="0054414C" w:rsidRPr="002E0C7E">
        <w:rPr>
          <w:rFonts w:asciiTheme="minorHAnsi" w:hAnsiTheme="minorHAnsi" w:cstheme="minorHAnsi"/>
          <w:b/>
          <w:szCs w:val="24"/>
        </w:rPr>
        <w:fldChar w:fldCharType="begin"/>
      </w:r>
      <w:r w:rsidR="0081610A" w:rsidRPr="002E0C7E">
        <w:rPr>
          <w:rFonts w:asciiTheme="minorHAnsi" w:hAnsiTheme="minorHAnsi" w:cstheme="minorHAnsi"/>
          <w:b/>
          <w:szCs w:val="24"/>
        </w:rPr>
        <w:instrText xml:space="preserve"> SEQ CHAPTER \h \r 1</w:instrText>
      </w:r>
      <w:r w:rsidR="0054414C"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1D5B5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D5B5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D5B5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DECEMBER - DÉCEMBRE</w:t>
            </w:r>
          </w:p>
        </w:tc>
      </w:tr>
      <w:tr w:rsidR="0081610A" w:rsidRPr="002E0C7E" w:rsidTr="001D5B5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r>
      <w:tr w:rsidR="0081610A" w:rsidRPr="002E0C7E" w:rsidTr="001D5B5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1D5B5B">
            <w:pPr>
              <w:widowControl w:val="0"/>
              <w:jc w:val="center"/>
              <w:rPr>
                <w:rFonts w:ascii="Arial" w:hAnsi="Arial"/>
                <w:b/>
                <w:sz w:val="14"/>
              </w:rPr>
            </w:pPr>
            <w:r>
              <w:rPr>
                <w:rFonts w:ascii="Arial" w:hAnsi="Arial"/>
                <w:b/>
                <w:sz w:val="14"/>
              </w:rPr>
              <w:t>M</w:t>
            </w:r>
          </w:p>
          <w:p w:rsidR="0081610A" w:rsidRPr="002E0C7E" w:rsidRDefault="0081610A" w:rsidP="001D5B5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r>
      <w:tr w:rsidR="0081610A" w:rsidRPr="002E0C7E" w:rsidTr="001D5B5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1D5B5B">
            <w:pPr>
              <w:widowControl w:val="0"/>
              <w:jc w:val="center"/>
              <w:rPr>
                <w:rFonts w:ascii="Arial" w:hAnsi="Arial"/>
                <w:b/>
                <w:sz w:val="14"/>
              </w:rPr>
            </w:pPr>
            <w:r>
              <w:rPr>
                <w:rFonts w:ascii="Arial" w:hAnsi="Arial"/>
                <w:b/>
                <w:sz w:val="14"/>
              </w:rPr>
              <w:t>M</w:t>
            </w:r>
          </w:p>
          <w:p w:rsidR="0081610A" w:rsidRPr="002E0C7E" w:rsidRDefault="0081610A" w:rsidP="001D5B5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1D5B5B">
            <w:pPr>
              <w:widowControl w:val="0"/>
              <w:jc w:val="center"/>
              <w:rPr>
                <w:rFonts w:ascii="Arial" w:hAnsi="Arial"/>
                <w:b/>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M</w:t>
            </w:r>
          </w:p>
          <w:p w:rsidR="0081610A" w:rsidRPr="002E0C7E" w:rsidRDefault="0081610A" w:rsidP="001D5B5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14</w:t>
            </w:r>
          </w:p>
        </w:tc>
      </w:tr>
      <w:tr w:rsidR="0081610A" w:rsidRPr="002E0C7E" w:rsidTr="001D5B5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1D5B5B">
            <w:pPr>
              <w:widowControl w:val="0"/>
              <w:jc w:val="center"/>
              <w:rPr>
                <w:rFonts w:ascii="Arial" w:hAnsi="Arial"/>
                <w:b/>
                <w:sz w:val="14"/>
              </w:rPr>
            </w:pPr>
            <w:r>
              <w:rPr>
                <w:rFonts w:ascii="Arial" w:hAnsi="Arial"/>
                <w:b/>
                <w:sz w:val="14"/>
              </w:rPr>
              <w:t>H</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1D5B5B">
            <w:pPr>
              <w:widowControl w:val="0"/>
              <w:jc w:val="center"/>
              <w:rPr>
                <w:rFonts w:ascii="Arial" w:hAnsi="Arial"/>
                <w:sz w:val="14"/>
              </w:rPr>
            </w:pPr>
            <w:r>
              <w:rPr>
                <w:rFonts w:ascii="Arial" w:hAnsi="Arial"/>
                <w:b/>
                <w:sz w:val="14"/>
              </w:rPr>
              <w:t>H</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1D5B5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D5B5B">
            <w:pPr>
              <w:widowControl w:val="0"/>
              <w:jc w:val="center"/>
              <w:rPr>
                <w:rFonts w:ascii="Arial" w:hAnsi="Arial"/>
                <w:b/>
                <w:sz w:val="14"/>
              </w:rPr>
            </w:pPr>
            <w:r>
              <w:rPr>
                <w:rFonts w:ascii="Arial" w:hAnsi="Arial"/>
                <w:b/>
                <w:sz w:val="14"/>
              </w:rPr>
              <w:t>H</w:t>
            </w:r>
          </w:p>
          <w:p w:rsidR="0081610A" w:rsidRPr="002E0C7E" w:rsidRDefault="0081610A" w:rsidP="001D5B5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D5B5B">
            <w:pPr>
              <w:widowControl w:val="0"/>
              <w:jc w:val="center"/>
              <w:rPr>
                <w:rFonts w:ascii="Arial" w:hAnsi="Arial"/>
                <w:b/>
                <w:sz w:val="14"/>
              </w:rPr>
            </w:pPr>
            <w:r>
              <w:rPr>
                <w:rFonts w:ascii="Arial" w:hAnsi="Arial"/>
                <w:b/>
                <w:sz w:val="14"/>
              </w:rPr>
              <w:t>H</w:t>
            </w:r>
          </w:p>
          <w:p w:rsidR="0081610A" w:rsidRPr="002E0C7E" w:rsidRDefault="0081610A" w:rsidP="001D5B5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1D5B5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1D5B5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D5B5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D5B5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MARCH - MARS</w:t>
            </w:r>
          </w:p>
        </w:tc>
      </w:tr>
      <w:tr w:rsidR="0081610A" w:rsidRPr="002E0C7E" w:rsidTr="001D5B5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1D5B5B">
            <w:pPr>
              <w:widowControl w:val="0"/>
              <w:jc w:val="center"/>
              <w:rPr>
                <w:rFonts w:ascii="Arial" w:hAnsi="Arial"/>
                <w:b/>
                <w:sz w:val="14"/>
              </w:rPr>
            </w:pPr>
          </w:p>
          <w:p w:rsidR="0081610A" w:rsidRPr="002E0C7E" w:rsidRDefault="0081610A" w:rsidP="001D5B5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1D5B5B">
            <w:pPr>
              <w:widowControl w:val="0"/>
              <w:jc w:val="center"/>
              <w:rPr>
                <w:rFonts w:ascii="Arial" w:hAnsi="Arial"/>
                <w:b/>
                <w:sz w:val="14"/>
              </w:rPr>
            </w:pPr>
            <w:r>
              <w:rPr>
                <w:rFonts w:ascii="Arial" w:hAnsi="Arial"/>
                <w:b/>
                <w:sz w:val="14"/>
              </w:rPr>
              <w:t>H</w:t>
            </w: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1D5B5B">
            <w:pPr>
              <w:widowControl w:val="0"/>
              <w:jc w:val="center"/>
              <w:rPr>
                <w:rFonts w:ascii="Arial" w:hAnsi="Arial"/>
                <w:b/>
                <w:sz w:val="14"/>
              </w:rPr>
            </w:pPr>
            <w:r>
              <w:rPr>
                <w:rFonts w:ascii="Arial" w:hAnsi="Arial"/>
                <w:b/>
                <w:sz w:val="14"/>
              </w:rPr>
              <w:t>M</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1D5B5B">
            <w:pPr>
              <w:widowControl w:val="0"/>
              <w:jc w:val="center"/>
              <w:rPr>
                <w:rFonts w:ascii="Arial" w:hAnsi="Arial"/>
                <w:b/>
                <w:sz w:val="14"/>
              </w:rPr>
            </w:pPr>
            <w:r>
              <w:rPr>
                <w:rFonts w:ascii="Arial" w:hAnsi="Arial"/>
                <w:b/>
                <w:sz w:val="14"/>
              </w:rPr>
              <w:t>M</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1D5B5B">
            <w:pPr>
              <w:widowControl w:val="0"/>
              <w:jc w:val="center"/>
              <w:rPr>
                <w:rFonts w:ascii="Arial" w:hAnsi="Arial"/>
                <w:b/>
                <w:sz w:val="14"/>
              </w:rPr>
            </w:pPr>
            <w:r>
              <w:rPr>
                <w:rFonts w:ascii="Arial" w:hAnsi="Arial"/>
                <w:b/>
                <w:sz w:val="14"/>
              </w:rPr>
              <w:t>M</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1D5B5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Pr>
                <w:rFonts w:ascii="Arial" w:hAnsi="Arial"/>
                <w:sz w:val="14"/>
              </w:rPr>
              <w:t>23</w:t>
            </w:r>
          </w:p>
          <w:p w:rsidR="0081610A" w:rsidRPr="002E0C7E" w:rsidRDefault="0081610A" w:rsidP="001D5B5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r>
              <w:rPr>
                <w:rFonts w:ascii="Arial" w:hAnsi="Arial"/>
                <w:sz w:val="14"/>
              </w:rPr>
              <w:t>24</w:t>
            </w:r>
          </w:p>
          <w:p w:rsidR="0081610A" w:rsidRPr="002E0C7E" w:rsidRDefault="0081610A" w:rsidP="001D5B5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1D5B5B">
            <w:pPr>
              <w:widowControl w:val="0"/>
              <w:jc w:val="center"/>
              <w:rPr>
                <w:rFonts w:ascii="Arial" w:hAnsi="Arial"/>
                <w:b/>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1D5B5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D5B5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1D5B5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1D5B5B">
            <w:pPr>
              <w:widowControl w:val="0"/>
              <w:jc w:val="center"/>
              <w:rPr>
                <w:rFonts w:ascii="Arial" w:hAnsi="Arial"/>
                <w:sz w:val="14"/>
              </w:rPr>
            </w:pPr>
            <w:r w:rsidRPr="002E0C7E">
              <w:rPr>
                <w:rFonts w:ascii="Arial" w:hAnsi="Arial"/>
                <w:b/>
                <w:sz w:val="14"/>
              </w:rPr>
              <w:t>JUNE - JUIN</w:t>
            </w:r>
          </w:p>
        </w:tc>
      </w:tr>
      <w:tr w:rsidR="0081610A" w:rsidRPr="002E0C7E" w:rsidTr="001D5B5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S</w:t>
            </w:r>
          </w:p>
          <w:p w:rsidR="0081610A" w:rsidRPr="002E0C7E" w:rsidRDefault="0081610A" w:rsidP="001D5B5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M</w:t>
            </w:r>
          </w:p>
          <w:p w:rsidR="0081610A" w:rsidRPr="002E0C7E" w:rsidRDefault="0081610A" w:rsidP="001D5B5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W</w:t>
            </w:r>
          </w:p>
          <w:p w:rsidR="0081610A" w:rsidRPr="002E0C7E" w:rsidRDefault="0081610A" w:rsidP="001D5B5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T</w:t>
            </w:r>
          </w:p>
          <w:p w:rsidR="0081610A" w:rsidRPr="002E0C7E" w:rsidRDefault="0081610A" w:rsidP="001D5B5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sidRPr="002E0C7E">
              <w:rPr>
                <w:rFonts w:ascii="Arial" w:hAnsi="Arial"/>
                <w:sz w:val="14"/>
              </w:rPr>
              <w:t>F</w:t>
            </w:r>
          </w:p>
          <w:p w:rsidR="0081610A" w:rsidRPr="002E0C7E" w:rsidRDefault="0081610A" w:rsidP="001D5B5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r>
              <w:rPr>
                <w:rFonts w:ascii="Arial" w:hAnsi="Arial"/>
                <w:sz w:val="14"/>
              </w:rPr>
              <w:t>S</w:t>
            </w:r>
          </w:p>
          <w:p w:rsidR="0081610A" w:rsidRPr="002E0C7E" w:rsidRDefault="0081610A" w:rsidP="001D5B5B">
            <w:pPr>
              <w:widowControl w:val="0"/>
              <w:jc w:val="center"/>
              <w:rPr>
                <w:rFonts w:ascii="Arial" w:hAnsi="Arial"/>
                <w:sz w:val="14"/>
              </w:rPr>
            </w:pPr>
            <w:r>
              <w:rPr>
                <w:rFonts w:ascii="Arial" w:hAnsi="Arial"/>
                <w:sz w:val="14"/>
              </w:rPr>
              <w:t>S</w:t>
            </w:r>
          </w:p>
        </w:tc>
      </w:tr>
      <w:tr w:rsidR="0081610A" w:rsidRPr="002E0C7E" w:rsidTr="001D5B5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b/>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1D5B5B">
            <w:pPr>
              <w:widowControl w:val="0"/>
              <w:jc w:val="center"/>
              <w:rPr>
                <w:rFonts w:ascii="Arial" w:hAnsi="Arial"/>
                <w:b/>
                <w:sz w:val="14"/>
              </w:rPr>
            </w:pPr>
          </w:p>
          <w:p w:rsidR="0081610A" w:rsidRPr="002E0C7E" w:rsidRDefault="0081610A" w:rsidP="001D5B5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14</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1D5B5B">
            <w:pPr>
              <w:widowControl w:val="0"/>
              <w:jc w:val="center"/>
              <w:rPr>
                <w:rFonts w:ascii="Arial" w:hAnsi="Arial"/>
                <w:b/>
                <w:sz w:val="14"/>
              </w:rPr>
            </w:pPr>
            <w:r w:rsidRPr="00DB5777">
              <w:rPr>
                <w:rFonts w:ascii="Arial" w:hAnsi="Arial"/>
                <w:b/>
                <w:sz w:val="14"/>
              </w:rPr>
              <w:t>M</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1D5B5B">
            <w:pPr>
              <w:widowControl w:val="0"/>
              <w:jc w:val="center"/>
              <w:rPr>
                <w:rFonts w:ascii="Arial" w:hAnsi="Arial"/>
                <w:b/>
                <w:sz w:val="14"/>
              </w:rPr>
            </w:pPr>
            <w:r>
              <w:rPr>
                <w:rFonts w:ascii="Arial" w:hAnsi="Arial"/>
                <w:b/>
                <w:sz w:val="14"/>
              </w:rPr>
              <w:t>H</w:t>
            </w:r>
          </w:p>
          <w:p w:rsidR="0081610A" w:rsidRPr="002E0C7E" w:rsidRDefault="0081610A" w:rsidP="001D5B5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1D5B5B">
            <w:pPr>
              <w:widowControl w:val="0"/>
              <w:jc w:val="center"/>
              <w:rPr>
                <w:rFonts w:ascii="Arial" w:hAnsi="Arial"/>
                <w:b/>
                <w:sz w:val="14"/>
              </w:rPr>
            </w:pPr>
            <w:r w:rsidRPr="002453E3">
              <w:rPr>
                <w:rFonts w:ascii="Arial" w:hAnsi="Arial"/>
                <w:b/>
                <w:sz w:val="14"/>
              </w:rPr>
              <w:t>M</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1D5B5B">
            <w:pPr>
              <w:widowControl w:val="0"/>
              <w:jc w:val="center"/>
              <w:rPr>
                <w:rFonts w:ascii="Arial" w:hAnsi="Arial"/>
                <w:b/>
                <w:sz w:val="14"/>
              </w:rPr>
            </w:pPr>
            <w:r w:rsidRPr="006A1E8D">
              <w:rPr>
                <w:rFonts w:ascii="Arial" w:hAnsi="Arial"/>
                <w:b/>
                <w:sz w:val="14"/>
              </w:rPr>
              <w:t>M</w:t>
            </w: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1D5B5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1D5B5B">
            <w:pPr>
              <w:widowControl w:val="0"/>
              <w:jc w:val="center"/>
              <w:rPr>
                <w:rFonts w:ascii="Arial" w:hAnsi="Arial"/>
                <w:b/>
                <w:sz w:val="14"/>
              </w:rPr>
            </w:pPr>
            <w:r w:rsidRPr="00CD57C3">
              <w:rPr>
                <w:rFonts w:ascii="Arial" w:hAnsi="Arial"/>
                <w:b/>
                <w:sz w:val="14"/>
              </w:rPr>
              <w:t>H</w:t>
            </w: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1D5B5B">
            <w:pPr>
              <w:widowControl w:val="0"/>
              <w:jc w:val="center"/>
              <w:rPr>
                <w:rFonts w:ascii="Arial" w:hAnsi="Arial"/>
                <w:b/>
                <w:sz w:val="14"/>
              </w:rPr>
            </w:pPr>
            <w:r>
              <w:rPr>
                <w:rFonts w:ascii="Arial" w:hAnsi="Arial"/>
                <w:b/>
                <w:sz w:val="14"/>
              </w:rPr>
              <w:t>H</w:t>
            </w:r>
          </w:p>
          <w:p w:rsidR="0081610A" w:rsidRPr="002E0C7E" w:rsidRDefault="0081610A" w:rsidP="001D5B5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1D5B5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1D5B5B">
            <w:pPr>
              <w:widowControl w:val="0"/>
              <w:jc w:val="center"/>
              <w:rPr>
                <w:rFonts w:ascii="Arial" w:hAnsi="Arial"/>
                <w:sz w:val="14"/>
              </w:rPr>
            </w:pPr>
          </w:p>
          <w:p w:rsidR="0081610A" w:rsidRPr="002E0C7E" w:rsidRDefault="0081610A" w:rsidP="001D5B5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1D5B5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1D5B5B">
            <w:pPr>
              <w:widowControl w:val="0"/>
              <w:rPr>
                <w:rFonts w:ascii="Arial" w:hAnsi="Arial"/>
                <w:sz w:val="16"/>
              </w:rPr>
            </w:pPr>
            <w:r w:rsidRPr="002E0C7E">
              <w:rPr>
                <w:rFonts w:ascii="Arial" w:hAnsi="Arial"/>
                <w:sz w:val="16"/>
              </w:rPr>
              <w:t>Sittings of the court:</w:t>
            </w:r>
          </w:p>
          <w:p w:rsidR="0081610A" w:rsidRPr="002E0C7E" w:rsidRDefault="0081610A" w:rsidP="001D5B5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1D5B5B">
            <w:pPr>
              <w:widowControl w:val="0"/>
              <w:rPr>
                <w:rFonts w:ascii="Arial" w:hAnsi="Arial"/>
                <w:sz w:val="16"/>
              </w:rPr>
            </w:pPr>
          </w:p>
          <w:p w:rsidR="0081610A" w:rsidRPr="002E0C7E" w:rsidRDefault="0081610A" w:rsidP="001D5B5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1D5B5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1D5B5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1D5B5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1D5B5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79" w:rsidRDefault="008C6A79" w:rsidP="00A87207">
      <w:r>
        <w:separator/>
      </w:r>
    </w:p>
  </w:endnote>
  <w:endnote w:type="continuationSeparator" w:id="0">
    <w:p w:rsidR="008C6A79" w:rsidRDefault="008C6A7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pPr>
      <w:pStyle w:val="Footer"/>
      <w:rPr>
        <w:lang w:val="fr-CA"/>
      </w:rPr>
    </w:pPr>
    <w:r>
      <w:rPr>
        <w:lang w:val="fr-CA"/>
      </w:rPr>
      <w:pict>
        <v:rect id="_x0000_i1051" style="width:480.95pt;height:1pt" o:hralign="center" o:hrstd="t" o:hrnoshade="t" o:hr="t" fillcolor="black [3213]" stroked="f"/>
      </w:pict>
    </w:r>
  </w:p>
  <w:p w:rsidR="008C6A79" w:rsidRDefault="008C6A79" w:rsidP="00245129">
    <w:pPr>
      <w:tabs>
        <w:tab w:val="center" w:pos="4680"/>
      </w:tabs>
    </w:pPr>
    <w:r>
      <w:tab/>
    </w:r>
    <w:r w:rsidRPr="0009648D">
      <w:t xml:space="preserve">- </w:t>
    </w:r>
    <w:r w:rsidR="0077107C">
      <w:fldChar w:fldCharType="begin"/>
    </w:r>
    <w:r w:rsidR="0077107C">
      <w:instrText xml:space="preserve"> PAGE   \* MERGEFORMAT </w:instrText>
    </w:r>
    <w:r w:rsidR="0077107C">
      <w:fldChar w:fldCharType="separate"/>
    </w:r>
    <w:r w:rsidR="0077107C">
      <w:rPr>
        <w:noProof/>
      </w:rPr>
      <w:t>361</w:t>
    </w:r>
    <w:r w:rsidR="0077107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6A79" w:rsidRDefault="008C6A7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755F22">
    <w:pPr>
      <w:tabs>
        <w:tab w:val="left" w:pos="-1440"/>
        <w:tab w:val="left" w:pos="-720"/>
      </w:tabs>
    </w:pPr>
    <w:r>
      <w:pict>
        <v:rect id="_x0000_i1059" style="width:480.95pt;height:1pt" o:hralign="center" o:hrstd="t" o:hrnoshade="t" o:hr="t" fillcolor="black [3213]" stroked="f"/>
      </w:pict>
    </w:r>
  </w:p>
  <w:p w:rsidR="008C6A79" w:rsidRDefault="008C6A79" w:rsidP="00EB2B90">
    <w:pPr>
      <w:tabs>
        <w:tab w:val="center" w:pos="4680"/>
      </w:tabs>
    </w:pPr>
    <w:r>
      <w:tab/>
      <w:t xml:space="preserve">- </w:t>
    </w:r>
    <w:r w:rsidR="0077107C">
      <w:fldChar w:fldCharType="begin"/>
    </w:r>
    <w:r w:rsidR="0077107C">
      <w:instrText xml:space="preserve"> PAGE   \* MERGEFORMAT </w:instrText>
    </w:r>
    <w:r w:rsidR="0077107C">
      <w:fldChar w:fldCharType="separate"/>
    </w:r>
    <w:r w:rsidR="0077107C">
      <w:rPr>
        <w:noProof/>
      </w:rPr>
      <w:t>377</w:t>
    </w:r>
    <w:r w:rsidR="0077107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EB2B90">
    <w:pPr>
      <w:tabs>
        <w:tab w:val="center" w:pos="4680"/>
      </w:tabs>
    </w:pPr>
    <w:r>
      <w:pict>
        <v:rect id="_x0000_i1060" style="width:480.95pt;height:1pt" o:hralign="center" o:hrstd="t" o:hrnoshade="t" o:hr="t" fillcolor="black [3213]" stroked="f"/>
      </w:pict>
    </w:r>
  </w:p>
  <w:p w:rsidR="008C6A79" w:rsidRPr="0031432F" w:rsidRDefault="008C6A79" w:rsidP="00EB2B90">
    <w:pPr>
      <w:tabs>
        <w:tab w:val="center" w:pos="4680"/>
      </w:tabs>
    </w:pPr>
    <w:r>
      <w:tab/>
      <w:t xml:space="preserve">- </w:t>
    </w:r>
    <w:r w:rsidR="0077107C">
      <w:fldChar w:fldCharType="begin"/>
    </w:r>
    <w:r w:rsidR="0077107C">
      <w:instrText xml:space="preserve"> PAGE   \* MERGEFORMAT </w:instrText>
    </w:r>
    <w:r w:rsidR="0077107C">
      <w:fldChar w:fldCharType="separate"/>
    </w:r>
    <w:r w:rsidR="0077107C">
      <w:rPr>
        <w:noProof/>
      </w:rPr>
      <w:t>372</w:t>
    </w:r>
    <w:r w:rsidR="0077107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6A79" w:rsidRDefault="008C6A7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732DB7">
    <w:r>
      <w:pict>
        <v:rect id="_x0000_i1063" style="width:480.95pt;height:1pt" o:hralign="center" o:hrstd="t" o:hrnoshade="t" o:hr="t" fillcolor="black" stroked="f"/>
      </w:pict>
    </w:r>
  </w:p>
  <w:p w:rsidR="008C6A79" w:rsidRDefault="008C6A79">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pPr>
      <w:pStyle w:val="Footer"/>
    </w:pPr>
    <w:r>
      <w:pict>
        <v:rect id="_x0000_i1064" style="width:480.95pt;height:1pt" o:hralign="center" o:hrstd="t" o:hrnoshade="t" o:hr="t" fillcolor="black" stroked="f"/>
      </w:pict>
    </w:r>
  </w:p>
  <w:p w:rsidR="008C6A79" w:rsidRPr="00283C52" w:rsidRDefault="008C6A79">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Pr="00924065" w:rsidRDefault="008C6A7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A87207">
    <w:pPr>
      <w:pStyle w:val="Footer"/>
    </w:pPr>
    <w:r>
      <w:pict>
        <v:rect id="_x0000_i1033" style="width:480.95pt;height:1pt" o:hralign="center" o:hrstd="t" o:hrnoshade="t" o:hr="t" fillcolor="black [3213]" stroked="f"/>
      </w:pict>
    </w:r>
  </w:p>
  <w:p w:rsidR="008C6A79" w:rsidRPr="00B7374B" w:rsidRDefault="008C6A79" w:rsidP="00B7374B">
    <w:pPr>
      <w:tabs>
        <w:tab w:val="center" w:pos="4680"/>
      </w:tabs>
      <w:rPr>
        <w:szCs w:val="24"/>
      </w:rPr>
    </w:pPr>
    <w:r w:rsidRPr="00954D22">
      <w:rPr>
        <w:szCs w:val="24"/>
      </w:rPr>
      <w:tab/>
      <w:t xml:space="preserve">- </w:t>
    </w:r>
    <w:r w:rsidR="0054414C" w:rsidRPr="00954D22">
      <w:rPr>
        <w:szCs w:val="24"/>
      </w:rPr>
      <w:fldChar w:fldCharType="begin"/>
    </w:r>
    <w:r w:rsidRPr="00954D22">
      <w:rPr>
        <w:szCs w:val="24"/>
      </w:rPr>
      <w:instrText xml:space="preserve"> PAGE   \* MERGEFORMAT </w:instrText>
    </w:r>
    <w:r w:rsidR="0054414C" w:rsidRPr="00954D22">
      <w:rPr>
        <w:szCs w:val="24"/>
      </w:rPr>
      <w:fldChar w:fldCharType="separate"/>
    </w:r>
    <w:r w:rsidR="00E01187">
      <w:rPr>
        <w:noProof/>
        <w:szCs w:val="24"/>
      </w:rPr>
      <w:t>361</w:t>
    </w:r>
    <w:r w:rsidR="0054414C"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755F22">
    <w:pPr>
      <w:tabs>
        <w:tab w:val="left" w:pos="-1440"/>
        <w:tab w:val="left" w:pos="-720"/>
      </w:tabs>
    </w:pPr>
    <w:r>
      <w:pict>
        <v:rect id="_x0000_i1034" style="width:480.95pt;height:1pt" o:hralign="center" o:hrstd="t" o:hrnoshade="t" o:hr="t" fillcolor="black [3213]" stroked="f"/>
      </w:pict>
    </w:r>
  </w:p>
  <w:p w:rsidR="008C6A79" w:rsidRPr="00954D22" w:rsidRDefault="008C6A79" w:rsidP="00B7374B">
    <w:pPr>
      <w:tabs>
        <w:tab w:val="center" w:pos="4680"/>
      </w:tabs>
      <w:rPr>
        <w:szCs w:val="24"/>
      </w:rPr>
    </w:pPr>
    <w:r w:rsidRPr="00954D22">
      <w:rPr>
        <w:szCs w:val="24"/>
      </w:rPr>
      <w:tab/>
      <w:t xml:space="preserve">- </w:t>
    </w:r>
    <w:r w:rsidR="0054414C">
      <w:rPr>
        <w:szCs w:val="24"/>
      </w:rPr>
      <w:fldChar w:fldCharType="begin"/>
    </w:r>
    <w:r>
      <w:rPr>
        <w:szCs w:val="24"/>
      </w:rPr>
      <w:instrText xml:space="preserve"> PAGE   \* MERGEFORMAT </w:instrText>
    </w:r>
    <w:r w:rsidR="0054414C">
      <w:rPr>
        <w:szCs w:val="24"/>
      </w:rPr>
      <w:fldChar w:fldCharType="separate"/>
    </w:r>
    <w:r w:rsidR="0077107C">
      <w:rPr>
        <w:noProof/>
        <w:szCs w:val="24"/>
      </w:rPr>
      <w:t>359</w:t>
    </w:r>
    <w:r w:rsidR="0054414C">
      <w:rPr>
        <w:szCs w:val="24"/>
      </w:rPr>
      <w:fldChar w:fldCharType="end"/>
    </w:r>
    <w:r w:rsidRPr="00954D22">
      <w:rPr>
        <w:szCs w:val="24"/>
      </w:rPr>
      <w:t xml:space="preserve"> -</w:t>
    </w:r>
  </w:p>
  <w:p w:rsidR="008C6A79" w:rsidRDefault="008C6A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A87207">
    <w:pPr>
      <w:pStyle w:val="Footer"/>
    </w:pPr>
    <w:r>
      <w:pict>
        <v:rect id="_x0000_i1036" style="width:480.95pt;height:1pt" o:hralign="center" o:hrstd="t" o:hrnoshade="t" o:hr="t" fillcolor="black [3213]" stroked="f"/>
      </w:pict>
    </w:r>
  </w:p>
  <w:p w:rsidR="008C6A79" w:rsidRPr="00B7374B" w:rsidRDefault="008C6A79" w:rsidP="00B7374B">
    <w:pPr>
      <w:tabs>
        <w:tab w:val="center" w:pos="4680"/>
      </w:tabs>
      <w:rPr>
        <w:szCs w:val="24"/>
      </w:rPr>
    </w:pPr>
    <w:r w:rsidRPr="00954D22">
      <w:rPr>
        <w:szCs w:val="24"/>
      </w:rPr>
      <w:tab/>
      <w:t xml:space="preserve">- </w:t>
    </w:r>
    <w:r w:rsidR="0054414C" w:rsidRPr="00954D22">
      <w:rPr>
        <w:szCs w:val="24"/>
      </w:rPr>
      <w:fldChar w:fldCharType="begin"/>
    </w:r>
    <w:r w:rsidRPr="00954D22">
      <w:rPr>
        <w:szCs w:val="24"/>
      </w:rPr>
      <w:instrText xml:space="preserve"> PAGE   \* MERGEFORMAT </w:instrText>
    </w:r>
    <w:r w:rsidR="0054414C" w:rsidRPr="00954D22">
      <w:rPr>
        <w:szCs w:val="24"/>
      </w:rPr>
      <w:fldChar w:fldCharType="separate"/>
    </w:r>
    <w:r>
      <w:rPr>
        <w:noProof/>
        <w:szCs w:val="24"/>
      </w:rPr>
      <w:t>362</w:t>
    </w:r>
    <w:r w:rsidR="0054414C"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8C6A79" w:rsidRPr="00954D22" w:rsidRDefault="008C6A79" w:rsidP="00B7374B">
    <w:pPr>
      <w:tabs>
        <w:tab w:val="center" w:pos="4680"/>
      </w:tabs>
      <w:rPr>
        <w:szCs w:val="24"/>
      </w:rPr>
    </w:pPr>
    <w:r w:rsidRPr="00954D22">
      <w:rPr>
        <w:szCs w:val="24"/>
      </w:rPr>
      <w:tab/>
      <w:t xml:space="preserve">- </w:t>
    </w:r>
    <w:r w:rsidR="0054414C" w:rsidRPr="00954D22">
      <w:rPr>
        <w:szCs w:val="24"/>
      </w:rPr>
      <w:fldChar w:fldCharType="begin"/>
    </w:r>
    <w:r w:rsidRPr="00954D22">
      <w:rPr>
        <w:szCs w:val="24"/>
      </w:rPr>
      <w:instrText xml:space="preserve"> PAGE   \* MERGEFORMAT </w:instrText>
    </w:r>
    <w:r w:rsidR="0054414C" w:rsidRPr="00954D22">
      <w:rPr>
        <w:szCs w:val="24"/>
      </w:rPr>
      <w:fldChar w:fldCharType="separate"/>
    </w:r>
    <w:r w:rsidR="0077107C">
      <w:rPr>
        <w:noProof/>
        <w:szCs w:val="24"/>
      </w:rPr>
      <w:t>360</w:t>
    </w:r>
    <w:r w:rsidR="0054414C"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C6A79" w:rsidRDefault="008C6A7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7710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8C6A79" w:rsidRPr="0009648D" w:rsidRDefault="008C6A79" w:rsidP="00ED7E83">
    <w:pPr>
      <w:tabs>
        <w:tab w:val="center" w:pos="4680"/>
      </w:tabs>
    </w:pPr>
    <w:r>
      <w:tab/>
    </w:r>
    <w:r w:rsidRPr="0009648D">
      <w:t xml:space="preserve">- </w:t>
    </w:r>
    <w:r w:rsidR="0077107C">
      <w:fldChar w:fldCharType="begin"/>
    </w:r>
    <w:r w:rsidR="0077107C">
      <w:instrText xml:space="preserve"> PAGE   \* MERGEFORMAT </w:instrText>
    </w:r>
    <w:r w:rsidR="0077107C">
      <w:fldChar w:fldCharType="separate"/>
    </w:r>
    <w:r w:rsidR="0077107C">
      <w:rPr>
        <w:noProof/>
      </w:rPr>
      <w:t>371</w:t>
    </w:r>
    <w:r w:rsidR="0077107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79" w:rsidRDefault="008C6A79" w:rsidP="00A87207">
      <w:r>
        <w:separator/>
      </w:r>
    </w:p>
  </w:footnote>
  <w:footnote w:type="continuationSeparator" w:id="0">
    <w:p w:rsidR="008C6A79" w:rsidRDefault="008C6A7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C6A79">
      <w:tc>
        <w:tcPr>
          <w:tcW w:w="4230" w:type="dxa"/>
          <w:tcMar>
            <w:left w:w="0" w:type="dxa"/>
            <w:right w:w="0" w:type="dxa"/>
          </w:tcMar>
        </w:tcPr>
        <w:p w:rsidR="008C6A79"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C6A79" w:rsidRDefault="008C6A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6A79" w:rsidRDefault="008C6A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C6A79">
      <w:trPr>
        <w:gridAfter w:val="2"/>
        <w:wAfter w:w="5250" w:type="dxa"/>
      </w:trPr>
      <w:tc>
        <w:tcPr>
          <w:tcW w:w="4230" w:type="dxa"/>
          <w:tcMar>
            <w:left w:w="0" w:type="dxa"/>
            <w:right w:w="0" w:type="dxa"/>
          </w:tcMar>
        </w:tcPr>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C6A79"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C6A79" w:rsidRPr="00755F22" w:rsidTr="00245129">
      <w:tc>
        <w:tcPr>
          <w:tcW w:w="4230" w:type="dxa"/>
          <w:tcMar>
            <w:left w:w="0" w:type="dxa"/>
            <w:right w:w="0" w:type="dxa"/>
          </w:tcMar>
        </w:tcPr>
        <w:p w:rsidR="008C6A79" w:rsidRPr="00755F22" w:rsidRDefault="008C6A79" w:rsidP="00831CA9">
          <w:pPr>
            <w:keepNext/>
            <w:keepLines/>
            <w:rPr>
              <w:sz w:val="20"/>
              <w:szCs w:val="20"/>
            </w:rPr>
          </w:pPr>
          <w:r w:rsidRPr="00755F22">
            <w:rPr>
              <w:sz w:val="20"/>
              <w:szCs w:val="20"/>
            </w:rPr>
            <w:t>MOTIONS</w:t>
          </w:r>
        </w:p>
      </w:tc>
      <w:tc>
        <w:tcPr>
          <w:tcW w:w="1170" w:type="dxa"/>
          <w:tcMar>
            <w:left w:w="0" w:type="dxa"/>
            <w:right w:w="0" w:type="dxa"/>
          </w:tcMar>
        </w:tcPr>
        <w:p w:rsidR="008C6A79" w:rsidRPr="00755F22" w:rsidRDefault="008C6A79" w:rsidP="00831CA9">
          <w:pPr>
            <w:keepLines/>
            <w:jc w:val="center"/>
            <w:rPr>
              <w:sz w:val="20"/>
              <w:szCs w:val="20"/>
            </w:rPr>
          </w:pPr>
        </w:p>
        <w:p w:rsidR="008C6A79" w:rsidRPr="00755F22" w:rsidRDefault="008C6A79" w:rsidP="00831CA9">
          <w:pPr>
            <w:keepLines/>
            <w:tabs>
              <w:tab w:val="left" w:pos="-1440"/>
              <w:tab w:val="left" w:pos="-720"/>
            </w:tabs>
            <w:jc w:val="center"/>
            <w:rPr>
              <w:sz w:val="20"/>
              <w:szCs w:val="20"/>
            </w:rPr>
          </w:pPr>
        </w:p>
      </w:tc>
      <w:tc>
        <w:tcPr>
          <w:tcW w:w="4080" w:type="dxa"/>
          <w:tcMar>
            <w:left w:w="0" w:type="dxa"/>
            <w:right w:w="0" w:type="dxa"/>
          </w:tcMar>
        </w:tcPr>
        <w:p w:rsidR="008C6A79" w:rsidRPr="00BA6468" w:rsidRDefault="008C6A79" w:rsidP="00BA6468">
          <w:pPr>
            <w:keepLines/>
            <w:rPr>
              <w:sz w:val="20"/>
              <w:szCs w:val="20"/>
              <w:lang w:val="fr-CA"/>
            </w:rPr>
          </w:pPr>
          <w:r w:rsidRPr="00BA6468">
            <w:rPr>
              <w:sz w:val="20"/>
              <w:szCs w:val="20"/>
              <w:lang w:val="fr-CA"/>
            </w:rPr>
            <w:t>REQUÊTES</w:t>
          </w:r>
        </w:p>
      </w:tc>
    </w:tr>
  </w:tbl>
  <w:p w:rsidR="008C6A79" w:rsidRDefault="008C6A79"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6A79" w:rsidRPr="00DA4390">
      <w:tc>
        <w:tcPr>
          <w:tcW w:w="4200" w:type="dxa"/>
          <w:tcMar>
            <w:left w:w="0" w:type="dxa"/>
            <w:right w:w="0" w:type="dxa"/>
          </w:tcMar>
        </w:tcPr>
        <w:p w:rsidR="008C6A79"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C6A79"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6A79" w:rsidRPr="00283C52" w:rsidRDefault="008C6A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C6A79" w:rsidRPr="00283C52"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C6A79" w:rsidRPr="00283C52"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6A79" w:rsidRPr="00DA4390" w:rsidTr="00245129">
      <w:tc>
        <w:tcPr>
          <w:tcW w:w="4200" w:type="dxa"/>
          <w:tcMar>
            <w:left w:w="0" w:type="dxa"/>
            <w:right w:w="0" w:type="dxa"/>
          </w:tcMar>
        </w:tcPr>
        <w:p w:rsidR="008C6A79" w:rsidRPr="00732DB7" w:rsidRDefault="008C6A79"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C6A79" w:rsidRPr="00732DB7" w:rsidRDefault="008C6A79" w:rsidP="00732DB7">
          <w:pPr>
            <w:keepNext/>
            <w:keepLines/>
            <w:tabs>
              <w:tab w:val="left" w:pos="-1440"/>
              <w:tab w:val="left" w:pos="-720"/>
            </w:tabs>
            <w:jc w:val="center"/>
            <w:rPr>
              <w:sz w:val="20"/>
              <w:szCs w:val="20"/>
            </w:rPr>
          </w:pPr>
        </w:p>
        <w:p w:rsidR="008C6A79" w:rsidRPr="00732DB7" w:rsidRDefault="008C6A79" w:rsidP="00732DB7">
          <w:pPr>
            <w:keepNext/>
            <w:keepLines/>
            <w:tabs>
              <w:tab w:val="left" w:pos="-1440"/>
              <w:tab w:val="left" w:pos="-720"/>
            </w:tabs>
            <w:jc w:val="center"/>
            <w:rPr>
              <w:sz w:val="20"/>
              <w:szCs w:val="20"/>
            </w:rPr>
          </w:pPr>
        </w:p>
        <w:p w:rsidR="008C6A79" w:rsidRPr="00732DB7" w:rsidRDefault="008C6A79" w:rsidP="00732DB7">
          <w:pPr>
            <w:keepNext/>
            <w:keepLines/>
            <w:tabs>
              <w:tab w:val="left" w:pos="-1440"/>
              <w:tab w:val="left" w:pos="-720"/>
            </w:tabs>
            <w:jc w:val="center"/>
            <w:rPr>
              <w:sz w:val="20"/>
              <w:szCs w:val="20"/>
            </w:rPr>
          </w:pPr>
        </w:p>
      </w:tc>
      <w:tc>
        <w:tcPr>
          <w:tcW w:w="4080" w:type="dxa"/>
          <w:tcMar>
            <w:left w:w="0" w:type="dxa"/>
            <w:right w:w="0" w:type="dxa"/>
          </w:tcMar>
        </w:tcPr>
        <w:p w:rsidR="008C6A79" w:rsidRPr="00732DB7" w:rsidRDefault="008C6A79"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C6A79" w:rsidRPr="00283C52" w:rsidRDefault="008C6A7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C6A79" w:rsidRPr="0044776A" w:rsidTr="00245129">
      <w:tc>
        <w:tcPr>
          <w:tcW w:w="4290" w:type="dxa"/>
          <w:tcMar>
            <w:left w:w="0" w:type="dxa"/>
            <w:right w:w="0" w:type="dxa"/>
          </w:tcMar>
        </w:tcPr>
        <w:p w:rsidR="008C6A79" w:rsidRPr="0044776A" w:rsidRDefault="008C6A7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C6A79" w:rsidRPr="0044776A" w:rsidRDefault="008C6A79" w:rsidP="002E2327">
          <w:pPr>
            <w:keepNext/>
            <w:keepLines/>
            <w:tabs>
              <w:tab w:val="left" w:pos="-1440"/>
              <w:tab w:val="left" w:pos="-720"/>
            </w:tabs>
            <w:jc w:val="center"/>
            <w:rPr>
              <w:sz w:val="20"/>
              <w:szCs w:val="20"/>
            </w:rPr>
          </w:pPr>
        </w:p>
        <w:p w:rsidR="008C6A79" w:rsidRPr="0044776A" w:rsidRDefault="008C6A79" w:rsidP="002E2327">
          <w:pPr>
            <w:keepNext/>
            <w:keepLines/>
            <w:tabs>
              <w:tab w:val="left" w:pos="-1440"/>
              <w:tab w:val="left" w:pos="-720"/>
            </w:tabs>
            <w:jc w:val="center"/>
            <w:rPr>
              <w:sz w:val="20"/>
              <w:szCs w:val="20"/>
            </w:rPr>
          </w:pPr>
        </w:p>
        <w:p w:rsidR="008C6A79" w:rsidRPr="0044776A" w:rsidRDefault="008C6A79" w:rsidP="002E2327">
          <w:pPr>
            <w:keepNext/>
            <w:keepLines/>
            <w:tabs>
              <w:tab w:val="left" w:pos="-1440"/>
              <w:tab w:val="left" w:pos="-720"/>
            </w:tabs>
            <w:jc w:val="center"/>
            <w:rPr>
              <w:sz w:val="20"/>
              <w:szCs w:val="20"/>
            </w:rPr>
          </w:pPr>
        </w:p>
      </w:tc>
      <w:tc>
        <w:tcPr>
          <w:tcW w:w="4320" w:type="dxa"/>
          <w:tcMar>
            <w:left w:w="0" w:type="dxa"/>
            <w:right w:w="0" w:type="dxa"/>
          </w:tcMar>
        </w:tcPr>
        <w:p w:rsidR="008C6A79" w:rsidRPr="0044776A" w:rsidRDefault="008C6A79" w:rsidP="002E2327">
          <w:pPr>
            <w:keepLines/>
            <w:rPr>
              <w:sz w:val="20"/>
              <w:szCs w:val="20"/>
              <w:lang w:val="fr-CA"/>
            </w:rPr>
          </w:pPr>
          <w:r w:rsidRPr="0044776A">
            <w:rPr>
              <w:sz w:val="20"/>
              <w:szCs w:val="20"/>
              <w:lang w:val="fr-CA"/>
            </w:rPr>
            <w:t>DEMANDES D'AUTORISATION D'APPEL DÉPOSÉES</w:t>
          </w:r>
        </w:p>
      </w:tc>
    </w:tr>
  </w:tbl>
  <w:p w:rsidR="008C6A79" w:rsidRDefault="008C6A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6A79" w:rsidRPr="00DA4390" w:rsidTr="00245129">
      <w:tc>
        <w:tcPr>
          <w:tcW w:w="4200" w:type="dxa"/>
          <w:tcMar>
            <w:left w:w="0" w:type="dxa"/>
            <w:right w:w="0" w:type="dxa"/>
          </w:tcMar>
        </w:tcPr>
        <w:p w:rsidR="008C6A79" w:rsidRPr="0044776A" w:rsidRDefault="008C6A79" w:rsidP="0044776A">
          <w:pPr>
            <w:keepNext/>
            <w:keepLines/>
            <w:widowControl w:val="0"/>
            <w:rPr>
              <w:sz w:val="20"/>
              <w:szCs w:val="20"/>
            </w:rPr>
          </w:pPr>
          <w:r>
            <w:rPr>
              <w:sz w:val="20"/>
              <w:szCs w:val="20"/>
            </w:rPr>
            <w:t>APPLICATIONS FOR LEAVE</w:t>
          </w:r>
        </w:p>
        <w:p w:rsidR="008C6A79" w:rsidRPr="0044776A" w:rsidRDefault="008C6A7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C6A79" w:rsidRPr="0044776A" w:rsidRDefault="008C6A79" w:rsidP="0044776A">
          <w:pPr>
            <w:keepNext/>
            <w:keepLines/>
            <w:widowControl w:val="0"/>
            <w:jc w:val="center"/>
            <w:rPr>
              <w:sz w:val="20"/>
              <w:szCs w:val="20"/>
            </w:rPr>
          </w:pPr>
        </w:p>
        <w:p w:rsidR="008C6A79" w:rsidRPr="0044776A" w:rsidRDefault="008C6A79" w:rsidP="0044776A">
          <w:pPr>
            <w:keepNext/>
            <w:keepLines/>
            <w:widowControl w:val="0"/>
            <w:jc w:val="center"/>
            <w:rPr>
              <w:sz w:val="20"/>
              <w:szCs w:val="20"/>
            </w:rPr>
          </w:pPr>
        </w:p>
        <w:p w:rsidR="008C6A79" w:rsidRPr="0044776A" w:rsidRDefault="008C6A79" w:rsidP="0044776A">
          <w:pPr>
            <w:keepNext/>
            <w:keepLines/>
            <w:widowControl w:val="0"/>
            <w:jc w:val="center"/>
            <w:rPr>
              <w:sz w:val="20"/>
              <w:szCs w:val="20"/>
            </w:rPr>
          </w:pPr>
        </w:p>
      </w:tc>
      <w:tc>
        <w:tcPr>
          <w:tcW w:w="4080" w:type="dxa"/>
          <w:tcMar>
            <w:left w:w="0" w:type="dxa"/>
            <w:right w:w="0" w:type="dxa"/>
          </w:tcMar>
        </w:tcPr>
        <w:p w:rsidR="008C6A79" w:rsidRPr="0044776A" w:rsidRDefault="008C6A79" w:rsidP="0044776A">
          <w:pPr>
            <w:keepLines/>
            <w:widowControl w:val="0"/>
            <w:rPr>
              <w:sz w:val="20"/>
              <w:szCs w:val="20"/>
              <w:lang w:val="fr-CA"/>
            </w:rPr>
          </w:pPr>
          <w:r w:rsidRPr="0044776A">
            <w:rPr>
              <w:sz w:val="20"/>
              <w:szCs w:val="20"/>
              <w:lang w:val="fr-CA"/>
            </w:rPr>
            <w:t>DEMANDES SOUMISES À LA COUR DEPUIS LA DERNIÈRE PARUTION</w:t>
          </w:r>
        </w:p>
        <w:p w:rsidR="008C6A79" w:rsidRPr="0044776A" w:rsidRDefault="008C6A79" w:rsidP="0044776A">
          <w:pPr>
            <w:widowControl w:val="0"/>
            <w:rPr>
              <w:sz w:val="20"/>
              <w:szCs w:val="20"/>
              <w:lang w:val="fr-CA"/>
            </w:rPr>
          </w:pPr>
        </w:p>
      </w:tc>
    </w:tr>
  </w:tbl>
  <w:p w:rsidR="008C6A79" w:rsidRPr="002E2327" w:rsidRDefault="008C6A79">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79" w:rsidRDefault="008C6A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C6A79" w:rsidRPr="00DA4390">
      <w:tc>
        <w:tcPr>
          <w:tcW w:w="4200" w:type="dxa"/>
          <w:tcMar>
            <w:left w:w="0" w:type="dxa"/>
            <w:right w:w="0" w:type="dxa"/>
          </w:tcMar>
        </w:tcPr>
        <w:p w:rsidR="008C6A79"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C6A79"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C6A79" w:rsidRDefault="008C6A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C6A79" w:rsidRPr="00FF6BA5" w:rsidRDefault="008C6A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C6A79" w:rsidRPr="00FF6BA5"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C6A79" w:rsidRPr="00FF6BA5"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C6A79" w:rsidRPr="00FF6BA5" w:rsidRDefault="008C6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C6A79" w:rsidRPr="00DA4390" w:rsidTr="00245129">
      <w:tc>
        <w:tcPr>
          <w:tcW w:w="4200" w:type="dxa"/>
          <w:tcMar>
            <w:left w:w="0" w:type="dxa"/>
            <w:right w:w="0" w:type="dxa"/>
          </w:tcMar>
        </w:tcPr>
        <w:p w:rsidR="008C6A79" w:rsidRPr="00755F22"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C6A79" w:rsidRPr="00755F22" w:rsidRDefault="008C6A7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C6A79" w:rsidRPr="00755F22" w:rsidRDefault="008C6A7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6A79" w:rsidRPr="00755F22" w:rsidRDefault="008C6A7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C6A79" w:rsidRPr="00755F22" w:rsidRDefault="008C6A7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C6A79" w:rsidRPr="00755F22" w:rsidRDefault="008C6A7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C6A79" w:rsidRPr="00FF6BA5" w:rsidRDefault="008C6A79"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7D0"/>
    <w:multiLevelType w:val="hybridMultilevel"/>
    <w:tmpl w:val="7108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6123A"/>
    <w:multiLevelType w:val="hybridMultilevel"/>
    <w:tmpl w:val="1522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A2B82"/>
    <w:multiLevelType w:val="hybridMultilevel"/>
    <w:tmpl w:val="AB567CF0"/>
    <w:lvl w:ilvl="0" w:tplc="5082FC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5A391B"/>
    <w:multiLevelType w:val="hybridMultilevel"/>
    <w:tmpl w:val="47AACA86"/>
    <w:lvl w:ilvl="0" w:tplc="CA36F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1451"/>
  </w:hdrShapeDefaults>
  <w:footnotePr>
    <w:footnote w:id="-1"/>
    <w:footnote w:id="0"/>
  </w:footnotePr>
  <w:endnotePr>
    <w:endnote w:id="-1"/>
    <w:endnote w:id="0"/>
  </w:endnotePr>
  <w:compat>
    <w:compatSetting w:name="compatibilityMode" w:uri="http://schemas.microsoft.com/office/word" w:val="12"/>
  </w:compat>
  <w:rsids>
    <w:rsidRoot w:val="006D09FB"/>
    <w:rsid w:val="0003223B"/>
    <w:rsid w:val="000327B2"/>
    <w:rsid w:val="00040BE9"/>
    <w:rsid w:val="00091FA6"/>
    <w:rsid w:val="00096BD9"/>
    <w:rsid w:val="000B3C9A"/>
    <w:rsid w:val="000B40A2"/>
    <w:rsid w:val="000B4624"/>
    <w:rsid w:val="000C0ACD"/>
    <w:rsid w:val="000C0D2A"/>
    <w:rsid w:val="000C5CE8"/>
    <w:rsid w:val="000D2318"/>
    <w:rsid w:val="000E2959"/>
    <w:rsid w:val="000F0B60"/>
    <w:rsid w:val="00102926"/>
    <w:rsid w:val="0010587F"/>
    <w:rsid w:val="00111C6B"/>
    <w:rsid w:val="0012102B"/>
    <w:rsid w:val="0013369E"/>
    <w:rsid w:val="0013773E"/>
    <w:rsid w:val="00164E6D"/>
    <w:rsid w:val="001B157C"/>
    <w:rsid w:val="001B5C23"/>
    <w:rsid w:val="001D0D5F"/>
    <w:rsid w:val="001D4040"/>
    <w:rsid w:val="001D5B5B"/>
    <w:rsid w:val="001D6B8C"/>
    <w:rsid w:val="001E2939"/>
    <w:rsid w:val="001F1F83"/>
    <w:rsid w:val="001F40DF"/>
    <w:rsid w:val="001F54B9"/>
    <w:rsid w:val="001F71AD"/>
    <w:rsid w:val="002021A9"/>
    <w:rsid w:val="002139A7"/>
    <w:rsid w:val="00215F7C"/>
    <w:rsid w:val="0022323B"/>
    <w:rsid w:val="002410B8"/>
    <w:rsid w:val="00242AEE"/>
    <w:rsid w:val="00245129"/>
    <w:rsid w:val="00245879"/>
    <w:rsid w:val="00252493"/>
    <w:rsid w:val="00267FD5"/>
    <w:rsid w:val="00274D34"/>
    <w:rsid w:val="00283ED8"/>
    <w:rsid w:val="002868D0"/>
    <w:rsid w:val="002A008C"/>
    <w:rsid w:val="002A27D1"/>
    <w:rsid w:val="002A4AFA"/>
    <w:rsid w:val="002B516C"/>
    <w:rsid w:val="002D72EB"/>
    <w:rsid w:val="002E2327"/>
    <w:rsid w:val="002E3583"/>
    <w:rsid w:val="002E5576"/>
    <w:rsid w:val="002F634A"/>
    <w:rsid w:val="00310CC0"/>
    <w:rsid w:val="00331B52"/>
    <w:rsid w:val="003359D3"/>
    <w:rsid w:val="00355967"/>
    <w:rsid w:val="00382C47"/>
    <w:rsid w:val="00384384"/>
    <w:rsid w:val="003866AE"/>
    <w:rsid w:val="00395F41"/>
    <w:rsid w:val="003B3977"/>
    <w:rsid w:val="003C0ED1"/>
    <w:rsid w:val="003E1D4C"/>
    <w:rsid w:val="00432989"/>
    <w:rsid w:val="00440E24"/>
    <w:rsid w:val="0044656C"/>
    <w:rsid w:val="0044776A"/>
    <w:rsid w:val="00460AFC"/>
    <w:rsid w:val="0047471F"/>
    <w:rsid w:val="004B195E"/>
    <w:rsid w:val="004B280E"/>
    <w:rsid w:val="004B66B4"/>
    <w:rsid w:val="004B7F60"/>
    <w:rsid w:val="004C1AAC"/>
    <w:rsid w:val="004D653B"/>
    <w:rsid w:val="004E1E0A"/>
    <w:rsid w:val="004F090E"/>
    <w:rsid w:val="004F6AF8"/>
    <w:rsid w:val="00501F3C"/>
    <w:rsid w:val="005101A9"/>
    <w:rsid w:val="005273F6"/>
    <w:rsid w:val="00527CC7"/>
    <w:rsid w:val="0054414C"/>
    <w:rsid w:val="00571CA4"/>
    <w:rsid w:val="00582136"/>
    <w:rsid w:val="00596B3C"/>
    <w:rsid w:val="005C6840"/>
    <w:rsid w:val="005F263E"/>
    <w:rsid w:val="00600252"/>
    <w:rsid w:val="00612A40"/>
    <w:rsid w:val="0062714A"/>
    <w:rsid w:val="0062745A"/>
    <w:rsid w:val="0066216A"/>
    <w:rsid w:val="00675479"/>
    <w:rsid w:val="00676832"/>
    <w:rsid w:val="00680709"/>
    <w:rsid w:val="00696BF9"/>
    <w:rsid w:val="00697C62"/>
    <w:rsid w:val="006A329B"/>
    <w:rsid w:val="006A7EB8"/>
    <w:rsid w:val="006B6926"/>
    <w:rsid w:val="006C3F47"/>
    <w:rsid w:val="006C5F7A"/>
    <w:rsid w:val="006D09FB"/>
    <w:rsid w:val="006E06AF"/>
    <w:rsid w:val="006F350F"/>
    <w:rsid w:val="00726AFE"/>
    <w:rsid w:val="00732DB7"/>
    <w:rsid w:val="0074238B"/>
    <w:rsid w:val="00745EF7"/>
    <w:rsid w:val="00755F22"/>
    <w:rsid w:val="00766E4A"/>
    <w:rsid w:val="0077107C"/>
    <w:rsid w:val="007820CE"/>
    <w:rsid w:val="00782AE4"/>
    <w:rsid w:val="0079724F"/>
    <w:rsid w:val="007A3EAE"/>
    <w:rsid w:val="007C04FC"/>
    <w:rsid w:val="007D3E0F"/>
    <w:rsid w:val="007E4282"/>
    <w:rsid w:val="007F0F17"/>
    <w:rsid w:val="007F387B"/>
    <w:rsid w:val="00802863"/>
    <w:rsid w:val="00815B3C"/>
    <w:rsid w:val="0081610A"/>
    <w:rsid w:val="008177A6"/>
    <w:rsid w:val="0082783A"/>
    <w:rsid w:val="00831CA9"/>
    <w:rsid w:val="00850E1F"/>
    <w:rsid w:val="0085476B"/>
    <w:rsid w:val="0087088A"/>
    <w:rsid w:val="00890FEB"/>
    <w:rsid w:val="008A5C1A"/>
    <w:rsid w:val="008B72EC"/>
    <w:rsid w:val="008C55EB"/>
    <w:rsid w:val="008C6A79"/>
    <w:rsid w:val="008D292F"/>
    <w:rsid w:val="008E03DC"/>
    <w:rsid w:val="00902E51"/>
    <w:rsid w:val="0091064F"/>
    <w:rsid w:val="00924065"/>
    <w:rsid w:val="00930D68"/>
    <w:rsid w:val="00932DB4"/>
    <w:rsid w:val="00941A4B"/>
    <w:rsid w:val="00946242"/>
    <w:rsid w:val="0095096B"/>
    <w:rsid w:val="00970CD3"/>
    <w:rsid w:val="009723FA"/>
    <w:rsid w:val="00984546"/>
    <w:rsid w:val="00996510"/>
    <w:rsid w:val="009D1C83"/>
    <w:rsid w:val="009D1F15"/>
    <w:rsid w:val="009D555E"/>
    <w:rsid w:val="009F2BFB"/>
    <w:rsid w:val="009F3024"/>
    <w:rsid w:val="00A0355E"/>
    <w:rsid w:val="00A375D1"/>
    <w:rsid w:val="00A42D17"/>
    <w:rsid w:val="00A51D10"/>
    <w:rsid w:val="00A52A83"/>
    <w:rsid w:val="00A6552C"/>
    <w:rsid w:val="00A87207"/>
    <w:rsid w:val="00A935AA"/>
    <w:rsid w:val="00AB2201"/>
    <w:rsid w:val="00AB7ACB"/>
    <w:rsid w:val="00AD3259"/>
    <w:rsid w:val="00AD7EE8"/>
    <w:rsid w:val="00AF1715"/>
    <w:rsid w:val="00AF3904"/>
    <w:rsid w:val="00B010C0"/>
    <w:rsid w:val="00B4740D"/>
    <w:rsid w:val="00B61629"/>
    <w:rsid w:val="00B7374B"/>
    <w:rsid w:val="00B90DC0"/>
    <w:rsid w:val="00BA116A"/>
    <w:rsid w:val="00BA44DC"/>
    <w:rsid w:val="00BA5582"/>
    <w:rsid w:val="00BA6468"/>
    <w:rsid w:val="00BB066D"/>
    <w:rsid w:val="00BB1D44"/>
    <w:rsid w:val="00BD06DA"/>
    <w:rsid w:val="00BD4217"/>
    <w:rsid w:val="00BE3046"/>
    <w:rsid w:val="00BF25F3"/>
    <w:rsid w:val="00C107C4"/>
    <w:rsid w:val="00C1697B"/>
    <w:rsid w:val="00C21CB5"/>
    <w:rsid w:val="00C50A5C"/>
    <w:rsid w:val="00C50FDF"/>
    <w:rsid w:val="00C63381"/>
    <w:rsid w:val="00C73D06"/>
    <w:rsid w:val="00C73E1B"/>
    <w:rsid w:val="00C759B4"/>
    <w:rsid w:val="00C77713"/>
    <w:rsid w:val="00C85BB7"/>
    <w:rsid w:val="00CA2DEA"/>
    <w:rsid w:val="00CB43D5"/>
    <w:rsid w:val="00CC4D84"/>
    <w:rsid w:val="00CE198A"/>
    <w:rsid w:val="00CF08C8"/>
    <w:rsid w:val="00D004FC"/>
    <w:rsid w:val="00D64901"/>
    <w:rsid w:val="00D76BDF"/>
    <w:rsid w:val="00D82D8A"/>
    <w:rsid w:val="00D862C1"/>
    <w:rsid w:val="00D91625"/>
    <w:rsid w:val="00D93B50"/>
    <w:rsid w:val="00D94028"/>
    <w:rsid w:val="00D94670"/>
    <w:rsid w:val="00DA39AD"/>
    <w:rsid w:val="00DA4390"/>
    <w:rsid w:val="00DA46F6"/>
    <w:rsid w:val="00DC6DA5"/>
    <w:rsid w:val="00DD0B49"/>
    <w:rsid w:val="00DD3D10"/>
    <w:rsid w:val="00DE0502"/>
    <w:rsid w:val="00DE349D"/>
    <w:rsid w:val="00E01187"/>
    <w:rsid w:val="00E06DFA"/>
    <w:rsid w:val="00E13ED3"/>
    <w:rsid w:val="00E20A0A"/>
    <w:rsid w:val="00E21208"/>
    <w:rsid w:val="00E356C7"/>
    <w:rsid w:val="00E438FB"/>
    <w:rsid w:val="00E45FE4"/>
    <w:rsid w:val="00E62649"/>
    <w:rsid w:val="00E64FA7"/>
    <w:rsid w:val="00E75AED"/>
    <w:rsid w:val="00E770CB"/>
    <w:rsid w:val="00E903A1"/>
    <w:rsid w:val="00E940EB"/>
    <w:rsid w:val="00E9703F"/>
    <w:rsid w:val="00EB2B90"/>
    <w:rsid w:val="00EC5D9D"/>
    <w:rsid w:val="00ED7E83"/>
    <w:rsid w:val="00EE091F"/>
    <w:rsid w:val="00EF4B63"/>
    <w:rsid w:val="00F0068D"/>
    <w:rsid w:val="00F02BF2"/>
    <w:rsid w:val="00F0576D"/>
    <w:rsid w:val="00F14E6D"/>
    <w:rsid w:val="00F15EA8"/>
    <w:rsid w:val="00F16C8D"/>
    <w:rsid w:val="00F26C61"/>
    <w:rsid w:val="00F33CCE"/>
    <w:rsid w:val="00F40249"/>
    <w:rsid w:val="00F526C8"/>
    <w:rsid w:val="00F761A3"/>
    <w:rsid w:val="00F9272D"/>
    <w:rsid w:val="00F9518C"/>
    <w:rsid w:val="00FA316E"/>
    <w:rsid w:val="00FA59EF"/>
    <w:rsid w:val="00FB19A2"/>
    <w:rsid w:val="00FB7C83"/>
    <w:rsid w:val="00FD358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0D231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anlii.ca/en/ns/nsca/doc/2013/2013nsca106/2013nsca106.html" TargetMode="External"/><Relationship Id="rId39" Type="http://schemas.openxmlformats.org/officeDocument/2006/relationships/hyperlink" Target="http://www.canlii.org/en/ab/abca/doc/2013/2013abca313/2013abca313.html?searchUrlHash=AAAAAQANMjAxMiBhYnFiIDY5NAAAAAAB" TargetMode="External"/><Relationship Id="rId21" Type="http://schemas.openxmlformats.org/officeDocument/2006/relationships/header" Target="header6.xml"/><Relationship Id="rId34" Type="http://schemas.openxmlformats.org/officeDocument/2006/relationships/hyperlink" Target="http://canlii.ca/fr/qc/qccs/doc/2013/2013qccs5021/2013qccs5021.html" TargetMode="External"/><Relationship Id="rId42" Type="http://schemas.openxmlformats.org/officeDocument/2006/relationships/hyperlink" Target="http://www.canlii.org/en/on/onca/doc/2011/2011onca826/2011onca826.html" TargetMode="External"/><Relationship Id="rId47" Type="http://schemas.openxmlformats.org/officeDocument/2006/relationships/footer" Target="footer9.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ca/en/mb/mbqb/doc/2013/2013mbqb221/2013mbqb2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ca/en/mb/mbca/doc/2013/2013mbca81/2013mbca81.html" TargetMode="External"/><Relationship Id="rId37" Type="http://schemas.openxmlformats.org/officeDocument/2006/relationships/hyperlink" Target="http://www.canlii.org/en/bc/bcsc/doc/2011/2011bcsc1070/2011bcsc1070.html?searchUrlHash=AAAAAQAOMjAxMSBCY3NjIDEwNzAAAAAAAQ" TargetMode="External"/><Relationship Id="rId40" Type="http://schemas.openxmlformats.org/officeDocument/2006/relationships/hyperlink" Target="http://www.canlii.org/en/ab/abqb/doc/2012/2012abqb694/2012abqb694.html?searchUrlHash=AAAAAQANMjAxMiBhYnFiIDY5NAAAAAAB" TargetMode="External"/><Relationship Id="rId45" Type="http://schemas.openxmlformats.org/officeDocument/2006/relationships/header" Target="header9.xml"/><Relationship Id="rId53" Type="http://schemas.openxmlformats.org/officeDocument/2006/relationships/footer" Target="footer12.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en/ns/nsca/doc/2013/2013nsca106/2013nsca106.html" TargetMode="External"/><Relationship Id="rId36" Type="http://schemas.openxmlformats.org/officeDocument/2006/relationships/hyperlink" Target="http://www.canlii.org/en/bc/bcca/doc/2013/2013bcca412/2013bcca412.html?searchUrlHash=AAAAAQANMjAxMyBCQ0NBIDQxMgAAAAAB" TargetMode="External"/><Relationship Id="rId49" Type="http://schemas.openxmlformats.org/officeDocument/2006/relationships/footer" Target="footer10.xml"/><Relationship Id="rId57" Type="http://schemas.openxmlformats.org/officeDocument/2006/relationships/hyperlink" Target="http://www.scc-csc.ca/case-dossier/info/sum-som-eng.aspx?cas=35504" TargetMode="External"/><Relationship Id="rId61" Type="http://schemas.openxmlformats.org/officeDocument/2006/relationships/footer" Target="footer15.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ca/en/mb/mbqb/doc/2013/2013mbqb221/2013mbqb221.html" TargetMode="External"/><Relationship Id="rId44" Type="http://schemas.openxmlformats.org/officeDocument/2006/relationships/header" Target="header8.xml"/><Relationship Id="rId52" Type="http://schemas.openxmlformats.org/officeDocument/2006/relationships/footer" Target="footer11.xm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en/ns/nssc/doc/2013/2013nssc138/2013nssc138.html" TargetMode="External"/><Relationship Id="rId30" Type="http://schemas.openxmlformats.org/officeDocument/2006/relationships/hyperlink" Target="http://www.canlii.ca/en/mb/mbca/doc/2013/2013mbca81/2013mbca81.html" TargetMode="External"/><Relationship Id="rId35" Type="http://schemas.openxmlformats.org/officeDocument/2006/relationships/hyperlink" Target="http://www.canlii.org/en/bc/bcsc/doc/2011/2011bcsc1070/2011bcsc1070.html?searchUrlHash=AAAAAQAOMjAxMSBCY3NjIDEwNzAAAAAAAQ" TargetMode="External"/><Relationship Id="rId43" Type="http://schemas.openxmlformats.org/officeDocument/2006/relationships/hyperlink" Target="http://www.canlii.org/en/on/onca/doc/2011/2011onca826/2011onca826.html" TargetMode="External"/><Relationship Id="rId48" Type="http://schemas.openxmlformats.org/officeDocument/2006/relationships/header" Target="header10.xml"/><Relationship Id="rId56" Type="http://schemas.openxmlformats.org/officeDocument/2006/relationships/hyperlink" Target="http://www.scc-csc.ca/case-dossier/info/sum-som-eng.aspx?cas=35499" TargetMode="External"/><Relationship Id="rId64"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en/ns/nssc/doc/2013/2013nssc138/2013nssc138.html" TargetMode="External"/><Relationship Id="rId33" Type="http://schemas.openxmlformats.org/officeDocument/2006/relationships/hyperlink" Target="http://canlii.ca/fr/qc/qccs/doc/2013/2013qccs5021/2013qccs5021.html" TargetMode="External"/><Relationship Id="rId38" Type="http://schemas.openxmlformats.org/officeDocument/2006/relationships/hyperlink" Target="http://www.canlii.org/en/bc/bcca/doc/2013/2013bcca412/2013bcca412.html?searchUrlHash=AAAAAQANMjAxMyBCQ0NBIDQxMgAAAAAB" TargetMode="External"/><Relationship Id="rId46" Type="http://schemas.openxmlformats.org/officeDocument/2006/relationships/footer" Target="footer8.xml"/><Relationship Id="rId59" Type="http://schemas.openxmlformats.org/officeDocument/2006/relationships/header" Target="header15.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www.canlii.org/en/ab/abca/doc/2013/2013abca313/2013abca313.html?searchUrlHash=AAAAAQANMjAxMiBhYnFiIDY5NAAAAAAB" TargetMode="External"/><Relationship Id="rId54" Type="http://schemas.openxmlformats.org/officeDocument/2006/relationships/header" Target="header13.xml"/><Relationship Id="rId6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9E9D1-6CFB-4557-813A-B0E535BFE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9703</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2014-02-24T17:00:00Z</dcterms:created>
  <dcterms:modified xsi:type="dcterms:W3CDTF">2015-12-15T20:52:00Z</dcterms:modified>
</cp:coreProperties>
</file>