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42AC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42A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2AC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42A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2ACF" w:rsidTr="002E5576">
        <w:tc>
          <w:tcPr>
            <w:tcW w:w="4518" w:type="dxa"/>
          </w:tcPr>
          <w:p w:rsidR="00BF25F3" w:rsidRPr="002E2327" w:rsidRDefault="004876A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876A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42AC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42AC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142AC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142AC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E0286"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w:t>
      </w:r>
      <w:r w:rsidR="00501F3C">
        <w:rPr>
          <w:lang w:val="fr-CA"/>
        </w:rPr>
        <w:t>3</w:t>
      </w:r>
      <w:r w:rsidR="00440E24" w:rsidRPr="00675479">
        <w:rPr>
          <w:lang w:val="fr-CA"/>
        </w:rPr>
        <w:t>, 201</w:t>
      </w:r>
      <w:r w:rsidR="00501F3C">
        <w:rPr>
          <w:lang w:val="fr-CA"/>
        </w:rPr>
        <w:t>4</w:t>
      </w:r>
      <w:r w:rsidR="00F0068D" w:rsidRPr="00675479">
        <w:rPr>
          <w:lang w:val="fr-CA"/>
        </w:rPr>
        <w:tab/>
      </w:r>
      <w:r w:rsidR="006F6E67">
        <w:rPr>
          <w:lang w:val="fr-CA"/>
        </w:rPr>
        <w:t>911</w:t>
      </w:r>
      <w:r w:rsidR="00F0068D" w:rsidRPr="00675479">
        <w:rPr>
          <w:lang w:val="fr-CA"/>
        </w:rPr>
        <w:t xml:space="preserve"> - </w:t>
      </w:r>
      <w:r w:rsidR="00347BB4">
        <w:rPr>
          <w:lang w:val="fr-CA"/>
        </w:rPr>
        <w:t>930</w:t>
      </w:r>
      <w:r w:rsidR="00440E24" w:rsidRPr="00675479">
        <w:rPr>
          <w:lang w:val="fr-CA"/>
        </w:rPr>
        <w:tab/>
      </w:r>
      <w:r w:rsidR="00440E24" w:rsidRPr="002E2327">
        <w:rPr>
          <w:lang w:val="fr-CA"/>
        </w:rPr>
        <w:t>Le</w:t>
      </w:r>
      <w:r w:rsidR="00C73D06">
        <w:rPr>
          <w:lang w:val="fr-CA"/>
        </w:rPr>
        <w:t xml:space="preserve"> </w:t>
      </w:r>
      <w:r>
        <w:rPr>
          <w:lang w:val="fr-CA"/>
        </w:rPr>
        <w:t>2</w:t>
      </w:r>
      <w:r w:rsidR="00501F3C">
        <w:rPr>
          <w:lang w:val="fr-CA"/>
        </w:rPr>
        <w:t>3</w:t>
      </w:r>
      <w:r w:rsidR="00C73D06">
        <w:rPr>
          <w:lang w:val="fr-CA"/>
        </w:rPr>
        <w:t xml:space="preserve"> </w:t>
      </w:r>
      <w:r>
        <w:rPr>
          <w:lang w:val="fr-CA"/>
        </w:rPr>
        <w:t>m</w:t>
      </w:r>
      <w:r w:rsidR="00440E24" w:rsidRPr="002E2327">
        <w:rPr>
          <w:lang w:val="fr-CA"/>
        </w:rPr>
        <w:t>ai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B02906">
            <w:pPr>
              <w:tabs>
                <w:tab w:val="right" w:pos="9360"/>
              </w:tabs>
              <w:rPr>
                <w:rFonts w:cs="Times New Roman"/>
                <w:sz w:val="20"/>
                <w:szCs w:val="20"/>
              </w:rPr>
            </w:pPr>
          </w:p>
        </w:tc>
        <w:tc>
          <w:tcPr>
            <w:tcW w:w="1980" w:type="dxa"/>
          </w:tcPr>
          <w:p w:rsidR="0095096B" w:rsidRPr="002E2327" w:rsidRDefault="00584048" w:rsidP="0095096B">
            <w:pPr>
              <w:jc w:val="center"/>
              <w:rPr>
                <w:rFonts w:cs="Times New Roman"/>
                <w:sz w:val="20"/>
                <w:szCs w:val="20"/>
              </w:rPr>
            </w:pPr>
            <w:r>
              <w:rPr>
                <w:rFonts w:cs="Times New Roman"/>
                <w:sz w:val="20"/>
                <w:szCs w:val="20"/>
              </w:rPr>
              <w:t>911</w:t>
            </w:r>
            <w:r w:rsidR="004876A0" w:rsidRPr="002E2327">
              <w:rPr>
                <w:rFonts w:cs="Times New Roman"/>
                <w:sz w:val="20"/>
                <w:szCs w:val="20"/>
              </w:rPr>
              <w:fldChar w:fldCharType="begin"/>
            </w:r>
            <w:r w:rsidR="0095096B" w:rsidRPr="002E2327">
              <w:rPr>
                <w:rFonts w:cs="Times New Roman"/>
                <w:sz w:val="20"/>
                <w:szCs w:val="20"/>
              </w:rPr>
              <w:instrText xml:space="preserve"> SEQ CHAPTER \h \r 1</w:instrText>
            </w:r>
            <w:r w:rsidR="004876A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02906" w:rsidP="0095096B">
            <w:pPr>
              <w:jc w:val="center"/>
              <w:rPr>
                <w:rFonts w:cs="Times New Roman"/>
                <w:sz w:val="20"/>
                <w:szCs w:val="20"/>
              </w:rPr>
            </w:pPr>
            <w:r>
              <w:rPr>
                <w:rFonts w:cs="Times New Roman"/>
                <w:sz w:val="20"/>
                <w:szCs w:val="20"/>
              </w:rPr>
              <w:t>912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02906" w:rsidP="0095096B">
            <w:pPr>
              <w:jc w:val="center"/>
              <w:rPr>
                <w:rFonts w:cs="Times New Roman"/>
                <w:sz w:val="20"/>
                <w:szCs w:val="20"/>
              </w:rPr>
            </w:pPr>
            <w:r>
              <w:rPr>
                <w:rFonts w:cs="Times New Roman"/>
                <w:sz w:val="20"/>
                <w:szCs w:val="20"/>
              </w:rPr>
              <w:t xml:space="preserve">913 </w:t>
            </w:r>
            <w:r w:rsidR="0095096B" w:rsidRPr="002E2327">
              <w:rPr>
                <w:rFonts w:cs="Times New Roman"/>
                <w:sz w:val="20"/>
                <w:szCs w:val="20"/>
              </w:rPr>
              <w:t>-</w:t>
            </w:r>
            <w:r>
              <w:rPr>
                <w:rFonts w:cs="Times New Roman"/>
                <w:sz w:val="20"/>
                <w:szCs w:val="20"/>
              </w:rPr>
              <w:t xml:space="preserve"> 914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02906" w:rsidP="0095096B">
            <w:pPr>
              <w:jc w:val="center"/>
              <w:rPr>
                <w:rFonts w:cs="Times New Roman"/>
                <w:sz w:val="20"/>
                <w:szCs w:val="20"/>
              </w:rPr>
            </w:pPr>
            <w:r>
              <w:rPr>
                <w:rFonts w:cs="Times New Roman"/>
                <w:sz w:val="20"/>
                <w:szCs w:val="20"/>
              </w:rPr>
              <w:t xml:space="preserve">915 </w:t>
            </w:r>
            <w:r w:rsidR="0095096B" w:rsidRPr="002E2327">
              <w:rPr>
                <w:rFonts w:cs="Times New Roman"/>
                <w:sz w:val="20"/>
                <w:szCs w:val="20"/>
              </w:rPr>
              <w:t>-</w:t>
            </w:r>
            <w:r w:rsidR="00347BB4">
              <w:rPr>
                <w:rFonts w:cs="Times New Roman"/>
                <w:sz w:val="20"/>
                <w:szCs w:val="20"/>
              </w:rPr>
              <w:t xml:space="preserve"> 916</w:t>
            </w:r>
          </w:p>
          <w:p w:rsidR="0095096B" w:rsidRPr="002E2327" w:rsidRDefault="0095096B" w:rsidP="0095096B">
            <w:pPr>
              <w:jc w:val="center"/>
              <w:rPr>
                <w:rFonts w:cs="Times New Roman"/>
                <w:sz w:val="20"/>
                <w:szCs w:val="20"/>
              </w:rPr>
            </w:pPr>
          </w:p>
          <w:p w:rsidR="0095096B" w:rsidRPr="002E2327" w:rsidRDefault="00347BB4" w:rsidP="0095096B">
            <w:pPr>
              <w:jc w:val="center"/>
              <w:rPr>
                <w:rFonts w:cs="Times New Roman"/>
                <w:sz w:val="20"/>
                <w:szCs w:val="20"/>
              </w:rPr>
            </w:pPr>
            <w:r>
              <w:rPr>
                <w:rFonts w:cs="Times New Roman"/>
                <w:sz w:val="20"/>
                <w:szCs w:val="20"/>
              </w:rPr>
              <w:t>917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7BB4" w:rsidP="0095096B">
            <w:pPr>
              <w:jc w:val="center"/>
              <w:rPr>
                <w:rFonts w:cs="Times New Roman"/>
                <w:sz w:val="20"/>
                <w:szCs w:val="20"/>
              </w:rPr>
            </w:pPr>
            <w:r>
              <w:rPr>
                <w:rFonts w:cs="Times New Roman"/>
                <w:sz w:val="20"/>
                <w:szCs w:val="20"/>
              </w:rPr>
              <w:t xml:space="preserve">918 </w:t>
            </w:r>
            <w:r w:rsidR="0095096B" w:rsidRPr="002E2327">
              <w:rPr>
                <w:rFonts w:cs="Times New Roman"/>
                <w:sz w:val="20"/>
                <w:szCs w:val="20"/>
              </w:rPr>
              <w:t>-</w:t>
            </w:r>
            <w:r>
              <w:rPr>
                <w:rFonts w:cs="Times New Roman"/>
                <w:sz w:val="20"/>
                <w:szCs w:val="20"/>
              </w:rPr>
              <w:t xml:space="preserve"> 920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7BB4" w:rsidP="0095096B">
            <w:pPr>
              <w:jc w:val="center"/>
              <w:rPr>
                <w:rFonts w:cs="Times New Roman"/>
                <w:sz w:val="20"/>
                <w:szCs w:val="20"/>
              </w:rPr>
            </w:pPr>
            <w:r>
              <w:rPr>
                <w:rFonts w:cs="Times New Roman"/>
                <w:sz w:val="20"/>
                <w:szCs w:val="20"/>
              </w:rPr>
              <w:t>921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7BB4" w:rsidP="0095096B">
            <w:pPr>
              <w:jc w:val="center"/>
              <w:rPr>
                <w:rFonts w:cs="Times New Roman"/>
                <w:sz w:val="20"/>
                <w:szCs w:val="20"/>
              </w:rPr>
            </w:pPr>
            <w:r>
              <w:rPr>
                <w:rFonts w:cs="Times New Roman"/>
                <w:sz w:val="20"/>
                <w:szCs w:val="20"/>
              </w:rPr>
              <w:t xml:space="preserve">922 </w:t>
            </w:r>
            <w:r w:rsidR="0095096B" w:rsidRPr="002E2327">
              <w:rPr>
                <w:rFonts w:cs="Times New Roman"/>
                <w:sz w:val="20"/>
                <w:szCs w:val="20"/>
              </w:rPr>
              <w:t>-</w:t>
            </w:r>
            <w:r>
              <w:rPr>
                <w:rFonts w:cs="Times New Roman"/>
                <w:sz w:val="20"/>
                <w:szCs w:val="20"/>
              </w:rPr>
              <w:t xml:space="preserve"> 930</w:t>
            </w:r>
          </w:p>
          <w:p w:rsidR="00A87207" w:rsidRPr="002E2327" w:rsidRDefault="00A87207" w:rsidP="00B02906">
            <w:pPr>
              <w:jc w:val="center"/>
              <w:rPr>
                <w:rFonts w:cs="Times New Roman"/>
                <w:sz w:val="20"/>
                <w:szCs w:val="20"/>
              </w:rPr>
            </w:pPr>
          </w:p>
        </w:tc>
        <w:tc>
          <w:tcPr>
            <w:tcW w:w="3888" w:type="dxa"/>
          </w:tcPr>
          <w:p w:rsidR="0095096B" w:rsidRPr="002E2327" w:rsidRDefault="004876A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B02906">
            <w:pPr>
              <w:tabs>
                <w:tab w:val="right" w:pos="9360"/>
              </w:tabs>
              <w:rPr>
                <w:rFonts w:cs="Times New Roman"/>
                <w:sz w:val="20"/>
                <w:szCs w:val="20"/>
                <w:lang w:val="fr-CA"/>
              </w:rPr>
            </w:pPr>
          </w:p>
        </w:tc>
      </w:tr>
    </w:tbl>
    <w:p w:rsidR="0095096B" w:rsidRPr="00B02906" w:rsidRDefault="0095096B" w:rsidP="0095096B">
      <w:pPr>
        <w:tabs>
          <w:tab w:val="right" w:pos="9360"/>
        </w:tabs>
        <w:rPr>
          <w:sz w:val="20"/>
          <w:szCs w:val="20"/>
        </w:rPr>
      </w:pPr>
    </w:p>
    <w:p w:rsidR="00B02906" w:rsidRPr="00B02906" w:rsidRDefault="00B02906" w:rsidP="0095096B">
      <w:pPr>
        <w:tabs>
          <w:tab w:val="right" w:pos="9360"/>
        </w:tabs>
        <w:rPr>
          <w:sz w:val="20"/>
          <w:szCs w:val="20"/>
        </w:rPr>
      </w:pPr>
    </w:p>
    <w:p w:rsidR="00B02906" w:rsidRPr="00B02906" w:rsidRDefault="00B02906" w:rsidP="0095096B">
      <w:pPr>
        <w:tabs>
          <w:tab w:val="right" w:pos="9360"/>
        </w:tabs>
        <w:rPr>
          <w:sz w:val="20"/>
          <w:szCs w:val="20"/>
        </w:rPr>
      </w:pPr>
    </w:p>
    <w:p w:rsidR="00B02906" w:rsidRPr="00B02906" w:rsidRDefault="00B02906" w:rsidP="0095096B">
      <w:pPr>
        <w:tabs>
          <w:tab w:val="right" w:pos="9360"/>
        </w:tabs>
        <w:rPr>
          <w:sz w:val="20"/>
          <w:szCs w:val="20"/>
        </w:rPr>
      </w:pPr>
    </w:p>
    <w:p w:rsidR="00B02906" w:rsidRPr="00B02906" w:rsidRDefault="00B02906"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142AC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142ACF" w:rsidTr="003B3977">
        <w:tc>
          <w:tcPr>
            <w:tcW w:w="4320" w:type="dxa"/>
            <w:shd w:val="clear" w:color="auto" w:fill="auto"/>
          </w:tcPr>
          <w:p w:rsidR="00C21644" w:rsidRPr="00A935AA" w:rsidRDefault="00584048" w:rsidP="005F1ED8">
            <w:pPr>
              <w:rPr>
                <w:b/>
                <w:sz w:val="20"/>
                <w:szCs w:val="20"/>
              </w:rPr>
            </w:pPr>
            <w:r>
              <w:rPr>
                <w:b/>
                <w:sz w:val="20"/>
                <w:szCs w:val="20"/>
              </w:rPr>
              <w:t xml:space="preserve">Houman Mortazavi </w:t>
            </w:r>
            <w:r w:rsidR="00C21644">
              <w:rPr>
                <w:b/>
                <w:sz w:val="20"/>
                <w:szCs w:val="20"/>
              </w:rPr>
              <w:t>et al.</w:t>
            </w:r>
          </w:p>
          <w:p w:rsidR="00C21644" w:rsidRPr="00A935AA" w:rsidRDefault="00C21644" w:rsidP="005F1ED8">
            <w:pPr>
              <w:tabs>
                <w:tab w:val="left" w:pos="-1440"/>
                <w:tab w:val="left" w:pos="-720"/>
              </w:tabs>
              <w:rPr>
                <w:sz w:val="20"/>
                <w:szCs w:val="20"/>
              </w:rPr>
            </w:pPr>
            <w:r w:rsidRPr="00A935AA">
              <w:rPr>
                <w:sz w:val="20"/>
                <w:szCs w:val="20"/>
              </w:rPr>
              <w:tab/>
            </w:r>
            <w:r w:rsidR="00584048">
              <w:rPr>
                <w:sz w:val="20"/>
                <w:szCs w:val="20"/>
              </w:rPr>
              <w:t>Houm</w:t>
            </w:r>
            <w:r>
              <w:rPr>
                <w:sz w:val="20"/>
                <w:szCs w:val="20"/>
              </w:rPr>
              <w:t>a</w:t>
            </w:r>
            <w:r w:rsidR="00584048">
              <w:rPr>
                <w:sz w:val="20"/>
                <w:szCs w:val="20"/>
              </w:rPr>
              <w:t>n Mortazavi</w:t>
            </w:r>
            <w:r>
              <w:rPr>
                <w:sz w:val="20"/>
                <w:szCs w:val="20"/>
              </w:rPr>
              <w:t xml:space="preserve"> </w:t>
            </w:r>
          </w:p>
          <w:p w:rsidR="00C21644" w:rsidRPr="0071519B" w:rsidRDefault="00C21644" w:rsidP="005F1ED8">
            <w:pPr>
              <w:tabs>
                <w:tab w:val="left" w:pos="-1440"/>
                <w:tab w:val="left" w:pos="-720"/>
              </w:tabs>
              <w:rPr>
                <w:sz w:val="20"/>
                <w:szCs w:val="20"/>
              </w:rPr>
            </w:pPr>
          </w:p>
          <w:p w:rsidR="00C21644" w:rsidRPr="00584048" w:rsidRDefault="00C21644" w:rsidP="005F1ED8">
            <w:pPr>
              <w:tabs>
                <w:tab w:val="left" w:pos="-1440"/>
                <w:tab w:val="left" w:pos="-720"/>
              </w:tabs>
              <w:rPr>
                <w:sz w:val="20"/>
                <w:szCs w:val="20"/>
              </w:rPr>
            </w:pPr>
            <w:r w:rsidRPr="0071519B">
              <w:rPr>
                <w:sz w:val="20"/>
                <w:szCs w:val="20"/>
              </w:rPr>
              <w:tab/>
            </w:r>
            <w:r w:rsidRPr="00584048">
              <w:rPr>
                <w:sz w:val="20"/>
                <w:szCs w:val="20"/>
              </w:rPr>
              <w:t>v. (358</w:t>
            </w:r>
            <w:r w:rsidR="00584048" w:rsidRPr="00584048">
              <w:rPr>
                <w:sz w:val="20"/>
                <w:szCs w:val="20"/>
              </w:rPr>
              <w:t>76</w:t>
            </w:r>
            <w:r w:rsidRPr="00584048">
              <w:rPr>
                <w:sz w:val="20"/>
                <w:szCs w:val="20"/>
              </w:rPr>
              <w:t>)</w:t>
            </w:r>
          </w:p>
          <w:p w:rsidR="00C21644" w:rsidRPr="00584048" w:rsidRDefault="00C21644" w:rsidP="005F1ED8">
            <w:pPr>
              <w:tabs>
                <w:tab w:val="left" w:pos="-1440"/>
                <w:tab w:val="left" w:pos="-720"/>
              </w:tabs>
              <w:rPr>
                <w:sz w:val="20"/>
                <w:szCs w:val="20"/>
              </w:rPr>
            </w:pPr>
          </w:p>
          <w:p w:rsidR="00C21644" w:rsidRPr="00A935AA" w:rsidRDefault="00584048" w:rsidP="005F1ED8">
            <w:pPr>
              <w:tabs>
                <w:tab w:val="left" w:pos="-1440"/>
                <w:tab w:val="left" w:pos="-720"/>
              </w:tabs>
              <w:rPr>
                <w:b/>
                <w:sz w:val="20"/>
                <w:szCs w:val="20"/>
              </w:rPr>
            </w:pPr>
            <w:r w:rsidRPr="00584048">
              <w:rPr>
                <w:b/>
                <w:sz w:val="20"/>
                <w:szCs w:val="20"/>
              </w:rPr>
              <w:t>University of To</w:t>
            </w:r>
            <w:r w:rsidR="00C21644" w:rsidRPr="00584048">
              <w:rPr>
                <w:b/>
                <w:sz w:val="20"/>
                <w:szCs w:val="20"/>
              </w:rPr>
              <w:t>ro</w:t>
            </w:r>
            <w:r w:rsidRPr="00584048">
              <w:rPr>
                <w:b/>
                <w:sz w:val="20"/>
                <w:szCs w:val="20"/>
              </w:rPr>
              <w:t xml:space="preserve">nto </w:t>
            </w:r>
            <w:r w:rsidR="00C21644" w:rsidRPr="00584048">
              <w:rPr>
                <w:b/>
                <w:sz w:val="20"/>
                <w:szCs w:val="20"/>
              </w:rPr>
              <w:t>et al.</w:t>
            </w:r>
            <w:r w:rsidR="00C21644" w:rsidRPr="00584048">
              <w:rPr>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71519B" w:rsidRDefault="00C21644" w:rsidP="005F1ED8">
            <w:pPr>
              <w:tabs>
                <w:tab w:val="left" w:pos="-1440"/>
                <w:tab w:val="left" w:pos="-720"/>
              </w:tabs>
              <w:rPr>
                <w:sz w:val="20"/>
                <w:szCs w:val="20"/>
              </w:rPr>
            </w:pPr>
            <w:r w:rsidRPr="00A935AA">
              <w:rPr>
                <w:sz w:val="20"/>
                <w:szCs w:val="20"/>
              </w:rPr>
              <w:tab/>
            </w:r>
            <w:r w:rsidR="00584048" w:rsidRPr="0071519B">
              <w:rPr>
                <w:sz w:val="20"/>
                <w:szCs w:val="20"/>
              </w:rPr>
              <w:t>Robert A. Ce</w:t>
            </w:r>
            <w:r w:rsidRPr="0071519B">
              <w:rPr>
                <w:sz w:val="20"/>
                <w:szCs w:val="20"/>
              </w:rPr>
              <w:t>n</w:t>
            </w:r>
            <w:r w:rsidR="00584048" w:rsidRPr="0071519B">
              <w:rPr>
                <w:sz w:val="20"/>
                <w:szCs w:val="20"/>
              </w:rPr>
              <w:t xml:space="preserve">ta </w:t>
            </w:r>
          </w:p>
          <w:p w:rsidR="00C21644" w:rsidRPr="0071519B" w:rsidRDefault="00C21644" w:rsidP="005F1ED8">
            <w:pPr>
              <w:tabs>
                <w:tab w:val="left" w:pos="-1440"/>
                <w:tab w:val="left" w:pos="-720"/>
              </w:tabs>
              <w:rPr>
                <w:sz w:val="20"/>
                <w:szCs w:val="20"/>
              </w:rPr>
            </w:pPr>
            <w:r w:rsidRPr="0071519B">
              <w:rPr>
                <w:sz w:val="20"/>
                <w:szCs w:val="20"/>
              </w:rPr>
              <w:tab/>
            </w:r>
            <w:r w:rsidR="00584048" w:rsidRPr="0071519B">
              <w:rPr>
                <w:sz w:val="20"/>
                <w:szCs w:val="20"/>
              </w:rPr>
              <w:t>Paliare, R</w:t>
            </w:r>
            <w:r w:rsidRPr="0071519B">
              <w:rPr>
                <w:sz w:val="20"/>
                <w:szCs w:val="20"/>
              </w:rPr>
              <w:t>o</w:t>
            </w:r>
            <w:r w:rsidR="00584048" w:rsidRPr="0071519B">
              <w:rPr>
                <w:sz w:val="20"/>
                <w:szCs w:val="20"/>
              </w:rPr>
              <w:t>land, R</w:t>
            </w:r>
            <w:r w:rsidRPr="0071519B">
              <w:rPr>
                <w:sz w:val="20"/>
                <w:szCs w:val="20"/>
              </w:rPr>
              <w:t>os</w:t>
            </w:r>
            <w:r w:rsidR="00584048" w:rsidRPr="0071519B">
              <w:rPr>
                <w:sz w:val="20"/>
                <w:szCs w:val="20"/>
              </w:rPr>
              <w:t>enberg, Rothstein</w:t>
            </w:r>
            <w:r w:rsidRPr="0071519B">
              <w:rPr>
                <w:sz w:val="20"/>
                <w:szCs w:val="20"/>
              </w:rPr>
              <w:t xml:space="preserve"> </w:t>
            </w:r>
            <w:r w:rsidR="00584048" w:rsidRPr="0071519B">
              <w:rPr>
                <w:sz w:val="20"/>
                <w:szCs w:val="20"/>
              </w:rPr>
              <w:tab/>
            </w:r>
            <w:r w:rsidRPr="0071519B">
              <w:rPr>
                <w:sz w:val="20"/>
                <w:szCs w:val="20"/>
              </w:rPr>
              <w:t>LLP</w:t>
            </w:r>
          </w:p>
          <w:p w:rsidR="00C21644" w:rsidRPr="0071519B" w:rsidRDefault="00C21644" w:rsidP="005F1ED8">
            <w:pPr>
              <w:tabs>
                <w:tab w:val="left" w:pos="-1440"/>
                <w:tab w:val="left" w:pos="-720"/>
              </w:tabs>
              <w:rPr>
                <w:sz w:val="20"/>
                <w:szCs w:val="20"/>
              </w:rPr>
            </w:pPr>
          </w:p>
          <w:p w:rsidR="00C21644" w:rsidRPr="0071519B" w:rsidRDefault="00C21644" w:rsidP="005F1ED8">
            <w:pPr>
              <w:rPr>
                <w:sz w:val="20"/>
                <w:szCs w:val="20"/>
              </w:rPr>
            </w:pPr>
            <w:r w:rsidRPr="0071519B">
              <w:rPr>
                <w:sz w:val="20"/>
                <w:szCs w:val="20"/>
              </w:rPr>
              <w:t xml:space="preserve">FILING DATE: </w:t>
            </w:r>
            <w:r w:rsidR="00584048" w:rsidRPr="0071519B">
              <w:rPr>
                <w:sz w:val="20"/>
                <w:szCs w:val="20"/>
              </w:rPr>
              <w:t>31</w:t>
            </w:r>
            <w:r w:rsidRPr="0071519B">
              <w:rPr>
                <w:sz w:val="20"/>
                <w:szCs w:val="20"/>
              </w:rPr>
              <w:t>.</w:t>
            </w:r>
            <w:r w:rsidR="00584048" w:rsidRPr="0071519B">
              <w:rPr>
                <w:sz w:val="20"/>
                <w:szCs w:val="20"/>
              </w:rPr>
              <w:t>0</w:t>
            </w:r>
            <w:r w:rsidRPr="0071519B">
              <w:rPr>
                <w:sz w:val="20"/>
                <w:szCs w:val="20"/>
              </w:rPr>
              <w:t>1.201</w:t>
            </w:r>
            <w:r w:rsidR="00584048" w:rsidRPr="0071519B">
              <w:rPr>
                <w:sz w:val="20"/>
                <w:szCs w:val="20"/>
              </w:rPr>
              <w:t>4</w:t>
            </w:r>
          </w:p>
          <w:p w:rsidR="00C21644" w:rsidRPr="00584048" w:rsidRDefault="00142ACF"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p w:rsidR="00C21644" w:rsidRPr="00584048" w:rsidRDefault="00C21644" w:rsidP="00242AEE">
            <w:pPr>
              <w:jc w:val="center"/>
              <w:rPr>
                <w:sz w:val="20"/>
                <w:szCs w:val="20"/>
                <w:lang w:val="fr-CA"/>
              </w:rPr>
            </w:pPr>
          </w:p>
        </w:tc>
        <w:tc>
          <w:tcPr>
            <w:tcW w:w="4320" w:type="dxa"/>
            <w:shd w:val="clear" w:color="auto" w:fill="auto"/>
          </w:tcPr>
          <w:p w:rsidR="00C21644" w:rsidRPr="00806A5B" w:rsidRDefault="00584048" w:rsidP="005F1ED8">
            <w:pPr>
              <w:keepNext/>
              <w:keepLines/>
              <w:tabs>
                <w:tab w:val="left" w:pos="-1440"/>
                <w:tab w:val="left" w:pos="-720"/>
              </w:tabs>
              <w:rPr>
                <w:b/>
                <w:sz w:val="20"/>
                <w:szCs w:val="20"/>
                <w:lang w:val="fr-CA"/>
              </w:rPr>
            </w:pPr>
            <w:r>
              <w:rPr>
                <w:b/>
                <w:sz w:val="20"/>
                <w:szCs w:val="20"/>
                <w:lang w:val="fr-CA"/>
              </w:rPr>
              <w:t>9187-0725 Québ</w:t>
            </w:r>
            <w:r w:rsidR="00C21644" w:rsidRPr="00806A5B">
              <w:rPr>
                <w:b/>
                <w:sz w:val="20"/>
                <w:szCs w:val="20"/>
                <w:lang w:val="fr-CA"/>
              </w:rPr>
              <w:t>e</w:t>
            </w:r>
            <w:r>
              <w:rPr>
                <w:b/>
                <w:sz w:val="20"/>
                <w:szCs w:val="20"/>
                <w:lang w:val="fr-CA"/>
              </w:rPr>
              <w:t>c Inc.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584048">
              <w:rPr>
                <w:sz w:val="20"/>
                <w:szCs w:val="20"/>
                <w:lang w:val="fr-CA"/>
              </w:rPr>
              <w:t>H</w:t>
            </w:r>
            <w:r w:rsidRPr="00806A5B">
              <w:rPr>
                <w:sz w:val="20"/>
                <w:szCs w:val="20"/>
                <w:lang w:val="fr-CA"/>
              </w:rPr>
              <w:t>e</w:t>
            </w:r>
            <w:r w:rsidR="00584048">
              <w:rPr>
                <w:sz w:val="20"/>
                <w:szCs w:val="20"/>
                <w:lang w:val="fr-CA"/>
              </w:rPr>
              <w:t>idi Belabidi</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584048">
              <w:rPr>
                <w:sz w:val="20"/>
                <w:szCs w:val="20"/>
                <w:lang w:val="fr-CA"/>
              </w:rPr>
              <w:t>St-Am</w:t>
            </w:r>
            <w:r w:rsidRPr="00806A5B">
              <w:rPr>
                <w:sz w:val="20"/>
                <w:szCs w:val="20"/>
                <w:lang w:val="fr-CA"/>
              </w:rPr>
              <w:t>our</w:t>
            </w:r>
            <w:r w:rsidR="00584048">
              <w:rPr>
                <w:sz w:val="20"/>
                <w:szCs w:val="20"/>
                <w:lang w:val="fr-CA"/>
              </w:rPr>
              <w:t xml:space="preserve"> &amp; </w:t>
            </w:r>
            <w:r w:rsidRPr="00806A5B">
              <w:rPr>
                <w:sz w:val="20"/>
                <w:szCs w:val="20"/>
                <w:lang w:val="fr-CA"/>
              </w:rPr>
              <w:t>Associés</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(35</w:t>
            </w:r>
            <w:r w:rsidR="00584048">
              <w:rPr>
                <w:sz w:val="20"/>
                <w:szCs w:val="20"/>
                <w:lang w:val="fr-CA"/>
              </w:rPr>
              <w:t>8</w:t>
            </w:r>
            <w:r w:rsidRPr="00806A5B">
              <w:rPr>
                <w:sz w:val="20"/>
                <w:szCs w:val="20"/>
                <w:lang w:val="fr-CA"/>
              </w:rPr>
              <w:t>5</w:t>
            </w:r>
            <w:r w:rsidR="00584048">
              <w:rPr>
                <w:sz w:val="20"/>
                <w:szCs w:val="20"/>
                <w:lang w:val="fr-CA"/>
              </w:rPr>
              <w:t>8</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584048" w:rsidP="005F1ED8">
            <w:pPr>
              <w:keepNext/>
              <w:keepLines/>
              <w:tabs>
                <w:tab w:val="left" w:pos="-1440"/>
                <w:tab w:val="left" w:pos="-720"/>
              </w:tabs>
              <w:rPr>
                <w:b/>
                <w:sz w:val="20"/>
                <w:szCs w:val="20"/>
                <w:lang w:val="fr-CA"/>
              </w:rPr>
            </w:pPr>
            <w:r>
              <w:rPr>
                <w:b/>
                <w:sz w:val="20"/>
                <w:szCs w:val="20"/>
                <w:lang w:val="fr-CA"/>
              </w:rPr>
              <w:t>9051-8887 Qu</w:t>
            </w:r>
            <w:r w:rsidR="00C21644" w:rsidRPr="00806A5B">
              <w:rPr>
                <w:b/>
                <w:sz w:val="20"/>
                <w:szCs w:val="20"/>
                <w:lang w:val="fr-CA"/>
              </w:rPr>
              <w:t>é</w:t>
            </w:r>
            <w:r>
              <w:rPr>
                <w:b/>
                <w:sz w:val="20"/>
                <w:szCs w:val="20"/>
                <w:lang w:val="fr-CA"/>
              </w:rPr>
              <w:t>b</w:t>
            </w:r>
            <w:r w:rsidR="00C21644" w:rsidRPr="00806A5B">
              <w:rPr>
                <w:b/>
                <w:sz w:val="20"/>
                <w:szCs w:val="20"/>
                <w:lang w:val="fr-CA"/>
              </w:rPr>
              <w:t>e</w:t>
            </w:r>
            <w:r>
              <w:rPr>
                <w:b/>
                <w:sz w:val="20"/>
                <w:szCs w:val="20"/>
                <w:lang w:val="fr-CA"/>
              </w:rPr>
              <w:t>c I</w:t>
            </w:r>
            <w:r w:rsidR="00C21644" w:rsidRPr="00806A5B">
              <w:rPr>
                <w:b/>
                <w:sz w:val="20"/>
                <w:szCs w:val="20"/>
                <w:lang w:val="fr-CA"/>
              </w:rPr>
              <w:t>n</w:t>
            </w:r>
            <w:r>
              <w:rPr>
                <w:b/>
                <w:sz w:val="20"/>
                <w:szCs w:val="20"/>
                <w:lang w:val="fr-CA"/>
              </w:rPr>
              <w:t>c.</w:t>
            </w:r>
            <w:r w:rsidR="00C21644" w:rsidRPr="00806A5B">
              <w:rPr>
                <w:b/>
                <w:sz w:val="20"/>
                <w:szCs w:val="20"/>
                <w:lang w:val="fr-CA"/>
              </w:rPr>
              <w:t xml:space="preserve"> (Qc)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584048">
              <w:rPr>
                <w:sz w:val="20"/>
                <w:szCs w:val="20"/>
                <w:lang w:val="fr-CA"/>
              </w:rPr>
              <w:t>François Bélisle</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584048">
              <w:rPr>
                <w:sz w:val="20"/>
                <w:szCs w:val="20"/>
                <w:lang w:val="fr-CA"/>
              </w:rPr>
              <w:t>Braun &amp; Bélisl</w:t>
            </w:r>
            <w:r>
              <w:rPr>
                <w:sz w:val="20"/>
                <w:szCs w:val="20"/>
                <w:lang w:val="fr-CA"/>
              </w:rPr>
              <w:t>e</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84048">
            <w:pPr>
              <w:rPr>
                <w:sz w:val="20"/>
                <w:szCs w:val="20"/>
                <w:lang w:val="fr-CA"/>
              </w:rPr>
            </w:pPr>
            <w:r w:rsidRPr="00806A5B">
              <w:rPr>
                <w:sz w:val="20"/>
                <w:szCs w:val="20"/>
                <w:lang w:val="fr-CA"/>
              </w:rPr>
              <w:t>DATE DE PRODUCTION: 1</w:t>
            </w:r>
            <w:r w:rsidR="00584048">
              <w:rPr>
                <w:sz w:val="20"/>
                <w:szCs w:val="20"/>
                <w:lang w:val="fr-CA"/>
              </w:rPr>
              <w:t>1</w:t>
            </w:r>
            <w:r w:rsidRPr="00806A5B">
              <w:rPr>
                <w:sz w:val="20"/>
                <w:szCs w:val="20"/>
                <w:lang w:val="fr-CA"/>
              </w:rPr>
              <w:t>.0</w:t>
            </w:r>
            <w:r w:rsidR="00584048">
              <w:rPr>
                <w:sz w:val="20"/>
                <w:szCs w:val="20"/>
                <w:lang w:val="fr-CA"/>
              </w:rPr>
              <w:t>3</w:t>
            </w:r>
            <w:r w:rsidRPr="00806A5B">
              <w:rPr>
                <w:sz w:val="20"/>
                <w:szCs w:val="20"/>
                <w:lang w:val="fr-CA"/>
              </w:rPr>
              <w:t>.2014</w:t>
            </w:r>
            <w:r w:rsidR="00142ACF">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71519B" w:rsidRDefault="00584048" w:rsidP="003B3977">
            <w:pPr>
              <w:rPr>
                <w:b/>
                <w:sz w:val="20"/>
                <w:szCs w:val="20"/>
              </w:rPr>
            </w:pPr>
            <w:r w:rsidRPr="0071519B">
              <w:rPr>
                <w:b/>
                <w:sz w:val="20"/>
                <w:szCs w:val="20"/>
              </w:rPr>
              <w:t>Ural Direk et al.</w:t>
            </w:r>
          </w:p>
          <w:p w:rsidR="00C21644" w:rsidRPr="0071519B" w:rsidRDefault="00C21644" w:rsidP="003B3977">
            <w:pPr>
              <w:tabs>
                <w:tab w:val="left" w:pos="-1440"/>
                <w:tab w:val="left" w:pos="-720"/>
              </w:tabs>
              <w:rPr>
                <w:sz w:val="20"/>
                <w:szCs w:val="20"/>
              </w:rPr>
            </w:pPr>
            <w:r w:rsidRPr="0071519B">
              <w:rPr>
                <w:sz w:val="20"/>
                <w:szCs w:val="20"/>
              </w:rPr>
              <w:tab/>
            </w:r>
            <w:r w:rsidR="00584048" w:rsidRPr="0071519B">
              <w:rPr>
                <w:sz w:val="20"/>
                <w:szCs w:val="20"/>
              </w:rPr>
              <w:t>Ural Direk</w:t>
            </w:r>
          </w:p>
          <w:p w:rsidR="00C21644" w:rsidRPr="0071519B"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71519B">
              <w:rPr>
                <w:sz w:val="20"/>
                <w:szCs w:val="20"/>
              </w:rPr>
              <w:tab/>
            </w:r>
            <w:r w:rsidRPr="00A935AA">
              <w:rPr>
                <w:sz w:val="20"/>
                <w:szCs w:val="20"/>
              </w:rPr>
              <w:t>v. (3</w:t>
            </w:r>
            <w:r>
              <w:rPr>
                <w:sz w:val="20"/>
                <w:szCs w:val="20"/>
              </w:rPr>
              <w:t>5</w:t>
            </w:r>
            <w:r w:rsidR="00584048">
              <w:rPr>
                <w:sz w:val="20"/>
                <w:szCs w:val="20"/>
              </w:rPr>
              <w:t>870</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584048" w:rsidP="003B3977">
            <w:pPr>
              <w:tabs>
                <w:tab w:val="left" w:pos="-1440"/>
                <w:tab w:val="left" w:pos="-720"/>
              </w:tabs>
              <w:rPr>
                <w:b/>
                <w:sz w:val="20"/>
                <w:szCs w:val="20"/>
              </w:rPr>
            </w:pPr>
            <w:r>
              <w:rPr>
                <w:b/>
                <w:sz w:val="20"/>
                <w:szCs w:val="20"/>
              </w:rPr>
              <w:t xml:space="preserve">Attorney General of Ontario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584048">
              <w:rPr>
                <w:sz w:val="20"/>
                <w:szCs w:val="20"/>
              </w:rPr>
              <w:t>Josh Hunter</w:t>
            </w:r>
          </w:p>
          <w:p w:rsidR="00C21644" w:rsidRPr="00A935AA" w:rsidRDefault="00C21644" w:rsidP="003B3977">
            <w:pPr>
              <w:tabs>
                <w:tab w:val="left" w:pos="-1440"/>
                <w:tab w:val="left" w:pos="-720"/>
              </w:tabs>
              <w:rPr>
                <w:sz w:val="20"/>
                <w:szCs w:val="20"/>
              </w:rPr>
            </w:pPr>
            <w:r w:rsidRPr="00A935AA">
              <w:rPr>
                <w:sz w:val="20"/>
                <w:szCs w:val="20"/>
              </w:rPr>
              <w:tab/>
            </w:r>
            <w:r w:rsidR="00584048">
              <w:rPr>
                <w:sz w:val="20"/>
                <w:szCs w:val="20"/>
              </w:rPr>
              <w:t>A.G. of Ontario</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584048">
              <w:rPr>
                <w:sz w:val="20"/>
                <w:szCs w:val="20"/>
              </w:rPr>
              <w:t>06</w:t>
            </w:r>
            <w:r w:rsidRPr="00A935AA">
              <w:rPr>
                <w:sz w:val="20"/>
                <w:szCs w:val="20"/>
              </w:rPr>
              <w:t>.0</w:t>
            </w:r>
            <w:r w:rsidR="00584048">
              <w:rPr>
                <w:sz w:val="20"/>
                <w:szCs w:val="20"/>
              </w:rPr>
              <w:t>5</w:t>
            </w:r>
            <w:r w:rsidRPr="00A935AA">
              <w:rPr>
                <w:sz w:val="20"/>
                <w:szCs w:val="20"/>
              </w:rPr>
              <w:t>.201</w:t>
            </w:r>
            <w:r>
              <w:rPr>
                <w:sz w:val="20"/>
                <w:szCs w:val="20"/>
              </w:rPr>
              <w:t>4</w:t>
            </w:r>
          </w:p>
          <w:p w:rsidR="00C21644" w:rsidRPr="00A935AA" w:rsidRDefault="00142ACF"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584048" w:rsidRDefault="005D2850" w:rsidP="003B3977">
            <w:pPr>
              <w:keepNext/>
              <w:keepLines/>
              <w:tabs>
                <w:tab w:val="left" w:pos="-1440"/>
                <w:tab w:val="left" w:pos="-720"/>
              </w:tabs>
              <w:rPr>
                <w:b/>
                <w:sz w:val="20"/>
                <w:szCs w:val="20"/>
              </w:rPr>
            </w:pPr>
            <w:r>
              <w:rPr>
                <w:b/>
                <w:sz w:val="20"/>
                <w:szCs w:val="20"/>
              </w:rPr>
              <w:t>John Reginald Carroll</w:t>
            </w:r>
          </w:p>
          <w:p w:rsidR="00C21644" w:rsidRPr="00584048" w:rsidRDefault="00C21644" w:rsidP="003B3977">
            <w:pPr>
              <w:keepNext/>
              <w:keepLines/>
              <w:tabs>
                <w:tab w:val="left" w:pos="-1440"/>
                <w:tab w:val="left" w:pos="-720"/>
              </w:tabs>
              <w:rPr>
                <w:sz w:val="20"/>
                <w:szCs w:val="20"/>
              </w:rPr>
            </w:pPr>
            <w:r w:rsidRPr="00584048">
              <w:rPr>
                <w:sz w:val="20"/>
                <w:szCs w:val="20"/>
              </w:rPr>
              <w:tab/>
            </w:r>
            <w:r w:rsidR="005D2850">
              <w:rPr>
                <w:sz w:val="20"/>
                <w:szCs w:val="20"/>
              </w:rPr>
              <w:t>Jonathan Dawe</w:t>
            </w:r>
          </w:p>
          <w:p w:rsidR="00C21644" w:rsidRPr="00A935AA" w:rsidRDefault="00C21644" w:rsidP="003B3977">
            <w:pPr>
              <w:keepNext/>
              <w:keepLines/>
              <w:tabs>
                <w:tab w:val="left" w:pos="-1440"/>
                <w:tab w:val="left" w:pos="-720"/>
              </w:tabs>
              <w:rPr>
                <w:sz w:val="20"/>
                <w:szCs w:val="20"/>
              </w:rPr>
            </w:pPr>
            <w:r w:rsidRPr="00584048">
              <w:rPr>
                <w:sz w:val="20"/>
                <w:szCs w:val="20"/>
              </w:rPr>
              <w:tab/>
            </w:r>
            <w:r w:rsidR="005D2850">
              <w:rPr>
                <w:sz w:val="20"/>
                <w:szCs w:val="20"/>
              </w:rPr>
              <w:t>Dawe &amp; Dineen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5D2850">
              <w:rPr>
                <w:sz w:val="20"/>
                <w:szCs w:val="20"/>
              </w:rPr>
              <w:t>877</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5D2850"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5D2850">
              <w:rPr>
                <w:sz w:val="20"/>
                <w:szCs w:val="20"/>
              </w:rPr>
              <w:t>Jamie C. Klukach</w:t>
            </w:r>
          </w:p>
          <w:p w:rsidR="00C21644" w:rsidRPr="00A935AA" w:rsidRDefault="00C21644" w:rsidP="003B3977">
            <w:pPr>
              <w:keepNext/>
              <w:keepLines/>
              <w:tabs>
                <w:tab w:val="left" w:pos="-1440"/>
                <w:tab w:val="left" w:pos="-720"/>
              </w:tabs>
              <w:rPr>
                <w:sz w:val="20"/>
                <w:szCs w:val="20"/>
              </w:rPr>
            </w:pPr>
            <w:r w:rsidRPr="00A935AA">
              <w:rPr>
                <w:sz w:val="20"/>
                <w:szCs w:val="20"/>
              </w:rPr>
              <w:tab/>
            </w:r>
            <w:r w:rsidR="005D2850">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A935AA" w:rsidRDefault="00C21644" w:rsidP="005D2850">
            <w:pPr>
              <w:rPr>
                <w:sz w:val="20"/>
                <w:szCs w:val="20"/>
              </w:rPr>
            </w:pPr>
            <w:r w:rsidRPr="00A935AA">
              <w:rPr>
                <w:sz w:val="20"/>
                <w:szCs w:val="20"/>
              </w:rPr>
              <w:t xml:space="preserve">FILING DATE: </w:t>
            </w:r>
            <w:r w:rsidR="005D2850">
              <w:rPr>
                <w:sz w:val="20"/>
                <w:szCs w:val="20"/>
              </w:rPr>
              <w:t>06</w:t>
            </w:r>
            <w:r w:rsidRPr="00A935AA">
              <w:rPr>
                <w:sz w:val="20"/>
                <w:szCs w:val="20"/>
              </w:rPr>
              <w:t>.0</w:t>
            </w:r>
            <w:r w:rsidR="005D2850">
              <w:rPr>
                <w:sz w:val="20"/>
                <w:szCs w:val="20"/>
              </w:rPr>
              <w:t>5</w:t>
            </w:r>
            <w:r w:rsidRPr="00A935AA">
              <w:rPr>
                <w:sz w:val="20"/>
                <w:szCs w:val="20"/>
              </w:rPr>
              <w:t>.201</w:t>
            </w:r>
            <w:r>
              <w:rPr>
                <w:sz w:val="20"/>
                <w:szCs w:val="20"/>
              </w:rPr>
              <w:t>4</w:t>
            </w:r>
            <w:r w:rsidR="00142ACF">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5D2850" w:rsidP="005F1ED8">
            <w:pPr>
              <w:rPr>
                <w:b/>
                <w:sz w:val="20"/>
                <w:szCs w:val="20"/>
              </w:rPr>
            </w:pPr>
            <w:r>
              <w:rPr>
                <w:b/>
                <w:sz w:val="20"/>
                <w:szCs w:val="20"/>
              </w:rPr>
              <w:t>Roland Lovas</w:t>
            </w:r>
          </w:p>
          <w:p w:rsidR="00C21644" w:rsidRPr="00A935AA" w:rsidRDefault="00C21644" w:rsidP="005F1ED8">
            <w:pPr>
              <w:tabs>
                <w:tab w:val="left" w:pos="-1440"/>
                <w:tab w:val="left" w:pos="-720"/>
              </w:tabs>
              <w:rPr>
                <w:sz w:val="20"/>
                <w:szCs w:val="20"/>
              </w:rPr>
            </w:pPr>
            <w:r w:rsidRPr="00A935AA">
              <w:rPr>
                <w:sz w:val="20"/>
                <w:szCs w:val="20"/>
              </w:rPr>
              <w:tab/>
            </w:r>
            <w:r w:rsidR="005D2850">
              <w:rPr>
                <w:sz w:val="20"/>
                <w:szCs w:val="20"/>
              </w:rPr>
              <w:t>Roland Lovas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5D2850">
              <w:rPr>
                <w:sz w:val="20"/>
                <w:szCs w:val="20"/>
              </w:rPr>
              <w:t>878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5D2850"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5D2850">
              <w:rPr>
                <w:sz w:val="20"/>
                <w:szCs w:val="20"/>
              </w:rPr>
              <w:t>Lisa Joyal</w:t>
            </w:r>
          </w:p>
          <w:p w:rsidR="00C21644" w:rsidRPr="00A935AA" w:rsidRDefault="00C21644" w:rsidP="005F1ED8">
            <w:pPr>
              <w:tabs>
                <w:tab w:val="left" w:pos="-1440"/>
                <w:tab w:val="left" w:pos="-720"/>
              </w:tabs>
              <w:rPr>
                <w:sz w:val="20"/>
                <w:szCs w:val="20"/>
              </w:rPr>
            </w:pPr>
            <w:r w:rsidRPr="00A935AA">
              <w:rPr>
                <w:sz w:val="20"/>
                <w:szCs w:val="20"/>
              </w:rPr>
              <w:tab/>
            </w:r>
            <w:r w:rsidR="005D2850">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5D2850">
              <w:rPr>
                <w:sz w:val="20"/>
                <w:szCs w:val="20"/>
              </w:rPr>
              <w:t>07</w:t>
            </w:r>
            <w:r w:rsidRPr="00A935AA">
              <w:rPr>
                <w:sz w:val="20"/>
                <w:szCs w:val="20"/>
              </w:rPr>
              <w:t>.0</w:t>
            </w:r>
            <w:r w:rsidR="005D2850">
              <w:rPr>
                <w:sz w:val="20"/>
                <w:szCs w:val="20"/>
              </w:rPr>
              <w:t>5</w:t>
            </w:r>
            <w:r w:rsidRPr="00A935AA">
              <w:rPr>
                <w:sz w:val="20"/>
                <w:szCs w:val="20"/>
              </w:rPr>
              <w:t>.201</w:t>
            </w:r>
            <w:r>
              <w:rPr>
                <w:sz w:val="20"/>
                <w:szCs w:val="20"/>
              </w:rPr>
              <w:t>4</w:t>
            </w:r>
          </w:p>
          <w:p w:rsidR="00C21644" w:rsidRPr="00A935AA" w:rsidRDefault="00142ACF"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F6E67">
          <w:headerReference w:type="default" r:id="rId16"/>
          <w:footerReference w:type="default" r:id="rId17"/>
          <w:headerReference w:type="first" r:id="rId18"/>
          <w:footerReference w:type="first" r:id="rId19"/>
          <w:pgSz w:w="12240" w:h="15840"/>
          <w:pgMar w:top="720" w:right="965" w:bottom="1080" w:left="1656" w:header="706" w:footer="706" w:gutter="0"/>
          <w:pgNumType w:start="91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42AC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3596E" w:rsidP="00CB3520">
      <w:pPr>
        <w:widowControl w:val="0"/>
        <w:rPr>
          <w:b/>
          <w:sz w:val="20"/>
          <w:szCs w:val="20"/>
        </w:rPr>
      </w:pPr>
      <w:r>
        <w:rPr>
          <w:b/>
          <w:sz w:val="20"/>
          <w:szCs w:val="20"/>
        </w:rPr>
        <w:t>M</w:t>
      </w:r>
      <w:r w:rsidR="00CB3520">
        <w:rPr>
          <w:b/>
          <w:sz w:val="20"/>
          <w:szCs w:val="20"/>
        </w:rPr>
        <w:t>AY 2</w:t>
      </w:r>
      <w:r>
        <w:rPr>
          <w:b/>
          <w:sz w:val="20"/>
          <w:szCs w:val="20"/>
        </w:rPr>
        <w:t>0</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2</w:t>
      </w:r>
      <w:r>
        <w:rPr>
          <w:b/>
          <w:sz w:val="20"/>
          <w:szCs w:val="20"/>
        </w:rPr>
        <w:t>0</w:t>
      </w:r>
      <w:r w:rsidR="00CB3520">
        <w:rPr>
          <w:b/>
          <w:sz w:val="20"/>
          <w:szCs w:val="20"/>
        </w:rPr>
        <w:t xml:space="preserve"> </w:t>
      </w:r>
      <w:r>
        <w:rPr>
          <w:b/>
          <w:sz w:val="20"/>
          <w:szCs w:val="20"/>
        </w:rPr>
        <w:t>M</w:t>
      </w:r>
      <w:r w:rsidR="00CB3520">
        <w:rPr>
          <w:b/>
          <w:sz w:val="20"/>
          <w:szCs w:val="20"/>
        </w:rPr>
        <w:t>AI</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71519B" w:rsidP="00CB3520">
      <w:pPr>
        <w:pStyle w:val="ListParagraph"/>
        <w:widowControl w:val="0"/>
        <w:numPr>
          <w:ilvl w:val="0"/>
          <w:numId w:val="1"/>
        </w:numPr>
        <w:ind w:hanging="720"/>
        <w:jc w:val="both"/>
        <w:rPr>
          <w:sz w:val="20"/>
          <w:szCs w:val="20"/>
        </w:rPr>
      </w:pPr>
      <w:r w:rsidRPr="0071519B">
        <w:rPr>
          <w:i/>
          <w:sz w:val="20"/>
          <w:szCs w:val="20"/>
        </w:rPr>
        <w:t>Timothy Lee Felger v. Her Majesty the Queen</w:t>
      </w:r>
      <w:r w:rsidRPr="0071519B">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5</w:t>
      </w:r>
      <w:r>
        <w:rPr>
          <w:sz w:val="20"/>
          <w:szCs w:val="20"/>
        </w:rPr>
        <w:t>795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1519B" w:rsidP="00CB3520">
      <w:pPr>
        <w:pStyle w:val="ListParagraph"/>
        <w:widowControl w:val="0"/>
        <w:numPr>
          <w:ilvl w:val="0"/>
          <w:numId w:val="1"/>
        </w:numPr>
        <w:ind w:hanging="720"/>
        <w:jc w:val="both"/>
        <w:rPr>
          <w:sz w:val="20"/>
          <w:szCs w:val="20"/>
        </w:rPr>
      </w:pPr>
      <w:r w:rsidRPr="0071519B">
        <w:rPr>
          <w:i/>
          <w:sz w:val="20"/>
          <w:szCs w:val="20"/>
        </w:rPr>
        <w:t>Larry Peter Klippenstein v. Manitoba Ombudsman</w:t>
      </w:r>
      <w:r w:rsidRPr="0071519B">
        <w:rPr>
          <w:sz w:val="20"/>
          <w:szCs w:val="20"/>
        </w:rPr>
        <w:t xml:space="preserve"> (Man.) (Civil) (By Leave)</w:t>
      </w:r>
      <w:r w:rsidRPr="00C612D0">
        <w:rPr>
          <w:sz w:val="20"/>
          <w:szCs w:val="20"/>
        </w:rPr>
        <w:t xml:space="preserve"> </w:t>
      </w:r>
      <w:r w:rsidR="00CB3520" w:rsidRPr="00C612D0">
        <w:rPr>
          <w:sz w:val="20"/>
          <w:szCs w:val="20"/>
        </w:rPr>
        <w:t>(3</w:t>
      </w:r>
      <w:r w:rsidR="00CB3520">
        <w:rPr>
          <w:sz w:val="20"/>
          <w:szCs w:val="20"/>
        </w:rPr>
        <w:t>5</w:t>
      </w:r>
      <w:r>
        <w:rPr>
          <w:sz w:val="20"/>
          <w:szCs w:val="20"/>
        </w:rPr>
        <w:t>793</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71519B" w:rsidP="00CB3520">
      <w:pPr>
        <w:pStyle w:val="ListParagraph"/>
        <w:widowControl w:val="0"/>
        <w:numPr>
          <w:ilvl w:val="0"/>
          <w:numId w:val="1"/>
        </w:numPr>
        <w:ind w:hanging="720"/>
        <w:jc w:val="both"/>
        <w:rPr>
          <w:sz w:val="20"/>
          <w:szCs w:val="20"/>
        </w:rPr>
      </w:pPr>
      <w:r w:rsidRPr="0071519B">
        <w:rPr>
          <w:i/>
          <w:sz w:val="20"/>
          <w:szCs w:val="20"/>
        </w:rPr>
        <w:t>Attorney General of Alberta v. Joseph William Moloney</w:t>
      </w:r>
      <w:r w:rsidRPr="0071519B">
        <w:rPr>
          <w:sz w:val="20"/>
          <w:szCs w:val="20"/>
        </w:rPr>
        <w:t xml:space="preserve"> (Alta.) (Civil) (By Leave)</w:t>
      </w:r>
      <w:r w:rsidRPr="00940CAD">
        <w:rPr>
          <w:sz w:val="20"/>
          <w:szCs w:val="20"/>
        </w:rPr>
        <w:t xml:space="preserve"> </w:t>
      </w:r>
      <w:r w:rsidR="00CB3520" w:rsidRPr="00940CAD">
        <w:rPr>
          <w:sz w:val="20"/>
          <w:szCs w:val="20"/>
        </w:rPr>
        <w:t>(3</w:t>
      </w:r>
      <w:r w:rsidR="00CB3520">
        <w:rPr>
          <w:sz w:val="20"/>
          <w:szCs w:val="20"/>
        </w:rPr>
        <w:t>5</w:t>
      </w:r>
      <w:r>
        <w:rPr>
          <w:sz w:val="20"/>
          <w:szCs w:val="20"/>
        </w:rPr>
        <w:t>82</w:t>
      </w:r>
      <w:r w:rsidR="00CB3520">
        <w:rPr>
          <w:sz w:val="20"/>
          <w:szCs w:val="20"/>
        </w:rPr>
        <w:t>0</w:t>
      </w:r>
      <w:r w:rsidR="00CB3520" w:rsidRPr="00940CAD">
        <w:rPr>
          <w:sz w:val="20"/>
          <w:szCs w:val="20"/>
        </w:rPr>
        <w:t>)</w:t>
      </w:r>
    </w:p>
    <w:p w:rsidR="00CB3520" w:rsidRDefault="00CB3520" w:rsidP="00CB3520">
      <w:pPr>
        <w:widowControl w:val="0"/>
        <w:rPr>
          <w:sz w:val="20"/>
          <w:szCs w:val="20"/>
        </w:rPr>
      </w:pPr>
    </w:p>
    <w:p w:rsidR="0071519B" w:rsidRDefault="0071519B" w:rsidP="00CB3520">
      <w:pPr>
        <w:widowControl w:val="0"/>
        <w:rPr>
          <w:sz w:val="20"/>
          <w:szCs w:val="20"/>
        </w:rPr>
      </w:pPr>
    </w:p>
    <w:p w:rsidR="0071519B" w:rsidRPr="00C50A5C" w:rsidRDefault="0071519B" w:rsidP="0071519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71519B" w:rsidRPr="00C50A5C" w:rsidRDefault="0071519B" w:rsidP="0071519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71519B" w:rsidRPr="0071519B" w:rsidRDefault="0071519B" w:rsidP="00CB3520">
      <w:pPr>
        <w:widowControl w:val="0"/>
        <w:rPr>
          <w:sz w:val="20"/>
          <w:szCs w:val="20"/>
          <w:lang w:val="fr-CA"/>
        </w:rPr>
      </w:pPr>
    </w:p>
    <w:p w:rsidR="00CB3520" w:rsidRPr="0071519B" w:rsidRDefault="0071519B" w:rsidP="00CB3520">
      <w:pPr>
        <w:pStyle w:val="ListParagraph"/>
        <w:widowControl w:val="0"/>
        <w:numPr>
          <w:ilvl w:val="0"/>
          <w:numId w:val="1"/>
        </w:numPr>
        <w:ind w:hanging="720"/>
        <w:jc w:val="both"/>
        <w:rPr>
          <w:sz w:val="20"/>
          <w:szCs w:val="20"/>
          <w:lang w:val="fr-CA"/>
        </w:rPr>
      </w:pPr>
      <w:r w:rsidRPr="0071519B">
        <w:rPr>
          <w:i/>
          <w:sz w:val="20"/>
          <w:szCs w:val="20"/>
          <w:lang w:val="fr-CA"/>
        </w:rPr>
        <w:t>Victor Sebastian Mendez Suarez c. Ministre de la justice du Canada représentant les États-Unis du Mexique</w:t>
      </w:r>
      <w:r w:rsidRPr="0071519B">
        <w:rPr>
          <w:sz w:val="20"/>
          <w:szCs w:val="20"/>
          <w:lang w:val="fr-CA"/>
        </w:rPr>
        <w:t xml:space="preserve"> (Qc) (Crim</w:t>
      </w:r>
      <w:r w:rsidR="00B6317B">
        <w:rPr>
          <w:sz w:val="20"/>
          <w:szCs w:val="20"/>
          <w:lang w:val="fr-CA"/>
        </w:rPr>
        <w:t>.</w:t>
      </w:r>
      <w:r w:rsidRPr="0071519B">
        <w:rPr>
          <w:sz w:val="20"/>
          <w:szCs w:val="20"/>
          <w:lang w:val="fr-CA"/>
        </w:rPr>
        <w:t xml:space="preserve">) (Autorisation) </w:t>
      </w:r>
      <w:r w:rsidR="00CB3520" w:rsidRPr="0071519B">
        <w:rPr>
          <w:sz w:val="20"/>
          <w:szCs w:val="20"/>
          <w:lang w:val="fr-CA"/>
        </w:rPr>
        <w:t>(35</w:t>
      </w:r>
      <w:r w:rsidRPr="0071519B">
        <w:rPr>
          <w:sz w:val="20"/>
          <w:szCs w:val="20"/>
          <w:lang w:val="fr-CA"/>
        </w:rPr>
        <w:t>724</w:t>
      </w:r>
      <w:r w:rsidR="00CB3520" w:rsidRPr="0071519B">
        <w:rPr>
          <w:sz w:val="20"/>
          <w:szCs w:val="20"/>
          <w:lang w:val="fr-CA"/>
        </w:rPr>
        <w:t>)</w:t>
      </w:r>
    </w:p>
    <w:p w:rsidR="00CB3520" w:rsidRPr="0071519B" w:rsidRDefault="00CB3520" w:rsidP="00CB3520">
      <w:pPr>
        <w:widowControl w:val="0"/>
        <w:jc w:val="both"/>
        <w:rPr>
          <w:sz w:val="20"/>
          <w:szCs w:val="20"/>
          <w:lang w:val="fr-CA"/>
        </w:rPr>
      </w:pPr>
    </w:p>
    <w:p w:rsidR="00CB3520" w:rsidRPr="009C5D38" w:rsidRDefault="0071519B" w:rsidP="00CB3520">
      <w:pPr>
        <w:pStyle w:val="ListParagraph"/>
        <w:widowControl w:val="0"/>
        <w:numPr>
          <w:ilvl w:val="0"/>
          <w:numId w:val="1"/>
        </w:numPr>
        <w:ind w:hanging="720"/>
        <w:jc w:val="both"/>
        <w:rPr>
          <w:sz w:val="20"/>
          <w:szCs w:val="20"/>
        </w:rPr>
      </w:pPr>
      <w:r w:rsidRPr="0071519B">
        <w:rPr>
          <w:i/>
          <w:sz w:val="20"/>
          <w:szCs w:val="20"/>
        </w:rPr>
        <w:t>Salvatore C. Vivona v. Royal Bank of Canada</w:t>
      </w:r>
      <w:r w:rsidRPr="0071519B">
        <w:rPr>
          <w:sz w:val="20"/>
          <w:szCs w:val="20"/>
        </w:rPr>
        <w:t xml:space="preserve"> (Ont.) (Civil) (By Leave)</w:t>
      </w:r>
      <w:r w:rsidRPr="009C5D38">
        <w:rPr>
          <w:sz w:val="20"/>
          <w:szCs w:val="20"/>
        </w:rPr>
        <w:t xml:space="preserve"> </w:t>
      </w:r>
      <w:r w:rsidR="00CB3520" w:rsidRPr="009C5D38">
        <w:rPr>
          <w:sz w:val="20"/>
          <w:szCs w:val="20"/>
        </w:rPr>
        <w:t>(35</w:t>
      </w:r>
      <w:r>
        <w:rPr>
          <w:sz w:val="20"/>
          <w:szCs w:val="20"/>
        </w:rPr>
        <w:t>77</w:t>
      </w:r>
      <w:r w:rsidR="00CB3520" w:rsidRPr="009C5D38">
        <w:rPr>
          <w:sz w:val="20"/>
          <w:szCs w:val="20"/>
        </w:rPr>
        <w:t>1)</w:t>
      </w:r>
    </w:p>
    <w:p w:rsidR="00CB3520" w:rsidRPr="009C5D38" w:rsidRDefault="00CB3520" w:rsidP="00CB3520">
      <w:pPr>
        <w:widowControl w:val="0"/>
        <w:rPr>
          <w:sz w:val="20"/>
          <w:szCs w:val="20"/>
        </w:rPr>
      </w:pPr>
    </w:p>
    <w:p w:rsidR="00CB3520" w:rsidRPr="00115C9E" w:rsidRDefault="0071519B" w:rsidP="00CB3520">
      <w:pPr>
        <w:pStyle w:val="ListParagraph"/>
        <w:widowControl w:val="0"/>
        <w:numPr>
          <w:ilvl w:val="0"/>
          <w:numId w:val="1"/>
        </w:numPr>
        <w:ind w:hanging="720"/>
        <w:jc w:val="both"/>
        <w:rPr>
          <w:sz w:val="20"/>
          <w:szCs w:val="20"/>
          <w:lang w:val="fr-CA"/>
        </w:rPr>
      </w:pPr>
      <w:r w:rsidRPr="0071519B">
        <w:rPr>
          <w:i/>
          <w:sz w:val="20"/>
          <w:szCs w:val="20"/>
        </w:rPr>
        <w:t>Stuart Olson Dominion Construction Ltd., formerly known as Dominion Construction Company Inc. v. Structal Heavy Steel, A Division of Canam Group Inc.</w:t>
      </w:r>
      <w:r w:rsidRPr="0071519B">
        <w:rPr>
          <w:sz w:val="20"/>
          <w:szCs w:val="20"/>
        </w:rPr>
        <w:t xml:space="preserve"> (Man.) (Civil) (By Leave)</w:t>
      </w:r>
      <w:r w:rsidRPr="00115C9E">
        <w:rPr>
          <w:sz w:val="20"/>
          <w:szCs w:val="20"/>
          <w:lang w:val="fr-CA"/>
        </w:rPr>
        <w:t xml:space="preserve"> </w:t>
      </w:r>
      <w:r w:rsidR="00CB3520" w:rsidRPr="00115C9E">
        <w:rPr>
          <w:sz w:val="20"/>
          <w:szCs w:val="20"/>
          <w:lang w:val="fr-CA"/>
        </w:rPr>
        <w:t>(35</w:t>
      </w:r>
      <w:r>
        <w:rPr>
          <w:sz w:val="20"/>
          <w:szCs w:val="20"/>
          <w:lang w:val="fr-CA"/>
        </w:rPr>
        <w:t>777</w:t>
      </w:r>
      <w:r w:rsidR="00CB3520" w:rsidRPr="00115C9E">
        <w:rPr>
          <w:sz w:val="20"/>
          <w:szCs w:val="20"/>
          <w:lang w:val="fr-CA"/>
        </w:rPr>
        <w:t>)</w:t>
      </w:r>
    </w:p>
    <w:p w:rsidR="00CB3520" w:rsidRDefault="00CB3520" w:rsidP="00CB3520">
      <w:pPr>
        <w:widowControl w:val="0"/>
        <w:jc w:val="both"/>
        <w:rPr>
          <w:sz w:val="20"/>
          <w:szCs w:val="20"/>
          <w:lang w:val="fr-CA"/>
        </w:rPr>
      </w:pPr>
    </w:p>
    <w:p w:rsidR="0071519B" w:rsidRDefault="0071519B" w:rsidP="00CB3520">
      <w:pPr>
        <w:widowControl w:val="0"/>
        <w:jc w:val="both"/>
        <w:rPr>
          <w:sz w:val="20"/>
          <w:szCs w:val="20"/>
          <w:lang w:val="fr-CA"/>
        </w:rPr>
      </w:pPr>
    </w:p>
    <w:p w:rsidR="0071519B" w:rsidRPr="00C50A5C" w:rsidRDefault="0071519B" w:rsidP="0071519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71519B" w:rsidRPr="00C50A5C" w:rsidRDefault="0071519B" w:rsidP="0071519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71519B" w:rsidRPr="00115C9E" w:rsidRDefault="0071519B" w:rsidP="00CB3520">
      <w:pPr>
        <w:widowControl w:val="0"/>
        <w:jc w:val="both"/>
        <w:rPr>
          <w:sz w:val="20"/>
          <w:szCs w:val="20"/>
          <w:lang w:val="fr-CA"/>
        </w:rPr>
      </w:pPr>
    </w:p>
    <w:p w:rsidR="00CB3520" w:rsidRPr="009C5D38" w:rsidRDefault="0071519B" w:rsidP="00CB3520">
      <w:pPr>
        <w:pStyle w:val="ListParagraph"/>
        <w:widowControl w:val="0"/>
        <w:numPr>
          <w:ilvl w:val="0"/>
          <w:numId w:val="1"/>
        </w:numPr>
        <w:ind w:hanging="720"/>
        <w:jc w:val="both"/>
        <w:rPr>
          <w:sz w:val="20"/>
          <w:szCs w:val="20"/>
        </w:rPr>
      </w:pPr>
      <w:r w:rsidRPr="0071519B">
        <w:rPr>
          <w:i/>
          <w:sz w:val="20"/>
          <w:szCs w:val="20"/>
        </w:rPr>
        <w:t>Cory Lawrence Bitternose v. Her Majesty the Queen</w:t>
      </w:r>
      <w:r w:rsidRPr="0071519B">
        <w:rPr>
          <w:sz w:val="20"/>
          <w:szCs w:val="20"/>
        </w:rPr>
        <w:t xml:space="preserve"> (Alta.) (Crim.) (By Leave)</w:t>
      </w:r>
      <w:r w:rsidRPr="009C5D38">
        <w:rPr>
          <w:sz w:val="20"/>
          <w:szCs w:val="20"/>
        </w:rPr>
        <w:t xml:space="preserve"> </w:t>
      </w:r>
      <w:r w:rsidR="00CB3520" w:rsidRPr="009C5D38">
        <w:rPr>
          <w:sz w:val="20"/>
          <w:szCs w:val="20"/>
        </w:rPr>
        <w:t>(35</w:t>
      </w:r>
      <w:r>
        <w:rPr>
          <w:sz w:val="20"/>
          <w:szCs w:val="20"/>
        </w:rPr>
        <w:t>7</w:t>
      </w:r>
      <w:r w:rsidR="00CB3520" w:rsidRPr="009C5D38">
        <w:rPr>
          <w:sz w:val="20"/>
          <w:szCs w:val="20"/>
        </w:rPr>
        <w:t>6</w:t>
      </w:r>
      <w:r>
        <w:rPr>
          <w:sz w:val="20"/>
          <w:szCs w:val="20"/>
        </w:rPr>
        <w:t>9</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71519B" w:rsidP="00CB3520">
      <w:pPr>
        <w:pStyle w:val="ListParagraph"/>
        <w:widowControl w:val="0"/>
        <w:numPr>
          <w:ilvl w:val="0"/>
          <w:numId w:val="1"/>
        </w:numPr>
        <w:ind w:hanging="720"/>
        <w:jc w:val="both"/>
        <w:rPr>
          <w:sz w:val="20"/>
          <w:szCs w:val="20"/>
          <w:lang w:val="fr-CA"/>
        </w:rPr>
      </w:pPr>
      <w:r w:rsidRPr="0071519B">
        <w:rPr>
          <w:i/>
          <w:sz w:val="20"/>
          <w:szCs w:val="20"/>
        </w:rPr>
        <w:t>Aleksandar Radjenovic v. Her Majesty the Queen</w:t>
      </w:r>
      <w:r w:rsidRPr="0071519B">
        <w:rPr>
          <w:sz w:val="20"/>
          <w:szCs w:val="20"/>
        </w:rPr>
        <w:t xml:space="preserve"> (B.C.) (Crim.) (By Leave)</w:t>
      </w:r>
      <w:r w:rsidRPr="00C50A5C">
        <w:rPr>
          <w:sz w:val="20"/>
          <w:szCs w:val="20"/>
          <w:lang w:val="fr-CA"/>
        </w:rPr>
        <w:t xml:space="preserve"> </w:t>
      </w:r>
      <w:r w:rsidR="00CB3520" w:rsidRPr="00C50A5C">
        <w:rPr>
          <w:sz w:val="20"/>
          <w:szCs w:val="20"/>
          <w:lang w:val="fr-CA"/>
        </w:rPr>
        <w:t>(3</w:t>
      </w:r>
      <w:r w:rsidR="00CB3520">
        <w:rPr>
          <w:sz w:val="20"/>
          <w:szCs w:val="20"/>
          <w:lang w:val="fr-CA"/>
        </w:rPr>
        <w:t>5</w:t>
      </w:r>
      <w:r>
        <w:rPr>
          <w:sz w:val="20"/>
          <w:szCs w:val="20"/>
          <w:lang w:val="fr-CA"/>
        </w:rPr>
        <w:t>78</w:t>
      </w:r>
      <w:r w:rsidR="00CB3520">
        <w:rPr>
          <w:sz w:val="20"/>
          <w:szCs w:val="20"/>
          <w:lang w:val="fr-CA"/>
        </w:rPr>
        <w:t>9</w:t>
      </w:r>
      <w:r w:rsidR="00CB3520" w:rsidRPr="00C50A5C">
        <w:rPr>
          <w:sz w:val="20"/>
          <w:szCs w:val="20"/>
          <w:lang w:val="fr-CA"/>
        </w:rPr>
        <w:t>)</w:t>
      </w:r>
    </w:p>
    <w:p w:rsidR="002E2327" w:rsidRPr="00CB3520" w:rsidRDefault="002E2327" w:rsidP="002E2327">
      <w:pPr>
        <w:widowControl w:val="0"/>
        <w:rPr>
          <w:sz w:val="20"/>
          <w:szCs w:val="20"/>
        </w:rPr>
      </w:pPr>
    </w:p>
    <w:p w:rsidR="002E2327" w:rsidRDefault="00142ACF"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42AC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Pr>
          <w:b/>
          <w:sz w:val="20"/>
          <w:szCs w:val="20"/>
        </w:rPr>
        <w:t>M</w:t>
      </w:r>
      <w:r w:rsidRPr="00C50A5C">
        <w:rPr>
          <w:b/>
          <w:sz w:val="20"/>
          <w:szCs w:val="20"/>
        </w:rPr>
        <w:t>A</w:t>
      </w:r>
      <w:r>
        <w:rPr>
          <w:b/>
          <w:sz w:val="20"/>
          <w:szCs w:val="20"/>
        </w:rPr>
        <w:t>Y</w:t>
      </w:r>
      <w:r w:rsidRPr="00C50A5C">
        <w:rPr>
          <w:b/>
          <w:sz w:val="20"/>
          <w:szCs w:val="20"/>
        </w:rPr>
        <w:t xml:space="preserve"> 2</w:t>
      </w:r>
      <w:r w:rsidR="0002155C">
        <w:rPr>
          <w:b/>
          <w:sz w:val="20"/>
          <w:szCs w:val="20"/>
        </w:rPr>
        <w:t>2</w:t>
      </w:r>
      <w:r w:rsidRPr="00C50A5C">
        <w:rPr>
          <w:b/>
          <w:sz w:val="20"/>
          <w:szCs w:val="20"/>
        </w:rPr>
        <w:t>, 201</w:t>
      </w:r>
      <w:r w:rsidR="0002155C">
        <w:rPr>
          <w:b/>
          <w:sz w:val="20"/>
          <w:szCs w:val="20"/>
        </w:rPr>
        <w:t>4</w:t>
      </w:r>
      <w:r w:rsidRPr="00C50A5C">
        <w:rPr>
          <w:b/>
          <w:sz w:val="20"/>
          <w:szCs w:val="20"/>
        </w:rPr>
        <w:t xml:space="preserve"> / LE 2</w:t>
      </w:r>
      <w:r w:rsidR="0002155C">
        <w:rPr>
          <w:b/>
          <w:sz w:val="20"/>
          <w:szCs w:val="20"/>
        </w:rPr>
        <w:t>2</w:t>
      </w:r>
      <w:r w:rsidRPr="00C50A5C">
        <w:rPr>
          <w:b/>
          <w:sz w:val="20"/>
          <w:szCs w:val="20"/>
        </w:rPr>
        <w:t xml:space="preserve"> </w:t>
      </w:r>
      <w:r>
        <w:rPr>
          <w:b/>
          <w:sz w:val="20"/>
          <w:szCs w:val="20"/>
        </w:rPr>
        <w:t>M</w:t>
      </w:r>
      <w:r w:rsidRPr="00C50A5C">
        <w:rPr>
          <w:b/>
          <w:sz w:val="20"/>
          <w:szCs w:val="20"/>
        </w:rPr>
        <w:t>AI 201</w:t>
      </w:r>
      <w:r w:rsidR="0002155C">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0A45" w:rsidRPr="00040A45" w:rsidTr="00B02906">
        <w:trPr>
          <w:cantSplit/>
        </w:trPr>
        <w:tc>
          <w:tcPr>
            <w:tcW w:w="1458" w:type="dxa"/>
          </w:tcPr>
          <w:p w:rsidR="00040A45" w:rsidRPr="00040A45" w:rsidRDefault="00040A45" w:rsidP="00040A45">
            <w:pPr>
              <w:rPr>
                <w:sz w:val="20"/>
              </w:rPr>
            </w:pPr>
            <w:r w:rsidRPr="00040A45">
              <w:rPr>
                <w:b/>
                <w:sz w:val="20"/>
                <w:lang w:val="fr-CA"/>
              </w:rPr>
              <w:t>35752</w:t>
            </w:r>
          </w:p>
          <w:p w:rsidR="00040A45" w:rsidRPr="00040A45" w:rsidRDefault="00040A45" w:rsidP="00040A45">
            <w:pPr>
              <w:rPr>
                <w:b/>
                <w:sz w:val="20"/>
                <w:lang w:val="fr-CA"/>
              </w:rPr>
            </w:pPr>
          </w:p>
        </w:tc>
        <w:tc>
          <w:tcPr>
            <w:tcW w:w="8118" w:type="dxa"/>
          </w:tcPr>
          <w:p w:rsidR="00040A45" w:rsidRPr="00040A45" w:rsidRDefault="00040A45" w:rsidP="00040A45">
            <w:pPr>
              <w:jc w:val="both"/>
              <w:rPr>
                <w:sz w:val="20"/>
              </w:rPr>
            </w:pPr>
            <w:r w:rsidRPr="00040A45">
              <w:rPr>
                <w:b/>
                <w:sz w:val="20"/>
                <w:u w:val="single"/>
              </w:rPr>
              <w:t>MHR Board Game Design Inc. and Marc Ribeiro v. Canadian Broadcasting Corporation</w:t>
            </w:r>
            <w:r w:rsidRPr="00040A45">
              <w:rPr>
                <w:sz w:val="20"/>
              </w:rPr>
              <w:t xml:space="preserve"> (Ont.) (Civil) (By Leave)</w:t>
            </w:r>
          </w:p>
          <w:p w:rsidR="00040A45" w:rsidRPr="00040A45" w:rsidRDefault="00040A45" w:rsidP="00040A45">
            <w:pPr>
              <w:jc w:val="both"/>
              <w:rPr>
                <w:sz w:val="20"/>
              </w:rPr>
            </w:pPr>
          </w:p>
        </w:tc>
      </w:tr>
      <w:tr w:rsidR="00040A45" w:rsidRPr="00040A45" w:rsidTr="00B02906">
        <w:trPr>
          <w:cantSplit/>
        </w:trPr>
        <w:tc>
          <w:tcPr>
            <w:tcW w:w="1458" w:type="dxa"/>
          </w:tcPr>
          <w:p w:rsidR="00040A45" w:rsidRPr="00040A45" w:rsidRDefault="00040A45" w:rsidP="00040A45">
            <w:pPr>
              <w:rPr>
                <w:sz w:val="20"/>
              </w:rPr>
            </w:pPr>
            <w:r w:rsidRPr="00040A45">
              <w:rPr>
                <w:sz w:val="20"/>
              </w:rPr>
              <w:t>Coram :</w:t>
            </w:r>
          </w:p>
        </w:tc>
        <w:tc>
          <w:tcPr>
            <w:tcW w:w="8118" w:type="dxa"/>
          </w:tcPr>
          <w:p w:rsidR="00040A45" w:rsidRPr="00040A45" w:rsidRDefault="00040A45" w:rsidP="00040A45">
            <w:pPr>
              <w:rPr>
                <w:sz w:val="20"/>
              </w:rPr>
            </w:pPr>
            <w:r w:rsidRPr="00040A45">
              <w:rPr>
                <w:sz w:val="20"/>
                <w:u w:val="single"/>
              </w:rPr>
              <w:t>Abella, Rothstein and Moldaver JJ.</w:t>
            </w:r>
          </w:p>
          <w:p w:rsidR="00040A45" w:rsidRPr="00040A45" w:rsidRDefault="00040A45" w:rsidP="00040A45">
            <w:pPr>
              <w:rPr>
                <w:sz w:val="20"/>
                <w:u w:val="single"/>
              </w:rPr>
            </w:pPr>
          </w:p>
        </w:tc>
      </w:tr>
      <w:tr w:rsidR="00040A45" w:rsidRPr="00142ACF" w:rsidTr="00B02906">
        <w:trPr>
          <w:cantSplit/>
        </w:trPr>
        <w:tc>
          <w:tcPr>
            <w:tcW w:w="9576" w:type="dxa"/>
            <w:gridSpan w:val="2"/>
          </w:tcPr>
          <w:p w:rsidR="00040A45" w:rsidRPr="00040A45" w:rsidRDefault="00040A45" w:rsidP="00040A45">
            <w:pPr>
              <w:ind w:firstLine="720"/>
              <w:jc w:val="both"/>
              <w:rPr>
                <w:sz w:val="20"/>
              </w:rPr>
            </w:pPr>
            <w:r w:rsidRPr="00040A45">
              <w:rPr>
                <w:sz w:val="20"/>
              </w:rPr>
              <w:t>The application for leave to appeal from the judgment of the Court of Appeal for Ontario, Number C57441, 2013 ONCA 728, dated December 3, 2013, is dismissed with costs.</w:t>
            </w:r>
          </w:p>
          <w:p w:rsidR="00040A45" w:rsidRPr="00040A45" w:rsidRDefault="00040A45" w:rsidP="00040A45">
            <w:pPr>
              <w:jc w:val="both"/>
              <w:rPr>
                <w:sz w:val="20"/>
              </w:rPr>
            </w:pPr>
          </w:p>
          <w:p w:rsidR="00040A45" w:rsidRPr="00040A45" w:rsidRDefault="00040A45" w:rsidP="00040A45">
            <w:pPr>
              <w:ind w:firstLine="720"/>
              <w:jc w:val="both"/>
              <w:rPr>
                <w:sz w:val="20"/>
                <w:lang w:val="fr-CA"/>
              </w:rPr>
            </w:pPr>
            <w:r w:rsidRPr="00040A45">
              <w:rPr>
                <w:sz w:val="20"/>
                <w:lang w:val="fr-CA"/>
              </w:rPr>
              <w:t>La demande d’autorisation d’appel de l’arrêt de la Cour d’appel de l’Ontario, numéro C57441, 2013 ONCA 728, daté du 3 décembre 2013, est rejetée avec dépens.</w:t>
            </w:r>
          </w:p>
        </w:tc>
      </w:tr>
    </w:tbl>
    <w:p w:rsidR="0002155C" w:rsidRPr="0016547E" w:rsidRDefault="0002155C" w:rsidP="0002155C">
      <w:pPr>
        <w:rPr>
          <w:sz w:val="20"/>
          <w:szCs w:val="20"/>
          <w:lang w:val="fr-CA"/>
        </w:rPr>
      </w:pPr>
    </w:p>
    <w:p w:rsidR="0002155C" w:rsidRPr="001B157C" w:rsidRDefault="0002155C" w:rsidP="0002155C">
      <w:pPr>
        <w:rPr>
          <w:sz w:val="20"/>
          <w:szCs w:val="20"/>
          <w:u w:val="single"/>
        </w:rPr>
      </w:pPr>
      <w:r w:rsidRPr="001B157C">
        <w:rPr>
          <w:sz w:val="20"/>
          <w:szCs w:val="20"/>
          <w:u w:val="single"/>
        </w:rPr>
        <w:t>CASE SUMMARY</w:t>
      </w:r>
    </w:p>
    <w:p w:rsidR="0002155C" w:rsidRDefault="0002155C"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2155C" w:rsidRPr="004A71C9" w:rsidTr="005D2850">
        <w:tc>
          <w:tcPr>
            <w:tcW w:w="5000" w:type="pct"/>
            <w:gridSpan w:val="3"/>
          </w:tcPr>
          <w:p w:rsidR="0002155C" w:rsidRPr="004A71C9" w:rsidRDefault="0002155C" w:rsidP="005D2850">
            <w:pPr>
              <w:jc w:val="both"/>
              <w:rPr>
                <w:rFonts w:eastAsia="Calibri"/>
                <w:sz w:val="20"/>
                <w:szCs w:val="20"/>
              </w:rPr>
            </w:pPr>
            <w:r w:rsidRPr="004A71C9">
              <w:rPr>
                <w:rFonts w:eastAsia="Calibri"/>
                <w:sz w:val="20"/>
                <w:szCs w:val="20"/>
              </w:rPr>
              <w:t>Torts — Libel and slander — Contracts — Applicants signing release and consent prior to taping of a television show and subsequently initiating an action for breach of contract, defamation, negligence and injurious falsehood — Whether doctrine of public policy imposes limits on consenting to defamation by contract?</w:t>
            </w:r>
          </w:p>
        </w:tc>
      </w:tr>
      <w:tr w:rsidR="0002155C" w:rsidRPr="004A71C9" w:rsidTr="005D2850">
        <w:tc>
          <w:tcPr>
            <w:tcW w:w="5000" w:type="pct"/>
            <w:gridSpan w:val="3"/>
          </w:tcPr>
          <w:p w:rsidR="0002155C" w:rsidRPr="004A71C9" w:rsidRDefault="0002155C" w:rsidP="005D2850">
            <w:pPr>
              <w:jc w:val="both"/>
              <w:rPr>
                <w:rFonts w:eastAsia="Calibri"/>
                <w:sz w:val="20"/>
                <w:szCs w:val="20"/>
              </w:rPr>
            </w:pPr>
          </w:p>
        </w:tc>
      </w:tr>
      <w:tr w:rsidR="0002155C" w:rsidRPr="004A71C9" w:rsidTr="005D2850">
        <w:tc>
          <w:tcPr>
            <w:tcW w:w="5000" w:type="pct"/>
            <w:gridSpan w:val="3"/>
          </w:tcPr>
          <w:p w:rsidR="0002155C" w:rsidRPr="004A71C9" w:rsidRDefault="0002155C" w:rsidP="005D2850">
            <w:pPr>
              <w:jc w:val="both"/>
              <w:rPr>
                <w:rFonts w:eastAsia="Calibri"/>
                <w:sz w:val="20"/>
                <w:szCs w:val="20"/>
              </w:rPr>
            </w:pPr>
            <w:r w:rsidRPr="004A71C9">
              <w:rPr>
                <w:rFonts w:eastAsia="Calibri"/>
                <w:sz w:val="20"/>
                <w:szCs w:val="20"/>
              </w:rPr>
              <w:t>In 2011, the applicant Marc Ribeiro made an unsuccessful business proposal to a panel on the Canadian Broadcasting Corporation’s (“CBC”) reality show “Dragon’s Den”.  Mr. Ribeiro is the president, sole shareholder and directing mind of the applicant MHR Board Game Design Inc.</w:t>
            </w:r>
          </w:p>
          <w:p w:rsidR="0002155C" w:rsidRPr="004A71C9" w:rsidRDefault="0002155C" w:rsidP="005D2850">
            <w:pPr>
              <w:jc w:val="both"/>
              <w:rPr>
                <w:rFonts w:eastAsia="Calibri"/>
                <w:sz w:val="20"/>
                <w:szCs w:val="20"/>
              </w:rPr>
            </w:pPr>
          </w:p>
          <w:p w:rsidR="0002155C" w:rsidRPr="004A71C9" w:rsidRDefault="0002155C" w:rsidP="005D2850">
            <w:pPr>
              <w:jc w:val="both"/>
              <w:rPr>
                <w:rFonts w:eastAsia="Calibri"/>
                <w:sz w:val="20"/>
                <w:szCs w:val="20"/>
              </w:rPr>
            </w:pPr>
            <w:r w:rsidRPr="004A71C9">
              <w:rPr>
                <w:rFonts w:eastAsia="Calibri"/>
                <w:sz w:val="20"/>
                <w:szCs w:val="20"/>
              </w:rPr>
              <w:t>The applicants subsequently sued the CBC for breach of contract, defamation, negligence and injurious falsehood.  The applicants alleged that the version of Mr. Ribeiro’s proposal that was broadcast had been edited in such a fashion as to completely misrepresent the merits of his business plan and falsely convey the idea that the business proposal was a “complete flop”.</w:t>
            </w:r>
          </w:p>
          <w:p w:rsidR="0002155C" w:rsidRPr="004A71C9" w:rsidRDefault="0002155C" w:rsidP="005D2850">
            <w:pPr>
              <w:jc w:val="both"/>
              <w:rPr>
                <w:rFonts w:eastAsia="Calibri"/>
                <w:sz w:val="20"/>
                <w:szCs w:val="20"/>
              </w:rPr>
            </w:pPr>
          </w:p>
          <w:p w:rsidR="0002155C" w:rsidRPr="004A71C9" w:rsidRDefault="0002155C" w:rsidP="005D2850">
            <w:pPr>
              <w:jc w:val="both"/>
              <w:rPr>
                <w:rFonts w:eastAsia="Calibri"/>
                <w:sz w:val="20"/>
                <w:szCs w:val="20"/>
              </w:rPr>
            </w:pPr>
            <w:r w:rsidRPr="004A71C9">
              <w:rPr>
                <w:rFonts w:eastAsia="Calibri"/>
                <w:sz w:val="20"/>
                <w:szCs w:val="20"/>
              </w:rPr>
              <w:t>The CBC brought a motion for summary judgment seeking the dismissal of the action on the basis that a Consent and Release twice signed by Mr. Ribeiro prior to his participation on the show expressly waived the causes of action alleged in the applicants’ claims.</w:t>
            </w:r>
          </w:p>
          <w:p w:rsidR="0002155C" w:rsidRPr="004A71C9" w:rsidRDefault="0002155C" w:rsidP="005D2850">
            <w:pPr>
              <w:jc w:val="both"/>
              <w:rPr>
                <w:rFonts w:eastAsia="Calibri"/>
                <w:sz w:val="20"/>
                <w:szCs w:val="20"/>
              </w:rPr>
            </w:pPr>
          </w:p>
        </w:tc>
      </w:tr>
      <w:tr w:rsidR="0002155C" w:rsidRPr="004A71C9" w:rsidTr="005D2850">
        <w:tc>
          <w:tcPr>
            <w:tcW w:w="2427" w:type="pct"/>
          </w:tcPr>
          <w:p w:rsidR="0002155C" w:rsidRPr="004A71C9" w:rsidRDefault="0002155C" w:rsidP="005D2850">
            <w:pPr>
              <w:jc w:val="both"/>
              <w:rPr>
                <w:rFonts w:eastAsia="Calibri"/>
                <w:sz w:val="20"/>
                <w:szCs w:val="20"/>
              </w:rPr>
            </w:pPr>
            <w:r w:rsidRPr="004A71C9">
              <w:rPr>
                <w:rFonts w:eastAsia="Calibri"/>
                <w:sz w:val="20"/>
                <w:szCs w:val="20"/>
              </w:rPr>
              <w:t>June 28, 2013</w:t>
            </w:r>
          </w:p>
          <w:p w:rsidR="0002155C" w:rsidRPr="004A71C9" w:rsidRDefault="0002155C" w:rsidP="005D2850">
            <w:pPr>
              <w:jc w:val="both"/>
              <w:rPr>
                <w:rFonts w:eastAsia="Calibri"/>
                <w:sz w:val="20"/>
                <w:szCs w:val="20"/>
              </w:rPr>
            </w:pPr>
            <w:r w:rsidRPr="004A71C9">
              <w:rPr>
                <w:rFonts w:eastAsia="Calibri"/>
                <w:sz w:val="20"/>
                <w:szCs w:val="20"/>
              </w:rPr>
              <w:t>Ontario Superior Court of Justice</w:t>
            </w:r>
          </w:p>
          <w:p w:rsidR="0002155C" w:rsidRPr="004A71C9" w:rsidRDefault="0002155C" w:rsidP="005D2850">
            <w:pPr>
              <w:jc w:val="both"/>
              <w:rPr>
                <w:rFonts w:eastAsia="Calibri"/>
                <w:sz w:val="20"/>
                <w:szCs w:val="20"/>
              </w:rPr>
            </w:pPr>
            <w:r w:rsidRPr="004A71C9">
              <w:rPr>
                <w:rFonts w:eastAsia="Calibri"/>
                <w:sz w:val="20"/>
                <w:szCs w:val="20"/>
              </w:rPr>
              <w:t>(Aston J)</w:t>
            </w:r>
          </w:p>
          <w:p w:rsidR="0002155C" w:rsidRPr="004A71C9" w:rsidRDefault="00142ACF" w:rsidP="005D2850">
            <w:pPr>
              <w:jc w:val="both"/>
              <w:rPr>
                <w:rFonts w:eastAsia="Calibri"/>
                <w:sz w:val="20"/>
                <w:szCs w:val="20"/>
              </w:rPr>
            </w:pPr>
            <w:hyperlink r:id="rId24" w:history="1">
              <w:r w:rsidR="0002155C" w:rsidRPr="004A71C9">
                <w:rPr>
                  <w:rFonts w:eastAsia="Calibri"/>
                  <w:color w:val="0000FF"/>
                  <w:sz w:val="20"/>
                  <w:szCs w:val="20"/>
                  <w:u w:val="single"/>
                </w:rPr>
                <w:t>2013 ONSC 4457</w:t>
              </w:r>
            </w:hyperlink>
          </w:p>
          <w:p w:rsidR="0002155C" w:rsidRPr="004A71C9" w:rsidRDefault="0002155C" w:rsidP="005D2850">
            <w:pPr>
              <w:jc w:val="both"/>
              <w:rPr>
                <w:rFonts w:eastAsia="Calibri"/>
                <w:sz w:val="20"/>
                <w:szCs w:val="20"/>
              </w:rPr>
            </w:pPr>
          </w:p>
        </w:tc>
        <w:tc>
          <w:tcPr>
            <w:tcW w:w="243" w:type="pct"/>
          </w:tcPr>
          <w:p w:rsidR="0002155C" w:rsidRPr="004A71C9" w:rsidRDefault="0002155C" w:rsidP="005D2850">
            <w:pPr>
              <w:jc w:val="both"/>
              <w:rPr>
                <w:rFonts w:eastAsia="Calibri"/>
                <w:sz w:val="20"/>
                <w:szCs w:val="20"/>
              </w:rPr>
            </w:pPr>
          </w:p>
        </w:tc>
        <w:tc>
          <w:tcPr>
            <w:tcW w:w="2330" w:type="pct"/>
          </w:tcPr>
          <w:p w:rsidR="0002155C" w:rsidRPr="004A71C9" w:rsidRDefault="0002155C" w:rsidP="005D2850">
            <w:pPr>
              <w:jc w:val="both"/>
              <w:rPr>
                <w:rFonts w:eastAsia="Calibri"/>
                <w:sz w:val="20"/>
                <w:szCs w:val="20"/>
              </w:rPr>
            </w:pPr>
            <w:r w:rsidRPr="004A71C9">
              <w:rPr>
                <w:rFonts w:eastAsia="Calibri"/>
                <w:sz w:val="20"/>
                <w:szCs w:val="20"/>
              </w:rPr>
              <w:t xml:space="preserve">Motion for summary judgment granted; Action against the Canadian Broadcasting Corporation dismissed </w:t>
            </w:r>
          </w:p>
        </w:tc>
      </w:tr>
      <w:tr w:rsidR="0002155C" w:rsidRPr="004A71C9" w:rsidTr="005D2850">
        <w:tc>
          <w:tcPr>
            <w:tcW w:w="2427" w:type="pct"/>
          </w:tcPr>
          <w:p w:rsidR="0002155C" w:rsidRPr="004A71C9" w:rsidRDefault="0002155C" w:rsidP="005D2850">
            <w:pPr>
              <w:jc w:val="both"/>
              <w:rPr>
                <w:rFonts w:eastAsia="Calibri"/>
                <w:sz w:val="20"/>
                <w:szCs w:val="20"/>
              </w:rPr>
            </w:pPr>
            <w:r w:rsidRPr="004A71C9">
              <w:rPr>
                <w:rFonts w:eastAsia="Calibri"/>
                <w:sz w:val="20"/>
                <w:szCs w:val="20"/>
              </w:rPr>
              <w:t>December 3, 2013</w:t>
            </w:r>
          </w:p>
          <w:p w:rsidR="0002155C" w:rsidRPr="004A71C9" w:rsidRDefault="0002155C" w:rsidP="005D2850">
            <w:pPr>
              <w:jc w:val="both"/>
              <w:rPr>
                <w:rFonts w:eastAsia="Calibri"/>
                <w:sz w:val="20"/>
                <w:szCs w:val="20"/>
              </w:rPr>
            </w:pPr>
            <w:r w:rsidRPr="004A71C9">
              <w:rPr>
                <w:rFonts w:eastAsia="Calibri"/>
                <w:sz w:val="20"/>
                <w:szCs w:val="20"/>
              </w:rPr>
              <w:t>Court of Appeal for Ontario</w:t>
            </w:r>
          </w:p>
          <w:p w:rsidR="0002155C" w:rsidRPr="004A71C9" w:rsidRDefault="0002155C" w:rsidP="005D2850">
            <w:pPr>
              <w:jc w:val="both"/>
              <w:rPr>
                <w:rFonts w:eastAsia="Calibri"/>
                <w:sz w:val="20"/>
                <w:szCs w:val="20"/>
              </w:rPr>
            </w:pPr>
            <w:r w:rsidRPr="004A71C9">
              <w:rPr>
                <w:rFonts w:eastAsia="Calibri"/>
                <w:sz w:val="20"/>
                <w:szCs w:val="20"/>
              </w:rPr>
              <w:t>(Rosenberg, Rouleau and Pardu JJ.A.)</w:t>
            </w:r>
          </w:p>
          <w:p w:rsidR="0002155C" w:rsidRPr="004A71C9" w:rsidRDefault="00142ACF" w:rsidP="005D2850">
            <w:pPr>
              <w:jc w:val="both"/>
              <w:rPr>
                <w:rFonts w:eastAsia="Calibri"/>
                <w:sz w:val="20"/>
                <w:szCs w:val="20"/>
              </w:rPr>
            </w:pPr>
            <w:hyperlink r:id="rId25" w:history="1">
              <w:r w:rsidR="0002155C" w:rsidRPr="004A71C9">
                <w:rPr>
                  <w:rFonts w:eastAsia="Calibri"/>
                  <w:color w:val="0000FF"/>
                  <w:sz w:val="20"/>
                  <w:szCs w:val="20"/>
                  <w:u w:val="single"/>
                </w:rPr>
                <w:t>2013 ONCA 728</w:t>
              </w:r>
            </w:hyperlink>
          </w:p>
          <w:p w:rsidR="0002155C" w:rsidRPr="004A71C9" w:rsidRDefault="0002155C" w:rsidP="005D2850">
            <w:pPr>
              <w:jc w:val="both"/>
              <w:rPr>
                <w:rFonts w:eastAsia="Calibri"/>
                <w:sz w:val="20"/>
                <w:szCs w:val="20"/>
              </w:rPr>
            </w:pPr>
          </w:p>
        </w:tc>
        <w:tc>
          <w:tcPr>
            <w:tcW w:w="243" w:type="pct"/>
          </w:tcPr>
          <w:p w:rsidR="0002155C" w:rsidRPr="004A71C9" w:rsidRDefault="0002155C" w:rsidP="005D2850">
            <w:pPr>
              <w:jc w:val="both"/>
              <w:rPr>
                <w:rFonts w:eastAsia="Calibri"/>
                <w:sz w:val="20"/>
                <w:szCs w:val="20"/>
              </w:rPr>
            </w:pPr>
          </w:p>
        </w:tc>
        <w:tc>
          <w:tcPr>
            <w:tcW w:w="2330" w:type="pct"/>
          </w:tcPr>
          <w:p w:rsidR="0002155C" w:rsidRPr="004A71C9" w:rsidRDefault="0002155C" w:rsidP="005D2850">
            <w:pPr>
              <w:jc w:val="both"/>
              <w:rPr>
                <w:rFonts w:eastAsia="Calibri"/>
                <w:sz w:val="20"/>
                <w:szCs w:val="20"/>
              </w:rPr>
            </w:pPr>
            <w:r w:rsidRPr="004A71C9">
              <w:rPr>
                <w:rFonts w:eastAsia="Calibri"/>
                <w:sz w:val="20"/>
                <w:szCs w:val="20"/>
              </w:rPr>
              <w:t>Appeal dismissed</w:t>
            </w:r>
          </w:p>
          <w:p w:rsidR="0002155C" w:rsidRPr="004A71C9" w:rsidRDefault="0002155C" w:rsidP="005D2850">
            <w:pPr>
              <w:jc w:val="both"/>
              <w:rPr>
                <w:rFonts w:eastAsia="Calibri"/>
                <w:sz w:val="20"/>
                <w:szCs w:val="20"/>
              </w:rPr>
            </w:pPr>
          </w:p>
        </w:tc>
      </w:tr>
      <w:tr w:rsidR="0002155C" w:rsidRPr="004A71C9" w:rsidTr="005D2850">
        <w:tc>
          <w:tcPr>
            <w:tcW w:w="2427" w:type="pct"/>
          </w:tcPr>
          <w:p w:rsidR="0002155C" w:rsidRPr="004A71C9" w:rsidRDefault="0002155C" w:rsidP="005D2850">
            <w:pPr>
              <w:jc w:val="both"/>
              <w:rPr>
                <w:rFonts w:eastAsia="Calibri"/>
                <w:sz w:val="20"/>
                <w:szCs w:val="20"/>
              </w:rPr>
            </w:pPr>
            <w:r w:rsidRPr="004A71C9">
              <w:rPr>
                <w:rFonts w:eastAsia="Calibri"/>
                <w:sz w:val="20"/>
                <w:szCs w:val="20"/>
              </w:rPr>
              <w:t>February 3, 2014</w:t>
            </w:r>
          </w:p>
          <w:p w:rsidR="0002155C" w:rsidRPr="004A71C9" w:rsidRDefault="0002155C" w:rsidP="005D2850">
            <w:pPr>
              <w:jc w:val="both"/>
              <w:rPr>
                <w:rFonts w:eastAsia="Calibri"/>
                <w:sz w:val="20"/>
                <w:szCs w:val="20"/>
              </w:rPr>
            </w:pPr>
            <w:r w:rsidRPr="004A71C9">
              <w:rPr>
                <w:rFonts w:eastAsia="Calibri"/>
                <w:sz w:val="20"/>
                <w:szCs w:val="20"/>
              </w:rPr>
              <w:t>Supreme Court of Canada</w:t>
            </w:r>
          </w:p>
        </w:tc>
        <w:tc>
          <w:tcPr>
            <w:tcW w:w="243" w:type="pct"/>
          </w:tcPr>
          <w:p w:rsidR="0002155C" w:rsidRPr="004A71C9" w:rsidRDefault="0002155C" w:rsidP="005D2850">
            <w:pPr>
              <w:jc w:val="both"/>
              <w:rPr>
                <w:rFonts w:eastAsia="Calibri"/>
                <w:sz w:val="20"/>
                <w:szCs w:val="20"/>
              </w:rPr>
            </w:pPr>
          </w:p>
        </w:tc>
        <w:tc>
          <w:tcPr>
            <w:tcW w:w="2330" w:type="pct"/>
          </w:tcPr>
          <w:p w:rsidR="0002155C" w:rsidRPr="004A71C9" w:rsidRDefault="0002155C" w:rsidP="005D2850">
            <w:pPr>
              <w:jc w:val="both"/>
              <w:rPr>
                <w:rFonts w:eastAsia="Calibri"/>
                <w:sz w:val="20"/>
                <w:szCs w:val="20"/>
              </w:rPr>
            </w:pPr>
            <w:r w:rsidRPr="004A71C9">
              <w:rPr>
                <w:rFonts w:eastAsia="Calibri"/>
                <w:sz w:val="20"/>
                <w:szCs w:val="20"/>
              </w:rPr>
              <w:t>Application for leave to appeal filed</w:t>
            </w:r>
          </w:p>
          <w:p w:rsidR="0002155C" w:rsidRPr="004A71C9" w:rsidRDefault="0002155C" w:rsidP="005D2850">
            <w:pPr>
              <w:jc w:val="both"/>
              <w:rPr>
                <w:rFonts w:eastAsia="Calibri"/>
                <w:sz w:val="20"/>
                <w:szCs w:val="20"/>
              </w:rPr>
            </w:pPr>
          </w:p>
        </w:tc>
      </w:tr>
    </w:tbl>
    <w:p w:rsidR="0002155C" w:rsidRDefault="0002155C" w:rsidP="000E2959">
      <w:pPr>
        <w:rPr>
          <w:sz w:val="20"/>
          <w:szCs w:val="20"/>
        </w:rPr>
      </w:pPr>
    </w:p>
    <w:p w:rsidR="0002155C" w:rsidRPr="00C50A5C" w:rsidRDefault="00142ACF" w:rsidP="0002155C">
      <w:pPr>
        <w:rPr>
          <w:sz w:val="20"/>
          <w:szCs w:val="20"/>
        </w:rPr>
      </w:pPr>
      <w:r>
        <w:rPr>
          <w:sz w:val="20"/>
          <w:szCs w:val="20"/>
          <w:lang w:val="fr-CA"/>
        </w:rPr>
        <w:pict>
          <v:rect id="_x0000_i1035" style="width:2in;height:1pt" o:hrpct="0" o:hralign="center" o:hrstd="t" o:hrnoshade="t" o:hr="t" fillcolor="black [3213]" stroked="f"/>
        </w:pict>
      </w:r>
    </w:p>
    <w:p w:rsidR="00040A45" w:rsidRDefault="00040A45">
      <w:pPr>
        <w:rPr>
          <w:sz w:val="20"/>
          <w:szCs w:val="20"/>
          <w:u w:val="single"/>
          <w:lang w:val="fr-CA"/>
        </w:rPr>
      </w:pPr>
      <w:r>
        <w:rPr>
          <w:sz w:val="20"/>
          <w:szCs w:val="20"/>
          <w:u w:val="single"/>
          <w:lang w:val="fr-CA"/>
        </w:rPr>
        <w:br w:type="page"/>
      </w:r>
    </w:p>
    <w:p w:rsidR="0002155C" w:rsidRPr="001B157C" w:rsidRDefault="0002155C" w:rsidP="0002155C">
      <w:pPr>
        <w:rPr>
          <w:sz w:val="20"/>
          <w:szCs w:val="20"/>
          <w:u w:val="single"/>
          <w:lang w:val="fr-CA"/>
        </w:rPr>
      </w:pPr>
      <w:r w:rsidRPr="001B157C">
        <w:rPr>
          <w:sz w:val="20"/>
          <w:szCs w:val="20"/>
          <w:u w:val="single"/>
          <w:lang w:val="fr-CA"/>
        </w:rPr>
        <w:lastRenderedPageBreak/>
        <w:t>RÉSUMÉ DE L’AFFAIRE</w:t>
      </w:r>
    </w:p>
    <w:p w:rsidR="0002155C" w:rsidRDefault="0002155C" w:rsidP="0002155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2155C" w:rsidRPr="00142ACF" w:rsidTr="005D2850">
        <w:tc>
          <w:tcPr>
            <w:tcW w:w="5000" w:type="pct"/>
            <w:gridSpan w:val="3"/>
          </w:tcPr>
          <w:p w:rsidR="0002155C" w:rsidRPr="004A71C9" w:rsidRDefault="0002155C" w:rsidP="005D2850">
            <w:pPr>
              <w:jc w:val="both"/>
              <w:rPr>
                <w:rFonts w:eastAsia="Calibri"/>
                <w:sz w:val="20"/>
                <w:szCs w:val="20"/>
                <w:lang w:val="fr-CA"/>
              </w:rPr>
            </w:pPr>
            <w:r w:rsidRPr="004A71C9">
              <w:rPr>
                <w:rFonts w:eastAsia="Calibri"/>
                <w:sz w:val="20"/>
                <w:szCs w:val="20"/>
                <w:lang w:val="fr-CA"/>
              </w:rPr>
              <w:t>Responsabilité délictuelle — Diffamation — Contrats — Les demandeurs ont signé une formule d’exonération et de consentement avant l’enregistrement d’une émission télévisée et ont subséquemment intenté une action en violation de contrat, en diffamation, en négligence et en dénigrement — La règle de l’ordre public impose-t-elle des limites au consentement à la diffamation par contrat?</w:t>
            </w:r>
          </w:p>
        </w:tc>
      </w:tr>
      <w:tr w:rsidR="0002155C" w:rsidRPr="00142ACF" w:rsidTr="005D2850">
        <w:tc>
          <w:tcPr>
            <w:tcW w:w="5000" w:type="pct"/>
            <w:gridSpan w:val="3"/>
          </w:tcPr>
          <w:p w:rsidR="0002155C" w:rsidRPr="004A71C9" w:rsidRDefault="0002155C" w:rsidP="005D2850">
            <w:pPr>
              <w:jc w:val="both"/>
              <w:rPr>
                <w:rFonts w:eastAsia="Calibri"/>
                <w:sz w:val="20"/>
                <w:szCs w:val="20"/>
                <w:lang w:val="fr-CA"/>
              </w:rPr>
            </w:pPr>
          </w:p>
        </w:tc>
      </w:tr>
      <w:tr w:rsidR="0002155C" w:rsidRPr="00142ACF" w:rsidTr="005D2850">
        <w:tc>
          <w:tcPr>
            <w:tcW w:w="5000" w:type="pct"/>
            <w:gridSpan w:val="3"/>
          </w:tcPr>
          <w:p w:rsidR="0002155C" w:rsidRPr="004A71C9" w:rsidRDefault="0002155C" w:rsidP="005D2850">
            <w:pPr>
              <w:jc w:val="both"/>
              <w:rPr>
                <w:rFonts w:eastAsia="Calibri"/>
                <w:sz w:val="20"/>
                <w:szCs w:val="20"/>
                <w:lang w:val="fr-CA"/>
              </w:rPr>
            </w:pPr>
            <w:r w:rsidRPr="004A71C9">
              <w:rPr>
                <w:rFonts w:eastAsia="Calibri"/>
                <w:sz w:val="20"/>
                <w:szCs w:val="20"/>
                <w:lang w:val="fr-CA"/>
              </w:rPr>
              <w:t>En 2011, le demandeur Marc Ribeiro a présenté sans succès une proposition d’affaires à un comité à l’émission « Dragon’s Den », une téléréalité du service en anglais de la Société Radio-Canada.  Monsieur Ribeiro est le président, le seul actionnaire et l’âme dirigeante de la demanderesse MHR Board Game Design Inc.</w:t>
            </w:r>
          </w:p>
          <w:p w:rsidR="0002155C" w:rsidRPr="004A71C9" w:rsidRDefault="0002155C" w:rsidP="005D2850">
            <w:pPr>
              <w:jc w:val="both"/>
              <w:rPr>
                <w:rFonts w:eastAsia="Calibri"/>
                <w:sz w:val="20"/>
                <w:szCs w:val="20"/>
                <w:lang w:val="fr-CA"/>
              </w:rPr>
            </w:pPr>
          </w:p>
          <w:p w:rsidR="0002155C" w:rsidRPr="004A71C9" w:rsidRDefault="0002155C" w:rsidP="005D2850">
            <w:pPr>
              <w:jc w:val="both"/>
              <w:rPr>
                <w:rFonts w:eastAsia="Calibri"/>
                <w:sz w:val="20"/>
                <w:szCs w:val="20"/>
                <w:lang w:val="fr-CA"/>
              </w:rPr>
            </w:pPr>
            <w:r w:rsidRPr="004A71C9">
              <w:rPr>
                <w:rFonts w:eastAsia="Calibri"/>
                <w:sz w:val="20"/>
                <w:szCs w:val="20"/>
                <w:lang w:val="fr-CA"/>
              </w:rPr>
              <w:t>Les demandeurs ont subséquemment poursuivi Radio-Canada pour violation de contrat, diffamation, négligence et dénigrement.  Les demandeurs allèguent que la version télédiffusée de la proposition de M. Ribeiro avait été l’objet d’un montage qui présentait de façon complètement inexacte la valeur de son plan d’affaires et qui donnait faussement l’idée que la proposition d’affaires était un [</w:t>
            </w:r>
            <w:r w:rsidRPr="004A71C9">
              <w:rPr>
                <w:rFonts w:eastAsia="Calibri"/>
                <w:smallCaps/>
                <w:sz w:val="20"/>
                <w:szCs w:val="20"/>
                <w:lang w:val="fr-CA"/>
              </w:rPr>
              <w:t>traduction</w:t>
            </w:r>
            <w:r w:rsidRPr="004A71C9">
              <w:rPr>
                <w:rFonts w:eastAsia="Calibri"/>
                <w:sz w:val="20"/>
                <w:szCs w:val="20"/>
                <w:lang w:val="fr-CA"/>
              </w:rPr>
              <w:t>] « échec retentissant ».</w:t>
            </w:r>
          </w:p>
          <w:p w:rsidR="0002155C" w:rsidRPr="004A71C9" w:rsidRDefault="0002155C" w:rsidP="005D2850">
            <w:pPr>
              <w:jc w:val="both"/>
              <w:rPr>
                <w:rFonts w:eastAsia="Calibri"/>
                <w:sz w:val="20"/>
                <w:szCs w:val="20"/>
                <w:lang w:val="fr-CA"/>
              </w:rPr>
            </w:pPr>
          </w:p>
          <w:p w:rsidR="0002155C" w:rsidRPr="004A71C9" w:rsidRDefault="0002155C" w:rsidP="005D2850">
            <w:pPr>
              <w:jc w:val="both"/>
              <w:rPr>
                <w:rFonts w:eastAsia="Calibri"/>
                <w:sz w:val="20"/>
                <w:szCs w:val="20"/>
                <w:lang w:val="fr-CA"/>
              </w:rPr>
            </w:pPr>
            <w:r w:rsidRPr="004A71C9">
              <w:rPr>
                <w:rFonts w:eastAsia="Calibri"/>
                <w:sz w:val="20"/>
                <w:szCs w:val="20"/>
                <w:lang w:val="fr-CA"/>
              </w:rPr>
              <w:t>Radio-Canada a présenté une motion en jugement sommaire visant à faire rejeter l’action, plaidant que dans une formule de consentement et d’exonération que M. Ribeiro avait signée à deux reprises avant sa participation à l’émission, celui-ci avait expressément renoncé aux causes d’action alléguées dans les actions des demandeurs.</w:t>
            </w:r>
          </w:p>
          <w:p w:rsidR="0002155C" w:rsidRPr="004A71C9" w:rsidRDefault="0002155C" w:rsidP="005D2850">
            <w:pPr>
              <w:jc w:val="both"/>
              <w:rPr>
                <w:rFonts w:eastAsia="Calibri"/>
                <w:sz w:val="20"/>
                <w:szCs w:val="20"/>
                <w:lang w:val="fr-CA"/>
              </w:rPr>
            </w:pPr>
          </w:p>
        </w:tc>
      </w:tr>
      <w:tr w:rsidR="0002155C" w:rsidRPr="00142ACF" w:rsidTr="005D2850">
        <w:tc>
          <w:tcPr>
            <w:tcW w:w="2427"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28 juin 2013</w:t>
            </w:r>
          </w:p>
          <w:p w:rsidR="0002155C" w:rsidRPr="004A71C9" w:rsidRDefault="0002155C" w:rsidP="005D2850">
            <w:pPr>
              <w:jc w:val="both"/>
              <w:rPr>
                <w:rFonts w:eastAsia="Calibri"/>
                <w:sz w:val="20"/>
                <w:szCs w:val="20"/>
                <w:lang w:val="fr-CA"/>
              </w:rPr>
            </w:pPr>
            <w:r w:rsidRPr="004A71C9">
              <w:rPr>
                <w:rFonts w:eastAsia="Calibri"/>
                <w:sz w:val="20"/>
                <w:szCs w:val="20"/>
                <w:lang w:val="fr-CA"/>
              </w:rPr>
              <w:t>Cour supérieure de justice de l’Ontario</w:t>
            </w:r>
          </w:p>
          <w:p w:rsidR="0002155C" w:rsidRPr="004A71C9" w:rsidRDefault="0002155C" w:rsidP="005D2850">
            <w:pPr>
              <w:jc w:val="both"/>
              <w:rPr>
                <w:rFonts w:eastAsia="Calibri"/>
                <w:sz w:val="20"/>
                <w:szCs w:val="20"/>
                <w:lang w:val="fr-CA"/>
              </w:rPr>
            </w:pPr>
            <w:r w:rsidRPr="004A71C9">
              <w:rPr>
                <w:rFonts w:eastAsia="Calibri"/>
                <w:sz w:val="20"/>
                <w:szCs w:val="20"/>
                <w:lang w:val="fr-CA"/>
              </w:rPr>
              <w:t>(Juge Aston)</w:t>
            </w:r>
          </w:p>
          <w:p w:rsidR="0002155C" w:rsidRPr="004A71C9" w:rsidRDefault="00142ACF" w:rsidP="005D2850">
            <w:pPr>
              <w:jc w:val="both"/>
              <w:rPr>
                <w:rFonts w:eastAsia="Calibri"/>
                <w:sz w:val="20"/>
                <w:szCs w:val="20"/>
                <w:lang w:val="fr-CA"/>
              </w:rPr>
            </w:pPr>
            <w:hyperlink r:id="rId26" w:history="1">
              <w:r w:rsidR="0002155C" w:rsidRPr="004A71C9">
                <w:rPr>
                  <w:rFonts w:eastAsia="Calibri"/>
                  <w:color w:val="0000FF"/>
                  <w:sz w:val="20"/>
                  <w:szCs w:val="20"/>
                  <w:u w:val="single"/>
                  <w:lang w:val="fr-CA"/>
                </w:rPr>
                <w:t>2013 ONSC 4457</w:t>
              </w:r>
            </w:hyperlink>
          </w:p>
          <w:p w:rsidR="0002155C" w:rsidRPr="004A71C9" w:rsidRDefault="0002155C" w:rsidP="005D2850">
            <w:pPr>
              <w:jc w:val="both"/>
              <w:rPr>
                <w:rFonts w:eastAsia="Calibri"/>
                <w:sz w:val="20"/>
                <w:szCs w:val="20"/>
                <w:lang w:val="fr-CA"/>
              </w:rPr>
            </w:pPr>
          </w:p>
        </w:tc>
        <w:tc>
          <w:tcPr>
            <w:tcW w:w="243" w:type="pct"/>
          </w:tcPr>
          <w:p w:rsidR="0002155C" w:rsidRPr="004A71C9" w:rsidRDefault="0002155C" w:rsidP="005D2850">
            <w:pPr>
              <w:jc w:val="both"/>
              <w:rPr>
                <w:rFonts w:eastAsia="Calibri"/>
                <w:sz w:val="20"/>
                <w:szCs w:val="20"/>
                <w:lang w:val="fr-CA"/>
              </w:rPr>
            </w:pPr>
          </w:p>
        </w:tc>
        <w:tc>
          <w:tcPr>
            <w:tcW w:w="2330"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Motion en jugement sommaire, accueillie; Action contre la Société Radio-Canada, rejetée</w:t>
            </w:r>
          </w:p>
        </w:tc>
      </w:tr>
      <w:tr w:rsidR="0002155C" w:rsidRPr="004A71C9" w:rsidTr="005D2850">
        <w:tc>
          <w:tcPr>
            <w:tcW w:w="2427"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3 décembre 2013</w:t>
            </w:r>
          </w:p>
          <w:p w:rsidR="0002155C" w:rsidRPr="004A71C9" w:rsidRDefault="0002155C" w:rsidP="005D2850">
            <w:pPr>
              <w:jc w:val="both"/>
              <w:rPr>
                <w:rFonts w:eastAsia="Calibri"/>
                <w:sz w:val="20"/>
                <w:szCs w:val="20"/>
                <w:lang w:val="fr-CA"/>
              </w:rPr>
            </w:pPr>
            <w:r w:rsidRPr="004A71C9">
              <w:rPr>
                <w:rFonts w:eastAsia="Calibri"/>
                <w:sz w:val="20"/>
                <w:szCs w:val="20"/>
                <w:lang w:val="fr-CA"/>
              </w:rPr>
              <w:t>Cour d’appel de l’Ontario</w:t>
            </w:r>
          </w:p>
          <w:p w:rsidR="0002155C" w:rsidRPr="004A71C9" w:rsidRDefault="0002155C" w:rsidP="005D2850">
            <w:pPr>
              <w:jc w:val="both"/>
              <w:rPr>
                <w:rFonts w:eastAsia="Calibri"/>
                <w:sz w:val="20"/>
                <w:szCs w:val="20"/>
                <w:lang w:val="fr-CA"/>
              </w:rPr>
            </w:pPr>
            <w:r w:rsidRPr="004A71C9">
              <w:rPr>
                <w:rFonts w:eastAsia="Calibri"/>
                <w:sz w:val="20"/>
                <w:szCs w:val="20"/>
                <w:lang w:val="fr-CA"/>
              </w:rPr>
              <w:t>(Juges Rosenberg, Rouleau et Pardu)</w:t>
            </w:r>
          </w:p>
          <w:p w:rsidR="0002155C" w:rsidRPr="004A71C9" w:rsidRDefault="00142ACF" w:rsidP="005D2850">
            <w:pPr>
              <w:jc w:val="both"/>
              <w:rPr>
                <w:rFonts w:eastAsia="Calibri"/>
                <w:sz w:val="20"/>
                <w:szCs w:val="20"/>
                <w:lang w:val="fr-CA"/>
              </w:rPr>
            </w:pPr>
            <w:hyperlink r:id="rId27" w:history="1">
              <w:r w:rsidR="0002155C" w:rsidRPr="004A71C9">
                <w:rPr>
                  <w:rFonts w:eastAsia="Calibri"/>
                  <w:color w:val="0000FF"/>
                  <w:sz w:val="20"/>
                  <w:szCs w:val="20"/>
                  <w:u w:val="single"/>
                  <w:lang w:val="fr-CA"/>
                </w:rPr>
                <w:t>2013 ONCA 728</w:t>
              </w:r>
            </w:hyperlink>
          </w:p>
          <w:p w:rsidR="0002155C" w:rsidRPr="004A71C9" w:rsidRDefault="0002155C" w:rsidP="005D2850">
            <w:pPr>
              <w:jc w:val="both"/>
              <w:rPr>
                <w:rFonts w:eastAsia="Calibri"/>
                <w:sz w:val="20"/>
                <w:szCs w:val="20"/>
                <w:lang w:val="fr-CA"/>
              </w:rPr>
            </w:pPr>
          </w:p>
        </w:tc>
        <w:tc>
          <w:tcPr>
            <w:tcW w:w="243" w:type="pct"/>
          </w:tcPr>
          <w:p w:rsidR="0002155C" w:rsidRPr="004A71C9" w:rsidRDefault="0002155C" w:rsidP="005D2850">
            <w:pPr>
              <w:jc w:val="both"/>
              <w:rPr>
                <w:rFonts w:eastAsia="Calibri"/>
                <w:sz w:val="20"/>
                <w:szCs w:val="20"/>
                <w:lang w:val="fr-CA"/>
              </w:rPr>
            </w:pPr>
          </w:p>
        </w:tc>
        <w:tc>
          <w:tcPr>
            <w:tcW w:w="2330"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Appel rejeté</w:t>
            </w:r>
          </w:p>
          <w:p w:rsidR="0002155C" w:rsidRPr="004A71C9" w:rsidRDefault="0002155C" w:rsidP="005D2850">
            <w:pPr>
              <w:jc w:val="both"/>
              <w:rPr>
                <w:rFonts w:eastAsia="Calibri"/>
                <w:sz w:val="20"/>
                <w:szCs w:val="20"/>
                <w:lang w:val="fr-CA"/>
              </w:rPr>
            </w:pPr>
          </w:p>
        </w:tc>
      </w:tr>
      <w:tr w:rsidR="0002155C" w:rsidRPr="004A71C9" w:rsidTr="005D2850">
        <w:tc>
          <w:tcPr>
            <w:tcW w:w="2427"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3 février 2014</w:t>
            </w:r>
          </w:p>
          <w:p w:rsidR="0002155C" w:rsidRPr="004A71C9" w:rsidRDefault="0002155C" w:rsidP="005D2850">
            <w:pPr>
              <w:jc w:val="both"/>
              <w:rPr>
                <w:rFonts w:eastAsia="Calibri"/>
                <w:sz w:val="20"/>
                <w:szCs w:val="20"/>
                <w:lang w:val="fr-CA"/>
              </w:rPr>
            </w:pPr>
            <w:r w:rsidRPr="004A71C9">
              <w:rPr>
                <w:rFonts w:eastAsia="Calibri"/>
                <w:sz w:val="20"/>
                <w:szCs w:val="20"/>
                <w:lang w:val="fr-CA"/>
              </w:rPr>
              <w:t>Cour suprême du Canada</w:t>
            </w:r>
          </w:p>
        </w:tc>
        <w:tc>
          <w:tcPr>
            <w:tcW w:w="243" w:type="pct"/>
          </w:tcPr>
          <w:p w:rsidR="0002155C" w:rsidRPr="004A71C9" w:rsidRDefault="0002155C" w:rsidP="005D2850">
            <w:pPr>
              <w:jc w:val="both"/>
              <w:rPr>
                <w:rFonts w:eastAsia="Calibri"/>
                <w:sz w:val="20"/>
                <w:szCs w:val="20"/>
                <w:lang w:val="fr-CA"/>
              </w:rPr>
            </w:pPr>
          </w:p>
        </w:tc>
        <w:tc>
          <w:tcPr>
            <w:tcW w:w="2330" w:type="pct"/>
          </w:tcPr>
          <w:p w:rsidR="0002155C" w:rsidRPr="004A71C9" w:rsidRDefault="0002155C" w:rsidP="005D2850">
            <w:pPr>
              <w:jc w:val="both"/>
              <w:rPr>
                <w:rFonts w:eastAsia="Calibri"/>
                <w:sz w:val="20"/>
                <w:szCs w:val="20"/>
                <w:lang w:val="fr-CA"/>
              </w:rPr>
            </w:pPr>
            <w:r w:rsidRPr="004A71C9">
              <w:rPr>
                <w:rFonts w:eastAsia="Calibri"/>
                <w:sz w:val="20"/>
                <w:szCs w:val="20"/>
                <w:lang w:val="fr-CA"/>
              </w:rPr>
              <w:t>Demande d’autorisation d’appel, déposée</w:t>
            </w:r>
          </w:p>
          <w:p w:rsidR="0002155C" w:rsidRPr="004A71C9" w:rsidRDefault="0002155C" w:rsidP="005D2850">
            <w:pPr>
              <w:jc w:val="both"/>
              <w:rPr>
                <w:rFonts w:eastAsia="Calibri"/>
                <w:sz w:val="20"/>
                <w:szCs w:val="20"/>
                <w:lang w:val="fr-CA"/>
              </w:rPr>
            </w:pPr>
          </w:p>
        </w:tc>
      </w:tr>
    </w:tbl>
    <w:p w:rsidR="0002155C" w:rsidRDefault="0002155C" w:rsidP="000E2959">
      <w:pPr>
        <w:rPr>
          <w:sz w:val="20"/>
          <w:szCs w:val="20"/>
        </w:rPr>
      </w:pPr>
    </w:p>
    <w:p w:rsidR="0002155C" w:rsidRDefault="00142ACF" w:rsidP="000E2959">
      <w:pPr>
        <w:rPr>
          <w:sz w:val="20"/>
          <w:szCs w:val="20"/>
        </w:rPr>
      </w:pPr>
      <w:r>
        <w:rPr>
          <w:sz w:val="20"/>
          <w:szCs w:val="20"/>
          <w:lang w:val="fr-CA"/>
        </w:rPr>
        <w:pict>
          <v:rect id="_x0000_i1036" style="width:2in;height:1pt" o:hrpct="0" o:hralign="center" o:hrstd="t" o:hrnoshade="t" o:hr="t" fillcolor="black [3213]" stroked="f"/>
        </w:pict>
      </w:r>
    </w:p>
    <w:p w:rsidR="000E2959" w:rsidRPr="0071519B"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47BB4" w:rsidRPr="00347BB4" w:rsidRDefault="00347BB4" w:rsidP="00347BB4">
      <w:pPr>
        <w:tabs>
          <w:tab w:val="left" w:pos="-1440"/>
          <w:tab w:val="left" w:pos="-720"/>
        </w:tabs>
        <w:jc w:val="both"/>
        <w:rPr>
          <w:rFonts w:eastAsia="Times New Roman" w:cs="Times New Roman"/>
          <w:sz w:val="20"/>
          <w:szCs w:val="20"/>
          <w:lang w:val="fr-CA" w:eastAsia="en-CA"/>
        </w:rPr>
      </w:pPr>
      <w:r w:rsidRPr="00347BB4">
        <w:rPr>
          <w:rFonts w:eastAsia="Times New Roman" w:cs="Times New Roman"/>
          <w:sz w:val="20"/>
          <w:szCs w:val="20"/>
          <w:lang w:val="fr-CA" w:eastAsia="en-CA"/>
        </w:rPr>
        <w:t>12.05.2014</w:t>
      </w:r>
    </w:p>
    <w:p w:rsidR="00347BB4" w:rsidRPr="00347BB4" w:rsidRDefault="00347BB4" w:rsidP="00347BB4">
      <w:pPr>
        <w:tabs>
          <w:tab w:val="left" w:pos="-1440"/>
          <w:tab w:val="left" w:pos="-720"/>
        </w:tabs>
        <w:jc w:val="both"/>
        <w:rPr>
          <w:rFonts w:eastAsia="Times New Roman" w:cs="Times New Roman"/>
          <w:sz w:val="20"/>
          <w:szCs w:val="20"/>
          <w:lang w:val="fr-CA" w:eastAsia="en-CA"/>
        </w:rPr>
      </w:pPr>
    </w:p>
    <w:p w:rsidR="00347BB4" w:rsidRPr="00347BB4" w:rsidRDefault="00347BB4" w:rsidP="00347BB4">
      <w:pPr>
        <w:tabs>
          <w:tab w:val="left" w:pos="-1440"/>
          <w:tab w:val="left" w:pos="-720"/>
        </w:tabs>
        <w:jc w:val="both"/>
        <w:rPr>
          <w:rFonts w:eastAsia="Times New Roman" w:cs="Times New Roman"/>
          <w:sz w:val="20"/>
          <w:szCs w:val="20"/>
          <w:lang w:eastAsia="en-CA"/>
        </w:rPr>
      </w:pPr>
      <w:r w:rsidRPr="00347BB4">
        <w:rPr>
          <w:rFonts w:eastAsia="Times New Roman" w:cs="Times New Roman"/>
          <w:sz w:val="20"/>
          <w:szCs w:val="20"/>
          <w:lang w:val="fr-CA" w:eastAsia="en-CA"/>
        </w:rPr>
        <w:t xml:space="preserve">Before / Devant:   </w:t>
      </w:r>
      <w:r w:rsidRPr="00347BB4">
        <w:rPr>
          <w:rFonts w:eastAsia="Times New Roman" w:cs="Times New Roman"/>
          <w:sz w:val="20"/>
          <w:szCs w:val="20"/>
          <w:lang w:eastAsia="en-CA"/>
        </w:rPr>
        <w:t>THE REGISTRAR / LE REGISTRAIRE</w:t>
      </w:r>
    </w:p>
    <w:p w:rsidR="00347BB4" w:rsidRPr="00347BB4" w:rsidRDefault="00347BB4" w:rsidP="00347BB4">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47BB4" w:rsidRPr="00347BB4" w:rsidTr="00CF1133">
        <w:trPr>
          <w:trHeight w:val="151"/>
        </w:trPr>
        <w:tc>
          <w:tcPr>
            <w:tcW w:w="4338" w:type="dxa"/>
          </w:tcPr>
          <w:p w:rsidR="00347BB4" w:rsidRPr="00347BB4" w:rsidRDefault="004876A0" w:rsidP="00347BB4">
            <w:pPr>
              <w:tabs>
                <w:tab w:val="left" w:pos="-1440"/>
                <w:tab w:val="left" w:pos="-720"/>
              </w:tabs>
              <w:jc w:val="both"/>
              <w:rPr>
                <w:lang w:val="fr-CA"/>
              </w:rPr>
            </w:pPr>
            <w:r w:rsidRPr="00347BB4">
              <w:rPr>
                <w:lang w:val="en-US"/>
              </w:rPr>
              <w:fldChar w:fldCharType="begin"/>
            </w:r>
            <w:r w:rsidR="00347BB4" w:rsidRPr="00347BB4">
              <w:rPr>
                <w:lang w:val="fr-CA"/>
              </w:rPr>
              <w:instrText xml:space="preserve"> SEQ CHAPTER \h \r 1</w:instrText>
            </w:r>
            <w:r w:rsidRPr="00347BB4">
              <w:rPr>
                <w:lang w:val="en-US"/>
              </w:rPr>
              <w:fldChar w:fldCharType="end"/>
            </w:r>
            <w:r w:rsidR="00347BB4" w:rsidRPr="00347BB4">
              <w:rPr>
                <w:b/>
                <w:bCs/>
                <w:lang w:val="fr-CA"/>
              </w:rPr>
              <w:t>Miscellaneous motion</w:t>
            </w:r>
          </w:p>
          <w:p w:rsidR="00347BB4" w:rsidRPr="00347BB4" w:rsidRDefault="004876A0" w:rsidP="00347BB4">
            <w:pPr>
              <w:tabs>
                <w:tab w:val="left" w:pos="-1440"/>
                <w:tab w:val="left" w:pos="-720"/>
              </w:tabs>
              <w:jc w:val="both"/>
              <w:rPr>
                <w:lang w:val="fr-CA"/>
              </w:rPr>
            </w:pPr>
            <w:r w:rsidRPr="00347BB4">
              <w:rPr>
                <w:lang w:val="en-US"/>
              </w:rPr>
              <w:fldChar w:fldCharType="begin"/>
            </w:r>
            <w:r w:rsidR="00347BB4" w:rsidRPr="00347BB4">
              <w:rPr>
                <w:lang w:val="fr-CA"/>
              </w:rPr>
              <w:instrText xml:space="preserve"> SEQ CHAPTER \h \r 1</w:instrText>
            </w:r>
            <w:r w:rsidRPr="00347BB4">
              <w:rPr>
                <w:lang w:val="en-US"/>
              </w:rPr>
              <w:fldChar w:fldCharType="end"/>
            </w:r>
          </w:p>
        </w:tc>
        <w:tc>
          <w:tcPr>
            <w:tcW w:w="1170" w:type="dxa"/>
          </w:tcPr>
          <w:p w:rsidR="00347BB4" w:rsidRPr="00347BB4" w:rsidRDefault="00347BB4" w:rsidP="00347BB4">
            <w:pPr>
              <w:jc w:val="both"/>
              <w:rPr>
                <w:lang w:val="fr-CA"/>
              </w:rPr>
            </w:pPr>
          </w:p>
          <w:p w:rsidR="00347BB4" w:rsidRPr="00347BB4" w:rsidRDefault="00347BB4" w:rsidP="00347BB4">
            <w:pPr>
              <w:jc w:val="both"/>
              <w:rPr>
                <w:lang w:val="fr-CA"/>
              </w:rPr>
            </w:pPr>
          </w:p>
        </w:tc>
        <w:tc>
          <w:tcPr>
            <w:tcW w:w="4327" w:type="dxa"/>
          </w:tcPr>
          <w:p w:rsidR="00347BB4" w:rsidRPr="00347BB4" w:rsidRDefault="004876A0" w:rsidP="00347BB4">
            <w:pPr>
              <w:jc w:val="both"/>
              <w:rPr>
                <w:b/>
                <w:lang w:val="fr-CA"/>
              </w:rPr>
            </w:pPr>
            <w:r w:rsidRPr="00347BB4">
              <w:rPr>
                <w:lang w:val="en-US"/>
              </w:rPr>
              <w:fldChar w:fldCharType="begin"/>
            </w:r>
            <w:r w:rsidR="00347BB4" w:rsidRPr="00347BB4">
              <w:rPr>
                <w:lang w:val="fr-CA"/>
              </w:rPr>
              <w:instrText xml:space="preserve"> SEQ CHAPTER \h \r 1</w:instrText>
            </w:r>
            <w:r w:rsidRPr="00347BB4">
              <w:rPr>
                <w:lang w:val="en-US"/>
              </w:rPr>
              <w:fldChar w:fldCharType="end"/>
            </w:r>
            <w:r w:rsidR="00347BB4" w:rsidRPr="00347BB4">
              <w:rPr>
                <w:b/>
                <w:bCs/>
                <w:lang w:val="fr-CA"/>
              </w:rPr>
              <w:t>Requête diverse</w:t>
            </w:r>
          </w:p>
          <w:p w:rsidR="00347BB4" w:rsidRPr="00347BB4" w:rsidRDefault="004876A0" w:rsidP="00347BB4">
            <w:pPr>
              <w:jc w:val="both"/>
              <w:rPr>
                <w:b/>
                <w:lang w:val="fr-CA"/>
              </w:rPr>
            </w:pPr>
            <w:r w:rsidRPr="00347BB4">
              <w:rPr>
                <w:b/>
                <w:lang w:val="en-US"/>
              </w:rPr>
              <w:fldChar w:fldCharType="begin"/>
            </w:r>
            <w:r w:rsidR="00347BB4" w:rsidRPr="00347BB4">
              <w:rPr>
                <w:b/>
                <w:lang w:val="fr-CA"/>
              </w:rPr>
              <w:instrText xml:space="preserve"> SEQ CHAPTER \h \r 1</w:instrText>
            </w:r>
            <w:r w:rsidRPr="00347BB4">
              <w:rPr>
                <w:b/>
                <w:lang w:val="en-US"/>
              </w:rPr>
              <w:fldChar w:fldCharType="end"/>
            </w:r>
            <w:r w:rsidRPr="00347BB4">
              <w:rPr>
                <w:b/>
                <w:lang w:val="en-US"/>
              </w:rPr>
              <w:fldChar w:fldCharType="begin"/>
            </w:r>
            <w:r w:rsidR="00347BB4" w:rsidRPr="00347BB4">
              <w:rPr>
                <w:b/>
                <w:lang w:val="fr-CA"/>
              </w:rPr>
              <w:instrText xml:space="preserve"> SEQ CHAPTER \h \r 1</w:instrText>
            </w:r>
            <w:r w:rsidRPr="00347BB4">
              <w:rPr>
                <w:b/>
                <w:lang w:val="en-US"/>
              </w:rPr>
              <w:fldChar w:fldCharType="end"/>
            </w:r>
          </w:p>
        </w:tc>
      </w:tr>
      <w:tr w:rsidR="00347BB4" w:rsidRPr="00347BB4" w:rsidTr="00CF1133">
        <w:trPr>
          <w:trHeight w:val="150"/>
        </w:trPr>
        <w:tc>
          <w:tcPr>
            <w:tcW w:w="4338" w:type="dxa"/>
          </w:tcPr>
          <w:p w:rsidR="00347BB4" w:rsidRPr="00347BB4" w:rsidRDefault="00347BB4" w:rsidP="00347BB4">
            <w:pPr>
              <w:tabs>
                <w:tab w:val="left" w:pos="-1440"/>
                <w:tab w:val="left" w:pos="-720"/>
              </w:tabs>
              <w:jc w:val="both"/>
            </w:pPr>
            <w:r w:rsidRPr="00347BB4">
              <w:t>Allan George Basssenden</w:t>
            </w:r>
          </w:p>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r w:rsidRPr="00347BB4">
              <w:tab/>
              <w:t>v. (35753)</w:t>
            </w:r>
          </w:p>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r w:rsidRPr="00347BB4">
              <w:t>City of Saint-Lazare (Que.)</w:t>
            </w:r>
          </w:p>
        </w:tc>
        <w:tc>
          <w:tcPr>
            <w:tcW w:w="1170" w:type="dxa"/>
          </w:tcPr>
          <w:p w:rsidR="00347BB4" w:rsidRPr="00347BB4" w:rsidRDefault="00347BB4" w:rsidP="00347BB4">
            <w:pPr>
              <w:jc w:val="both"/>
            </w:pPr>
          </w:p>
        </w:tc>
        <w:tc>
          <w:tcPr>
            <w:tcW w:w="4327" w:type="dxa"/>
          </w:tcPr>
          <w:p w:rsidR="00347BB4" w:rsidRPr="00347BB4" w:rsidRDefault="00347BB4" w:rsidP="00347BB4">
            <w:pPr>
              <w:jc w:val="both"/>
            </w:pPr>
          </w:p>
        </w:tc>
      </w:tr>
    </w:tbl>
    <w:p w:rsidR="00347BB4" w:rsidRPr="00347BB4" w:rsidRDefault="00347BB4" w:rsidP="00347BB4">
      <w:pPr>
        <w:tabs>
          <w:tab w:val="left" w:pos="-1440"/>
          <w:tab w:val="left" w:pos="-720"/>
        </w:tabs>
        <w:jc w:val="both"/>
        <w:rPr>
          <w:rFonts w:eastAsia="Times New Roman" w:cs="Times New Roman"/>
          <w:sz w:val="20"/>
          <w:szCs w:val="20"/>
          <w:lang w:eastAsia="en-CA"/>
        </w:rPr>
      </w:pPr>
    </w:p>
    <w:p w:rsidR="00347BB4" w:rsidRPr="00347BB4" w:rsidRDefault="00347BB4" w:rsidP="00347BB4">
      <w:pPr>
        <w:tabs>
          <w:tab w:val="left" w:pos="-1440"/>
          <w:tab w:val="left" w:pos="-720"/>
        </w:tabs>
        <w:jc w:val="both"/>
        <w:rPr>
          <w:rFonts w:eastAsia="Times New Roman" w:cs="Times New Roman"/>
          <w:sz w:val="20"/>
          <w:szCs w:val="20"/>
          <w:lang w:eastAsia="en-CA"/>
        </w:rPr>
      </w:pPr>
      <w:r w:rsidRPr="00347BB4">
        <w:rPr>
          <w:rFonts w:eastAsia="Times New Roman" w:cs="Times New Roman"/>
          <w:b/>
          <w:sz w:val="20"/>
          <w:szCs w:val="20"/>
          <w:lang w:eastAsia="en-CA"/>
        </w:rPr>
        <w:t>GRANTED / ACCORDÉE</w:t>
      </w:r>
    </w:p>
    <w:p w:rsidR="00347BB4" w:rsidRPr="00347BB4" w:rsidRDefault="00347BB4" w:rsidP="00347BB4">
      <w:pPr>
        <w:tabs>
          <w:tab w:val="left" w:pos="-1440"/>
          <w:tab w:val="left" w:pos="-720"/>
        </w:tabs>
        <w:jc w:val="both"/>
        <w:rPr>
          <w:rFonts w:eastAsia="Times New Roman" w:cs="Times New Roman"/>
          <w:sz w:val="20"/>
          <w:szCs w:val="20"/>
          <w:lang w:eastAsia="en-CA"/>
        </w:rPr>
      </w:pPr>
    </w:p>
    <w:p w:rsidR="00302C94" w:rsidRPr="002D3A6D" w:rsidRDefault="00302C94" w:rsidP="00302C94">
      <w:pPr>
        <w:jc w:val="both"/>
        <w:rPr>
          <w:sz w:val="20"/>
          <w:szCs w:val="20"/>
        </w:rPr>
      </w:pPr>
      <w:r w:rsidRPr="002D3A6D">
        <w:rPr>
          <w:b/>
          <w:sz w:val="20"/>
          <w:szCs w:val="20"/>
        </w:rPr>
        <w:t>UPON APPLICATION</w:t>
      </w:r>
      <w:r w:rsidRPr="002D3A6D">
        <w:rPr>
          <w:sz w:val="20"/>
          <w:szCs w:val="20"/>
        </w:rPr>
        <w:t xml:space="preserve"> </w:t>
      </w:r>
      <w:r w:rsidR="004876A0" w:rsidRPr="002D3A6D">
        <w:rPr>
          <w:sz w:val="20"/>
          <w:szCs w:val="20"/>
        </w:rPr>
        <w:fldChar w:fldCharType="begin"/>
      </w:r>
      <w:r w:rsidRPr="002D3A6D">
        <w:rPr>
          <w:sz w:val="20"/>
          <w:szCs w:val="20"/>
        </w:rPr>
        <w:instrText xml:space="preserve"> SEQ CHAPTER \h \r 1</w:instrText>
      </w:r>
      <w:r w:rsidR="004876A0" w:rsidRPr="002D3A6D">
        <w:rPr>
          <w:sz w:val="20"/>
          <w:szCs w:val="20"/>
        </w:rPr>
        <w:fldChar w:fldCharType="end"/>
      </w:r>
      <w:r w:rsidRPr="002D3A6D">
        <w:rPr>
          <w:sz w:val="20"/>
          <w:szCs w:val="20"/>
        </w:rPr>
        <w:t>made on behalf of the Applicant pursuant to the provisions of Rule 32(2) for an order to file additional material.</w:t>
      </w:r>
    </w:p>
    <w:p w:rsidR="00302C94" w:rsidRPr="002D3A6D" w:rsidRDefault="00302C94" w:rsidP="00302C94">
      <w:pPr>
        <w:jc w:val="both"/>
        <w:rPr>
          <w:sz w:val="20"/>
          <w:szCs w:val="20"/>
        </w:rPr>
      </w:pPr>
    </w:p>
    <w:p w:rsidR="00302C94" w:rsidRPr="002D3A6D" w:rsidRDefault="004876A0" w:rsidP="00302C94">
      <w:pPr>
        <w:jc w:val="both"/>
        <w:rPr>
          <w:sz w:val="20"/>
          <w:szCs w:val="20"/>
          <w:lang w:val="en-US"/>
        </w:rPr>
      </w:pPr>
      <w:r w:rsidRPr="002D3A6D">
        <w:rPr>
          <w:sz w:val="20"/>
          <w:szCs w:val="20"/>
        </w:rPr>
        <w:fldChar w:fldCharType="begin"/>
      </w:r>
      <w:r w:rsidR="00302C94" w:rsidRPr="002D3A6D">
        <w:rPr>
          <w:sz w:val="20"/>
          <w:szCs w:val="20"/>
        </w:rPr>
        <w:instrText xml:space="preserve"> SEQ CHAPTER \h \r 1</w:instrText>
      </w:r>
      <w:r w:rsidRPr="002D3A6D">
        <w:rPr>
          <w:sz w:val="20"/>
          <w:szCs w:val="20"/>
        </w:rPr>
        <w:fldChar w:fldCharType="end"/>
      </w:r>
      <w:r w:rsidR="00302C94" w:rsidRPr="002D3A6D">
        <w:rPr>
          <w:b/>
          <w:bCs/>
          <w:sz w:val="20"/>
          <w:szCs w:val="20"/>
          <w:lang w:val="en-US"/>
        </w:rPr>
        <w:t>AND HAVING READ</w:t>
      </w:r>
      <w:r w:rsidR="00302C94" w:rsidRPr="002D3A6D">
        <w:rPr>
          <w:sz w:val="20"/>
          <w:szCs w:val="20"/>
          <w:lang w:val="en-US"/>
        </w:rPr>
        <w:t xml:space="preserve"> the material filed;</w:t>
      </w:r>
    </w:p>
    <w:p w:rsidR="00302C94" w:rsidRPr="002D3A6D" w:rsidRDefault="00302C94" w:rsidP="00302C94">
      <w:pPr>
        <w:jc w:val="both"/>
        <w:rPr>
          <w:sz w:val="20"/>
          <w:szCs w:val="20"/>
        </w:rPr>
      </w:pPr>
      <w:r w:rsidRPr="002D3A6D">
        <w:rPr>
          <w:sz w:val="20"/>
          <w:szCs w:val="20"/>
        </w:rPr>
        <w:t xml:space="preserve"> </w:t>
      </w:r>
    </w:p>
    <w:p w:rsidR="00302C94" w:rsidRPr="002D3A6D" w:rsidRDefault="00302C94" w:rsidP="00302C94">
      <w:pPr>
        <w:jc w:val="both"/>
        <w:rPr>
          <w:b/>
          <w:sz w:val="20"/>
          <w:szCs w:val="20"/>
        </w:rPr>
      </w:pPr>
      <w:r w:rsidRPr="002D3A6D">
        <w:rPr>
          <w:b/>
          <w:sz w:val="20"/>
          <w:szCs w:val="20"/>
        </w:rPr>
        <w:t>IT IS HEREBY ORDERED THAT:</w:t>
      </w:r>
    </w:p>
    <w:p w:rsidR="00302C94" w:rsidRPr="002D3A6D" w:rsidRDefault="00302C94" w:rsidP="00302C94">
      <w:pPr>
        <w:pStyle w:val="ListParagraph"/>
        <w:ind w:left="360"/>
        <w:jc w:val="both"/>
        <w:rPr>
          <w:sz w:val="20"/>
          <w:szCs w:val="20"/>
        </w:rPr>
      </w:pPr>
    </w:p>
    <w:p w:rsidR="00302C94" w:rsidRPr="002D3A6D" w:rsidRDefault="00302C94" w:rsidP="00302C94">
      <w:pPr>
        <w:jc w:val="both"/>
        <w:rPr>
          <w:sz w:val="20"/>
          <w:szCs w:val="20"/>
        </w:rPr>
      </w:pPr>
      <w:r w:rsidRPr="002D3A6D">
        <w:rPr>
          <w:sz w:val="20"/>
          <w:szCs w:val="20"/>
        </w:rPr>
        <w:t xml:space="preserve">The motion pursuant to Rule 32(2) for an order to file additional material is granted, and the additional material shall be submitted to the panel. </w:t>
      </w:r>
    </w:p>
    <w:p w:rsidR="00302C94" w:rsidRDefault="00302C94" w:rsidP="00302C94">
      <w:pPr>
        <w:jc w:val="both"/>
        <w:rPr>
          <w:sz w:val="20"/>
          <w:szCs w:val="20"/>
        </w:rPr>
      </w:pPr>
    </w:p>
    <w:p w:rsidR="00302C94" w:rsidRPr="002D3A6D" w:rsidRDefault="00302C94" w:rsidP="00302C94">
      <w:pPr>
        <w:jc w:val="both"/>
        <w:rPr>
          <w:sz w:val="20"/>
          <w:szCs w:val="20"/>
        </w:rPr>
      </w:pPr>
    </w:p>
    <w:p w:rsidR="00302C94" w:rsidRPr="002D3A6D" w:rsidRDefault="00302C94" w:rsidP="00302C94">
      <w:pPr>
        <w:jc w:val="both"/>
        <w:rPr>
          <w:sz w:val="20"/>
          <w:szCs w:val="20"/>
        </w:rPr>
      </w:pPr>
    </w:p>
    <w:p w:rsidR="00302C94" w:rsidRPr="002D3A6D" w:rsidRDefault="00302C94" w:rsidP="00302C94">
      <w:pPr>
        <w:jc w:val="both"/>
        <w:rPr>
          <w:sz w:val="20"/>
          <w:szCs w:val="20"/>
          <w:lang w:val="fr-CA"/>
        </w:rPr>
      </w:pPr>
      <w:r w:rsidRPr="002D3A6D">
        <w:rPr>
          <w:b/>
          <w:sz w:val="20"/>
          <w:szCs w:val="20"/>
          <w:lang w:val="fr-CA"/>
        </w:rPr>
        <w:t>À LA SUITE DE LA DEMANDE</w:t>
      </w:r>
      <w:r w:rsidRPr="002D3A6D">
        <w:rPr>
          <w:sz w:val="20"/>
          <w:szCs w:val="20"/>
          <w:lang w:val="fr-CA"/>
        </w:rPr>
        <w:t xml:space="preserve"> présentée au nom du demandeur en application des dispositions de la règle 32(2) pour qu'il soit autorisé à déposer des documents additionnels ;</w:t>
      </w:r>
    </w:p>
    <w:p w:rsidR="00302C94" w:rsidRPr="002D3A6D" w:rsidRDefault="00302C94" w:rsidP="00302C94">
      <w:pPr>
        <w:jc w:val="both"/>
        <w:rPr>
          <w:sz w:val="20"/>
          <w:szCs w:val="20"/>
          <w:lang w:val="fr-CA"/>
        </w:rPr>
      </w:pPr>
    </w:p>
    <w:p w:rsidR="00302C94" w:rsidRPr="002D3A6D" w:rsidRDefault="00302C94" w:rsidP="00302C94">
      <w:pPr>
        <w:jc w:val="both"/>
        <w:rPr>
          <w:sz w:val="20"/>
          <w:szCs w:val="20"/>
          <w:lang w:val="fr-CA"/>
        </w:rPr>
      </w:pPr>
      <w:r w:rsidRPr="002D3A6D">
        <w:rPr>
          <w:b/>
          <w:sz w:val="20"/>
          <w:szCs w:val="20"/>
          <w:lang w:val="fr-CA"/>
        </w:rPr>
        <w:t>ET APRÈS EXAMEN</w:t>
      </w:r>
      <w:r w:rsidRPr="002D3A6D">
        <w:rPr>
          <w:sz w:val="20"/>
          <w:szCs w:val="20"/>
          <w:lang w:val="fr-CA"/>
        </w:rPr>
        <w:t xml:space="preserve"> des documents déposés; </w:t>
      </w:r>
    </w:p>
    <w:p w:rsidR="00302C94" w:rsidRPr="002D3A6D" w:rsidRDefault="00302C94" w:rsidP="00302C94">
      <w:pPr>
        <w:jc w:val="both"/>
        <w:rPr>
          <w:sz w:val="20"/>
          <w:szCs w:val="20"/>
          <w:lang w:val="fr-CA"/>
        </w:rPr>
      </w:pPr>
    </w:p>
    <w:p w:rsidR="00302C94" w:rsidRPr="002D3A6D" w:rsidRDefault="00302C94" w:rsidP="00302C94">
      <w:pPr>
        <w:jc w:val="both"/>
        <w:rPr>
          <w:b/>
          <w:sz w:val="20"/>
          <w:szCs w:val="20"/>
          <w:lang w:val="fr-CA"/>
        </w:rPr>
      </w:pPr>
      <w:r w:rsidRPr="002D3A6D">
        <w:rPr>
          <w:b/>
          <w:sz w:val="20"/>
          <w:szCs w:val="20"/>
          <w:lang w:val="fr-CA"/>
        </w:rPr>
        <w:t>IL EST ORDONNÉ CE QUI SUIT :</w:t>
      </w:r>
    </w:p>
    <w:p w:rsidR="00302C94" w:rsidRPr="002D3A6D" w:rsidRDefault="00302C94" w:rsidP="00302C94">
      <w:pPr>
        <w:jc w:val="both"/>
        <w:rPr>
          <w:sz w:val="20"/>
          <w:szCs w:val="20"/>
          <w:lang w:val="fr-CA"/>
        </w:rPr>
      </w:pPr>
    </w:p>
    <w:p w:rsidR="00302C94" w:rsidRPr="002D3A6D" w:rsidRDefault="00302C94" w:rsidP="00302C94">
      <w:pPr>
        <w:jc w:val="both"/>
        <w:rPr>
          <w:sz w:val="20"/>
          <w:szCs w:val="20"/>
          <w:lang w:val="fr-CA"/>
        </w:rPr>
      </w:pPr>
      <w:r w:rsidRPr="002D3A6D">
        <w:rPr>
          <w:sz w:val="20"/>
          <w:szCs w:val="20"/>
          <w:lang w:val="fr-CA"/>
        </w:rPr>
        <w:t xml:space="preserve">La requête présentée au nom du demandeur en application de la règle 32(2) pour qu'il soit autorisé à déposer des documents additionnels est accordée et ces documents seront soumis à la formation de juges saisies de la demande.  </w:t>
      </w:r>
    </w:p>
    <w:p w:rsidR="00347BB4" w:rsidRPr="00302C94" w:rsidRDefault="00347BB4" w:rsidP="00347BB4">
      <w:pPr>
        <w:tabs>
          <w:tab w:val="left" w:pos="-1440"/>
          <w:tab w:val="left" w:pos="-720"/>
        </w:tabs>
        <w:jc w:val="both"/>
        <w:rPr>
          <w:rFonts w:eastAsia="Times New Roman" w:cs="Times New Roman"/>
          <w:sz w:val="20"/>
          <w:szCs w:val="20"/>
          <w:lang w:val="fr-CA" w:eastAsia="en-CA"/>
        </w:rPr>
      </w:pPr>
    </w:p>
    <w:p w:rsidR="00347BB4" w:rsidRPr="00347BB4" w:rsidRDefault="00142ACF" w:rsidP="00347BB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347BB4" w:rsidRPr="00347BB4" w:rsidRDefault="00347BB4" w:rsidP="00347BB4">
      <w:pPr>
        <w:tabs>
          <w:tab w:val="left" w:pos="-1440"/>
          <w:tab w:val="left" w:pos="-720"/>
        </w:tabs>
        <w:jc w:val="both"/>
        <w:rPr>
          <w:rFonts w:eastAsia="Times New Roman" w:cs="Times New Roman"/>
          <w:sz w:val="20"/>
          <w:szCs w:val="20"/>
          <w:lang w:eastAsia="en-CA"/>
        </w:rPr>
      </w:pPr>
    </w:p>
    <w:p w:rsidR="00347BB4" w:rsidRPr="00347BB4" w:rsidRDefault="00347BB4" w:rsidP="00347BB4">
      <w:pPr>
        <w:tabs>
          <w:tab w:val="left" w:pos="-1440"/>
          <w:tab w:val="left" w:pos="-720"/>
        </w:tabs>
        <w:jc w:val="both"/>
        <w:rPr>
          <w:rFonts w:eastAsia="Times New Roman" w:cs="Times New Roman"/>
          <w:sz w:val="20"/>
          <w:szCs w:val="20"/>
          <w:lang w:val="fr-CA" w:eastAsia="en-CA"/>
        </w:rPr>
      </w:pPr>
      <w:r w:rsidRPr="00347BB4">
        <w:rPr>
          <w:rFonts w:eastAsia="Times New Roman" w:cs="Times New Roman"/>
          <w:sz w:val="20"/>
          <w:szCs w:val="20"/>
          <w:lang w:val="fr-CA" w:eastAsia="en-CA"/>
        </w:rPr>
        <w:t>14.05.2014</w:t>
      </w:r>
    </w:p>
    <w:p w:rsidR="00347BB4" w:rsidRPr="00347BB4" w:rsidRDefault="00347BB4" w:rsidP="00347BB4">
      <w:pPr>
        <w:tabs>
          <w:tab w:val="left" w:pos="-1440"/>
          <w:tab w:val="left" w:pos="-720"/>
        </w:tabs>
        <w:jc w:val="both"/>
        <w:rPr>
          <w:rFonts w:eastAsia="Times New Roman" w:cs="Times New Roman"/>
          <w:sz w:val="20"/>
          <w:szCs w:val="20"/>
          <w:lang w:val="fr-CA" w:eastAsia="en-CA"/>
        </w:rPr>
      </w:pPr>
    </w:p>
    <w:p w:rsidR="00347BB4" w:rsidRPr="00347BB4" w:rsidRDefault="00347BB4" w:rsidP="00347BB4">
      <w:pPr>
        <w:tabs>
          <w:tab w:val="left" w:pos="-1440"/>
          <w:tab w:val="left" w:pos="-720"/>
        </w:tabs>
        <w:jc w:val="both"/>
        <w:rPr>
          <w:rFonts w:eastAsia="Times New Roman" w:cs="Times New Roman"/>
          <w:sz w:val="20"/>
          <w:szCs w:val="20"/>
          <w:lang w:val="fr-CA" w:eastAsia="en-CA"/>
        </w:rPr>
      </w:pPr>
      <w:r w:rsidRPr="00347BB4">
        <w:rPr>
          <w:rFonts w:eastAsia="Times New Roman" w:cs="Times New Roman"/>
          <w:sz w:val="20"/>
          <w:szCs w:val="20"/>
          <w:lang w:val="fr-CA" w:eastAsia="en-CA"/>
        </w:rPr>
        <w:t>Before / Devant :   THE CHIEF JUSTICE / LA JUGE EN CHEF</w:t>
      </w:r>
    </w:p>
    <w:p w:rsidR="00347BB4" w:rsidRPr="00347BB4" w:rsidRDefault="00347BB4" w:rsidP="00347BB4">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47BB4" w:rsidRPr="00142ACF" w:rsidTr="00CF1133">
        <w:tc>
          <w:tcPr>
            <w:tcW w:w="4338" w:type="dxa"/>
          </w:tcPr>
          <w:p w:rsidR="00347BB4" w:rsidRPr="00347BB4" w:rsidRDefault="004876A0" w:rsidP="00347BB4">
            <w:pPr>
              <w:tabs>
                <w:tab w:val="left" w:pos="-1440"/>
                <w:tab w:val="left" w:pos="-720"/>
              </w:tabs>
              <w:jc w:val="both"/>
              <w:rPr>
                <w:b/>
              </w:rPr>
            </w:pPr>
            <w:r w:rsidRPr="00347BB4">
              <w:rPr>
                <w:lang w:val="en-US"/>
              </w:rPr>
              <w:fldChar w:fldCharType="begin"/>
            </w:r>
            <w:r w:rsidR="00347BB4" w:rsidRPr="00347BB4">
              <w:rPr>
                <w:lang w:val="en-US"/>
              </w:rPr>
              <w:instrText xml:space="preserve"> SEQ CHAPTER \h \r 1</w:instrText>
            </w:r>
            <w:r w:rsidRPr="00347BB4">
              <w:rPr>
                <w:lang w:val="en-US"/>
              </w:rPr>
              <w:fldChar w:fldCharType="end"/>
            </w:r>
            <w:r w:rsidR="00347BB4" w:rsidRPr="00347BB4">
              <w:rPr>
                <w:b/>
                <w:bCs/>
                <w:lang w:val="en-US"/>
              </w:rPr>
              <w:t>Motion to state constitutional questions</w:t>
            </w:r>
          </w:p>
        </w:tc>
        <w:tc>
          <w:tcPr>
            <w:tcW w:w="1170" w:type="dxa"/>
          </w:tcPr>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p>
        </w:tc>
        <w:tc>
          <w:tcPr>
            <w:tcW w:w="4327" w:type="dxa"/>
          </w:tcPr>
          <w:p w:rsidR="00347BB4" w:rsidRPr="00347BB4" w:rsidRDefault="004876A0" w:rsidP="00347BB4">
            <w:pPr>
              <w:tabs>
                <w:tab w:val="left" w:pos="-1440"/>
                <w:tab w:val="left" w:pos="-720"/>
              </w:tabs>
              <w:jc w:val="both"/>
              <w:rPr>
                <w:lang w:val="fr-CA"/>
              </w:rPr>
            </w:pPr>
            <w:r w:rsidRPr="00347BB4">
              <w:rPr>
                <w:lang w:val="en-US"/>
              </w:rPr>
              <w:fldChar w:fldCharType="begin"/>
            </w:r>
            <w:r w:rsidR="00347BB4" w:rsidRPr="00347BB4">
              <w:rPr>
                <w:lang w:val="fr-CA"/>
              </w:rPr>
              <w:instrText xml:space="preserve"> SEQ CHAPTER \h \r 1</w:instrText>
            </w:r>
            <w:r w:rsidRPr="00347BB4">
              <w:rPr>
                <w:lang w:val="en-US"/>
              </w:rPr>
              <w:fldChar w:fldCharType="end"/>
            </w:r>
            <w:r w:rsidR="00347BB4" w:rsidRPr="00347BB4">
              <w:rPr>
                <w:b/>
                <w:bCs/>
                <w:lang w:val="fr-CA"/>
              </w:rPr>
              <w:t>Requête en formulation de questions constitutionnelles</w:t>
            </w:r>
            <w:r w:rsidRPr="00347BB4">
              <w:rPr>
                <w:lang w:val="en-US"/>
              </w:rPr>
              <w:fldChar w:fldCharType="begin"/>
            </w:r>
            <w:r w:rsidR="00347BB4" w:rsidRPr="00347BB4">
              <w:rPr>
                <w:lang w:val="fr-CA"/>
              </w:rPr>
              <w:instrText xml:space="preserve"> SEQ CHAPTER \h \r 1</w:instrText>
            </w:r>
            <w:r w:rsidRPr="00347BB4">
              <w:rPr>
                <w:lang w:val="en-US"/>
              </w:rPr>
              <w:fldChar w:fldCharType="end"/>
            </w:r>
            <w:r w:rsidRPr="00347BB4">
              <w:rPr>
                <w:lang w:val="en-US"/>
              </w:rPr>
              <w:fldChar w:fldCharType="begin"/>
            </w:r>
            <w:r w:rsidR="00347BB4" w:rsidRPr="00347BB4">
              <w:rPr>
                <w:lang w:val="fr-CA"/>
              </w:rPr>
              <w:instrText xml:space="preserve"> SEQ CHAPTER \h \r 1</w:instrText>
            </w:r>
            <w:r w:rsidRPr="00347BB4">
              <w:rPr>
                <w:lang w:val="en-US"/>
              </w:rPr>
              <w:fldChar w:fldCharType="end"/>
            </w:r>
            <w:r w:rsidRPr="00347BB4">
              <w:rPr>
                <w:lang w:val="en-US"/>
              </w:rPr>
              <w:fldChar w:fldCharType="begin"/>
            </w:r>
            <w:r w:rsidR="00347BB4" w:rsidRPr="00347BB4">
              <w:rPr>
                <w:lang w:val="fr-CA"/>
              </w:rPr>
              <w:instrText xml:space="preserve"> SEQ CHAPTER \h \r 1</w:instrText>
            </w:r>
            <w:r w:rsidRPr="00347BB4">
              <w:rPr>
                <w:lang w:val="en-US"/>
              </w:rPr>
              <w:fldChar w:fldCharType="end"/>
            </w:r>
          </w:p>
        </w:tc>
      </w:tr>
      <w:tr w:rsidR="00347BB4" w:rsidRPr="00347BB4" w:rsidTr="00CF1133">
        <w:tc>
          <w:tcPr>
            <w:tcW w:w="4338" w:type="dxa"/>
          </w:tcPr>
          <w:p w:rsidR="00347BB4" w:rsidRPr="00347BB4" w:rsidRDefault="00347BB4" w:rsidP="00347BB4">
            <w:pPr>
              <w:tabs>
                <w:tab w:val="left" w:pos="-1440"/>
                <w:tab w:val="left" w:pos="-720"/>
              </w:tabs>
              <w:jc w:val="both"/>
            </w:pPr>
            <w:r w:rsidRPr="00347BB4">
              <w:t>Julie Guindon</w:t>
            </w:r>
          </w:p>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r w:rsidRPr="00347BB4">
              <w:tab/>
              <w:t>v. (35519)</w:t>
            </w:r>
          </w:p>
          <w:p w:rsidR="00347BB4" w:rsidRPr="00347BB4" w:rsidRDefault="00347BB4" w:rsidP="00347BB4">
            <w:pPr>
              <w:tabs>
                <w:tab w:val="left" w:pos="-1440"/>
                <w:tab w:val="left" w:pos="-720"/>
              </w:tabs>
              <w:jc w:val="both"/>
            </w:pPr>
          </w:p>
          <w:p w:rsidR="00347BB4" w:rsidRPr="00347BB4" w:rsidRDefault="00347BB4" w:rsidP="00347BB4">
            <w:pPr>
              <w:tabs>
                <w:tab w:val="left" w:pos="-1440"/>
                <w:tab w:val="left" w:pos="-720"/>
              </w:tabs>
              <w:jc w:val="both"/>
            </w:pPr>
            <w:r w:rsidRPr="00347BB4">
              <w:t>Her Majesty the Queen (F.C.)</w:t>
            </w:r>
          </w:p>
        </w:tc>
        <w:tc>
          <w:tcPr>
            <w:tcW w:w="1170" w:type="dxa"/>
          </w:tcPr>
          <w:p w:rsidR="00347BB4" w:rsidRPr="00347BB4" w:rsidRDefault="00347BB4" w:rsidP="00347BB4">
            <w:pPr>
              <w:tabs>
                <w:tab w:val="left" w:pos="-1440"/>
                <w:tab w:val="left" w:pos="-720"/>
              </w:tabs>
              <w:jc w:val="both"/>
            </w:pPr>
          </w:p>
        </w:tc>
        <w:tc>
          <w:tcPr>
            <w:tcW w:w="4327" w:type="dxa"/>
          </w:tcPr>
          <w:p w:rsidR="00347BB4" w:rsidRPr="00347BB4" w:rsidRDefault="00347BB4" w:rsidP="00347BB4">
            <w:pPr>
              <w:tabs>
                <w:tab w:val="left" w:pos="-1440"/>
                <w:tab w:val="left" w:pos="-720"/>
              </w:tabs>
              <w:jc w:val="both"/>
            </w:pPr>
          </w:p>
        </w:tc>
      </w:tr>
    </w:tbl>
    <w:p w:rsidR="00347BB4" w:rsidRPr="00347BB4" w:rsidRDefault="00347BB4" w:rsidP="00347BB4">
      <w:pPr>
        <w:tabs>
          <w:tab w:val="left" w:pos="-1440"/>
          <w:tab w:val="left" w:pos="-720"/>
        </w:tabs>
        <w:jc w:val="both"/>
        <w:rPr>
          <w:rFonts w:eastAsia="Times New Roman" w:cs="Times New Roman"/>
          <w:sz w:val="20"/>
          <w:szCs w:val="20"/>
          <w:lang w:eastAsia="en-CA"/>
        </w:rPr>
      </w:pPr>
    </w:p>
    <w:p w:rsidR="00347BB4" w:rsidRPr="00347BB4" w:rsidRDefault="00347BB4" w:rsidP="00347BB4">
      <w:pPr>
        <w:tabs>
          <w:tab w:val="left" w:pos="-1440"/>
          <w:tab w:val="left" w:pos="-720"/>
        </w:tabs>
        <w:jc w:val="both"/>
        <w:rPr>
          <w:rFonts w:eastAsia="Times New Roman" w:cs="Times New Roman"/>
          <w:sz w:val="20"/>
          <w:szCs w:val="20"/>
          <w:lang w:eastAsia="en-CA"/>
        </w:rPr>
      </w:pPr>
      <w:r w:rsidRPr="00347BB4">
        <w:rPr>
          <w:rFonts w:eastAsia="Times New Roman" w:cs="Times New Roman"/>
          <w:b/>
          <w:sz w:val="20"/>
          <w:szCs w:val="20"/>
          <w:lang w:eastAsia="en-CA"/>
        </w:rPr>
        <w:t>GRANTED / ACCORDÉE</w:t>
      </w:r>
    </w:p>
    <w:p w:rsidR="00347BB4" w:rsidRPr="00347BB4" w:rsidRDefault="00347BB4" w:rsidP="00347BB4">
      <w:pPr>
        <w:tabs>
          <w:tab w:val="left" w:pos="-1440"/>
          <w:tab w:val="left" w:pos="-720"/>
        </w:tabs>
        <w:jc w:val="both"/>
        <w:rPr>
          <w:rFonts w:eastAsia="Times New Roman" w:cs="Times New Roman"/>
          <w:sz w:val="20"/>
          <w:szCs w:val="20"/>
          <w:lang w:eastAsia="en-CA"/>
        </w:rPr>
      </w:pPr>
    </w:p>
    <w:p w:rsidR="00347BB4" w:rsidRPr="00347BB4" w:rsidRDefault="00347BB4" w:rsidP="00347BB4">
      <w:pPr>
        <w:jc w:val="both"/>
        <w:rPr>
          <w:rFonts w:eastAsia="Times New Roman" w:cs="Times New Roman"/>
          <w:sz w:val="20"/>
          <w:szCs w:val="20"/>
          <w:lang w:val="en-US" w:eastAsia="en-CA"/>
        </w:rPr>
      </w:pPr>
      <w:r w:rsidRPr="00347BB4">
        <w:rPr>
          <w:rFonts w:eastAsia="Times New Roman" w:cs="Times New Roman"/>
          <w:b/>
          <w:bCs/>
          <w:sz w:val="20"/>
          <w:szCs w:val="20"/>
          <w:lang w:val="en-US" w:eastAsia="en-CA"/>
        </w:rPr>
        <w:t>UPON APPLICATION</w:t>
      </w:r>
      <w:r w:rsidRPr="00347BB4">
        <w:rPr>
          <w:rFonts w:eastAsia="Times New Roman" w:cs="Times New Roman"/>
          <w:sz w:val="20"/>
          <w:szCs w:val="20"/>
          <w:lang w:val="en-US" w:eastAsia="en-CA"/>
        </w:rPr>
        <w:t xml:space="preserve"> by the appellant </w:t>
      </w:r>
      <w:r w:rsidR="004876A0" w:rsidRPr="00347BB4">
        <w:rPr>
          <w:rFonts w:eastAsia="Times New Roman" w:cs="Times New Roman"/>
          <w:sz w:val="20"/>
          <w:szCs w:val="20"/>
          <w:lang w:eastAsia="en-CA"/>
        </w:rPr>
        <w:fldChar w:fldCharType="begin"/>
      </w:r>
      <w:r w:rsidRPr="00347BB4">
        <w:rPr>
          <w:rFonts w:eastAsia="Times New Roman" w:cs="Times New Roman"/>
          <w:sz w:val="20"/>
          <w:szCs w:val="20"/>
          <w:lang w:eastAsia="en-CA"/>
        </w:rPr>
        <w:instrText xml:space="preserve"> SEQ CHAPTER \h \r 1</w:instrText>
      </w:r>
      <w:r w:rsidR="004876A0" w:rsidRPr="00347BB4">
        <w:rPr>
          <w:rFonts w:eastAsia="Times New Roman" w:cs="Times New Roman"/>
          <w:sz w:val="20"/>
          <w:szCs w:val="20"/>
          <w:lang w:eastAsia="en-CA"/>
        </w:rPr>
        <w:fldChar w:fldCharType="end"/>
      </w:r>
      <w:r w:rsidRPr="00347BB4">
        <w:rPr>
          <w:rFonts w:eastAsia="Times New Roman" w:cs="Times New Roman"/>
          <w:sz w:val="20"/>
          <w:szCs w:val="20"/>
          <w:lang w:eastAsia="en-CA"/>
        </w:rPr>
        <w:t xml:space="preserve">for an order stating constitutional questions </w:t>
      </w:r>
      <w:r w:rsidRPr="00347BB4">
        <w:rPr>
          <w:rFonts w:eastAsia="Times New Roman" w:cs="Times New Roman"/>
          <w:sz w:val="20"/>
          <w:szCs w:val="20"/>
          <w:lang w:val="en-US" w:eastAsia="en-CA"/>
        </w:rPr>
        <w:t>in the above appeal;</w:t>
      </w:r>
    </w:p>
    <w:p w:rsidR="00347BB4" w:rsidRPr="00347BB4" w:rsidRDefault="00347BB4" w:rsidP="00347BB4">
      <w:pPr>
        <w:jc w:val="both"/>
        <w:rPr>
          <w:rFonts w:eastAsia="Times New Roman" w:cs="Times New Roman"/>
          <w:sz w:val="20"/>
          <w:szCs w:val="20"/>
          <w:lang w:val="en-US" w:eastAsia="en-CA"/>
        </w:rPr>
      </w:pPr>
    </w:p>
    <w:p w:rsidR="00347BB4" w:rsidRPr="00347BB4" w:rsidRDefault="00347BB4" w:rsidP="00347BB4">
      <w:pPr>
        <w:jc w:val="both"/>
        <w:rPr>
          <w:rFonts w:eastAsia="Times New Roman" w:cs="Times New Roman"/>
          <w:sz w:val="20"/>
          <w:szCs w:val="20"/>
          <w:lang w:val="en-US" w:eastAsia="en-CA"/>
        </w:rPr>
      </w:pPr>
      <w:r w:rsidRPr="00347BB4">
        <w:rPr>
          <w:rFonts w:eastAsia="Times New Roman" w:cs="Times New Roman"/>
          <w:b/>
          <w:bCs/>
          <w:sz w:val="20"/>
          <w:szCs w:val="20"/>
          <w:lang w:val="en-US" w:eastAsia="en-CA"/>
        </w:rPr>
        <w:t>AND THE MATERIAL FILED</w:t>
      </w:r>
      <w:r w:rsidRPr="00347BB4">
        <w:rPr>
          <w:rFonts w:eastAsia="Times New Roman" w:cs="Times New Roman"/>
          <w:sz w:val="20"/>
          <w:szCs w:val="20"/>
          <w:lang w:val="en-US" w:eastAsia="en-CA"/>
        </w:rPr>
        <w:t xml:space="preserve"> having been read;</w:t>
      </w:r>
    </w:p>
    <w:p w:rsidR="00347BB4" w:rsidRPr="00347BB4" w:rsidRDefault="00347BB4" w:rsidP="00347BB4">
      <w:pPr>
        <w:jc w:val="both"/>
        <w:rPr>
          <w:rFonts w:eastAsia="Times New Roman" w:cs="Times New Roman"/>
          <w:sz w:val="20"/>
          <w:szCs w:val="20"/>
          <w:lang w:val="en-US" w:eastAsia="en-CA"/>
        </w:rPr>
      </w:pPr>
    </w:p>
    <w:p w:rsidR="00347BB4" w:rsidRPr="00347BB4" w:rsidRDefault="00347BB4" w:rsidP="00347BB4">
      <w:pPr>
        <w:jc w:val="both"/>
        <w:rPr>
          <w:rFonts w:eastAsia="Times New Roman" w:cs="Times New Roman"/>
          <w:b/>
          <w:bCs/>
          <w:sz w:val="20"/>
          <w:szCs w:val="20"/>
          <w:lang w:val="en-US" w:eastAsia="en-CA"/>
        </w:rPr>
      </w:pPr>
      <w:r w:rsidRPr="00347BB4">
        <w:rPr>
          <w:rFonts w:eastAsia="Times New Roman" w:cs="Times New Roman"/>
          <w:b/>
          <w:bCs/>
          <w:sz w:val="20"/>
          <w:szCs w:val="20"/>
          <w:lang w:val="en-US" w:eastAsia="en-CA"/>
        </w:rPr>
        <w:t>IT IS HEREBY ORDERED THAT THE CONSTITUTIONAL QUESTIONS BE STATED AS FOLLOWS:</w:t>
      </w:r>
    </w:p>
    <w:p w:rsidR="00347BB4" w:rsidRPr="00347BB4" w:rsidRDefault="00347BB4" w:rsidP="00347BB4">
      <w:pPr>
        <w:jc w:val="both"/>
        <w:rPr>
          <w:rFonts w:eastAsia="Times New Roman" w:cs="Times New Roman"/>
          <w:b/>
          <w:bCs/>
          <w:sz w:val="20"/>
          <w:szCs w:val="20"/>
          <w:lang w:val="en-US" w:eastAsia="en-CA"/>
        </w:rPr>
      </w:pPr>
    </w:p>
    <w:p w:rsidR="00347BB4" w:rsidRPr="00347BB4" w:rsidRDefault="00347BB4" w:rsidP="00347BB4">
      <w:pPr>
        <w:widowControl w:val="0"/>
        <w:numPr>
          <w:ilvl w:val="0"/>
          <w:numId w:val="8"/>
        </w:numPr>
        <w:autoSpaceDN w:val="0"/>
        <w:adjustRightInd w:val="0"/>
        <w:contextualSpacing/>
        <w:jc w:val="both"/>
        <w:rPr>
          <w:rFonts w:cs="Times New Roman"/>
          <w:sz w:val="20"/>
          <w:szCs w:val="20"/>
        </w:rPr>
      </w:pPr>
      <w:r w:rsidRPr="00347BB4">
        <w:rPr>
          <w:rFonts w:cs="Times New Roman"/>
          <w:sz w:val="20"/>
          <w:szCs w:val="20"/>
        </w:rPr>
        <w:t xml:space="preserve">Does s. 163.2 of the </w:t>
      </w:r>
      <w:r w:rsidRPr="00347BB4">
        <w:rPr>
          <w:rFonts w:cs="Times New Roman"/>
          <w:i/>
          <w:iCs/>
          <w:sz w:val="20"/>
          <w:szCs w:val="20"/>
        </w:rPr>
        <w:t>Income Tax Act</w:t>
      </w:r>
      <w:r w:rsidRPr="00347BB4">
        <w:rPr>
          <w:rFonts w:cs="Times New Roman"/>
          <w:sz w:val="20"/>
          <w:szCs w:val="20"/>
        </w:rPr>
        <w:t>, R.S.C. 1985, c. 1 (5</w:t>
      </w:r>
      <w:r w:rsidRPr="00347BB4">
        <w:rPr>
          <w:rFonts w:cs="Times New Roman"/>
          <w:sz w:val="20"/>
          <w:szCs w:val="20"/>
          <w:vertAlign w:val="superscript"/>
        </w:rPr>
        <w:t>th</w:t>
      </w:r>
      <w:r w:rsidRPr="00347BB4">
        <w:rPr>
          <w:rFonts w:cs="Times New Roman"/>
          <w:sz w:val="20"/>
          <w:szCs w:val="20"/>
        </w:rPr>
        <w:t xml:space="preserve"> Suppl.) infringe s. 11 of the </w:t>
      </w:r>
      <w:r w:rsidRPr="00347BB4">
        <w:rPr>
          <w:rFonts w:cs="Times New Roman"/>
          <w:i/>
          <w:iCs/>
          <w:sz w:val="20"/>
          <w:szCs w:val="20"/>
        </w:rPr>
        <w:t>Canadian Charter of Rights and Freedoms</w:t>
      </w:r>
      <w:r w:rsidRPr="00347BB4">
        <w:rPr>
          <w:rFonts w:cs="Times New Roman"/>
          <w:sz w:val="20"/>
          <w:szCs w:val="20"/>
        </w:rPr>
        <w:t>?</w:t>
      </w:r>
    </w:p>
    <w:p w:rsidR="00347BB4" w:rsidRPr="00347BB4" w:rsidRDefault="00347BB4" w:rsidP="00347BB4">
      <w:pPr>
        <w:ind w:left="1080"/>
        <w:contextualSpacing/>
        <w:jc w:val="both"/>
        <w:rPr>
          <w:rFonts w:cs="Times New Roman"/>
          <w:sz w:val="20"/>
          <w:szCs w:val="20"/>
        </w:rPr>
      </w:pPr>
    </w:p>
    <w:p w:rsidR="00347BB4" w:rsidRPr="00347BB4" w:rsidRDefault="00347BB4" w:rsidP="00347BB4">
      <w:pPr>
        <w:widowControl w:val="0"/>
        <w:numPr>
          <w:ilvl w:val="0"/>
          <w:numId w:val="8"/>
        </w:numPr>
        <w:autoSpaceDN w:val="0"/>
        <w:adjustRightInd w:val="0"/>
        <w:contextualSpacing/>
        <w:jc w:val="both"/>
        <w:rPr>
          <w:rFonts w:cs="Times New Roman"/>
          <w:sz w:val="20"/>
          <w:szCs w:val="20"/>
        </w:rPr>
      </w:pPr>
      <w:r w:rsidRPr="00347BB4">
        <w:rPr>
          <w:rFonts w:cs="Times New Roman"/>
          <w:sz w:val="20"/>
          <w:szCs w:val="20"/>
        </w:rPr>
        <w:t xml:space="preserve">If so, is the infringement a reasonable limit prescribed by law as can be demonstrably justified in a free and democratic society under s. 1 of the </w:t>
      </w:r>
      <w:r w:rsidRPr="00347BB4">
        <w:rPr>
          <w:rFonts w:cs="Times New Roman"/>
          <w:i/>
          <w:iCs/>
          <w:sz w:val="20"/>
          <w:szCs w:val="20"/>
        </w:rPr>
        <w:t>Canadian Charter of Rights and Freedoms</w:t>
      </w:r>
      <w:r w:rsidRPr="00347BB4">
        <w:rPr>
          <w:rFonts w:cs="Times New Roman"/>
          <w:sz w:val="20"/>
          <w:szCs w:val="20"/>
        </w:rPr>
        <w:t>?</w:t>
      </w:r>
    </w:p>
    <w:p w:rsidR="00347BB4" w:rsidRPr="00347BB4" w:rsidRDefault="00347BB4" w:rsidP="00347BB4">
      <w:pPr>
        <w:ind w:left="720"/>
        <w:contextualSpacing/>
        <w:jc w:val="both"/>
        <w:rPr>
          <w:rFonts w:cs="Times New Roman"/>
          <w:sz w:val="20"/>
          <w:szCs w:val="20"/>
        </w:rPr>
      </w:pPr>
    </w:p>
    <w:p w:rsidR="00347BB4" w:rsidRPr="00347BB4" w:rsidRDefault="00347BB4" w:rsidP="00347BB4">
      <w:pPr>
        <w:jc w:val="both"/>
        <w:rPr>
          <w:rFonts w:eastAsia="Times New Roman" w:cs="Times New Roman"/>
          <w:sz w:val="20"/>
          <w:szCs w:val="20"/>
          <w:lang w:val="en-US" w:eastAsia="en-CA"/>
        </w:rPr>
      </w:pPr>
      <w:r w:rsidRPr="00347BB4">
        <w:rPr>
          <w:rFonts w:eastAsia="Times New Roman" w:cs="Times New Roman"/>
          <w:sz w:val="20"/>
          <w:szCs w:val="20"/>
          <w:lang w:val="en-US" w:eastAsia="en-CA"/>
        </w:rPr>
        <w:t>Any Attorney General who intervenes pursuant to Rule 61(4) shall pay the appellant and respondent the costs of any additional disbursements they incur as a result of the intervention.</w:t>
      </w:r>
    </w:p>
    <w:p w:rsidR="00347BB4" w:rsidRPr="00347BB4" w:rsidRDefault="00347BB4" w:rsidP="00347BB4">
      <w:pPr>
        <w:jc w:val="both"/>
        <w:rPr>
          <w:rFonts w:eastAsia="Times New Roman" w:cs="Times New Roman"/>
          <w:b/>
          <w:bCs/>
          <w:sz w:val="20"/>
          <w:szCs w:val="20"/>
          <w:lang w:val="en-US" w:eastAsia="en-CA"/>
        </w:rPr>
      </w:pPr>
    </w:p>
    <w:p w:rsidR="00347BB4" w:rsidRPr="00347BB4" w:rsidRDefault="00347BB4" w:rsidP="00347BB4">
      <w:pPr>
        <w:jc w:val="both"/>
        <w:rPr>
          <w:rFonts w:eastAsia="Times New Roman" w:cs="Times New Roman"/>
          <w:b/>
          <w:bCs/>
          <w:sz w:val="20"/>
          <w:szCs w:val="20"/>
          <w:lang w:val="en-US" w:eastAsia="en-CA"/>
        </w:rPr>
      </w:pPr>
    </w:p>
    <w:p w:rsidR="00347BB4" w:rsidRPr="00347BB4" w:rsidRDefault="00347BB4" w:rsidP="00347BB4">
      <w:pPr>
        <w:jc w:val="both"/>
        <w:rPr>
          <w:rFonts w:eastAsia="Times New Roman" w:cs="Times New Roman"/>
          <w:b/>
          <w:bCs/>
          <w:sz w:val="20"/>
          <w:szCs w:val="20"/>
          <w:lang w:val="en-US" w:eastAsia="en-CA"/>
        </w:rPr>
      </w:pPr>
    </w:p>
    <w:p w:rsidR="00347BB4" w:rsidRPr="00347BB4" w:rsidRDefault="00347BB4" w:rsidP="00347BB4">
      <w:pPr>
        <w:jc w:val="both"/>
        <w:rPr>
          <w:rFonts w:eastAsia="Times New Roman" w:cs="Times New Roman"/>
          <w:sz w:val="20"/>
          <w:szCs w:val="20"/>
          <w:lang w:val="fr-CA" w:eastAsia="en-CA"/>
        </w:rPr>
      </w:pPr>
      <w:r w:rsidRPr="00347BB4">
        <w:rPr>
          <w:rFonts w:eastAsia="Times New Roman" w:cs="Times New Roman"/>
          <w:b/>
          <w:bCs/>
          <w:sz w:val="20"/>
          <w:szCs w:val="20"/>
          <w:lang w:val="fr-CA" w:eastAsia="en-CA"/>
        </w:rPr>
        <w:t>À LA SUITE DE LA DEMANDE</w:t>
      </w:r>
      <w:r w:rsidRPr="00347BB4">
        <w:rPr>
          <w:rFonts w:eastAsia="Times New Roman" w:cs="Times New Roman"/>
          <w:sz w:val="20"/>
          <w:szCs w:val="20"/>
          <w:lang w:val="fr-CA" w:eastAsia="en-CA"/>
        </w:rPr>
        <w:t xml:space="preserve"> de l’appelante visant à obtenir la formulation de questions constitutionnelles dans l'appel susmentionné;</w:t>
      </w:r>
    </w:p>
    <w:p w:rsidR="00347BB4" w:rsidRPr="00347BB4" w:rsidRDefault="00347BB4" w:rsidP="00347BB4">
      <w:pPr>
        <w:jc w:val="both"/>
        <w:rPr>
          <w:rFonts w:eastAsia="Times New Roman" w:cs="Times New Roman"/>
          <w:sz w:val="20"/>
          <w:szCs w:val="20"/>
          <w:lang w:val="fr-CA" w:eastAsia="en-CA"/>
        </w:rPr>
      </w:pPr>
    </w:p>
    <w:p w:rsidR="00347BB4" w:rsidRPr="00347BB4" w:rsidRDefault="00347BB4" w:rsidP="00347BB4">
      <w:pPr>
        <w:jc w:val="both"/>
        <w:rPr>
          <w:rFonts w:eastAsia="Times New Roman" w:cs="Times New Roman"/>
          <w:sz w:val="20"/>
          <w:szCs w:val="20"/>
          <w:lang w:val="fr-CA" w:eastAsia="en-CA"/>
        </w:rPr>
      </w:pPr>
      <w:r w:rsidRPr="00347BB4">
        <w:rPr>
          <w:rFonts w:eastAsia="Times New Roman" w:cs="Times New Roman"/>
          <w:b/>
          <w:bCs/>
          <w:sz w:val="20"/>
          <w:szCs w:val="20"/>
          <w:lang w:val="fr-CA" w:eastAsia="en-CA"/>
        </w:rPr>
        <w:t>ET APRÈS AVOIR LU</w:t>
      </w:r>
      <w:r w:rsidRPr="00347BB4">
        <w:rPr>
          <w:rFonts w:eastAsia="Times New Roman" w:cs="Times New Roman"/>
          <w:sz w:val="20"/>
          <w:szCs w:val="20"/>
          <w:lang w:val="fr-CA" w:eastAsia="en-CA"/>
        </w:rPr>
        <w:t xml:space="preserve"> la documentation déposée;</w:t>
      </w:r>
    </w:p>
    <w:p w:rsidR="00347BB4" w:rsidRPr="00347BB4" w:rsidRDefault="00347BB4" w:rsidP="00347BB4">
      <w:pPr>
        <w:jc w:val="both"/>
        <w:rPr>
          <w:rFonts w:eastAsia="Times New Roman" w:cs="Times New Roman"/>
          <w:sz w:val="20"/>
          <w:szCs w:val="20"/>
          <w:lang w:val="fr-CA" w:eastAsia="en-CA"/>
        </w:rPr>
      </w:pPr>
    </w:p>
    <w:p w:rsidR="00347BB4" w:rsidRPr="00347BB4" w:rsidRDefault="00347BB4" w:rsidP="00347BB4">
      <w:pPr>
        <w:jc w:val="both"/>
        <w:rPr>
          <w:rFonts w:eastAsia="Times New Roman" w:cs="Times New Roman"/>
          <w:b/>
          <w:bCs/>
          <w:sz w:val="20"/>
          <w:szCs w:val="20"/>
          <w:lang w:val="fr-CA" w:eastAsia="en-CA"/>
        </w:rPr>
      </w:pPr>
      <w:r w:rsidRPr="00347BB4">
        <w:rPr>
          <w:rFonts w:eastAsia="Times New Roman" w:cs="Times New Roman"/>
          <w:b/>
          <w:bCs/>
          <w:sz w:val="20"/>
          <w:szCs w:val="20"/>
          <w:lang w:val="fr-CA" w:eastAsia="en-CA"/>
        </w:rPr>
        <w:t>LES QUESTIONS CONSTITUTIONNELLES SUIVANTES SONT FORMULÉES :</w:t>
      </w:r>
    </w:p>
    <w:p w:rsidR="00347BB4" w:rsidRPr="00347BB4" w:rsidRDefault="00347BB4" w:rsidP="00347BB4">
      <w:pPr>
        <w:ind w:left="1080" w:hanging="360"/>
        <w:contextualSpacing/>
        <w:jc w:val="both"/>
        <w:rPr>
          <w:rFonts w:cs="Times New Roman"/>
          <w:sz w:val="20"/>
          <w:szCs w:val="20"/>
          <w:highlight w:val="yellow"/>
          <w:lang w:val="fr-CA"/>
        </w:rPr>
      </w:pPr>
    </w:p>
    <w:p w:rsidR="00347BB4" w:rsidRPr="00347BB4" w:rsidRDefault="00347BB4" w:rsidP="00347BB4">
      <w:pPr>
        <w:widowControl w:val="0"/>
        <w:numPr>
          <w:ilvl w:val="0"/>
          <w:numId w:val="7"/>
        </w:numPr>
        <w:autoSpaceDN w:val="0"/>
        <w:adjustRightInd w:val="0"/>
        <w:ind w:left="1080"/>
        <w:contextualSpacing/>
        <w:jc w:val="both"/>
        <w:rPr>
          <w:rFonts w:cs="Times New Roman"/>
          <w:sz w:val="20"/>
          <w:szCs w:val="20"/>
          <w:lang w:val="fr-CA"/>
        </w:rPr>
      </w:pPr>
      <w:r w:rsidRPr="00347BB4">
        <w:rPr>
          <w:rFonts w:cs="Times New Roman"/>
          <w:sz w:val="20"/>
          <w:szCs w:val="20"/>
          <w:lang w:val="fr-CA"/>
        </w:rPr>
        <w:t xml:space="preserve">L’article 163.2 de la </w:t>
      </w:r>
      <w:r w:rsidRPr="00347BB4">
        <w:rPr>
          <w:rFonts w:cs="Times New Roman"/>
          <w:i/>
          <w:sz w:val="20"/>
          <w:szCs w:val="20"/>
          <w:lang w:val="fr-CA"/>
        </w:rPr>
        <w:t>Loi de l’impôt sur le revenu</w:t>
      </w:r>
      <w:r w:rsidRPr="00347BB4">
        <w:rPr>
          <w:rFonts w:cs="Times New Roman"/>
          <w:sz w:val="20"/>
          <w:szCs w:val="20"/>
          <w:lang w:val="fr-CA"/>
        </w:rPr>
        <w:t>, L.R.C. 1985, ch. 1 (5</w:t>
      </w:r>
      <w:r w:rsidRPr="00347BB4">
        <w:rPr>
          <w:rFonts w:cs="Times New Roman"/>
          <w:sz w:val="20"/>
          <w:szCs w:val="20"/>
          <w:vertAlign w:val="superscript"/>
          <w:lang w:val="fr-CA"/>
        </w:rPr>
        <w:t>e</w:t>
      </w:r>
      <w:r w:rsidRPr="00347BB4">
        <w:rPr>
          <w:rFonts w:cs="Times New Roman"/>
          <w:sz w:val="20"/>
          <w:szCs w:val="20"/>
          <w:lang w:val="fr-CA"/>
        </w:rPr>
        <w:t xml:space="preserve"> suppl.), viole-t-il l’art. 11 de la </w:t>
      </w:r>
      <w:r w:rsidRPr="00347BB4">
        <w:rPr>
          <w:rFonts w:cs="Times New Roman"/>
          <w:i/>
          <w:sz w:val="20"/>
          <w:szCs w:val="20"/>
          <w:lang w:val="fr-CA"/>
        </w:rPr>
        <w:t>Charte canadienne des droits et libertés</w:t>
      </w:r>
      <w:r w:rsidRPr="00347BB4">
        <w:rPr>
          <w:rFonts w:cs="Times New Roman"/>
          <w:sz w:val="20"/>
          <w:szCs w:val="20"/>
          <w:lang w:val="fr-CA"/>
        </w:rPr>
        <w:t>?</w:t>
      </w:r>
    </w:p>
    <w:p w:rsidR="00347BB4" w:rsidRPr="00347BB4" w:rsidRDefault="00347BB4" w:rsidP="00347BB4">
      <w:pPr>
        <w:ind w:left="1080" w:hanging="360"/>
        <w:contextualSpacing/>
        <w:jc w:val="both"/>
        <w:rPr>
          <w:rFonts w:cs="Times New Roman"/>
          <w:sz w:val="20"/>
          <w:szCs w:val="20"/>
          <w:lang w:val="fr-CA"/>
        </w:rPr>
      </w:pPr>
      <w:r w:rsidRPr="00347BB4">
        <w:rPr>
          <w:rFonts w:cs="Times New Roman"/>
          <w:sz w:val="20"/>
          <w:szCs w:val="20"/>
          <w:lang w:val="fr-CA"/>
        </w:rPr>
        <w:t xml:space="preserve"> </w:t>
      </w:r>
    </w:p>
    <w:p w:rsidR="00347BB4" w:rsidRPr="00347BB4" w:rsidRDefault="00347BB4" w:rsidP="00347BB4">
      <w:pPr>
        <w:numPr>
          <w:ilvl w:val="0"/>
          <w:numId w:val="7"/>
        </w:numPr>
        <w:autoSpaceDN w:val="0"/>
        <w:ind w:left="1080"/>
        <w:jc w:val="both"/>
        <w:rPr>
          <w:rFonts w:cs="Times New Roman"/>
          <w:sz w:val="20"/>
          <w:szCs w:val="20"/>
          <w:lang w:val="fr-CA"/>
        </w:rPr>
      </w:pPr>
      <w:r w:rsidRPr="00347BB4">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347BB4">
        <w:rPr>
          <w:rFonts w:cs="Times New Roman"/>
          <w:i/>
          <w:sz w:val="20"/>
          <w:szCs w:val="20"/>
          <w:lang w:val="fr-CA"/>
        </w:rPr>
        <w:t>Charte canadienne des droits et libertés</w:t>
      </w:r>
      <w:r w:rsidRPr="00347BB4">
        <w:rPr>
          <w:rFonts w:cs="Times New Roman"/>
          <w:sz w:val="20"/>
          <w:szCs w:val="20"/>
          <w:lang w:val="fr-CA"/>
        </w:rPr>
        <w:t xml:space="preserve">? </w:t>
      </w:r>
    </w:p>
    <w:p w:rsidR="00347BB4" w:rsidRPr="00347BB4" w:rsidRDefault="00347BB4" w:rsidP="00347BB4">
      <w:pPr>
        <w:jc w:val="both"/>
        <w:rPr>
          <w:rFonts w:eastAsia="Times New Roman" w:cs="Times New Roman"/>
          <w:sz w:val="20"/>
          <w:szCs w:val="20"/>
          <w:lang w:val="fr-CA" w:eastAsia="en-CA"/>
        </w:rPr>
      </w:pPr>
    </w:p>
    <w:p w:rsidR="00347BB4" w:rsidRPr="00347BB4" w:rsidRDefault="00347BB4" w:rsidP="00347BB4">
      <w:pPr>
        <w:jc w:val="both"/>
        <w:rPr>
          <w:rFonts w:eastAsia="Times New Roman" w:cs="Times New Roman"/>
          <w:sz w:val="20"/>
          <w:szCs w:val="20"/>
          <w:lang w:val="fr-FR" w:eastAsia="en-CA"/>
        </w:rPr>
      </w:pPr>
      <w:r w:rsidRPr="00347BB4">
        <w:rPr>
          <w:rFonts w:eastAsia="Times New Roman" w:cs="Times New Roman"/>
          <w:sz w:val="20"/>
          <w:szCs w:val="20"/>
          <w:lang w:val="fr-CA" w:eastAsia="en-CA"/>
        </w:rPr>
        <w:t>T</w:t>
      </w:r>
      <w:r w:rsidRPr="00347BB4">
        <w:rPr>
          <w:rFonts w:eastAsia="Times New Roman" w:cs="Times New Roman"/>
          <w:sz w:val="20"/>
          <w:szCs w:val="20"/>
          <w:lang w:val="fr-FR" w:eastAsia="en-CA"/>
        </w:rPr>
        <w:t xml:space="preserve">out procureur général qui interviendra en vertu du par. 61(4) des </w:t>
      </w:r>
      <w:r w:rsidRPr="00347BB4">
        <w:rPr>
          <w:rFonts w:eastAsia="Times New Roman" w:cs="Times New Roman"/>
          <w:i/>
          <w:iCs/>
          <w:sz w:val="20"/>
          <w:szCs w:val="20"/>
          <w:lang w:val="fr-FR" w:eastAsia="en-CA"/>
        </w:rPr>
        <w:t>Règles de la Cour suprême du Canada</w:t>
      </w:r>
      <w:r w:rsidRPr="00347BB4">
        <w:rPr>
          <w:rFonts w:eastAsia="Times New Roman" w:cs="Times New Roman"/>
          <w:sz w:val="20"/>
          <w:szCs w:val="20"/>
          <w:lang w:val="fr-FR" w:eastAsia="en-CA"/>
        </w:rPr>
        <w:t xml:space="preserve"> sera tenu de payer à l’appelante et à l’intimée les dépens supplémentaires résultant de son intervention.</w:t>
      </w:r>
    </w:p>
    <w:p w:rsidR="00347BB4" w:rsidRPr="00347BB4" w:rsidRDefault="00347BB4" w:rsidP="00347BB4">
      <w:pPr>
        <w:tabs>
          <w:tab w:val="left" w:pos="-1440"/>
          <w:tab w:val="left" w:pos="-720"/>
        </w:tabs>
        <w:jc w:val="both"/>
        <w:rPr>
          <w:rFonts w:eastAsia="Times New Roman" w:cs="Times New Roman"/>
          <w:sz w:val="20"/>
          <w:szCs w:val="20"/>
          <w:lang w:val="fr-FR" w:eastAsia="en-CA"/>
        </w:rPr>
      </w:pPr>
    </w:p>
    <w:p w:rsidR="00347BB4" w:rsidRPr="00347BB4" w:rsidRDefault="00142ACF" w:rsidP="00347BB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347BB4" w:rsidRPr="00347BB4" w:rsidRDefault="00347BB4" w:rsidP="00347BB4">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42AC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AF1D84" w:rsidP="005F1ED8">
            <w:pPr>
              <w:rPr>
                <w:sz w:val="20"/>
                <w:szCs w:val="20"/>
              </w:rPr>
            </w:pPr>
            <w:r>
              <w:rPr>
                <w:sz w:val="20"/>
                <w:szCs w:val="20"/>
              </w:rPr>
              <w:t>08</w:t>
            </w:r>
            <w:r w:rsidR="0086340B" w:rsidRPr="003B3977">
              <w:rPr>
                <w:sz w:val="20"/>
                <w:szCs w:val="20"/>
              </w:rPr>
              <w:t>.</w:t>
            </w:r>
            <w:r>
              <w:rPr>
                <w:sz w:val="20"/>
                <w:szCs w:val="20"/>
              </w:rPr>
              <w:t>05</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AF1D84" w:rsidP="005F1ED8">
            <w:pPr>
              <w:rPr>
                <w:b/>
                <w:sz w:val="20"/>
                <w:szCs w:val="20"/>
              </w:rPr>
            </w:pPr>
            <w:r>
              <w:rPr>
                <w:b/>
                <w:sz w:val="20"/>
                <w:szCs w:val="20"/>
              </w:rPr>
              <w:t>ATCO G</w:t>
            </w:r>
            <w:r w:rsidR="0086340B">
              <w:rPr>
                <w:b/>
                <w:sz w:val="20"/>
                <w:szCs w:val="20"/>
              </w:rPr>
              <w:t>a</w:t>
            </w:r>
            <w:r>
              <w:rPr>
                <w:b/>
                <w:sz w:val="20"/>
                <w:szCs w:val="20"/>
              </w:rPr>
              <w:t>s a</w:t>
            </w:r>
            <w:r w:rsidR="0086340B">
              <w:rPr>
                <w:b/>
                <w:sz w:val="20"/>
                <w:szCs w:val="20"/>
              </w:rPr>
              <w:t xml:space="preserve">nd </w:t>
            </w:r>
            <w:r>
              <w:rPr>
                <w:b/>
                <w:sz w:val="20"/>
                <w:szCs w:val="20"/>
              </w:rPr>
              <w:t>Pipeli</w:t>
            </w:r>
            <w:r w:rsidR="0086340B">
              <w:rPr>
                <w:b/>
                <w:sz w:val="20"/>
                <w:szCs w:val="20"/>
              </w:rPr>
              <w:t>n</w:t>
            </w:r>
            <w:r>
              <w:rPr>
                <w:b/>
                <w:sz w:val="20"/>
                <w:szCs w:val="20"/>
              </w:rPr>
              <w:t>e</w:t>
            </w:r>
            <w:r w:rsidR="0086340B">
              <w:rPr>
                <w:b/>
                <w:sz w:val="20"/>
                <w:szCs w:val="20"/>
              </w:rPr>
              <w:t>s</w:t>
            </w:r>
            <w:r>
              <w:rPr>
                <w:b/>
                <w:sz w:val="20"/>
                <w:szCs w:val="20"/>
              </w:rPr>
              <w:t xml:space="preserve"> Ltd.</w:t>
            </w:r>
            <w:r w:rsidR="0086340B">
              <w:rPr>
                <w:b/>
                <w:sz w:val="20"/>
                <w:szCs w:val="20"/>
              </w:rPr>
              <w:t xml:space="preserve"> et 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AF1D84">
              <w:rPr>
                <w:b/>
                <w:sz w:val="20"/>
                <w:szCs w:val="20"/>
              </w:rPr>
              <w:t>6</w:t>
            </w:r>
            <w:r>
              <w:rPr>
                <w:b/>
                <w:sz w:val="20"/>
                <w:szCs w:val="20"/>
              </w:rPr>
              <w:t>2</w:t>
            </w:r>
            <w:r w:rsidR="00AF1D84">
              <w:rPr>
                <w:b/>
                <w:sz w:val="20"/>
                <w:szCs w:val="20"/>
              </w:rPr>
              <w:t>4</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A</w:t>
            </w:r>
            <w:r w:rsidR="00AF1D84">
              <w:rPr>
                <w:b/>
                <w:sz w:val="20"/>
                <w:szCs w:val="20"/>
              </w:rPr>
              <w:t>l</w:t>
            </w:r>
            <w:r>
              <w:rPr>
                <w:b/>
                <w:sz w:val="20"/>
                <w:szCs w:val="20"/>
              </w:rPr>
              <w:t>b</w:t>
            </w:r>
            <w:r w:rsidR="00AF1D84">
              <w:rPr>
                <w:b/>
                <w:sz w:val="20"/>
                <w:szCs w:val="20"/>
              </w:rPr>
              <w:t>er</w:t>
            </w:r>
            <w:r>
              <w:rPr>
                <w:b/>
                <w:sz w:val="20"/>
                <w:szCs w:val="20"/>
              </w:rPr>
              <w:t>ta</w:t>
            </w:r>
            <w:r w:rsidR="00AF1D84">
              <w:rPr>
                <w:b/>
                <w:sz w:val="20"/>
                <w:szCs w:val="20"/>
              </w:rPr>
              <w:t xml:space="preserve"> Uti</w:t>
            </w:r>
            <w:r>
              <w:rPr>
                <w:b/>
                <w:sz w:val="20"/>
                <w:szCs w:val="20"/>
              </w:rPr>
              <w:t>lit</w:t>
            </w:r>
            <w:r w:rsidR="00AF1D84">
              <w:rPr>
                <w:b/>
                <w:sz w:val="20"/>
                <w:szCs w:val="20"/>
              </w:rPr>
              <w:t xml:space="preserve">ies </w:t>
            </w:r>
            <w:r>
              <w:rPr>
                <w:b/>
                <w:sz w:val="20"/>
                <w:szCs w:val="20"/>
              </w:rPr>
              <w:t>Commi</w:t>
            </w:r>
            <w:r w:rsidR="00AF1D84">
              <w:rPr>
                <w:b/>
                <w:sz w:val="20"/>
                <w:szCs w:val="20"/>
              </w:rPr>
              <w:t>ssion</w:t>
            </w:r>
            <w:r>
              <w:rPr>
                <w:b/>
                <w:sz w:val="20"/>
                <w:szCs w:val="20"/>
              </w:rPr>
              <w:t xml:space="preserve"> </w:t>
            </w:r>
            <w:r w:rsidRPr="003B3977">
              <w:rPr>
                <w:b/>
                <w:sz w:val="20"/>
                <w:szCs w:val="20"/>
              </w:rPr>
              <w:t>et</w:t>
            </w:r>
            <w:r>
              <w:rPr>
                <w:b/>
                <w:sz w:val="20"/>
                <w:szCs w:val="20"/>
              </w:rPr>
              <w:t xml:space="preserve"> al.</w:t>
            </w:r>
            <w:r w:rsidRPr="003B3977">
              <w:rPr>
                <w:b/>
                <w:sz w:val="20"/>
                <w:szCs w:val="20"/>
              </w:rPr>
              <w:t xml:space="preserve"> (</w:t>
            </w:r>
            <w:r w:rsidR="00AF1D84">
              <w:rPr>
                <w:b/>
                <w:sz w:val="20"/>
                <w:szCs w:val="20"/>
              </w:rPr>
              <w:t>Alta</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142ACF" w:rsidP="005F1ED8">
            <w:pPr>
              <w:rPr>
                <w:sz w:val="20"/>
                <w:szCs w:val="20"/>
                <w:lang w:val="fr-CA"/>
              </w:rPr>
            </w:pPr>
            <w:r>
              <w:rPr>
                <w:sz w:val="20"/>
                <w:szCs w:val="20"/>
                <w:lang w:val="fr-CA"/>
              </w:rPr>
              <w:pict>
                <v:rect id="_x0000_i104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42AC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71519B" w:rsidRDefault="000C7861" w:rsidP="007C47C2">
      <w:pPr>
        <w:widowControl w:val="0"/>
        <w:rPr>
          <w:sz w:val="20"/>
          <w:szCs w:val="20"/>
        </w:rPr>
      </w:pPr>
      <w:r w:rsidRPr="0071519B">
        <w:rPr>
          <w:sz w:val="20"/>
          <w:szCs w:val="20"/>
        </w:rPr>
        <w:t>16</w:t>
      </w:r>
      <w:r w:rsidR="007C47C2" w:rsidRPr="0071519B">
        <w:rPr>
          <w:sz w:val="20"/>
          <w:szCs w:val="20"/>
        </w:rPr>
        <w:t>.0</w:t>
      </w:r>
      <w:r w:rsidRPr="0071519B">
        <w:rPr>
          <w:sz w:val="20"/>
          <w:szCs w:val="20"/>
        </w:rPr>
        <w:t>5</w:t>
      </w:r>
      <w:r w:rsidR="007C47C2" w:rsidRPr="0071519B">
        <w:rPr>
          <w:sz w:val="20"/>
          <w:szCs w:val="20"/>
        </w:rPr>
        <w:t>.2014</w:t>
      </w:r>
    </w:p>
    <w:p w:rsidR="007C47C2" w:rsidRPr="0071519B" w:rsidRDefault="007C47C2" w:rsidP="007C47C2">
      <w:pPr>
        <w:widowControl w:val="0"/>
        <w:rPr>
          <w:sz w:val="20"/>
          <w:szCs w:val="20"/>
        </w:rPr>
      </w:pPr>
    </w:p>
    <w:p w:rsidR="000C7861" w:rsidRPr="006D2F12" w:rsidRDefault="000C7861" w:rsidP="000C7861">
      <w:pPr>
        <w:widowControl w:val="0"/>
        <w:ind w:left="720" w:hanging="720"/>
        <w:rPr>
          <w:sz w:val="20"/>
          <w:szCs w:val="20"/>
          <w:u w:val="single"/>
        </w:rPr>
      </w:pPr>
      <w:r w:rsidRPr="006D2F12">
        <w:rPr>
          <w:sz w:val="20"/>
          <w:szCs w:val="20"/>
        </w:rPr>
        <w:t xml:space="preserve">Coram: </w:t>
      </w:r>
      <w:r w:rsidRPr="006D2F12">
        <w:rPr>
          <w:sz w:val="20"/>
          <w:szCs w:val="20"/>
        </w:rPr>
        <w:tab/>
      </w:r>
      <w:r w:rsidRPr="006D2F12">
        <w:rPr>
          <w:sz w:val="20"/>
          <w:szCs w:val="20"/>
          <w:u w:val="single"/>
        </w:rPr>
        <w:t>McLachlin C.J. and LeBel, Abella, Rothstein, Cromwell, Karakatsanis and Wagner JJ.</w:t>
      </w:r>
    </w:p>
    <w:p w:rsidR="007C47C2" w:rsidRPr="0071519B"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7587F" w:rsidTr="000C7861">
        <w:tc>
          <w:tcPr>
            <w:tcW w:w="4380" w:type="dxa"/>
            <w:tcMar>
              <w:left w:w="0" w:type="dxa"/>
              <w:right w:w="0" w:type="dxa"/>
            </w:tcMar>
          </w:tcPr>
          <w:p w:rsidR="000C7861" w:rsidRDefault="000C7861" w:rsidP="000C7861">
            <w:pPr>
              <w:widowControl w:val="0"/>
              <w:jc w:val="both"/>
              <w:rPr>
                <w:b/>
                <w:sz w:val="20"/>
                <w:szCs w:val="20"/>
              </w:rPr>
            </w:pPr>
            <w:r w:rsidRPr="006D2F12">
              <w:rPr>
                <w:b/>
                <w:iCs/>
                <w:sz w:val="20"/>
                <w:szCs w:val="20"/>
              </w:rPr>
              <w:t>Saskatchewan Federation of Labour (in its own right and on behalf of the unions and workers in the Province of Saskatchewan) et al.</w:t>
            </w:r>
            <w:r w:rsidRPr="006D2F12">
              <w:rPr>
                <w:b/>
                <w:sz w:val="20"/>
                <w:szCs w:val="20"/>
              </w:rPr>
              <w:t xml:space="preserve"> </w:t>
            </w:r>
          </w:p>
          <w:p w:rsidR="000C7861" w:rsidRDefault="000C7861" w:rsidP="000C7861">
            <w:pPr>
              <w:widowControl w:val="0"/>
              <w:jc w:val="both"/>
              <w:rPr>
                <w:b/>
                <w:sz w:val="20"/>
                <w:szCs w:val="20"/>
              </w:rPr>
            </w:pPr>
          </w:p>
          <w:p w:rsidR="000C7861" w:rsidRDefault="000C7861" w:rsidP="000C7861">
            <w:pPr>
              <w:widowControl w:val="0"/>
              <w:jc w:val="both"/>
              <w:rPr>
                <w:b/>
                <w:iCs/>
                <w:sz w:val="20"/>
                <w:szCs w:val="20"/>
              </w:rPr>
            </w:pPr>
            <w:r>
              <w:rPr>
                <w:b/>
                <w:iCs/>
                <w:sz w:val="20"/>
                <w:szCs w:val="20"/>
              </w:rPr>
              <w:tab/>
            </w:r>
            <w:r w:rsidRPr="006D2F12">
              <w:rPr>
                <w:b/>
                <w:iCs/>
                <w:sz w:val="20"/>
                <w:szCs w:val="20"/>
              </w:rPr>
              <w:t xml:space="preserve">v. </w:t>
            </w:r>
            <w:r w:rsidRPr="006D2F12">
              <w:rPr>
                <w:sz w:val="20"/>
                <w:szCs w:val="20"/>
              </w:rPr>
              <w:t>(</w:t>
            </w:r>
            <w:hyperlink r:id="rId46" w:history="1">
              <w:r w:rsidRPr="006D2F12">
                <w:rPr>
                  <w:rStyle w:val="Hyperlink"/>
                  <w:sz w:val="20"/>
                  <w:szCs w:val="20"/>
                </w:rPr>
                <w:t>35423</w:t>
              </w:r>
            </w:hyperlink>
            <w:r w:rsidRPr="006D2F12">
              <w:rPr>
                <w:sz w:val="20"/>
                <w:szCs w:val="20"/>
              </w:rPr>
              <w:t>)</w:t>
            </w:r>
          </w:p>
          <w:p w:rsidR="000C7861" w:rsidRDefault="000C7861" w:rsidP="000C7861">
            <w:pPr>
              <w:widowControl w:val="0"/>
              <w:jc w:val="both"/>
              <w:rPr>
                <w:b/>
                <w:iCs/>
                <w:sz w:val="20"/>
                <w:szCs w:val="20"/>
              </w:rPr>
            </w:pPr>
          </w:p>
          <w:p w:rsidR="007C47C2" w:rsidRPr="00EA0658" w:rsidRDefault="000C7861" w:rsidP="000C7861">
            <w:pPr>
              <w:widowControl w:val="0"/>
              <w:jc w:val="both"/>
              <w:rPr>
                <w:sz w:val="20"/>
                <w:szCs w:val="20"/>
                <w:lang w:val="fr-CA"/>
              </w:rPr>
            </w:pPr>
            <w:r w:rsidRPr="006D2F12">
              <w:rPr>
                <w:b/>
                <w:iCs/>
                <w:sz w:val="20"/>
                <w:szCs w:val="20"/>
              </w:rPr>
              <w:t>Her Majesty the Queen, in Right of the Province of Saskatchewan</w:t>
            </w:r>
            <w:r w:rsidRPr="006D2F12">
              <w:rPr>
                <w:b/>
                <w:i/>
                <w:iCs/>
                <w:sz w:val="20"/>
                <w:szCs w:val="20"/>
              </w:rPr>
              <w:t xml:space="preserve"> </w:t>
            </w:r>
            <w:r w:rsidRPr="006D2F12">
              <w:rPr>
                <w:b/>
                <w:sz w:val="20"/>
                <w:szCs w:val="20"/>
              </w:rPr>
              <w:t>(Sask.) (Civil) (By Leave)</w:t>
            </w:r>
            <w:r w:rsidRPr="006D2F12">
              <w:rPr>
                <w:sz w:val="20"/>
                <w:szCs w:val="20"/>
              </w:rPr>
              <w:t xml:space="preserve"> </w:t>
            </w:r>
            <w:r w:rsidR="007C47C2" w:rsidRPr="00E75133">
              <w:rPr>
                <w:sz w:val="20"/>
                <w:szCs w:val="20"/>
                <w:lang w:val="fr-CA"/>
              </w:rPr>
              <w:t xml:space="preserve"> </w:t>
            </w:r>
          </w:p>
        </w:tc>
        <w:tc>
          <w:tcPr>
            <w:tcW w:w="720" w:type="dxa"/>
            <w:tcMar>
              <w:left w:w="0" w:type="dxa"/>
              <w:right w:w="0" w:type="dxa"/>
            </w:tcMar>
          </w:tcPr>
          <w:p w:rsidR="007C47C2" w:rsidRPr="00EA0658" w:rsidRDefault="007C47C2" w:rsidP="000C7861">
            <w:pPr>
              <w:widowControl w:val="0"/>
              <w:jc w:val="center"/>
              <w:rPr>
                <w:sz w:val="20"/>
                <w:szCs w:val="20"/>
                <w:lang w:val="fr-CA"/>
              </w:rPr>
            </w:pPr>
          </w:p>
        </w:tc>
        <w:tc>
          <w:tcPr>
            <w:tcW w:w="4380" w:type="dxa"/>
            <w:tcMar>
              <w:left w:w="0" w:type="dxa"/>
              <w:right w:w="0" w:type="dxa"/>
            </w:tcMar>
          </w:tcPr>
          <w:p w:rsidR="0077587F" w:rsidRDefault="0077587F" w:rsidP="0077587F">
            <w:pPr>
              <w:jc w:val="both"/>
              <w:rPr>
                <w:sz w:val="20"/>
                <w:szCs w:val="20"/>
              </w:rPr>
            </w:pPr>
            <w:r w:rsidRPr="00C13C5D">
              <w:rPr>
                <w:sz w:val="20"/>
                <w:szCs w:val="20"/>
              </w:rPr>
              <w:t>Rick Engel, Q.C.</w:t>
            </w:r>
            <w:r>
              <w:rPr>
                <w:sz w:val="20"/>
                <w:szCs w:val="20"/>
              </w:rPr>
              <w:t xml:space="preserve">, </w:t>
            </w:r>
            <w:r w:rsidRPr="00C13C5D">
              <w:rPr>
                <w:sz w:val="20"/>
                <w:szCs w:val="20"/>
              </w:rPr>
              <w:t>Craig D. Bavis</w:t>
            </w:r>
            <w:r>
              <w:rPr>
                <w:sz w:val="20"/>
                <w:szCs w:val="20"/>
              </w:rPr>
              <w:t xml:space="preserve"> and </w:t>
            </w:r>
            <w:r w:rsidRPr="00C13C5D">
              <w:rPr>
                <w:sz w:val="20"/>
                <w:szCs w:val="20"/>
              </w:rPr>
              <w:t>Peter Barnacle</w:t>
            </w:r>
            <w:r>
              <w:rPr>
                <w:sz w:val="20"/>
                <w:szCs w:val="20"/>
              </w:rPr>
              <w:t xml:space="preserve"> f</w:t>
            </w:r>
            <w:r w:rsidRPr="00C13C5D">
              <w:rPr>
                <w:sz w:val="20"/>
                <w:szCs w:val="20"/>
              </w:rPr>
              <w:t xml:space="preserve">or the </w:t>
            </w:r>
            <w:r>
              <w:rPr>
                <w:sz w:val="20"/>
                <w:szCs w:val="20"/>
              </w:rPr>
              <w:t>a</w:t>
            </w:r>
            <w:r w:rsidRPr="00C13C5D">
              <w:rPr>
                <w:sz w:val="20"/>
                <w:szCs w:val="20"/>
              </w:rPr>
              <w:t>ppellants</w:t>
            </w:r>
            <w:r>
              <w:rPr>
                <w:sz w:val="20"/>
                <w:szCs w:val="20"/>
              </w:rPr>
              <w:t>.</w:t>
            </w:r>
          </w:p>
          <w:p w:rsidR="0077587F" w:rsidRDefault="0077587F" w:rsidP="0077587F">
            <w:pPr>
              <w:jc w:val="both"/>
              <w:rPr>
                <w:sz w:val="20"/>
                <w:szCs w:val="20"/>
              </w:rPr>
            </w:pPr>
          </w:p>
          <w:p w:rsidR="0077587F" w:rsidRPr="00C13C5D" w:rsidRDefault="0077587F" w:rsidP="0077587F">
            <w:pPr>
              <w:jc w:val="both"/>
              <w:rPr>
                <w:sz w:val="20"/>
                <w:szCs w:val="20"/>
                <w:lang w:val="en-US"/>
              </w:rPr>
            </w:pPr>
            <w:r w:rsidRPr="00C13C5D">
              <w:rPr>
                <w:sz w:val="20"/>
                <w:szCs w:val="20"/>
                <w:lang w:val="en-US"/>
              </w:rPr>
              <w:t>Joseph J. Arvay, Q.C.</w:t>
            </w:r>
            <w:r>
              <w:rPr>
                <w:sz w:val="20"/>
                <w:szCs w:val="20"/>
                <w:lang w:val="en-US"/>
              </w:rPr>
              <w:t xml:space="preserve">, </w:t>
            </w:r>
            <w:r w:rsidRPr="00C13C5D">
              <w:rPr>
                <w:sz w:val="20"/>
                <w:szCs w:val="20"/>
                <w:lang w:val="en-US"/>
              </w:rPr>
              <w:t>Catherine J. Boies Parker</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nterveners</w:t>
            </w:r>
            <w:r>
              <w:rPr>
                <w:sz w:val="20"/>
                <w:szCs w:val="20"/>
                <w:lang w:val="en-US"/>
              </w:rPr>
              <w:t xml:space="preserve"> </w:t>
            </w:r>
            <w:r w:rsidRPr="00C13C5D">
              <w:rPr>
                <w:sz w:val="20"/>
                <w:szCs w:val="20"/>
                <w:lang w:val="en-US"/>
              </w:rPr>
              <w:t>Britis</w:t>
            </w:r>
            <w:r>
              <w:rPr>
                <w:sz w:val="20"/>
                <w:szCs w:val="20"/>
                <w:lang w:val="en-US"/>
              </w:rPr>
              <w:t>h Columbia Teachers’ Federation</w:t>
            </w:r>
            <w:r w:rsidRPr="00C13C5D">
              <w:rPr>
                <w:sz w:val="20"/>
                <w:szCs w:val="20"/>
                <w:lang w:val="en-US"/>
              </w:rPr>
              <w:t xml:space="preserve"> et al.</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Gary L. Bainbridge</w:t>
            </w:r>
            <w:r>
              <w:rPr>
                <w:sz w:val="20"/>
                <w:szCs w:val="20"/>
                <w:lang w:val="en-US"/>
              </w:rPr>
              <w:t xml:space="preserve"> and </w:t>
            </w:r>
            <w:r w:rsidRPr="00C13C5D">
              <w:rPr>
                <w:sz w:val="20"/>
                <w:szCs w:val="20"/>
                <w:lang w:val="en-US"/>
              </w:rPr>
              <w:t>Marcus R. Davies</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Saskatchewan Union of Nurses</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fr-CA"/>
              </w:rPr>
            </w:pPr>
            <w:r w:rsidRPr="00C13C5D">
              <w:rPr>
                <w:sz w:val="20"/>
                <w:szCs w:val="20"/>
                <w:lang w:val="fr-CA"/>
              </w:rPr>
              <w:t>Éric Lévesque</w:t>
            </w:r>
            <w:r>
              <w:rPr>
                <w:sz w:val="20"/>
                <w:szCs w:val="20"/>
                <w:lang w:val="fr-CA"/>
              </w:rPr>
              <w:t xml:space="preserve"> et </w:t>
            </w:r>
            <w:r w:rsidRPr="00C13C5D">
              <w:rPr>
                <w:sz w:val="20"/>
                <w:szCs w:val="20"/>
                <w:lang w:val="fr-CA"/>
              </w:rPr>
              <w:t>Benoit Laurin</w:t>
            </w:r>
            <w:r>
              <w:rPr>
                <w:sz w:val="20"/>
                <w:szCs w:val="20"/>
                <w:lang w:val="fr-CA"/>
              </w:rPr>
              <w:t xml:space="preserve"> p</w:t>
            </w:r>
            <w:r w:rsidRPr="00C13C5D">
              <w:rPr>
                <w:sz w:val="20"/>
                <w:szCs w:val="20"/>
                <w:lang w:val="fr-CA"/>
              </w:rPr>
              <w:t>our l’intervenante</w:t>
            </w:r>
            <w:r>
              <w:rPr>
                <w:sz w:val="20"/>
                <w:szCs w:val="20"/>
                <w:lang w:val="fr-CA"/>
              </w:rPr>
              <w:t xml:space="preserve"> </w:t>
            </w:r>
            <w:r w:rsidRPr="00C13C5D">
              <w:rPr>
                <w:sz w:val="20"/>
                <w:szCs w:val="20"/>
                <w:lang w:val="fr-CA"/>
              </w:rPr>
              <w:t>Confédération des syndicats nationaux</w:t>
            </w:r>
            <w:r>
              <w:rPr>
                <w:sz w:val="20"/>
                <w:szCs w:val="20"/>
                <w:lang w:val="fr-CA"/>
              </w:rPr>
              <w:t>.</w:t>
            </w:r>
          </w:p>
          <w:p w:rsidR="0077587F" w:rsidRPr="00C13C5D" w:rsidRDefault="0077587F" w:rsidP="0077587F">
            <w:pPr>
              <w:jc w:val="both"/>
              <w:rPr>
                <w:sz w:val="20"/>
                <w:szCs w:val="20"/>
                <w:lang w:val="fr-CA"/>
              </w:rPr>
            </w:pPr>
          </w:p>
          <w:p w:rsidR="0077587F" w:rsidRPr="00C13C5D" w:rsidRDefault="0077587F" w:rsidP="0077587F">
            <w:pPr>
              <w:jc w:val="both"/>
              <w:rPr>
                <w:sz w:val="20"/>
                <w:szCs w:val="20"/>
                <w:lang w:val="en-US"/>
              </w:rPr>
            </w:pPr>
            <w:r w:rsidRPr="00C13C5D">
              <w:rPr>
                <w:sz w:val="20"/>
                <w:szCs w:val="20"/>
                <w:lang w:val="en-US"/>
              </w:rPr>
              <w:t>Paul Champ</w:t>
            </w:r>
            <w:r>
              <w:rPr>
                <w:sz w:val="20"/>
                <w:szCs w:val="20"/>
                <w:lang w:val="en-US"/>
              </w:rPr>
              <w:t xml:space="preserve"> and </w:t>
            </w:r>
            <w:r w:rsidRPr="00C13C5D">
              <w:rPr>
                <w:sz w:val="20"/>
                <w:szCs w:val="20"/>
                <w:lang w:val="en-US"/>
              </w:rPr>
              <w:t>Bijon Roy</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National Union of Public and General Employees</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Patrick G. Nugent</w:t>
            </w:r>
            <w:r>
              <w:rPr>
                <w:sz w:val="20"/>
                <w:szCs w:val="20"/>
                <w:lang w:val="en-US"/>
              </w:rPr>
              <w:t xml:space="preserve"> and </w:t>
            </w:r>
            <w:r w:rsidRPr="00C13C5D">
              <w:rPr>
                <w:sz w:val="20"/>
                <w:szCs w:val="20"/>
                <w:lang w:val="en-US"/>
              </w:rPr>
              <w:t>Tamara Friesen</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Alberta Union of Provincial Employees</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Andrew Raven</w:t>
            </w:r>
            <w:r>
              <w:rPr>
                <w:sz w:val="20"/>
                <w:szCs w:val="20"/>
                <w:lang w:val="en-US"/>
              </w:rPr>
              <w:t xml:space="preserve"> and </w:t>
            </w:r>
            <w:r w:rsidRPr="00C13C5D">
              <w:rPr>
                <w:sz w:val="20"/>
                <w:szCs w:val="20"/>
                <w:lang w:val="en-US"/>
              </w:rPr>
              <w:t>Andrew Astritis</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Public Service Alliance of Canada</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Lindsay M. Lyster</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British Columbia Civil Liberties Association</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Paul J.J. Cavalluzzo</w:t>
            </w:r>
            <w:r>
              <w:rPr>
                <w:sz w:val="20"/>
                <w:szCs w:val="20"/>
                <w:lang w:val="en-US"/>
              </w:rPr>
              <w:t xml:space="preserve"> and </w:t>
            </w:r>
            <w:r w:rsidRPr="00C13C5D">
              <w:rPr>
                <w:sz w:val="20"/>
                <w:szCs w:val="20"/>
                <w:lang w:val="en-US"/>
              </w:rPr>
              <w:t>Adrienne Telford</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nterveners</w:t>
            </w:r>
            <w:r>
              <w:rPr>
                <w:sz w:val="20"/>
                <w:szCs w:val="20"/>
                <w:lang w:val="en-US"/>
              </w:rPr>
              <w:t xml:space="preserve"> </w:t>
            </w:r>
            <w:r w:rsidRPr="00C13C5D">
              <w:rPr>
                <w:sz w:val="20"/>
                <w:szCs w:val="20"/>
                <w:lang w:val="en-US"/>
              </w:rPr>
              <w:t>Canadian Union of Postal Workers et al.</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 xml:space="preserve">Written submission only </w:t>
            </w:r>
            <w:r>
              <w:rPr>
                <w:sz w:val="20"/>
                <w:szCs w:val="20"/>
                <w:lang w:val="en-US"/>
              </w:rPr>
              <w:t xml:space="preserve">by </w:t>
            </w:r>
            <w:r w:rsidRPr="00C13C5D">
              <w:rPr>
                <w:sz w:val="20"/>
                <w:szCs w:val="20"/>
                <w:lang w:val="en-US"/>
              </w:rPr>
              <w:t>Steve Waller</w:t>
            </w:r>
            <w:r>
              <w:rPr>
                <w:sz w:val="20"/>
                <w:szCs w:val="20"/>
                <w:lang w:val="en-US"/>
              </w:rPr>
              <w:t xml:space="preserve"> and </w:t>
            </w:r>
            <w:r w:rsidRPr="00C13C5D">
              <w:rPr>
                <w:sz w:val="20"/>
                <w:szCs w:val="20"/>
                <w:lang w:val="en-US"/>
              </w:rPr>
              <w:t>Christopher Rootham</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Air Canada Pilots’ Association</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Written submission only</w:t>
            </w:r>
            <w:r>
              <w:rPr>
                <w:sz w:val="20"/>
                <w:szCs w:val="20"/>
                <w:lang w:val="en-US"/>
              </w:rPr>
              <w:t xml:space="preserve"> by </w:t>
            </w:r>
            <w:r w:rsidRPr="00C13C5D">
              <w:rPr>
                <w:sz w:val="20"/>
                <w:szCs w:val="20"/>
                <w:lang w:val="en-US"/>
              </w:rPr>
              <w:t>Drew S. Plaxton</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S</w:t>
            </w:r>
            <w:r w:rsidRPr="00C13C5D">
              <w:rPr>
                <w:sz w:val="20"/>
                <w:szCs w:val="20"/>
                <w:lang w:val="en-US"/>
              </w:rPr>
              <w:t>eiu-West</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Written submission only</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nterveners</w:t>
            </w:r>
            <w:r>
              <w:rPr>
                <w:sz w:val="20"/>
                <w:szCs w:val="20"/>
                <w:lang w:val="en-US"/>
              </w:rPr>
              <w:t xml:space="preserve"> </w:t>
            </w:r>
            <w:r w:rsidRPr="00C13C5D">
              <w:rPr>
                <w:sz w:val="20"/>
                <w:szCs w:val="20"/>
                <w:lang w:val="en-US"/>
              </w:rPr>
              <w:t>United Nurses of Alberta et al.</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 xml:space="preserve">Written submission only </w:t>
            </w:r>
            <w:r>
              <w:rPr>
                <w:sz w:val="20"/>
                <w:szCs w:val="20"/>
                <w:lang w:val="en-US"/>
              </w:rPr>
              <w:t>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Professional Institute of the</w:t>
            </w:r>
            <w:r>
              <w:rPr>
                <w:sz w:val="20"/>
                <w:szCs w:val="20"/>
                <w:lang w:val="en-US"/>
              </w:rPr>
              <w:t xml:space="preserve"> </w:t>
            </w:r>
            <w:r w:rsidRPr="00C13C5D">
              <w:rPr>
                <w:sz w:val="20"/>
                <w:szCs w:val="20"/>
                <w:lang w:val="en-US"/>
              </w:rPr>
              <w:t>Public Service of Canada</w:t>
            </w:r>
            <w:r>
              <w:rPr>
                <w:sz w:val="20"/>
                <w:szCs w:val="20"/>
                <w:lang w:val="en-US"/>
              </w:rPr>
              <w:t>.</w:t>
            </w:r>
          </w:p>
          <w:p w:rsidR="0077587F" w:rsidRPr="00C13C5D" w:rsidRDefault="0077587F" w:rsidP="0077587F">
            <w:pPr>
              <w:jc w:val="both"/>
              <w:rPr>
                <w:sz w:val="20"/>
                <w:szCs w:val="20"/>
              </w:rPr>
            </w:pPr>
          </w:p>
          <w:p w:rsidR="0077587F" w:rsidRPr="00C13C5D" w:rsidRDefault="0077587F" w:rsidP="0077587F">
            <w:pPr>
              <w:jc w:val="both"/>
              <w:rPr>
                <w:sz w:val="20"/>
                <w:szCs w:val="20"/>
              </w:rPr>
            </w:pPr>
            <w:r w:rsidRPr="00C13C5D">
              <w:rPr>
                <w:sz w:val="20"/>
                <w:szCs w:val="20"/>
                <w:lang w:val="en-US"/>
              </w:rPr>
              <w:t xml:space="preserve">Written submission only </w:t>
            </w:r>
            <w:r>
              <w:rPr>
                <w:sz w:val="20"/>
                <w:szCs w:val="20"/>
                <w:lang w:val="en-US"/>
              </w:rPr>
              <w:t>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Canadian Labour Congress</w:t>
            </w:r>
            <w:r>
              <w:rPr>
                <w:sz w:val="20"/>
                <w:szCs w:val="20"/>
                <w:lang w:val="en-US"/>
              </w:rPr>
              <w:t>.</w:t>
            </w:r>
          </w:p>
          <w:p w:rsidR="0077587F" w:rsidRPr="00C13C5D" w:rsidRDefault="0077587F" w:rsidP="0077587F">
            <w:pPr>
              <w:jc w:val="both"/>
              <w:rPr>
                <w:sz w:val="20"/>
                <w:szCs w:val="20"/>
                <w:lang w:val="en-US"/>
              </w:rPr>
            </w:pPr>
          </w:p>
          <w:p w:rsidR="0077587F" w:rsidRDefault="0077587F" w:rsidP="0077587F">
            <w:pPr>
              <w:jc w:val="both"/>
              <w:rPr>
                <w:sz w:val="20"/>
                <w:szCs w:val="20"/>
              </w:rPr>
            </w:pPr>
            <w:r w:rsidRPr="00C13C5D">
              <w:rPr>
                <w:sz w:val="20"/>
                <w:szCs w:val="20"/>
              </w:rPr>
              <w:t>Graeme G. Mitchell, Q.C.</w:t>
            </w:r>
            <w:r>
              <w:rPr>
                <w:sz w:val="20"/>
                <w:szCs w:val="20"/>
              </w:rPr>
              <w:t xml:space="preserve">, </w:t>
            </w:r>
            <w:r w:rsidRPr="00C13C5D">
              <w:rPr>
                <w:sz w:val="20"/>
                <w:szCs w:val="20"/>
              </w:rPr>
              <w:t>Barbara C. Mysko</w:t>
            </w:r>
            <w:r>
              <w:rPr>
                <w:sz w:val="20"/>
                <w:szCs w:val="20"/>
              </w:rPr>
              <w:t xml:space="preserve"> and </w:t>
            </w:r>
            <w:r w:rsidRPr="00C13C5D">
              <w:rPr>
                <w:sz w:val="20"/>
                <w:szCs w:val="20"/>
              </w:rPr>
              <w:t>Katherine M. Ro</w:t>
            </w:r>
            <w:r>
              <w:rPr>
                <w:sz w:val="20"/>
                <w:szCs w:val="20"/>
              </w:rPr>
              <w:t>y f</w:t>
            </w:r>
            <w:r w:rsidRPr="00C13C5D">
              <w:rPr>
                <w:sz w:val="20"/>
                <w:szCs w:val="20"/>
              </w:rPr>
              <w:t xml:space="preserve">or the </w:t>
            </w:r>
            <w:r>
              <w:rPr>
                <w:sz w:val="20"/>
                <w:szCs w:val="20"/>
              </w:rPr>
              <w:t>r</w:t>
            </w:r>
            <w:r w:rsidRPr="00C13C5D">
              <w:rPr>
                <w:sz w:val="20"/>
                <w:szCs w:val="20"/>
              </w:rPr>
              <w:t>espondent</w:t>
            </w:r>
            <w:r>
              <w:rPr>
                <w:sz w:val="20"/>
                <w:szCs w:val="20"/>
              </w:rPr>
              <w:t>.</w:t>
            </w:r>
          </w:p>
          <w:p w:rsidR="0077587F" w:rsidRDefault="0077587F" w:rsidP="0077587F">
            <w:pPr>
              <w:jc w:val="both"/>
              <w:rPr>
                <w:sz w:val="20"/>
                <w:szCs w:val="20"/>
              </w:rPr>
            </w:pPr>
          </w:p>
          <w:p w:rsidR="0077587F" w:rsidRPr="00C13C5D" w:rsidRDefault="0077587F" w:rsidP="0077587F">
            <w:pPr>
              <w:jc w:val="both"/>
              <w:rPr>
                <w:sz w:val="20"/>
                <w:szCs w:val="20"/>
              </w:rPr>
            </w:pPr>
            <w:r w:rsidRPr="00C13C5D">
              <w:rPr>
                <w:sz w:val="20"/>
                <w:szCs w:val="20"/>
              </w:rPr>
              <w:t>Mark R. Kindrachuk, Q.C.</w:t>
            </w:r>
            <w:r>
              <w:rPr>
                <w:sz w:val="20"/>
                <w:szCs w:val="20"/>
              </w:rPr>
              <w:t xml:space="preserve"> and </w:t>
            </w:r>
            <w:r w:rsidRPr="00C13C5D">
              <w:rPr>
                <w:sz w:val="20"/>
                <w:szCs w:val="20"/>
              </w:rPr>
              <w:t>Sean Gaudet</w:t>
            </w:r>
            <w:r>
              <w:rPr>
                <w:sz w:val="20"/>
                <w:szCs w:val="20"/>
              </w:rPr>
              <w:t xml:space="preserve"> f</w:t>
            </w:r>
            <w:r w:rsidRPr="00C13C5D">
              <w:rPr>
                <w:sz w:val="20"/>
                <w:szCs w:val="20"/>
              </w:rPr>
              <w:t xml:space="preserve">or the </w:t>
            </w:r>
            <w:r>
              <w:rPr>
                <w:sz w:val="20"/>
                <w:szCs w:val="20"/>
              </w:rPr>
              <w:t>i</w:t>
            </w:r>
            <w:r w:rsidRPr="00C13C5D">
              <w:rPr>
                <w:sz w:val="20"/>
                <w:szCs w:val="20"/>
              </w:rPr>
              <w:t>ntervener</w:t>
            </w:r>
            <w:r>
              <w:rPr>
                <w:sz w:val="20"/>
                <w:szCs w:val="20"/>
              </w:rPr>
              <w:t xml:space="preserve"> </w:t>
            </w:r>
            <w:r w:rsidRPr="00C13C5D">
              <w:rPr>
                <w:sz w:val="20"/>
                <w:szCs w:val="20"/>
              </w:rPr>
              <w:t>Attorney General of Canada</w:t>
            </w:r>
            <w:r>
              <w:rPr>
                <w:sz w:val="20"/>
                <w:szCs w:val="20"/>
              </w:rPr>
              <w:t>.</w:t>
            </w:r>
          </w:p>
          <w:p w:rsidR="0077587F" w:rsidRPr="00C13C5D" w:rsidRDefault="0077587F" w:rsidP="0077587F">
            <w:pPr>
              <w:jc w:val="both"/>
              <w:rPr>
                <w:sz w:val="20"/>
                <w:szCs w:val="20"/>
              </w:rPr>
            </w:pPr>
          </w:p>
          <w:p w:rsidR="0077587F" w:rsidRPr="00C13C5D" w:rsidRDefault="0077587F" w:rsidP="0077587F">
            <w:pPr>
              <w:jc w:val="both"/>
              <w:rPr>
                <w:sz w:val="20"/>
                <w:szCs w:val="20"/>
              </w:rPr>
            </w:pPr>
            <w:r w:rsidRPr="00C13C5D">
              <w:rPr>
                <w:sz w:val="20"/>
                <w:szCs w:val="20"/>
              </w:rPr>
              <w:t>Robert E. Charney</w:t>
            </w:r>
            <w:r>
              <w:rPr>
                <w:sz w:val="20"/>
                <w:szCs w:val="20"/>
              </w:rPr>
              <w:t xml:space="preserve"> and </w:t>
            </w:r>
            <w:r w:rsidRPr="00C13C5D">
              <w:rPr>
                <w:sz w:val="20"/>
                <w:szCs w:val="20"/>
              </w:rPr>
              <w:t>Sarah Wright</w:t>
            </w:r>
            <w:r>
              <w:rPr>
                <w:sz w:val="20"/>
                <w:szCs w:val="20"/>
              </w:rPr>
              <w:t xml:space="preserve"> f</w:t>
            </w:r>
            <w:r w:rsidRPr="00C13C5D">
              <w:rPr>
                <w:sz w:val="20"/>
                <w:szCs w:val="20"/>
              </w:rPr>
              <w:t xml:space="preserve">or the </w:t>
            </w:r>
            <w:r>
              <w:rPr>
                <w:sz w:val="20"/>
                <w:szCs w:val="20"/>
              </w:rPr>
              <w:t>i</w:t>
            </w:r>
            <w:r w:rsidRPr="00C13C5D">
              <w:rPr>
                <w:sz w:val="20"/>
                <w:szCs w:val="20"/>
              </w:rPr>
              <w:t>ntervener</w:t>
            </w:r>
            <w:r>
              <w:rPr>
                <w:sz w:val="20"/>
                <w:szCs w:val="20"/>
              </w:rPr>
              <w:t xml:space="preserve"> </w:t>
            </w:r>
            <w:r w:rsidRPr="00C13C5D">
              <w:rPr>
                <w:sz w:val="20"/>
                <w:szCs w:val="20"/>
              </w:rPr>
              <w:t>Attorney General of Ontario</w:t>
            </w:r>
            <w:r>
              <w:rPr>
                <w:sz w:val="20"/>
                <w:szCs w:val="20"/>
              </w:rPr>
              <w:t>.</w:t>
            </w:r>
          </w:p>
          <w:p w:rsidR="0077587F" w:rsidRPr="00C13C5D" w:rsidRDefault="0077587F" w:rsidP="0077587F">
            <w:pPr>
              <w:jc w:val="both"/>
              <w:rPr>
                <w:sz w:val="20"/>
                <w:szCs w:val="20"/>
              </w:rPr>
            </w:pPr>
          </w:p>
          <w:p w:rsidR="0077587F" w:rsidRPr="00C13C5D" w:rsidRDefault="0077587F" w:rsidP="0077587F">
            <w:pPr>
              <w:jc w:val="both"/>
              <w:rPr>
                <w:sz w:val="20"/>
                <w:szCs w:val="20"/>
                <w:lang w:val="fr-CA"/>
              </w:rPr>
            </w:pPr>
            <w:r w:rsidRPr="00C13C5D">
              <w:rPr>
                <w:sz w:val="20"/>
                <w:szCs w:val="20"/>
                <w:lang w:val="fr-CA"/>
              </w:rPr>
              <w:t>Caroline Renaud</w:t>
            </w:r>
            <w:r>
              <w:rPr>
                <w:sz w:val="20"/>
                <w:szCs w:val="20"/>
                <w:lang w:val="fr-CA"/>
              </w:rPr>
              <w:t xml:space="preserve"> et </w:t>
            </w:r>
            <w:r w:rsidRPr="00C13C5D">
              <w:rPr>
                <w:sz w:val="20"/>
                <w:szCs w:val="20"/>
                <w:lang w:val="fr-CA"/>
              </w:rPr>
              <w:t>Amélie Pelletier Desro</w:t>
            </w:r>
            <w:r w:rsidRPr="00E714C8">
              <w:rPr>
                <w:sz w:val="20"/>
                <w:szCs w:val="20"/>
                <w:lang w:val="fr-CA"/>
              </w:rPr>
              <w:t xml:space="preserve"> </w:t>
            </w:r>
            <w:r w:rsidRPr="00C13C5D">
              <w:rPr>
                <w:sz w:val="20"/>
                <w:szCs w:val="20"/>
                <w:lang w:val="fr-CA"/>
              </w:rPr>
              <w:t>siers</w:t>
            </w:r>
            <w:r>
              <w:rPr>
                <w:sz w:val="20"/>
                <w:szCs w:val="20"/>
                <w:lang w:val="fr-CA"/>
              </w:rPr>
              <w:t xml:space="preserve"> p</w:t>
            </w:r>
            <w:r w:rsidRPr="00C13C5D">
              <w:rPr>
                <w:sz w:val="20"/>
                <w:szCs w:val="20"/>
                <w:lang w:val="fr-CA"/>
              </w:rPr>
              <w:t>our l’intervenant</w:t>
            </w:r>
            <w:r>
              <w:rPr>
                <w:sz w:val="20"/>
                <w:szCs w:val="20"/>
                <w:lang w:val="fr-CA"/>
              </w:rPr>
              <w:t xml:space="preserve"> </w:t>
            </w:r>
            <w:r w:rsidRPr="00C13C5D">
              <w:rPr>
                <w:sz w:val="20"/>
                <w:szCs w:val="20"/>
                <w:lang w:val="fr-CA"/>
              </w:rPr>
              <w:t>Procureur général du Québec</w:t>
            </w:r>
            <w:r>
              <w:rPr>
                <w:sz w:val="20"/>
                <w:szCs w:val="20"/>
                <w:lang w:val="fr-CA"/>
              </w:rPr>
              <w:t>.</w:t>
            </w:r>
          </w:p>
          <w:p w:rsidR="0077587F" w:rsidRPr="00C13C5D" w:rsidRDefault="0077587F" w:rsidP="0077587F">
            <w:pPr>
              <w:jc w:val="both"/>
              <w:rPr>
                <w:sz w:val="20"/>
                <w:szCs w:val="20"/>
                <w:lang w:val="fr-CA"/>
              </w:rPr>
            </w:pPr>
          </w:p>
          <w:p w:rsidR="0077587F" w:rsidRPr="00C13C5D" w:rsidRDefault="0077587F" w:rsidP="0077587F">
            <w:pPr>
              <w:jc w:val="both"/>
              <w:rPr>
                <w:sz w:val="20"/>
                <w:szCs w:val="20"/>
                <w:lang w:val="en-US"/>
              </w:rPr>
            </w:pPr>
            <w:r w:rsidRPr="00C13C5D">
              <w:rPr>
                <w:sz w:val="20"/>
                <w:szCs w:val="20"/>
                <w:lang w:val="en-US"/>
              </w:rPr>
              <w:t>Keith Evans</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Attorney General of British Columbia</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Roderick Wiltshire</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A</w:t>
            </w:r>
            <w:r w:rsidRPr="00C13C5D">
              <w:rPr>
                <w:sz w:val="20"/>
                <w:szCs w:val="20"/>
                <w:lang w:val="en-US"/>
              </w:rPr>
              <w:t>ttorney General of Alberta</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Chantelle MacDonald Newhook</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Attorney General of Newfoundland and Labrador</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Darryl Cruz</w:t>
            </w:r>
            <w:r>
              <w:rPr>
                <w:sz w:val="20"/>
                <w:szCs w:val="20"/>
                <w:lang w:val="en-US"/>
              </w:rPr>
              <w:t xml:space="preserve"> and </w:t>
            </w:r>
            <w:r w:rsidRPr="00C13C5D">
              <w:rPr>
                <w:sz w:val="20"/>
                <w:szCs w:val="20"/>
                <w:lang w:val="en-US"/>
              </w:rPr>
              <w:t>Brandon Kain</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Canadian Constitution Foundation</w:t>
            </w:r>
            <w:r>
              <w:rPr>
                <w:sz w:val="20"/>
                <w:szCs w:val="20"/>
                <w:lang w:val="en-US"/>
              </w:rPr>
              <w:t>.</w:t>
            </w:r>
          </w:p>
          <w:p w:rsidR="0077587F" w:rsidRPr="00C13C5D" w:rsidRDefault="0077587F" w:rsidP="0077587F">
            <w:pPr>
              <w:jc w:val="both"/>
              <w:rPr>
                <w:sz w:val="20"/>
                <w:szCs w:val="20"/>
                <w:lang w:val="en-US"/>
              </w:rPr>
            </w:pPr>
          </w:p>
          <w:p w:rsidR="0077587F" w:rsidRPr="00C13C5D" w:rsidRDefault="0077587F" w:rsidP="0077587F">
            <w:pPr>
              <w:jc w:val="both"/>
              <w:rPr>
                <w:sz w:val="20"/>
                <w:szCs w:val="20"/>
                <w:lang w:val="en-US"/>
              </w:rPr>
            </w:pPr>
            <w:r w:rsidRPr="00C13C5D">
              <w:rPr>
                <w:sz w:val="20"/>
                <w:szCs w:val="20"/>
                <w:lang w:val="en-US"/>
              </w:rPr>
              <w:t>John D.R. Craig</w:t>
            </w:r>
            <w:r>
              <w:rPr>
                <w:sz w:val="20"/>
                <w:szCs w:val="20"/>
                <w:lang w:val="en-US"/>
              </w:rPr>
              <w:t xml:space="preserve"> and </w:t>
            </w:r>
            <w:r w:rsidRPr="00C13C5D">
              <w:rPr>
                <w:sz w:val="20"/>
                <w:szCs w:val="20"/>
                <w:lang w:val="en-US"/>
              </w:rPr>
              <w:t>Christopher D. Pigott</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w:t>
            </w:r>
            <w:r>
              <w:rPr>
                <w:sz w:val="20"/>
                <w:szCs w:val="20"/>
                <w:lang w:val="en-US"/>
              </w:rPr>
              <w:t xml:space="preserve"> </w:t>
            </w:r>
            <w:r w:rsidRPr="00C13C5D">
              <w:rPr>
                <w:sz w:val="20"/>
                <w:szCs w:val="20"/>
                <w:lang w:val="en-US"/>
              </w:rPr>
              <w:t>Canadian Employers Council</w:t>
            </w:r>
            <w:r>
              <w:rPr>
                <w:sz w:val="20"/>
                <w:szCs w:val="20"/>
                <w:lang w:val="en-US"/>
              </w:rPr>
              <w:t>.</w:t>
            </w:r>
          </w:p>
          <w:p w:rsidR="0077587F" w:rsidRPr="00C13C5D" w:rsidRDefault="0077587F" w:rsidP="0077587F">
            <w:pPr>
              <w:jc w:val="both"/>
              <w:rPr>
                <w:sz w:val="20"/>
                <w:szCs w:val="20"/>
                <w:lang w:val="en-US"/>
              </w:rPr>
            </w:pPr>
          </w:p>
          <w:p w:rsidR="0077587F" w:rsidRPr="004552CB" w:rsidRDefault="0077587F" w:rsidP="0077587F">
            <w:pPr>
              <w:jc w:val="both"/>
              <w:rPr>
                <w:sz w:val="20"/>
                <w:szCs w:val="20"/>
              </w:rPr>
            </w:pPr>
            <w:r w:rsidRPr="00C13C5D">
              <w:rPr>
                <w:sz w:val="20"/>
                <w:szCs w:val="20"/>
                <w:lang w:val="en-US"/>
              </w:rPr>
              <w:t>Evert van Olst, Q.C.</w:t>
            </w:r>
            <w:r>
              <w:rPr>
                <w:sz w:val="20"/>
                <w:szCs w:val="20"/>
                <w:lang w:val="en-US"/>
              </w:rPr>
              <w:t xml:space="preserve"> and </w:t>
            </w:r>
            <w:r w:rsidRPr="00C13C5D">
              <w:rPr>
                <w:sz w:val="20"/>
                <w:szCs w:val="20"/>
                <w:lang w:val="en-US"/>
              </w:rPr>
              <w:t>Leah Schatz</w:t>
            </w:r>
            <w:r>
              <w:rPr>
                <w:sz w:val="20"/>
                <w:szCs w:val="20"/>
                <w:lang w:val="en-US"/>
              </w:rPr>
              <w:t xml:space="preserve"> f</w:t>
            </w:r>
            <w:r w:rsidRPr="00C13C5D">
              <w:rPr>
                <w:sz w:val="20"/>
                <w:szCs w:val="20"/>
                <w:lang w:val="en-US"/>
              </w:rPr>
              <w:t xml:space="preserve">or the </w:t>
            </w:r>
            <w:r>
              <w:rPr>
                <w:sz w:val="20"/>
                <w:szCs w:val="20"/>
                <w:lang w:val="en-US"/>
              </w:rPr>
              <w:t>i</w:t>
            </w:r>
            <w:r w:rsidRPr="00C13C5D">
              <w:rPr>
                <w:sz w:val="20"/>
                <w:szCs w:val="20"/>
                <w:lang w:val="en-US"/>
              </w:rPr>
              <w:t>nterveners</w:t>
            </w:r>
            <w:r>
              <w:rPr>
                <w:sz w:val="20"/>
                <w:szCs w:val="20"/>
                <w:lang w:val="en-US"/>
              </w:rPr>
              <w:t xml:space="preserve"> </w:t>
            </w:r>
            <w:r w:rsidRPr="00C13C5D">
              <w:rPr>
                <w:sz w:val="20"/>
                <w:szCs w:val="20"/>
                <w:lang w:val="en-US"/>
              </w:rPr>
              <w:t xml:space="preserve">Regina Qu’Appelle Regional </w:t>
            </w:r>
            <w:r w:rsidRPr="004552CB">
              <w:rPr>
                <w:sz w:val="20"/>
                <w:szCs w:val="20"/>
              </w:rPr>
              <w:t>Health Authority et al.</w:t>
            </w:r>
          </w:p>
          <w:p w:rsidR="0077587F" w:rsidRPr="004552CB" w:rsidRDefault="0077587F" w:rsidP="0077587F">
            <w:pPr>
              <w:jc w:val="both"/>
              <w:rPr>
                <w:sz w:val="20"/>
                <w:szCs w:val="20"/>
              </w:rPr>
            </w:pPr>
          </w:p>
          <w:p w:rsidR="0077587F" w:rsidRPr="004552CB" w:rsidRDefault="0077587F" w:rsidP="0077587F">
            <w:pPr>
              <w:jc w:val="both"/>
              <w:rPr>
                <w:sz w:val="20"/>
                <w:szCs w:val="20"/>
                <w:lang w:val="fr-CA"/>
              </w:rPr>
            </w:pPr>
            <w:r w:rsidRPr="00C13C5D">
              <w:rPr>
                <w:sz w:val="20"/>
                <w:szCs w:val="20"/>
                <w:lang w:val="fr-CA"/>
              </w:rPr>
              <w:t xml:space="preserve">Soumission écrite seulement </w:t>
            </w:r>
            <w:r>
              <w:rPr>
                <w:sz w:val="20"/>
                <w:szCs w:val="20"/>
                <w:lang w:val="fr-CA"/>
              </w:rPr>
              <w:t>p</w:t>
            </w:r>
            <w:r w:rsidRPr="00C13C5D">
              <w:rPr>
                <w:sz w:val="20"/>
                <w:szCs w:val="20"/>
                <w:lang w:val="fr-CA"/>
              </w:rPr>
              <w:t>our l’intervenant</w:t>
            </w:r>
            <w:r>
              <w:rPr>
                <w:sz w:val="20"/>
                <w:szCs w:val="20"/>
                <w:lang w:val="fr-CA"/>
              </w:rPr>
              <w:t xml:space="preserve"> </w:t>
            </w:r>
            <w:r w:rsidRPr="004552CB">
              <w:rPr>
                <w:sz w:val="20"/>
                <w:szCs w:val="20"/>
                <w:lang w:val="fr-CA"/>
              </w:rPr>
              <w:t>Conseil du patronat du Québec.</w:t>
            </w:r>
          </w:p>
          <w:p w:rsidR="0077587F" w:rsidRPr="004552CB" w:rsidRDefault="0077587F" w:rsidP="0077587F">
            <w:pPr>
              <w:jc w:val="both"/>
              <w:rPr>
                <w:sz w:val="20"/>
                <w:szCs w:val="20"/>
                <w:lang w:val="fr-CA"/>
              </w:rPr>
            </w:pPr>
          </w:p>
          <w:p w:rsidR="007C47C2" w:rsidRPr="0077587F" w:rsidRDefault="0077587F" w:rsidP="0077587F">
            <w:pPr>
              <w:widowControl w:val="0"/>
              <w:jc w:val="both"/>
              <w:rPr>
                <w:sz w:val="20"/>
                <w:szCs w:val="20"/>
              </w:rPr>
            </w:pPr>
            <w:r w:rsidRPr="00C13C5D">
              <w:rPr>
                <w:sz w:val="20"/>
                <w:szCs w:val="20"/>
                <w:lang w:val="en-US"/>
              </w:rPr>
              <w:t xml:space="preserve">Written submission only </w:t>
            </w:r>
            <w:r>
              <w:rPr>
                <w:sz w:val="20"/>
                <w:szCs w:val="20"/>
                <w:lang w:val="en-US"/>
              </w:rPr>
              <w:t>f</w:t>
            </w:r>
            <w:r w:rsidRPr="00C13C5D">
              <w:rPr>
                <w:sz w:val="20"/>
                <w:szCs w:val="20"/>
                <w:lang w:val="en-US"/>
              </w:rPr>
              <w:t xml:space="preserve">or the </w:t>
            </w:r>
            <w:r>
              <w:rPr>
                <w:sz w:val="20"/>
                <w:szCs w:val="20"/>
                <w:lang w:val="en-US"/>
              </w:rPr>
              <w:t>i</w:t>
            </w:r>
            <w:r w:rsidRPr="00C13C5D">
              <w:rPr>
                <w:sz w:val="20"/>
                <w:szCs w:val="20"/>
                <w:lang w:val="en-US"/>
              </w:rPr>
              <w:t>nterveners</w:t>
            </w:r>
            <w:r>
              <w:rPr>
                <w:sz w:val="20"/>
                <w:szCs w:val="20"/>
                <w:lang w:val="en-US"/>
              </w:rPr>
              <w:t xml:space="preserve"> </w:t>
            </w:r>
            <w:r w:rsidRPr="004552CB">
              <w:rPr>
                <w:sz w:val="20"/>
                <w:szCs w:val="20"/>
              </w:rPr>
              <w:t>Canada Post Corporation et al.</w:t>
            </w:r>
          </w:p>
        </w:tc>
      </w:tr>
    </w:tbl>
    <w:p w:rsidR="007C47C2" w:rsidRPr="0077587F"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C7861" w:rsidTr="000C7861">
        <w:tc>
          <w:tcPr>
            <w:tcW w:w="4380" w:type="dxa"/>
            <w:tcMar>
              <w:left w:w="0" w:type="dxa"/>
              <w:right w:w="0" w:type="dxa"/>
            </w:tcMar>
          </w:tcPr>
          <w:p w:rsidR="007C47C2" w:rsidRPr="00CC4D84" w:rsidRDefault="007C47C2" w:rsidP="000C7861">
            <w:pPr>
              <w:widowControl w:val="0"/>
              <w:jc w:val="both"/>
              <w:rPr>
                <w:b/>
                <w:sz w:val="20"/>
                <w:szCs w:val="20"/>
                <w:u w:val="single"/>
              </w:rPr>
            </w:pPr>
            <w:r w:rsidRPr="00CC4D84">
              <w:rPr>
                <w:b/>
                <w:sz w:val="20"/>
                <w:szCs w:val="20"/>
                <w:u w:val="single"/>
              </w:rPr>
              <w:t>Nature of the case:</w:t>
            </w:r>
          </w:p>
          <w:p w:rsidR="007C47C2" w:rsidRPr="001A663B" w:rsidRDefault="007C47C2" w:rsidP="000C7861">
            <w:pPr>
              <w:widowControl w:val="0"/>
              <w:jc w:val="both"/>
              <w:rPr>
                <w:b/>
                <w:sz w:val="20"/>
                <w:szCs w:val="20"/>
              </w:rPr>
            </w:pPr>
          </w:p>
          <w:p w:rsidR="007C47C2" w:rsidRPr="00C1697B" w:rsidRDefault="000C7861" w:rsidP="000C7861">
            <w:pPr>
              <w:widowControl w:val="0"/>
              <w:jc w:val="both"/>
              <w:rPr>
                <w:b/>
                <w:sz w:val="20"/>
                <w:szCs w:val="20"/>
              </w:rPr>
            </w:pPr>
            <w:r w:rsidRPr="004F32B0">
              <w:rPr>
                <w:i/>
                <w:sz w:val="20"/>
                <w:szCs w:val="20"/>
              </w:rPr>
              <w:t xml:space="preserve">Canadian Charter of Rights and Freedoms </w:t>
            </w:r>
            <w:r w:rsidRPr="004F32B0">
              <w:rPr>
                <w:sz w:val="20"/>
                <w:szCs w:val="20"/>
              </w:rPr>
              <w:t xml:space="preserve">- Freedom of association - Labour Law - Right to strike - Freedom of expression - Province enacting laws that introduced restrictions on ability of public sector workers to strike and made it somewhat more difficult for unions to obtain certification - Trial judge holding that </w:t>
            </w:r>
            <w:r w:rsidRPr="004F32B0">
              <w:rPr>
                <w:i/>
                <w:sz w:val="20"/>
                <w:szCs w:val="20"/>
              </w:rPr>
              <w:t>Public Service Essential Services Act</w:t>
            </w:r>
            <w:r w:rsidRPr="004F32B0">
              <w:rPr>
                <w:sz w:val="20"/>
                <w:szCs w:val="20"/>
              </w:rPr>
              <w:t xml:space="preserve"> is contrary to s. 2(d) of </w:t>
            </w:r>
            <w:r w:rsidRPr="004F32B0">
              <w:rPr>
                <w:i/>
                <w:sz w:val="20"/>
                <w:szCs w:val="20"/>
              </w:rPr>
              <w:t>Charter</w:t>
            </w:r>
            <w:r w:rsidRPr="004F32B0">
              <w:rPr>
                <w:sz w:val="20"/>
                <w:szCs w:val="20"/>
              </w:rPr>
              <w:t xml:space="preserve"> and is not saved by s. 1 - Court of Appeal allowing appeal, feeling bound by prior case law holding that freedom of association did not include right to strike - Whether freedom of association guaranteed by s. 2(d) of </w:t>
            </w:r>
            <w:r w:rsidRPr="004F32B0">
              <w:rPr>
                <w:i/>
                <w:sz w:val="20"/>
                <w:szCs w:val="20"/>
              </w:rPr>
              <w:t>Charter</w:t>
            </w:r>
            <w:r w:rsidRPr="004F32B0">
              <w:rPr>
                <w:sz w:val="20"/>
                <w:szCs w:val="20"/>
              </w:rPr>
              <w:t xml:space="preserve"> protects right to strike - Whether freedom of expression guaranteed by s. 2(b) of </w:t>
            </w:r>
            <w:r w:rsidRPr="004F32B0">
              <w:rPr>
                <w:i/>
                <w:sz w:val="20"/>
                <w:szCs w:val="20"/>
              </w:rPr>
              <w:t>Charter</w:t>
            </w:r>
            <w:r w:rsidRPr="004F32B0">
              <w:rPr>
                <w:sz w:val="20"/>
                <w:szCs w:val="20"/>
              </w:rPr>
              <w:t xml:space="preserve"> protects right to strike - Whether </w:t>
            </w:r>
            <w:r w:rsidRPr="004F32B0">
              <w:rPr>
                <w:i/>
                <w:sz w:val="20"/>
                <w:szCs w:val="20"/>
              </w:rPr>
              <w:t>Public Service Essential Services Act</w:t>
            </w:r>
            <w:r w:rsidRPr="004F32B0">
              <w:rPr>
                <w:sz w:val="20"/>
                <w:szCs w:val="20"/>
              </w:rPr>
              <w:t xml:space="preserve"> infringes s. 2(b) and/or s. 2(d) of </w:t>
            </w:r>
            <w:r w:rsidRPr="004F32B0">
              <w:rPr>
                <w:i/>
                <w:sz w:val="20"/>
                <w:szCs w:val="20"/>
              </w:rPr>
              <w:t xml:space="preserve">Charter </w:t>
            </w:r>
            <w:r w:rsidRPr="004F32B0">
              <w:rPr>
                <w:sz w:val="20"/>
                <w:szCs w:val="20"/>
              </w:rPr>
              <w:t xml:space="preserve">and, if so, whether infringement a reasonable limit prescribed by law as can be demonstrably justified in a free and </w:t>
            </w:r>
            <w:r w:rsidRPr="004F32B0">
              <w:rPr>
                <w:sz w:val="20"/>
                <w:szCs w:val="20"/>
              </w:rPr>
              <w:lastRenderedPageBreak/>
              <w:t xml:space="preserve">democratic society under s. 1 of </w:t>
            </w:r>
            <w:r w:rsidRPr="004F32B0">
              <w:rPr>
                <w:i/>
                <w:sz w:val="20"/>
                <w:szCs w:val="20"/>
              </w:rPr>
              <w:t>Charter</w:t>
            </w:r>
            <w:r w:rsidRPr="004F32B0">
              <w:rPr>
                <w:sz w:val="20"/>
                <w:szCs w:val="20"/>
              </w:rPr>
              <w:t xml:space="preserve"> - Whether sections 3, 6, 7 and 11 of </w:t>
            </w:r>
            <w:r w:rsidRPr="004F32B0">
              <w:rPr>
                <w:i/>
                <w:sz w:val="20"/>
                <w:szCs w:val="20"/>
              </w:rPr>
              <w:t xml:space="preserve">Trade Union Amendment Act, 2008, </w:t>
            </w:r>
            <w:r w:rsidRPr="004F32B0">
              <w:rPr>
                <w:sz w:val="20"/>
                <w:szCs w:val="20"/>
              </w:rPr>
              <w:t xml:space="preserve">infringe s. 2(d) of </w:t>
            </w:r>
            <w:r w:rsidRPr="004F32B0">
              <w:rPr>
                <w:i/>
                <w:sz w:val="20"/>
                <w:szCs w:val="20"/>
              </w:rPr>
              <w:t xml:space="preserve">Charter </w:t>
            </w:r>
            <w:r w:rsidRPr="004F32B0">
              <w:rPr>
                <w:sz w:val="20"/>
                <w:szCs w:val="20"/>
              </w:rPr>
              <w:t xml:space="preserve">and, if so, whether infringement a reasonable limit prescribed by law as can be demonstrably justified in a free and democratic society under s. 1 of </w:t>
            </w:r>
            <w:r w:rsidRPr="004F32B0">
              <w:rPr>
                <w:i/>
                <w:sz w:val="20"/>
                <w:szCs w:val="20"/>
              </w:rPr>
              <w:t xml:space="preserve">Charter </w:t>
            </w:r>
            <w:r w:rsidRPr="004F32B0">
              <w:rPr>
                <w:sz w:val="20"/>
                <w:szCs w:val="20"/>
              </w:rPr>
              <w:t xml:space="preserve">- </w:t>
            </w:r>
            <w:r w:rsidRPr="004F32B0">
              <w:rPr>
                <w:i/>
                <w:sz w:val="20"/>
                <w:szCs w:val="20"/>
              </w:rPr>
              <w:t>Public Service Essential Services Act</w:t>
            </w:r>
            <w:r w:rsidRPr="004F32B0">
              <w:rPr>
                <w:sz w:val="20"/>
                <w:szCs w:val="20"/>
              </w:rPr>
              <w:t xml:space="preserve">, S.S. 2008, c. P-42.2 - </w:t>
            </w:r>
            <w:r w:rsidRPr="004F32B0">
              <w:rPr>
                <w:i/>
                <w:sz w:val="20"/>
                <w:szCs w:val="20"/>
              </w:rPr>
              <w:t>Trade Union Amendment Act, 2008</w:t>
            </w:r>
            <w:r w:rsidRPr="004F32B0">
              <w:rPr>
                <w:sz w:val="20"/>
                <w:szCs w:val="20"/>
              </w:rPr>
              <w:t>, S.S. 2008, c. 26 and c. 27.</w:t>
            </w:r>
          </w:p>
        </w:tc>
        <w:tc>
          <w:tcPr>
            <w:tcW w:w="720" w:type="dxa"/>
            <w:tcMar>
              <w:left w:w="0" w:type="dxa"/>
              <w:right w:w="0" w:type="dxa"/>
            </w:tcMar>
          </w:tcPr>
          <w:p w:rsidR="007C47C2" w:rsidRPr="00C1697B" w:rsidRDefault="007C47C2" w:rsidP="000C7861">
            <w:pPr>
              <w:widowControl w:val="0"/>
              <w:jc w:val="center"/>
              <w:rPr>
                <w:sz w:val="20"/>
                <w:szCs w:val="20"/>
              </w:rPr>
            </w:pPr>
          </w:p>
        </w:tc>
        <w:tc>
          <w:tcPr>
            <w:tcW w:w="4380" w:type="dxa"/>
            <w:tcMar>
              <w:left w:w="0" w:type="dxa"/>
              <w:right w:w="0" w:type="dxa"/>
            </w:tcMar>
          </w:tcPr>
          <w:p w:rsidR="007C47C2" w:rsidRPr="00CC4D84" w:rsidRDefault="007C47C2" w:rsidP="000C7861">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0C7861">
            <w:pPr>
              <w:widowControl w:val="0"/>
              <w:jc w:val="both"/>
              <w:rPr>
                <w:sz w:val="20"/>
                <w:szCs w:val="20"/>
                <w:lang w:val="fr-CA"/>
              </w:rPr>
            </w:pPr>
          </w:p>
          <w:p w:rsidR="007C47C2" w:rsidRPr="000C7861" w:rsidRDefault="000C7861" w:rsidP="000C7861">
            <w:pPr>
              <w:widowControl w:val="0"/>
              <w:jc w:val="both"/>
              <w:rPr>
                <w:sz w:val="20"/>
                <w:szCs w:val="20"/>
              </w:rPr>
            </w:pPr>
            <w:r w:rsidRPr="00423CED">
              <w:rPr>
                <w:i/>
                <w:sz w:val="20"/>
                <w:szCs w:val="20"/>
                <w:lang w:val="fr-CA"/>
              </w:rPr>
              <w:t xml:space="preserve">Charte canadienne des droits et libertés </w:t>
            </w:r>
            <w:r w:rsidRPr="00423CED">
              <w:rPr>
                <w:sz w:val="20"/>
                <w:szCs w:val="20"/>
                <w:lang w:val="fr-CA"/>
              </w:rPr>
              <w:t xml:space="preserve">- Liberté d’association - Droit du travail - Droit de grève - Liberté d’expression - Adoption par la province de lois qui ont eu pour effet de limiter la capacité des employés du secteur public de faire la grève et qui ont rendu l’accréditation des syndicats un peu plus difficile - Décision du juge du première instance que la </w:t>
            </w:r>
            <w:r w:rsidRPr="00423CED">
              <w:rPr>
                <w:i/>
                <w:sz w:val="20"/>
                <w:szCs w:val="20"/>
                <w:lang w:val="fr-CA"/>
              </w:rPr>
              <w:t>Public Service Essential Services Act</w:t>
            </w:r>
            <w:r w:rsidRPr="00423CED">
              <w:rPr>
                <w:sz w:val="20"/>
                <w:szCs w:val="20"/>
                <w:lang w:val="fr-CA"/>
              </w:rPr>
              <w:t xml:space="preserve"> est contraire à l’al. 2</w:t>
            </w:r>
            <w:r w:rsidRPr="00423CED">
              <w:rPr>
                <w:i/>
                <w:sz w:val="20"/>
                <w:szCs w:val="20"/>
                <w:lang w:val="fr-CA"/>
              </w:rPr>
              <w:t>d</w:t>
            </w:r>
            <w:r w:rsidRPr="00423CED">
              <w:rPr>
                <w:sz w:val="20"/>
                <w:szCs w:val="20"/>
                <w:lang w:val="fr-CA"/>
              </w:rPr>
              <w:t xml:space="preserve">) de la </w:t>
            </w:r>
            <w:r w:rsidRPr="00423CED">
              <w:rPr>
                <w:i/>
                <w:sz w:val="20"/>
                <w:szCs w:val="20"/>
                <w:lang w:val="fr-CA"/>
              </w:rPr>
              <w:t>Charte</w:t>
            </w:r>
            <w:r w:rsidRPr="00423CED">
              <w:rPr>
                <w:sz w:val="20"/>
                <w:szCs w:val="20"/>
                <w:lang w:val="fr-CA"/>
              </w:rPr>
              <w:t xml:space="preserve"> et n’est pas sauvegardée par l’article premier - Appel accueilli par la Cour d’appel, qui s’estime liée par la jurisprudence selon laquelle la liberté d’association ne comprend pas le droit de grève - La liberté d’association garantie par l’al. 2</w:t>
            </w:r>
            <w:r w:rsidRPr="00423CED">
              <w:rPr>
                <w:i/>
                <w:sz w:val="20"/>
                <w:szCs w:val="20"/>
                <w:lang w:val="fr-CA"/>
              </w:rPr>
              <w:t>d</w:t>
            </w:r>
            <w:r w:rsidRPr="00423CED">
              <w:rPr>
                <w:sz w:val="20"/>
                <w:szCs w:val="20"/>
                <w:lang w:val="fr-CA"/>
              </w:rPr>
              <w:t xml:space="preserve">) de la </w:t>
            </w:r>
            <w:r w:rsidRPr="00423CED">
              <w:rPr>
                <w:i/>
                <w:sz w:val="20"/>
                <w:szCs w:val="20"/>
                <w:lang w:val="fr-CA"/>
              </w:rPr>
              <w:t>Charte</w:t>
            </w:r>
            <w:r w:rsidRPr="00423CED">
              <w:rPr>
                <w:sz w:val="20"/>
                <w:szCs w:val="20"/>
                <w:lang w:val="fr-CA"/>
              </w:rPr>
              <w:t xml:space="preserve"> assure-t-elle le droit de grève? - La liberté d’expression garantie par l’al. 2</w:t>
            </w:r>
            <w:r w:rsidRPr="00423CED">
              <w:rPr>
                <w:i/>
                <w:sz w:val="20"/>
                <w:szCs w:val="20"/>
                <w:lang w:val="fr-CA"/>
              </w:rPr>
              <w:t>b</w:t>
            </w:r>
            <w:r w:rsidRPr="00423CED">
              <w:rPr>
                <w:sz w:val="20"/>
                <w:szCs w:val="20"/>
                <w:lang w:val="fr-CA"/>
              </w:rPr>
              <w:t xml:space="preserve">) de la </w:t>
            </w:r>
            <w:r w:rsidRPr="00423CED">
              <w:rPr>
                <w:i/>
                <w:sz w:val="20"/>
                <w:szCs w:val="20"/>
                <w:lang w:val="fr-CA"/>
              </w:rPr>
              <w:t>Charte</w:t>
            </w:r>
            <w:r w:rsidRPr="00423CED">
              <w:rPr>
                <w:sz w:val="20"/>
                <w:szCs w:val="20"/>
                <w:lang w:val="fr-CA"/>
              </w:rPr>
              <w:t xml:space="preserve"> assure-t-elle le droit de grève? - La </w:t>
            </w:r>
            <w:r w:rsidRPr="00423CED">
              <w:rPr>
                <w:i/>
                <w:sz w:val="20"/>
                <w:szCs w:val="20"/>
                <w:lang w:val="fr-CA"/>
              </w:rPr>
              <w:t>Public Service Essential Services Act</w:t>
            </w:r>
            <w:r w:rsidRPr="00423CED">
              <w:rPr>
                <w:sz w:val="20"/>
                <w:szCs w:val="20"/>
                <w:lang w:val="fr-CA"/>
              </w:rPr>
              <w:t xml:space="preserve"> contrevient-elle à l’al. 2</w:t>
            </w:r>
            <w:r w:rsidRPr="00423CED">
              <w:rPr>
                <w:i/>
                <w:sz w:val="20"/>
                <w:szCs w:val="20"/>
                <w:lang w:val="fr-CA"/>
              </w:rPr>
              <w:t>b</w:t>
            </w:r>
            <w:r w:rsidRPr="00423CED">
              <w:rPr>
                <w:sz w:val="20"/>
                <w:szCs w:val="20"/>
                <w:lang w:val="fr-CA"/>
              </w:rPr>
              <w:t>) ou 2</w:t>
            </w:r>
            <w:r w:rsidRPr="00423CED">
              <w:rPr>
                <w:i/>
                <w:sz w:val="20"/>
                <w:szCs w:val="20"/>
                <w:lang w:val="fr-CA"/>
              </w:rPr>
              <w:t>d</w:t>
            </w:r>
            <w:r w:rsidRPr="00423CED">
              <w:rPr>
                <w:sz w:val="20"/>
                <w:szCs w:val="20"/>
                <w:lang w:val="fr-CA"/>
              </w:rPr>
              <w:t xml:space="preserve">) de la </w:t>
            </w:r>
            <w:r w:rsidRPr="00423CED">
              <w:rPr>
                <w:i/>
                <w:sz w:val="20"/>
                <w:szCs w:val="20"/>
                <w:lang w:val="fr-CA"/>
              </w:rPr>
              <w:t xml:space="preserve">Charte </w:t>
            </w:r>
            <w:r w:rsidRPr="00423CED">
              <w:rPr>
                <w:sz w:val="20"/>
                <w:szCs w:val="20"/>
                <w:lang w:val="fr-CA"/>
              </w:rPr>
              <w:t xml:space="preserve">et, dans l’affirmative, s’agit-il d’une limite </w:t>
            </w:r>
            <w:r w:rsidRPr="00423CED">
              <w:rPr>
                <w:sz w:val="20"/>
                <w:szCs w:val="20"/>
                <w:lang w:val="fr-CA"/>
              </w:rPr>
              <w:lastRenderedPageBreak/>
              <w:t xml:space="preserve">raisonnable prescrite par une règle de droit et dont la justification peut se démontrer dans le cadre d’une société libre et démocratique au sens de l’article premier de la </w:t>
            </w:r>
            <w:r w:rsidRPr="00423CED">
              <w:rPr>
                <w:i/>
                <w:sz w:val="20"/>
                <w:szCs w:val="20"/>
                <w:lang w:val="fr-CA"/>
              </w:rPr>
              <w:t>Charte</w:t>
            </w:r>
            <w:r w:rsidRPr="00423CED">
              <w:rPr>
                <w:sz w:val="20"/>
                <w:szCs w:val="20"/>
                <w:lang w:val="fr-CA"/>
              </w:rPr>
              <w:t xml:space="preserve">? - Les articles 3, 6, 7 et 11 de la </w:t>
            </w:r>
            <w:r w:rsidRPr="00423CED">
              <w:rPr>
                <w:i/>
                <w:sz w:val="20"/>
                <w:szCs w:val="20"/>
                <w:lang w:val="fr-CA"/>
              </w:rPr>
              <w:t xml:space="preserve">Trade Union Amendment Act, 2008, </w:t>
            </w:r>
            <w:r w:rsidRPr="00423CED">
              <w:rPr>
                <w:sz w:val="20"/>
                <w:szCs w:val="20"/>
                <w:lang w:val="fr-CA"/>
              </w:rPr>
              <w:t>violent-ils l’al. 2</w:t>
            </w:r>
            <w:r w:rsidRPr="00423CED">
              <w:rPr>
                <w:i/>
                <w:sz w:val="20"/>
                <w:szCs w:val="20"/>
                <w:lang w:val="fr-CA"/>
              </w:rPr>
              <w:t>d</w:t>
            </w:r>
            <w:r w:rsidRPr="00423CED">
              <w:rPr>
                <w:sz w:val="20"/>
                <w:szCs w:val="20"/>
                <w:lang w:val="fr-CA"/>
              </w:rPr>
              <w:t xml:space="preserve">) de la </w:t>
            </w:r>
            <w:r w:rsidRPr="00423CED">
              <w:rPr>
                <w:i/>
                <w:sz w:val="20"/>
                <w:szCs w:val="20"/>
                <w:lang w:val="fr-CA"/>
              </w:rPr>
              <w:t xml:space="preserve">Charte </w:t>
            </w:r>
            <w:r w:rsidRPr="00423CED">
              <w:rPr>
                <w:sz w:val="20"/>
                <w:szCs w:val="20"/>
                <w:lang w:val="fr-CA"/>
              </w:rPr>
              <w:t xml:space="preserve">et, dans l’affirmative, cette violation constitue-t-elle une limite raisonnable prescrite par une règle de droit et dont la justification peut se démontrer dans le cadre d’une société libre et démocratique au sens de l’article premier de la </w:t>
            </w:r>
            <w:r w:rsidRPr="00423CED">
              <w:rPr>
                <w:i/>
                <w:sz w:val="20"/>
                <w:szCs w:val="20"/>
                <w:lang w:val="fr-CA"/>
              </w:rPr>
              <w:t>Charte</w:t>
            </w:r>
            <w:r w:rsidRPr="00423CED">
              <w:rPr>
                <w:sz w:val="20"/>
                <w:szCs w:val="20"/>
                <w:lang w:val="fr-CA"/>
              </w:rPr>
              <w:t>?</w:t>
            </w:r>
            <w:r w:rsidRPr="00423CED">
              <w:rPr>
                <w:i/>
                <w:sz w:val="20"/>
                <w:szCs w:val="20"/>
                <w:lang w:val="fr-CA"/>
              </w:rPr>
              <w:t xml:space="preserve"> </w:t>
            </w:r>
            <w:r w:rsidRPr="00423CED">
              <w:rPr>
                <w:sz w:val="20"/>
                <w:szCs w:val="20"/>
                <w:lang w:val="fr-CA"/>
              </w:rPr>
              <w:t xml:space="preserve">- </w:t>
            </w:r>
            <w:r w:rsidRPr="00423CED">
              <w:rPr>
                <w:i/>
                <w:sz w:val="20"/>
                <w:szCs w:val="20"/>
                <w:lang w:val="fr-CA"/>
              </w:rPr>
              <w:t>Public Service Essential Services Act</w:t>
            </w:r>
            <w:r w:rsidRPr="00423CED">
              <w:rPr>
                <w:sz w:val="20"/>
                <w:szCs w:val="20"/>
                <w:lang w:val="fr-CA"/>
              </w:rPr>
              <w:t>, S.S. 2008, ch. </w:t>
            </w:r>
            <w:r w:rsidRPr="00423CED">
              <w:rPr>
                <w:sz w:val="20"/>
                <w:szCs w:val="20"/>
              </w:rPr>
              <w:t xml:space="preserve">P-42.2 - </w:t>
            </w:r>
            <w:r w:rsidRPr="00423CED">
              <w:rPr>
                <w:i/>
                <w:sz w:val="20"/>
                <w:szCs w:val="20"/>
              </w:rPr>
              <w:t>Trade Union Amendment Act, 2008</w:t>
            </w:r>
            <w:r w:rsidRPr="00423CED">
              <w:rPr>
                <w:sz w:val="20"/>
                <w:szCs w:val="20"/>
              </w:rPr>
              <w:t>, S.S. 2008, ch. 26 et ch. 27.</w:t>
            </w:r>
          </w:p>
        </w:tc>
      </w:tr>
    </w:tbl>
    <w:p w:rsidR="007C47C2" w:rsidRPr="000C7861" w:rsidRDefault="007C47C2" w:rsidP="007C47C2">
      <w:pPr>
        <w:widowControl w:val="0"/>
        <w:rPr>
          <w:sz w:val="20"/>
          <w:szCs w:val="20"/>
        </w:rPr>
      </w:pPr>
    </w:p>
    <w:p w:rsidR="002A27D1" w:rsidRDefault="00142ACF" w:rsidP="002A27D1">
      <w:pPr>
        <w:widowControl w:val="0"/>
        <w:rPr>
          <w:sz w:val="20"/>
          <w:szCs w:val="20"/>
        </w:rPr>
      </w:pPr>
      <w:r>
        <w:rPr>
          <w:sz w:val="20"/>
          <w:szCs w:val="20"/>
          <w:lang w:val="fr-CA"/>
        </w:rPr>
        <w:pict>
          <v:rect id="_x0000_i1046" style="width:2in;height:1pt" o:hrpct="0" o:hralign="center" o:hrstd="t" o:hrnoshade="t" o:hr="t" fillcolor="black [3213]" stroked="f"/>
        </w:pict>
      </w: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142AC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40016A" w:rsidRDefault="00BE38E9" w:rsidP="0052229C">
      <w:pPr>
        <w:rPr>
          <w:b/>
          <w:sz w:val="20"/>
          <w:szCs w:val="20"/>
        </w:rPr>
      </w:pPr>
      <w:r w:rsidRPr="0040016A">
        <w:rPr>
          <w:b/>
          <w:sz w:val="20"/>
          <w:szCs w:val="20"/>
        </w:rPr>
        <w:t>M</w:t>
      </w:r>
      <w:r w:rsidR="0052229C" w:rsidRPr="0040016A">
        <w:rPr>
          <w:b/>
          <w:sz w:val="20"/>
          <w:szCs w:val="20"/>
        </w:rPr>
        <w:t xml:space="preserve">AY </w:t>
      </w:r>
      <w:r w:rsidRPr="0040016A">
        <w:rPr>
          <w:b/>
          <w:sz w:val="20"/>
          <w:szCs w:val="20"/>
        </w:rPr>
        <w:t>22</w:t>
      </w:r>
      <w:r w:rsidR="0052229C" w:rsidRPr="0040016A">
        <w:rPr>
          <w:b/>
          <w:sz w:val="20"/>
          <w:szCs w:val="20"/>
        </w:rPr>
        <w:t xml:space="preserve">, 2014 / LE </w:t>
      </w:r>
      <w:r w:rsidRPr="0040016A">
        <w:rPr>
          <w:b/>
          <w:sz w:val="20"/>
          <w:szCs w:val="20"/>
        </w:rPr>
        <w:t>22 M</w:t>
      </w:r>
      <w:r w:rsidR="0052229C" w:rsidRPr="0040016A">
        <w:rPr>
          <w:b/>
          <w:sz w:val="20"/>
          <w:szCs w:val="20"/>
        </w:rPr>
        <w:t>AI 2014</w:t>
      </w:r>
    </w:p>
    <w:p w:rsidR="0052229C" w:rsidRPr="0040016A" w:rsidRDefault="0052229C" w:rsidP="0052229C">
      <w:pPr>
        <w:rPr>
          <w:sz w:val="20"/>
          <w:szCs w:val="20"/>
        </w:rPr>
      </w:pPr>
    </w:p>
    <w:p w:rsidR="00B02906" w:rsidRPr="00C6789C" w:rsidRDefault="004876A0" w:rsidP="00B02906">
      <w:pPr>
        <w:ind w:left="1440" w:hanging="1440"/>
        <w:jc w:val="both"/>
        <w:rPr>
          <w:sz w:val="20"/>
          <w:szCs w:val="20"/>
        </w:rPr>
      </w:pPr>
      <w:r w:rsidRPr="00C6789C">
        <w:rPr>
          <w:b/>
          <w:sz w:val="20"/>
          <w:szCs w:val="20"/>
        </w:rPr>
        <w:fldChar w:fldCharType="begin"/>
      </w:r>
      <w:r w:rsidR="00B02906" w:rsidRPr="00C6789C">
        <w:rPr>
          <w:b/>
          <w:sz w:val="20"/>
          <w:szCs w:val="20"/>
        </w:rPr>
        <w:instrText xml:space="preserve"> SEQ CHAPTER \h \r 1</w:instrText>
      </w:r>
      <w:r w:rsidRPr="00C6789C">
        <w:rPr>
          <w:b/>
          <w:sz w:val="20"/>
          <w:szCs w:val="20"/>
        </w:rPr>
        <w:fldChar w:fldCharType="end"/>
      </w:r>
      <w:r w:rsidR="00B02906" w:rsidRPr="00C6789C">
        <w:rPr>
          <w:b/>
          <w:sz w:val="20"/>
          <w:szCs w:val="20"/>
        </w:rPr>
        <w:t>34997</w:t>
      </w:r>
      <w:r w:rsidR="00B02906" w:rsidRPr="00C6789C">
        <w:rPr>
          <w:sz w:val="20"/>
          <w:szCs w:val="20"/>
        </w:rPr>
        <w:tab/>
      </w:r>
      <w:r w:rsidR="00B02906" w:rsidRPr="00C6789C">
        <w:rPr>
          <w:b/>
          <w:sz w:val="20"/>
          <w:szCs w:val="20"/>
          <w:u w:val="single"/>
        </w:rPr>
        <w:t>John Michael McCormick v. Fasken Martineau DuMoulin LLP – and – Alberta Human Rights Commission, British Columbia Human Rights Tribunal, Ernst &amp; Young LLP, KPMG LLP, Deloitte LLP, PricewaterhouseCoopers LLP, BDO Canada LLP, Grant Thornton LLP, Young Bar Association of Montreal, Ontario Human Rights Commission and Canadian Human Rights Commission</w:t>
      </w:r>
      <w:r w:rsidR="00B02906" w:rsidRPr="00C6789C">
        <w:rPr>
          <w:b/>
          <w:sz w:val="20"/>
          <w:szCs w:val="20"/>
        </w:rPr>
        <w:t xml:space="preserve"> </w:t>
      </w:r>
      <w:r w:rsidR="00B02906" w:rsidRPr="00C6789C">
        <w:rPr>
          <w:sz w:val="20"/>
          <w:szCs w:val="20"/>
        </w:rPr>
        <w:t>(B.C.)</w:t>
      </w:r>
    </w:p>
    <w:p w:rsidR="00B02906" w:rsidRPr="00B02906" w:rsidRDefault="00B02906" w:rsidP="00B02906">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B02906">
        <w:rPr>
          <w:b/>
          <w:sz w:val="20"/>
          <w:szCs w:val="20"/>
        </w:rPr>
        <w:t>2014 SCC 39 / 2014 CSC 39</w:t>
      </w:r>
    </w:p>
    <w:p w:rsidR="00B02906" w:rsidRPr="00B02906" w:rsidRDefault="00B02906" w:rsidP="00B029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B02906" w:rsidRPr="00C6789C" w:rsidRDefault="00B02906" w:rsidP="00B02906">
      <w:pPr>
        <w:ind w:left="1440" w:hanging="1440"/>
        <w:rPr>
          <w:sz w:val="20"/>
          <w:szCs w:val="20"/>
          <w:u w:val="single"/>
        </w:rPr>
      </w:pPr>
      <w:r w:rsidRPr="00C6789C">
        <w:rPr>
          <w:sz w:val="20"/>
          <w:szCs w:val="20"/>
        </w:rPr>
        <w:t>Coram:</w:t>
      </w:r>
      <w:r w:rsidRPr="00C6789C">
        <w:rPr>
          <w:sz w:val="20"/>
          <w:szCs w:val="20"/>
        </w:rPr>
        <w:tab/>
      </w:r>
      <w:r w:rsidRPr="00C6789C">
        <w:rPr>
          <w:sz w:val="20"/>
          <w:szCs w:val="20"/>
          <w:u w:val="single"/>
        </w:rPr>
        <w:t xml:space="preserve">McLachlin C.J. and LeBel, Abella, Rothstein, Cromwell, Moldaver and Karakatsanis JJ. </w:t>
      </w:r>
    </w:p>
    <w:p w:rsidR="00B02906" w:rsidRPr="00C6789C" w:rsidRDefault="00B02906" w:rsidP="00B02906">
      <w:pPr>
        <w:ind w:left="1440" w:hanging="1440"/>
        <w:jc w:val="both"/>
        <w:rPr>
          <w:sz w:val="20"/>
          <w:szCs w:val="20"/>
          <w:u w:val="single"/>
        </w:rPr>
      </w:pPr>
    </w:p>
    <w:p w:rsidR="00B02906" w:rsidRPr="00C6789C" w:rsidRDefault="00B02906" w:rsidP="00B02906">
      <w:pPr>
        <w:jc w:val="both"/>
        <w:rPr>
          <w:sz w:val="20"/>
          <w:szCs w:val="20"/>
        </w:rPr>
      </w:pPr>
      <w:r w:rsidRPr="00C6789C">
        <w:rPr>
          <w:sz w:val="20"/>
          <w:szCs w:val="20"/>
        </w:rPr>
        <w:t>The appeal from the judgment of the Court of Appeal for British Columbia (Vancouver), Number CA039128, 2012 BCCA 313, dated July 19, 2012, heard on December 13, 2013, is dismissed with costs.</w:t>
      </w:r>
    </w:p>
    <w:p w:rsidR="00B02906" w:rsidRPr="00B02906" w:rsidRDefault="00B02906" w:rsidP="00B02906">
      <w:pPr>
        <w:jc w:val="both"/>
        <w:rPr>
          <w:sz w:val="20"/>
          <w:szCs w:val="20"/>
        </w:rPr>
      </w:pPr>
    </w:p>
    <w:p w:rsidR="00B02906" w:rsidRPr="00C6789C" w:rsidRDefault="00B02906" w:rsidP="00B02906">
      <w:pPr>
        <w:jc w:val="both"/>
        <w:rPr>
          <w:sz w:val="20"/>
          <w:szCs w:val="20"/>
          <w:lang w:val="fr-CA"/>
        </w:rPr>
      </w:pPr>
      <w:r w:rsidRPr="00C6789C">
        <w:rPr>
          <w:sz w:val="20"/>
          <w:szCs w:val="20"/>
          <w:lang w:val="fr-CA"/>
        </w:rPr>
        <w:t>L’appel interjeté contre l’arrêt de la Cour d’appel de la Colombie-Britannique (Vancouver), numéro CA039128, 2012 BCCA 313, en date du 19 juillet 2012, entendu le 13 décembre 2013, est rejeté avec dépens.</w:t>
      </w:r>
    </w:p>
    <w:p w:rsidR="00B02906" w:rsidRPr="00C42C54" w:rsidRDefault="00B02906" w:rsidP="0052229C">
      <w:pPr>
        <w:rPr>
          <w:sz w:val="20"/>
          <w:szCs w:val="20"/>
          <w:lang w:val="fr-CA"/>
        </w:rPr>
      </w:pPr>
    </w:p>
    <w:p w:rsidR="0052229C" w:rsidRPr="003B3977" w:rsidRDefault="00142ACF" w:rsidP="0052229C">
      <w:pPr>
        <w:spacing w:line="0" w:lineRule="atLeast"/>
        <w:rPr>
          <w:sz w:val="20"/>
          <w:szCs w:val="20"/>
        </w:rPr>
      </w:pPr>
      <w:r>
        <w:rPr>
          <w:b/>
          <w:sz w:val="20"/>
          <w:szCs w:val="20"/>
        </w:rPr>
        <w:pict>
          <v:rect id="_x0000_i104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2229C" w:rsidRPr="00A84883" w:rsidRDefault="00BE38E9" w:rsidP="0052229C">
      <w:pPr>
        <w:rPr>
          <w:b/>
          <w:sz w:val="20"/>
          <w:szCs w:val="20"/>
        </w:rPr>
      </w:pPr>
      <w:r>
        <w:rPr>
          <w:b/>
          <w:sz w:val="20"/>
          <w:szCs w:val="20"/>
        </w:rPr>
        <w:t>M</w:t>
      </w:r>
      <w:r w:rsidR="0052229C" w:rsidRPr="00A84883">
        <w:rPr>
          <w:b/>
          <w:sz w:val="20"/>
          <w:szCs w:val="20"/>
        </w:rPr>
        <w:t xml:space="preserve">AY </w:t>
      </w:r>
      <w:r>
        <w:rPr>
          <w:b/>
          <w:sz w:val="20"/>
          <w:szCs w:val="20"/>
        </w:rPr>
        <w:t>23</w:t>
      </w:r>
      <w:r w:rsidR="0052229C" w:rsidRPr="00A84883">
        <w:rPr>
          <w:b/>
          <w:sz w:val="20"/>
          <w:szCs w:val="20"/>
        </w:rPr>
        <w:t xml:space="preserve">, 2014 / LE </w:t>
      </w:r>
      <w:r>
        <w:rPr>
          <w:b/>
          <w:sz w:val="20"/>
          <w:szCs w:val="20"/>
        </w:rPr>
        <w:t>23 M</w:t>
      </w:r>
      <w:r w:rsidR="0052229C" w:rsidRPr="00A84883">
        <w:rPr>
          <w:b/>
          <w:sz w:val="20"/>
          <w:szCs w:val="20"/>
        </w:rPr>
        <w:t>AI 2014</w:t>
      </w:r>
    </w:p>
    <w:p w:rsidR="0052229C" w:rsidRPr="00A84883" w:rsidRDefault="0052229C" w:rsidP="0052229C">
      <w:pPr>
        <w:spacing w:line="0" w:lineRule="atLeast"/>
        <w:rPr>
          <w:rFonts w:cs="Times New Roman"/>
          <w:sz w:val="20"/>
          <w:szCs w:val="20"/>
        </w:rPr>
      </w:pPr>
    </w:p>
    <w:p w:rsidR="0040016A" w:rsidRPr="0043110E" w:rsidRDefault="004876A0" w:rsidP="0040016A">
      <w:pPr>
        <w:ind w:left="1440" w:hanging="1440"/>
        <w:jc w:val="both"/>
        <w:rPr>
          <w:sz w:val="20"/>
          <w:szCs w:val="20"/>
        </w:rPr>
      </w:pPr>
      <w:r w:rsidRPr="0043110E">
        <w:rPr>
          <w:b/>
          <w:sz w:val="20"/>
          <w:szCs w:val="20"/>
        </w:rPr>
        <w:fldChar w:fldCharType="begin"/>
      </w:r>
      <w:r w:rsidR="0040016A" w:rsidRPr="0043110E">
        <w:rPr>
          <w:b/>
          <w:sz w:val="20"/>
          <w:szCs w:val="20"/>
        </w:rPr>
        <w:instrText xml:space="preserve"> SEQ CHAPTER \h \r 1</w:instrText>
      </w:r>
      <w:r w:rsidRPr="0043110E">
        <w:rPr>
          <w:b/>
          <w:sz w:val="20"/>
          <w:szCs w:val="20"/>
        </w:rPr>
        <w:fldChar w:fldCharType="end"/>
      </w:r>
      <w:r w:rsidR="0040016A" w:rsidRPr="0043110E">
        <w:rPr>
          <w:b/>
          <w:sz w:val="20"/>
          <w:szCs w:val="20"/>
        </w:rPr>
        <w:t>35145</w:t>
      </w:r>
      <w:r w:rsidR="0040016A" w:rsidRPr="0043110E">
        <w:rPr>
          <w:sz w:val="20"/>
          <w:szCs w:val="20"/>
        </w:rPr>
        <w:tab/>
      </w:r>
      <w:r w:rsidR="0040016A" w:rsidRPr="0043110E">
        <w:rPr>
          <w:b/>
          <w:sz w:val="20"/>
          <w:szCs w:val="20"/>
          <w:u w:val="single"/>
        </w:rPr>
        <w:t>Canadian National Railway Company v. Attorney General of Canada, Peace River Coal Inc. and Canadian Industrial Transportation Association</w:t>
      </w:r>
      <w:r w:rsidR="0040016A" w:rsidRPr="0043110E">
        <w:rPr>
          <w:b/>
          <w:sz w:val="20"/>
          <w:szCs w:val="20"/>
        </w:rPr>
        <w:t xml:space="preserve"> </w:t>
      </w:r>
      <w:r w:rsidR="0040016A" w:rsidRPr="0043110E">
        <w:rPr>
          <w:iCs/>
          <w:sz w:val="20"/>
          <w:szCs w:val="20"/>
        </w:rPr>
        <w:t>(F.C.)</w:t>
      </w:r>
    </w:p>
    <w:p w:rsidR="0040016A" w:rsidRPr="0043110E" w:rsidRDefault="0040016A" w:rsidP="0040016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3110E">
        <w:rPr>
          <w:b/>
          <w:sz w:val="20"/>
          <w:szCs w:val="20"/>
        </w:rPr>
        <w:t>2014 SCC 40/ 2014 CSC 40</w:t>
      </w:r>
    </w:p>
    <w:p w:rsidR="0040016A" w:rsidRPr="0043110E" w:rsidRDefault="0040016A" w:rsidP="004001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0016A" w:rsidRPr="0043110E" w:rsidRDefault="0040016A" w:rsidP="0040016A">
      <w:pPr>
        <w:ind w:left="1440" w:hanging="1440"/>
        <w:jc w:val="both"/>
        <w:rPr>
          <w:sz w:val="20"/>
          <w:szCs w:val="20"/>
          <w:u w:val="single"/>
        </w:rPr>
      </w:pPr>
      <w:r w:rsidRPr="0043110E">
        <w:rPr>
          <w:sz w:val="20"/>
          <w:szCs w:val="20"/>
        </w:rPr>
        <w:t>Coram:</w:t>
      </w:r>
      <w:r w:rsidRPr="0043110E">
        <w:rPr>
          <w:sz w:val="20"/>
          <w:szCs w:val="20"/>
        </w:rPr>
        <w:tab/>
      </w:r>
      <w:r w:rsidRPr="0043110E">
        <w:rPr>
          <w:sz w:val="20"/>
          <w:szCs w:val="20"/>
          <w:u w:val="single"/>
        </w:rPr>
        <w:t xml:space="preserve">McLachlin C.J. and LeBel, Abella, Rothstein, Cromwell, Karakatsanis and Wagner JJ. </w:t>
      </w:r>
    </w:p>
    <w:p w:rsidR="0040016A" w:rsidRPr="0043110E" w:rsidRDefault="0040016A" w:rsidP="0040016A">
      <w:pPr>
        <w:ind w:left="1440" w:hanging="1440"/>
        <w:jc w:val="both"/>
        <w:rPr>
          <w:sz w:val="20"/>
          <w:szCs w:val="20"/>
          <w:u w:val="single"/>
        </w:rPr>
      </w:pPr>
    </w:p>
    <w:p w:rsidR="0040016A" w:rsidRPr="0043110E" w:rsidRDefault="0040016A" w:rsidP="0040016A">
      <w:pPr>
        <w:jc w:val="both"/>
        <w:rPr>
          <w:rFonts w:eastAsia="Calibri"/>
          <w:sz w:val="20"/>
          <w:szCs w:val="20"/>
        </w:rPr>
      </w:pPr>
      <w:r w:rsidRPr="0043110E">
        <w:rPr>
          <w:rFonts w:eastAsia="Calibri"/>
          <w:sz w:val="20"/>
          <w:szCs w:val="20"/>
        </w:rPr>
        <w:t xml:space="preserve">The appeal from the judgment </w:t>
      </w:r>
      <w:bookmarkStart w:id="2" w:name="BM_1_"/>
      <w:bookmarkEnd w:id="2"/>
      <w:r w:rsidRPr="0043110E">
        <w:rPr>
          <w:rFonts w:eastAsia="Calibri"/>
          <w:sz w:val="20"/>
          <w:szCs w:val="20"/>
        </w:rPr>
        <w:t>of the Federal Court of Appeal, Numbers A-438-11 and A-440-11, 2012  FCA  278, dated November 2, 2012, heard on January 14, 2014, is dismissed with costs to the Attorney General of Canada and one set of costs to PRC and CITA.</w:t>
      </w:r>
    </w:p>
    <w:p w:rsidR="0040016A" w:rsidRPr="0040016A" w:rsidRDefault="0040016A" w:rsidP="0040016A">
      <w:pPr>
        <w:jc w:val="both"/>
        <w:rPr>
          <w:rFonts w:eastAsia="Calibri"/>
          <w:sz w:val="20"/>
          <w:szCs w:val="20"/>
        </w:rPr>
      </w:pPr>
    </w:p>
    <w:p w:rsidR="0040016A" w:rsidRPr="0043110E" w:rsidRDefault="0040016A" w:rsidP="0040016A">
      <w:pPr>
        <w:jc w:val="both"/>
        <w:rPr>
          <w:rFonts w:eastAsia="Calibri"/>
          <w:sz w:val="20"/>
          <w:szCs w:val="20"/>
          <w:lang w:val="fr-CA"/>
        </w:rPr>
      </w:pPr>
      <w:r w:rsidRPr="0043110E">
        <w:rPr>
          <w:rFonts w:eastAsia="Calibri"/>
          <w:sz w:val="20"/>
          <w:szCs w:val="20"/>
          <w:lang w:val="fr-CA"/>
        </w:rPr>
        <w:t>L’appel interjeté contre l’arrêt de la Cour d’appel fédérale, numéros A-438-11 et A-440-11, 2012  CAF  278, en date du 2 novembre 2012, entendu le 14 janvier 2014, est rejeté avec dépens en faveur du procureur général du Canada, et avec dépens en faveur de PRC et l’ACTI sur la base d’un seul mémoire de frais.</w:t>
      </w:r>
    </w:p>
    <w:p w:rsidR="00D004FC" w:rsidRPr="0052229C" w:rsidRDefault="00D004FC" w:rsidP="00D004FC">
      <w:pPr>
        <w:spacing w:line="0" w:lineRule="atLeast"/>
        <w:rPr>
          <w:rFonts w:cs="Times New Roman"/>
          <w:sz w:val="20"/>
          <w:szCs w:val="20"/>
          <w:lang w:val="fr-CA"/>
        </w:rPr>
      </w:pPr>
    </w:p>
    <w:p w:rsidR="00D004FC" w:rsidRDefault="00142ACF" w:rsidP="00D004FC">
      <w:pPr>
        <w:jc w:val="both"/>
        <w:rPr>
          <w:rFonts w:cs="Times New Roman"/>
          <w:b/>
          <w:sz w:val="20"/>
          <w:szCs w:val="20"/>
        </w:rPr>
      </w:pPr>
      <w:r>
        <w:rPr>
          <w:rFonts w:cs="Times New Roman"/>
          <w:b/>
          <w:sz w:val="20"/>
          <w:szCs w:val="20"/>
        </w:rPr>
        <w:pict>
          <v:rect id="_x0000_i105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55E10" w:rsidRPr="00C544FC" w:rsidRDefault="00555E10" w:rsidP="0052229C">
      <w:pPr>
        <w:ind w:left="1440" w:hanging="1440"/>
        <w:jc w:val="both"/>
        <w:rPr>
          <w:rFonts w:eastAsia="Calibri"/>
          <w:i/>
          <w:sz w:val="20"/>
          <w:szCs w:val="20"/>
        </w:rPr>
      </w:pPr>
      <w:r w:rsidRPr="00530288">
        <w:rPr>
          <w:i/>
          <w:sz w:val="20"/>
          <w:szCs w:val="20"/>
        </w:rPr>
        <w:t>John Michael McCormick v. Fasken Martineau Dumoulin LLP</w:t>
      </w:r>
      <w:r w:rsidRPr="00530288">
        <w:rPr>
          <w:sz w:val="20"/>
          <w:szCs w:val="20"/>
        </w:rPr>
        <w:t xml:space="preserve"> (B.C.) (</w:t>
      </w:r>
      <w:hyperlink r:id="rId59" w:history="1">
        <w:r w:rsidRPr="00530288">
          <w:rPr>
            <w:rStyle w:val="Hyperlink"/>
            <w:sz w:val="20"/>
            <w:szCs w:val="20"/>
          </w:rPr>
          <w:t>34997</w:t>
        </w:r>
      </w:hyperlink>
      <w:r w:rsidRPr="00530288">
        <w:rPr>
          <w:sz w:val="20"/>
          <w:szCs w:val="20"/>
        </w:rPr>
        <w:t>)</w:t>
      </w:r>
    </w:p>
    <w:p w:rsidR="00C544FC" w:rsidRPr="0009565C" w:rsidRDefault="00C544FC" w:rsidP="00C544FC">
      <w:pPr>
        <w:widowControl w:val="0"/>
        <w:jc w:val="both"/>
        <w:rPr>
          <w:b/>
          <w:sz w:val="20"/>
          <w:szCs w:val="20"/>
        </w:rPr>
      </w:pPr>
      <w:r w:rsidRPr="0009565C">
        <w:rPr>
          <w:b/>
          <w:sz w:val="20"/>
          <w:szCs w:val="20"/>
        </w:rPr>
        <w:t xml:space="preserve">Indexed as:  McCormick </w:t>
      </w:r>
      <w:r w:rsidRPr="0009565C">
        <w:rPr>
          <w:b/>
          <w:i/>
          <w:sz w:val="20"/>
          <w:szCs w:val="20"/>
        </w:rPr>
        <w:t>v.</w:t>
      </w:r>
      <w:r w:rsidRPr="0009565C">
        <w:rPr>
          <w:b/>
          <w:sz w:val="20"/>
          <w:szCs w:val="20"/>
        </w:rPr>
        <w:t xml:space="preserve"> Fasken Martineau DuMoulin LLP</w:t>
      </w:r>
      <w:r>
        <w:rPr>
          <w:b/>
          <w:sz w:val="20"/>
          <w:szCs w:val="20"/>
        </w:rPr>
        <w:t xml:space="preserve"> / </w:t>
      </w:r>
    </w:p>
    <w:p w:rsidR="00C544FC" w:rsidRPr="00C544FC" w:rsidRDefault="00C544FC" w:rsidP="00C544FC">
      <w:pPr>
        <w:widowControl w:val="0"/>
        <w:jc w:val="both"/>
        <w:rPr>
          <w:b/>
          <w:sz w:val="20"/>
          <w:szCs w:val="20"/>
        </w:rPr>
      </w:pPr>
      <w:r w:rsidRPr="00C544FC">
        <w:rPr>
          <w:b/>
          <w:sz w:val="20"/>
          <w:szCs w:val="20"/>
        </w:rPr>
        <w:t xml:space="preserve">Répertorié : McCormick </w:t>
      </w:r>
      <w:r w:rsidRPr="00C544FC">
        <w:rPr>
          <w:b/>
          <w:i/>
          <w:sz w:val="20"/>
          <w:szCs w:val="20"/>
        </w:rPr>
        <w:t>c.</w:t>
      </w:r>
      <w:r w:rsidRPr="00C544FC">
        <w:rPr>
          <w:b/>
          <w:sz w:val="20"/>
          <w:szCs w:val="20"/>
        </w:rPr>
        <w:t xml:space="preserve"> Fasken Martineau DuMoulin S.E.N.C.R.L./s.r.l.</w:t>
      </w:r>
    </w:p>
    <w:p w:rsidR="0052229C" w:rsidRPr="00555E10" w:rsidRDefault="0052229C" w:rsidP="0052229C">
      <w:pPr>
        <w:pStyle w:val="SCCSystemYear"/>
        <w:jc w:val="both"/>
        <w:rPr>
          <w:sz w:val="20"/>
        </w:rPr>
      </w:pPr>
      <w:r w:rsidRPr="00555E10">
        <w:rPr>
          <w:sz w:val="20"/>
        </w:rPr>
        <w:t>Neutral citation:  2014 SCC </w:t>
      </w:r>
      <w:r w:rsidR="00555E10" w:rsidRPr="00555E10">
        <w:rPr>
          <w:sz w:val="20"/>
        </w:rPr>
        <w:t>39</w:t>
      </w:r>
      <w:r w:rsidRPr="00555E10">
        <w:rPr>
          <w:sz w:val="20"/>
        </w:rPr>
        <w:t xml:space="preserve"> / Référence neutre : 2014 CSC </w:t>
      </w:r>
      <w:r w:rsidR="00555E10" w:rsidRPr="00555E10">
        <w:rPr>
          <w:sz w:val="20"/>
        </w:rPr>
        <w:t>39</w:t>
      </w:r>
    </w:p>
    <w:p w:rsidR="0052229C" w:rsidRPr="00555E10" w:rsidRDefault="0052229C" w:rsidP="0052229C">
      <w:pPr>
        <w:rPr>
          <w:rFonts w:cs="Times New Roman"/>
          <w:sz w:val="20"/>
          <w:szCs w:val="20"/>
          <w:lang w:val="fr-CA"/>
        </w:rPr>
      </w:pPr>
      <w:r w:rsidRPr="00555E10">
        <w:rPr>
          <w:rFonts w:cs="Times New Roman"/>
          <w:sz w:val="20"/>
          <w:szCs w:val="20"/>
          <w:lang w:val="fr-CA"/>
        </w:rPr>
        <w:t xml:space="preserve">Hearing:  </w:t>
      </w:r>
      <w:r w:rsidR="00C544FC">
        <w:rPr>
          <w:rFonts w:cs="Times New Roman"/>
          <w:sz w:val="20"/>
          <w:szCs w:val="20"/>
          <w:lang w:val="fr-CA"/>
        </w:rPr>
        <w:t>Decembe</w:t>
      </w:r>
      <w:r w:rsidRPr="00555E10">
        <w:rPr>
          <w:rFonts w:cs="Times New Roman"/>
          <w:sz w:val="20"/>
          <w:szCs w:val="20"/>
          <w:lang w:val="fr-CA"/>
        </w:rPr>
        <w:t xml:space="preserve">r </w:t>
      </w:r>
      <w:r w:rsidR="00C544FC">
        <w:rPr>
          <w:rFonts w:cs="Times New Roman"/>
          <w:sz w:val="20"/>
          <w:szCs w:val="20"/>
          <w:lang w:val="fr-CA"/>
        </w:rPr>
        <w:t>13</w:t>
      </w:r>
      <w:r w:rsidRPr="00555E10">
        <w:rPr>
          <w:rFonts w:cs="Times New Roman"/>
          <w:sz w:val="20"/>
          <w:szCs w:val="20"/>
          <w:lang w:val="fr-CA"/>
        </w:rPr>
        <w:t xml:space="preserve">, 2013 / Judgment:  </w:t>
      </w:r>
      <w:r w:rsidR="00555E10" w:rsidRPr="00555E10">
        <w:rPr>
          <w:rFonts w:cs="Times New Roman"/>
          <w:sz w:val="20"/>
          <w:szCs w:val="20"/>
          <w:lang w:val="fr-CA"/>
        </w:rPr>
        <w:t>M</w:t>
      </w:r>
      <w:r w:rsidRPr="00555E10">
        <w:rPr>
          <w:rFonts w:cs="Times New Roman"/>
          <w:sz w:val="20"/>
          <w:szCs w:val="20"/>
          <w:lang w:val="fr-CA"/>
        </w:rPr>
        <w:t xml:space="preserve">ay </w:t>
      </w:r>
      <w:r w:rsidR="00555E10" w:rsidRPr="00555E10">
        <w:rPr>
          <w:rFonts w:cs="Times New Roman"/>
          <w:sz w:val="20"/>
          <w:szCs w:val="20"/>
          <w:lang w:val="fr-CA"/>
        </w:rPr>
        <w:t>22</w:t>
      </w:r>
      <w:r w:rsidRPr="00555E10">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C544FC">
        <w:rPr>
          <w:rFonts w:cs="Times New Roman"/>
          <w:sz w:val="20"/>
          <w:szCs w:val="20"/>
          <w:lang w:val="fr-CA"/>
        </w:rPr>
        <w:t>13</w:t>
      </w:r>
      <w:r w:rsidRPr="003B3977">
        <w:rPr>
          <w:rFonts w:cs="Times New Roman"/>
          <w:sz w:val="20"/>
          <w:szCs w:val="20"/>
          <w:lang w:val="fr-CA"/>
        </w:rPr>
        <w:t xml:space="preserve"> </w:t>
      </w:r>
      <w:r w:rsidR="00C544FC">
        <w:rPr>
          <w:rFonts w:cs="Times New Roman"/>
          <w:sz w:val="20"/>
          <w:szCs w:val="20"/>
          <w:lang w:val="fr-CA"/>
        </w:rPr>
        <w:t>décembre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sidR="00555E10">
        <w:rPr>
          <w:rFonts w:cs="Times New Roman"/>
          <w:sz w:val="20"/>
          <w:szCs w:val="20"/>
          <w:lang w:val="fr-CA"/>
        </w:rPr>
        <w:t>22</w:t>
      </w:r>
      <w:r>
        <w:rPr>
          <w:rFonts w:cs="Times New Roman"/>
          <w:sz w:val="20"/>
          <w:szCs w:val="20"/>
          <w:lang w:val="fr-CA"/>
        </w:rPr>
        <w:t xml:space="preserve"> </w:t>
      </w:r>
      <w:r w:rsidR="00555E10">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Pr>
          <w:rFonts w:cs="Times New Roman"/>
          <w:sz w:val="20"/>
          <w:szCs w:val="20"/>
          <w:lang w:val="fr-CA"/>
        </w:rPr>
        <w:t>4</w:t>
      </w:r>
    </w:p>
    <w:p w:rsidR="005C6840" w:rsidRPr="003B3977" w:rsidRDefault="00142ACF" w:rsidP="005C6840">
      <w:pPr>
        <w:rPr>
          <w:rFonts w:cs="Times New Roman"/>
          <w:sz w:val="20"/>
          <w:szCs w:val="20"/>
          <w:lang w:val="fr-CA"/>
        </w:rPr>
      </w:pPr>
      <w:r>
        <w:rPr>
          <w:rFonts w:cs="Times New Roman"/>
          <w:i/>
          <w:sz w:val="20"/>
          <w:szCs w:val="20"/>
        </w:rPr>
        <w:pict>
          <v:rect id="_x0000_i105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544FC" w:rsidRPr="0009565C" w:rsidRDefault="00C544FC" w:rsidP="00C544FC">
      <w:pPr>
        <w:widowControl w:val="0"/>
        <w:jc w:val="both"/>
        <w:rPr>
          <w:sz w:val="20"/>
          <w:szCs w:val="20"/>
        </w:rPr>
      </w:pPr>
      <w:r w:rsidRPr="0009565C">
        <w:rPr>
          <w:sz w:val="20"/>
          <w:szCs w:val="20"/>
        </w:rPr>
        <w:t>Present:  McLachlin C.J. and LeBel, Abella, Rothstein, Cromwell, Moldaver and Karakatsanis JJ.</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i/>
          <w:sz w:val="20"/>
        </w:rPr>
      </w:pPr>
      <w:r w:rsidRPr="0009565C">
        <w:rPr>
          <w:sz w:val="20"/>
        </w:rPr>
        <w:tab/>
      </w:r>
      <w:r w:rsidRPr="0009565C">
        <w:rPr>
          <w:i/>
          <w:sz w:val="20"/>
        </w:rPr>
        <w:t>Human rights — Discrimination — Employment — Age — Law firm partnership agreement containing provision relating to retirement at age 65 — Equity partner filing complaint with Human Rights Tribunal arguing provision constituting age discrimination in employment — Whether equity partner engaged in “employment relationship” for purposes of Human Rights Code — Whether complaint comes within jurisdiction of Human Rights Tribunal — Human Rights Code, R.S.B.C. 1996, c. 210, ss. 1, 13 and 27.</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M became an equity partner at his law firm in 1979. An equity partner has an ownership interest in the firm. In the 1980s, the equity partners voted to adopt a provision in their Partnership Agreement that required equity partners to retire as equity partners and divest their ownership shares at the end of the year in which they turned 65. A partner could make individual arrangements to continue working as an employee or as a “regular” partner without an equity stake, but such arrangements are stated in the Agreement to be the exception rather than the rule. In 2009, when he was 64, M brought a complaint to the Human Rights Tribunal arguing that this provision constituted age discrimination in employment, contrary to s. 13(1) of the </w:t>
      </w:r>
      <w:r w:rsidRPr="0009565C">
        <w:rPr>
          <w:i/>
          <w:sz w:val="20"/>
        </w:rPr>
        <w:t>Human Rights Code</w:t>
      </w:r>
      <w:r w:rsidRPr="0009565C">
        <w:rPr>
          <w:sz w:val="20"/>
        </w:rPr>
        <w:t>, R.S.B.C. 1996, c. 210 (“</w:t>
      </w:r>
      <w:r w:rsidRPr="0009565C">
        <w:rPr>
          <w:i/>
          <w:sz w:val="20"/>
        </w:rPr>
        <w:t>Code</w:t>
      </w:r>
      <w:r w:rsidRPr="0009565C">
        <w:rPr>
          <w:sz w:val="20"/>
        </w:rPr>
        <w:t xml:space="preserve">”).  </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The law firm applied to have the complaint dismissed on the grounds that M, as an equity partner, was not in the type of workplace relationship covered by the </w:t>
      </w:r>
      <w:r w:rsidRPr="0009565C">
        <w:rPr>
          <w:i/>
          <w:sz w:val="20"/>
        </w:rPr>
        <w:t>Code</w:t>
      </w:r>
      <w:r w:rsidRPr="0009565C">
        <w:rPr>
          <w:sz w:val="20"/>
        </w:rPr>
        <w:t xml:space="preserve">. The Tribunal concluded that there was an employment relationship. The law firm’s application for judicial review was dismissed by the B.C. Supreme Court. The Court of Appeal allowed the appeal, concluding that M, as a partner, was not in an employment relationship pursuant to the </w:t>
      </w:r>
      <w:r w:rsidRPr="0009565C">
        <w:rPr>
          <w:i/>
          <w:sz w:val="20"/>
        </w:rPr>
        <w:t>Code</w:t>
      </w:r>
      <w:r w:rsidRPr="0009565C">
        <w:rPr>
          <w:sz w:val="20"/>
        </w:rPr>
        <w:t xml:space="preserve">. </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Held</w:t>
      </w:r>
      <w:r w:rsidRPr="0009565C">
        <w:rPr>
          <w:sz w:val="20"/>
        </w:rPr>
        <w:t xml:space="preserve">:  The appeal should be dismissed.  </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The </w:t>
      </w:r>
      <w:r w:rsidRPr="0009565C">
        <w:rPr>
          <w:i/>
          <w:sz w:val="20"/>
        </w:rPr>
        <w:t>Code</w:t>
      </w:r>
      <w:r w:rsidRPr="0009565C">
        <w:rPr>
          <w:sz w:val="20"/>
        </w:rPr>
        <w:t xml:space="preserve"> is quasi</w:t>
      </w:r>
      <w:r w:rsidRPr="0009565C">
        <w:rPr>
          <w:sz w:val="20"/>
        </w:rPr>
        <w:noBreakHyphen/>
        <w:t xml:space="preserve">constitutional legislation that attracts a generous interpretation to permit the achievement of its broad public purposes. Those purposes include the prevention of arbitrary disadvantage or exclusion based on enumerated grounds, so that individuals deemed to be vulnerable by virtue of a group characteristic can be protected from discrimination. The </w:t>
      </w:r>
      <w:r w:rsidRPr="0009565C">
        <w:rPr>
          <w:i/>
          <w:sz w:val="20"/>
        </w:rPr>
        <w:t>Code</w:t>
      </w:r>
      <w:r w:rsidRPr="0009565C">
        <w:rPr>
          <w:sz w:val="20"/>
        </w:rPr>
        <w:t xml:space="preserve"> achieves those purposes by prohibiting discrimination in specific contexts. One of these contexts is employment.</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Deciding who is in an “employment relationship” for purposes of the </w:t>
      </w:r>
      <w:r w:rsidRPr="0009565C">
        <w:rPr>
          <w:i/>
          <w:sz w:val="20"/>
        </w:rPr>
        <w:t>Code</w:t>
      </w:r>
      <w:r w:rsidRPr="0009565C">
        <w:rPr>
          <w:sz w:val="20"/>
        </w:rPr>
        <w:t xml:space="preserve"> means examining how two synergetic aspects function in an employment relationship: control exercised by an employer over working conditions and remuneration, and corresponding dependency on the part of a worker. The test is who is responsible for determining working conditions and financial benefits and to what extent does a worker have an influential say in those determinations? The more the work life of individuals is controlled, the greater their dependency and, consequently, their economic, social and psychological vulnerability in the workplace. </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Control and dependency are a function not only of whether the worker receives immediate direction from, or is affected by the decisions of others, but also whether he or she has the ability to influence decisions that critically affect his or her working life. The answers to these questions represent the compass for determining the true nature of the relationship. Ultimately, the key is the degree of control and the extent to which the worker is subject and subordinate to someone else’s decision</w:t>
      </w:r>
      <w:r w:rsidRPr="0009565C">
        <w:rPr>
          <w:sz w:val="20"/>
        </w:rPr>
        <w:noBreakHyphen/>
        <w:t>making over working conditions and remuneration.</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Applying the control/dependency test to this case, in addition to the right to participate in the management of the partnership, as an equity partner M benefited from other control mechanisms, including the right to vote for ― and </w:t>
      </w:r>
      <w:r w:rsidRPr="0009565C">
        <w:rPr>
          <w:sz w:val="20"/>
        </w:rPr>
        <w:lastRenderedPageBreak/>
        <w:t xml:space="preserve">stand for election to ― the firm’s Board; the duty that the other partners owed to him to render accounts; the right not to be subject to discipline or dismissal; the right, on leaving the firm, to his share of the firm’s capital account; and the protection that he could only be expelled from the partnership by a special resolution passed by a meeting of all equity partners and a regional resolution in his region.  </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 xml:space="preserve">As an equity partner, and based on his ownership, sharing of profits and losses, and the right to participate in management, M was part of the group that controlled the partnership, not a person vulnerable to its control, and, for over 30 years, benefited financially from the retirement of other partners. In no material way was M structurally or substantively ever in a subordinate relationship with the other equity partners. It is true that the law firm had certain administrative rules to which M was subject, but they did not transform the substance of the relationship into one of subordination or dependency. This is not to say that a partner in a firm can never be an employee under the </w:t>
      </w:r>
      <w:r w:rsidRPr="0009565C">
        <w:rPr>
          <w:i/>
          <w:sz w:val="20"/>
        </w:rPr>
        <w:t>Code</w:t>
      </w:r>
      <w:r w:rsidRPr="0009565C">
        <w:rPr>
          <w:sz w:val="20"/>
        </w:rPr>
        <w:t xml:space="preserve">, but in the absence of any genuine control of M in the significant decisions affecting the workplace, there was no employment relationship between him and the partnership under the provisions of the </w:t>
      </w:r>
      <w:r w:rsidRPr="0009565C">
        <w:rPr>
          <w:i/>
          <w:sz w:val="20"/>
        </w:rPr>
        <w:t>Code</w:t>
      </w:r>
      <w:r w:rsidRPr="0009565C">
        <w:rPr>
          <w:sz w:val="20"/>
        </w:rPr>
        <w:t>.</w:t>
      </w:r>
    </w:p>
    <w:p w:rsidR="00C544FC" w:rsidRDefault="00C544FC" w:rsidP="00C544FC">
      <w:pPr>
        <w:pStyle w:val="SCCNormalDoubleSpacing"/>
        <w:widowControl w:val="0"/>
        <w:spacing w:line="240" w:lineRule="auto"/>
        <w:rPr>
          <w:sz w:val="20"/>
        </w:rPr>
      </w:pPr>
    </w:p>
    <w:p w:rsidR="00C544FC" w:rsidRDefault="00C544FC" w:rsidP="00C544FC">
      <w:pPr>
        <w:pStyle w:val="SCCNormalDoubleSpacing"/>
        <w:widowControl w:val="0"/>
        <w:spacing w:line="240" w:lineRule="auto"/>
        <w:rPr>
          <w:sz w:val="20"/>
        </w:rPr>
      </w:pPr>
      <w:r w:rsidRPr="0009565C">
        <w:rPr>
          <w:sz w:val="20"/>
        </w:rPr>
        <w:tab/>
        <w:t>The Tribunal therefore had no jurisdiction over M’s relationship with the partnership. </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APPEAL from a judgment of the British Columbia Court of Appeal (Finch C.J. and Newbury and Levine JJ.A.), 2012 BCCA 313, 352 D.L.R. (4th) 294, [2012] 9 W.W.R. 633, 325 B.C.A.C. 216, 34 B.C.L.R. (5th) 160, 100 C.C.E.L. (3d) 196, [2012] B.C.J. No. 1508 (QL), 2012 CarswellBC 2180, setting aside a decision of Bruce J., 2011 BCSC 713, 335 D.L.R. (4th) 450, 93 C.C.E.L. (3d) 314, 71 C.H.R.R. D/280, [2011] B.C.J. No. 999 (QL), 2011 CarswellBC 1340. Appeal dismissed.</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Murray Tevlin</w:t>
      </w:r>
      <w:r w:rsidRPr="0009565C">
        <w:rPr>
          <w:sz w:val="20"/>
        </w:rPr>
        <w:t xml:space="preserve"> and </w:t>
      </w:r>
      <w:r w:rsidRPr="0009565C">
        <w:rPr>
          <w:i/>
          <w:sz w:val="20"/>
        </w:rPr>
        <w:t>John Chesko</w:t>
      </w:r>
      <w:r w:rsidRPr="0009565C">
        <w:rPr>
          <w:sz w:val="20"/>
        </w:rPr>
        <w:t>, for the appellant.</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Irwin G. Nathanson</w:t>
      </w:r>
      <w:r w:rsidRPr="0009565C">
        <w:rPr>
          <w:sz w:val="20"/>
        </w:rPr>
        <w:t xml:space="preserve">, </w:t>
      </w:r>
      <w:r w:rsidRPr="0009565C">
        <w:rPr>
          <w:i/>
          <w:sz w:val="20"/>
        </w:rPr>
        <w:t>Q.C.</w:t>
      </w:r>
      <w:r w:rsidRPr="0009565C">
        <w:rPr>
          <w:sz w:val="20"/>
        </w:rPr>
        <w:t xml:space="preserve">, and </w:t>
      </w:r>
      <w:r w:rsidRPr="0009565C">
        <w:rPr>
          <w:i/>
          <w:sz w:val="20"/>
        </w:rPr>
        <w:t>Peter Senkpiel</w:t>
      </w:r>
      <w:r w:rsidRPr="0009565C">
        <w:rPr>
          <w:sz w:val="20"/>
        </w:rPr>
        <w:t>, for the respondent.</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 xml:space="preserve">Arman Mujahid Chak </w:t>
      </w:r>
      <w:r w:rsidRPr="0009565C">
        <w:rPr>
          <w:sz w:val="20"/>
        </w:rPr>
        <w:t>and</w:t>
      </w:r>
      <w:r w:rsidRPr="0009565C">
        <w:rPr>
          <w:i/>
          <w:sz w:val="20"/>
        </w:rPr>
        <w:t xml:space="preserve"> Audrey Dean</w:t>
      </w:r>
      <w:r w:rsidRPr="0009565C">
        <w:rPr>
          <w:sz w:val="20"/>
        </w:rPr>
        <w:t>, for the intervener the Alberta Human Rights Commission.</w:t>
      </w:r>
    </w:p>
    <w:p w:rsidR="00CF1133" w:rsidRDefault="00CF1133"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Katherine Hardie</w:t>
      </w:r>
      <w:r w:rsidRPr="0009565C">
        <w:rPr>
          <w:sz w:val="20"/>
        </w:rPr>
        <w:t>, for the intervener the British Columbia Human Rights Tribunal.</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Peter H. Griffin</w:t>
      </w:r>
      <w:r w:rsidRPr="0009565C">
        <w:rPr>
          <w:sz w:val="20"/>
        </w:rPr>
        <w:t xml:space="preserve"> and </w:t>
      </w:r>
      <w:r w:rsidRPr="0009565C">
        <w:rPr>
          <w:i/>
          <w:sz w:val="20"/>
        </w:rPr>
        <w:t>Rory Gillis</w:t>
      </w:r>
      <w:r w:rsidRPr="0009565C">
        <w:rPr>
          <w:sz w:val="20"/>
        </w:rPr>
        <w:t>, for the interveners Ernst &amp; Young LLP, KPMG LLP, Deloitte LLP, PricewaterhouseCoopers LLP, BDO Canada LLP and Grant Thornton LLP.</w:t>
      </w:r>
    </w:p>
    <w:p w:rsidR="00C544FC" w:rsidRDefault="00C544FC" w:rsidP="00C544FC">
      <w:pPr>
        <w:pStyle w:val="SCCNormalDoubleSpacing"/>
        <w:widowControl w:val="0"/>
        <w:spacing w:line="240" w:lineRule="auto"/>
        <w:rPr>
          <w:sz w:val="20"/>
        </w:rPr>
      </w:pPr>
    </w:p>
    <w:p w:rsidR="00C544FC" w:rsidRPr="0009565C" w:rsidRDefault="00C544FC" w:rsidP="00C544FC">
      <w:pPr>
        <w:pStyle w:val="SCCNormalDoubleSpacing"/>
        <w:widowControl w:val="0"/>
        <w:spacing w:line="240" w:lineRule="auto"/>
        <w:rPr>
          <w:sz w:val="20"/>
        </w:rPr>
      </w:pPr>
      <w:r w:rsidRPr="0009565C">
        <w:rPr>
          <w:sz w:val="20"/>
        </w:rPr>
        <w:tab/>
        <w:t>Written submissions only by</w:t>
      </w:r>
      <w:r w:rsidRPr="0009565C">
        <w:rPr>
          <w:i/>
          <w:sz w:val="20"/>
        </w:rPr>
        <w:t xml:space="preserve"> Vincent de l’Étoile</w:t>
      </w:r>
      <w:r w:rsidRPr="0009565C">
        <w:rPr>
          <w:sz w:val="20"/>
        </w:rPr>
        <w:t xml:space="preserve"> and </w:t>
      </w:r>
      <w:r w:rsidRPr="0009565C">
        <w:rPr>
          <w:i/>
          <w:sz w:val="20"/>
        </w:rPr>
        <w:t>Catherine Galardo</w:t>
      </w:r>
      <w:r w:rsidRPr="0009565C">
        <w:rPr>
          <w:sz w:val="20"/>
        </w:rPr>
        <w:t>, for the intervener the Young Bar Association of Montreal.</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Reema Khawja</w:t>
      </w:r>
      <w:r w:rsidRPr="0009565C">
        <w:rPr>
          <w:sz w:val="20"/>
        </w:rPr>
        <w:t xml:space="preserve"> and </w:t>
      </w:r>
      <w:r w:rsidRPr="0009565C">
        <w:rPr>
          <w:i/>
          <w:sz w:val="20"/>
        </w:rPr>
        <w:t>Anthony D. Griffin</w:t>
      </w:r>
      <w:r w:rsidRPr="0009565C">
        <w:rPr>
          <w:sz w:val="20"/>
        </w:rPr>
        <w:t>, for the intervener the Ontario Human Rights Commission.</w:t>
      </w:r>
    </w:p>
    <w:p w:rsidR="00C544FC" w:rsidRDefault="00C544FC" w:rsidP="00C544FC">
      <w:pPr>
        <w:pStyle w:val="SCCNormalDoubleSpacing"/>
        <w:widowControl w:val="0"/>
        <w:spacing w:line="240" w:lineRule="auto"/>
        <w:rPr>
          <w:i/>
          <w:sz w:val="20"/>
        </w:rPr>
      </w:pPr>
    </w:p>
    <w:p w:rsidR="00C544FC" w:rsidRPr="0009565C" w:rsidRDefault="00C544FC" w:rsidP="00C544FC">
      <w:pPr>
        <w:pStyle w:val="SCCNormalDoubleSpacing"/>
        <w:widowControl w:val="0"/>
        <w:spacing w:line="240" w:lineRule="auto"/>
        <w:rPr>
          <w:sz w:val="20"/>
        </w:rPr>
      </w:pPr>
      <w:r w:rsidRPr="0009565C">
        <w:rPr>
          <w:i/>
          <w:sz w:val="20"/>
        </w:rPr>
        <w:tab/>
        <w:t xml:space="preserve">Philippe Dufresne </w:t>
      </w:r>
      <w:r w:rsidRPr="0009565C">
        <w:rPr>
          <w:sz w:val="20"/>
        </w:rPr>
        <w:t>and</w:t>
      </w:r>
      <w:r w:rsidRPr="0009565C">
        <w:rPr>
          <w:i/>
          <w:sz w:val="20"/>
        </w:rPr>
        <w:t xml:space="preserve"> Valerie Phillips</w:t>
      </w:r>
      <w:r w:rsidRPr="0009565C">
        <w:rPr>
          <w:sz w:val="20"/>
        </w:rPr>
        <w:t>, for the intervener the Canadian Human Rights Commission.</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Solicitors for the appellant:  TevlinGleadle Employment Law Strategies, Vancouver.</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Solicitors for the respondent:  Nathanson Schachter &amp; Thompson, Vancouver.</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 for the intervener the Alberta Human Rights Commission:  Alberta Human Rights Commission, Edmonton.</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 for the intervener the British Columbia Human Rights Tribunal:  British Columbia Human Rights Tribunal, Vancouver.</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Solicitors for the interveners Ernst &amp; Young LLP, KPMG LLP, Deloitte LLP, PricewaterhouseCoopers LLP, BDO Canada LLP and Grant Thornton LLP:  Lenczner Slaght Royce Smith Griffin, Toronto.</w:t>
      </w:r>
    </w:p>
    <w:p w:rsidR="00CF1133" w:rsidRDefault="00CF1133">
      <w:pPr>
        <w:rPr>
          <w:rFonts w:eastAsia="Times New Roman" w:cs="Times New Roman"/>
          <w:i/>
          <w:sz w:val="20"/>
          <w:szCs w:val="20"/>
          <w:lang w:eastAsia="en-CA"/>
        </w:rPr>
      </w:pPr>
      <w:r>
        <w:rPr>
          <w:sz w:val="20"/>
        </w:rPr>
        <w:br w:type="page"/>
      </w:r>
    </w:p>
    <w:p w:rsidR="00C544FC" w:rsidRPr="0009565C" w:rsidRDefault="00C544FC" w:rsidP="00C544FC">
      <w:pPr>
        <w:pStyle w:val="SCCLawFirm"/>
        <w:widowControl w:val="0"/>
        <w:spacing w:line="240" w:lineRule="auto"/>
        <w:rPr>
          <w:sz w:val="20"/>
        </w:rPr>
      </w:pPr>
      <w:r w:rsidRPr="0009565C">
        <w:rPr>
          <w:sz w:val="20"/>
        </w:rPr>
        <w:lastRenderedPageBreak/>
        <w:tab/>
        <w:t>Solicitors for the intervener the Young Bar Association of Montreal:  Langlois Kronström Desjardins, Montréal.</w:t>
      </w:r>
    </w:p>
    <w:p w:rsidR="00C544FC" w:rsidRDefault="00C544FC" w:rsidP="00C544FC">
      <w:pPr>
        <w:pStyle w:val="SCCLawFirm"/>
        <w:widowControl w:val="0"/>
        <w:spacing w:line="240" w:lineRule="auto"/>
        <w:rPr>
          <w:sz w:val="20"/>
        </w:rPr>
      </w:pPr>
    </w:p>
    <w:p w:rsidR="00C544FC" w:rsidRPr="0009565C" w:rsidRDefault="00C544FC" w:rsidP="00C544FC">
      <w:pPr>
        <w:pStyle w:val="SCCLawFirm"/>
        <w:widowControl w:val="0"/>
        <w:spacing w:line="240" w:lineRule="auto"/>
        <w:rPr>
          <w:sz w:val="20"/>
        </w:rPr>
      </w:pPr>
      <w:r w:rsidRPr="0009565C">
        <w:rPr>
          <w:sz w:val="20"/>
        </w:rPr>
        <w:tab/>
        <w:t>Solicitor for the intervener the Ontario Human Rights Commission:  Ontario Human Rights Commission, Toronto.</w:t>
      </w:r>
    </w:p>
    <w:p w:rsidR="00C544FC" w:rsidRDefault="00C544FC" w:rsidP="00C544FC">
      <w:pPr>
        <w:pStyle w:val="SCCLawFirm"/>
        <w:widowControl w:val="0"/>
        <w:spacing w:line="240" w:lineRule="auto"/>
        <w:rPr>
          <w:sz w:val="20"/>
        </w:rPr>
      </w:pPr>
    </w:p>
    <w:p w:rsidR="00C544FC" w:rsidRDefault="00C544FC" w:rsidP="00C544FC">
      <w:pPr>
        <w:pStyle w:val="SCCLawFirm"/>
        <w:widowControl w:val="0"/>
        <w:spacing w:line="240" w:lineRule="auto"/>
        <w:rPr>
          <w:sz w:val="20"/>
        </w:rPr>
      </w:pPr>
      <w:r w:rsidRPr="0009565C">
        <w:rPr>
          <w:sz w:val="20"/>
        </w:rPr>
        <w:tab/>
        <w:t>Solicitor for the intervener the Canadian Human Rights Commission:  Canadian Human Rights Commission, Ottawa.</w:t>
      </w:r>
    </w:p>
    <w:p w:rsidR="0052229C" w:rsidRPr="00C544FC" w:rsidRDefault="0052229C" w:rsidP="0052229C">
      <w:pPr>
        <w:rPr>
          <w:rFonts w:cs="Times New Roman"/>
          <w:sz w:val="20"/>
          <w:szCs w:val="20"/>
          <w:lang w:val="fr-CA"/>
        </w:rPr>
      </w:pPr>
      <w:r w:rsidRPr="00C544FC">
        <w:rPr>
          <w:rFonts w:cs="Times New Roman"/>
          <w:sz w:val="20"/>
          <w:szCs w:val="20"/>
          <w:lang w:val="fr-CA"/>
        </w:rPr>
        <w:t>________________________</w:t>
      </w:r>
    </w:p>
    <w:p w:rsidR="0052229C" w:rsidRPr="00C544FC" w:rsidRDefault="0052229C" w:rsidP="0052229C">
      <w:pPr>
        <w:rPr>
          <w:rFonts w:cs="Times New Roman"/>
          <w:sz w:val="20"/>
          <w:szCs w:val="20"/>
          <w:lang w:val="fr-CA"/>
        </w:rPr>
      </w:pPr>
    </w:p>
    <w:p w:rsidR="00C544FC" w:rsidRPr="000569FA" w:rsidRDefault="00C544FC" w:rsidP="00C544FC">
      <w:pPr>
        <w:widowControl w:val="0"/>
        <w:jc w:val="both"/>
        <w:rPr>
          <w:sz w:val="20"/>
          <w:szCs w:val="20"/>
          <w:lang w:val="fr-CA"/>
        </w:rPr>
      </w:pPr>
      <w:r w:rsidRPr="000569FA">
        <w:rPr>
          <w:sz w:val="20"/>
          <w:szCs w:val="20"/>
          <w:lang w:val="fr-CA"/>
        </w:rPr>
        <w:t>Présents : La juge en chef McLachlin et les juges LeBel, Abella, Rothstein, Cromwell, Moldaver et Karakatsanis.</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i/>
          <w:sz w:val="20"/>
          <w:lang w:val="fr-CA"/>
        </w:rPr>
      </w:pPr>
      <w:r w:rsidRPr="000569FA">
        <w:rPr>
          <w:sz w:val="20"/>
          <w:lang w:val="fr-CA"/>
        </w:rPr>
        <w:tab/>
      </w:r>
      <w:r w:rsidRPr="000569FA">
        <w:rPr>
          <w:i/>
          <w:sz w:val="20"/>
          <w:lang w:val="fr-CA"/>
        </w:rPr>
        <w:t>Droits de la personne — Discrimination — Emploi — Âge — Contrat de société d’un cabinet d’avocats comportant une disposition relative au départ à la retraite à l’âge de 65 ans — Dépôt par un associé participant d’une plainte auprès du tribunal des droits de la personne au motif que cette disposition constituerait de la discrimination en matière d’emploi fondée sur l’âge — L’associé participant était</w:t>
      </w:r>
      <w:r w:rsidRPr="000569FA">
        <w:rPr>
          <w:i/>
          <w:sz w:val="20"/>
          <w:lang w:val="fr-CA"/>
        </w:rPr>
        <w:noBreakHyphen/>
        <w:t>il dans une « relation d’emploi » visée par le code des droits de la personne — La plainte relève</w:t>
      </w:r>
      <w:r w:rsidRPr="000569FA">
        <w:rPr>
          <w:i/>
          <w:sz w:val="20"/>
          <w:lang w:val="fr-CA"/>
        </w:rPr>
        <w:noBreakHyphen/>
        <w:t>t</w:t>
      </w:r>
      <w:r w:rsidRPr="000569FA">
        <w:rPr>
          <w:i/>
          <w:sz w:val="20"/>
          <w:lang w:val="fr-CA"/>
        </w:rPr>
        <w:noBreakHyphen/>
        <w:t>elle de la compétence du tribunal des droits de la personne? — Human Rights Code, R.S.B.C. 1996, ch. 210, art. 1, 13 et 27.</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En 1979, M est devenu un associé participant (</w:t>
      </w:r>
      <w:r w:rsidRPr="000569FA">
        <w:rPr>
          <w:i/>
          <w:sz w:val="20"/>
          <w:lang w:val="fr-CA"/>
        </w:rPr>
        <w:t>equity partner</w:t>
      </w:r>
      <w:r w:rsidRPr="000569FA">
        <w:rPr>
          <w:sz w:val="20"/>
          <w:lang w:val="fr-CA"/>
        </w:rPr>
        <w:t>) au sein du cabinet d’avocats dont il faisait partie</w:t>
      </w:r>
      <w:r w:rsidRPr="000569FA">
        <w:rPr>
          <w:smallCaps/>
          <w:sz w:val="20"/>
          <w:lang w:val="fr-CA"/>
        </w:rPr>
        <w:t xml:space="preserve">. </w:t>
      </w:r>
      <w:r w:rsidRPr="000569FA">
        <w:rPr>
          <w:sz w:val="20"/>
          <w:lang w:val="fr-CA"/>
        </w:rPr>
        <w:t>Les associés participants possèdent une part des capitaux propres du cabinet</w:t>
      </w:r>
      <w:r w:rsidRPr="000569FA">
        <w:rPr>
          <w:smallCaps/>
          <w:sz w:val="20"/>
          <w:lang w:val="fr-CA"/>
        </w:rPr>
        <w:t xml:space="preserve">. </w:t>
      </w:r>
      <w:r w:rsidRPr="000569FA">
        <w:rPr>
          <w:sz w:val="20"/>
          <w:lang w:val="fr-CA"/>
        </w:rPr>
        <w:t>Dans les années 1980, les associés participants ont voté pour l’inclusion dans leur Contrat de société (</w:t>
      </w:r>
      <w:r w:rsidRPr="000569FA">
        <w:rPr>
          <w:i/>
          <w:sz w:val="20"/>
          <w:lang w:val="fr-CA"/>
        </w:rPr>
        <w:t>Partnership Agreement</w:t>
      </w:r>
      <w:r w:rsidRPr="000569FA">
        <w:rPr>
          <w:sz w:val="20"/>
          <w:lang w:val="fr-CA"/>
        </w:rPr>
        <w:t>) d’une disposition obligeant les associés de cette catégorie à se retirer à ce titre et à se départir de leur participation financière à la fin de l’année à laquelle ils atteignaient l’âge de 65 ans</w:t>
      </w:r>
      <w:r w:rsidRPr="000569FA">
        <w:rPr>
          <w:smallCaps/>
          <w:sz w:val="20"/>
          <w:lang w:val="fr-CA"/>
        </w:rPr>
        <w:t xml:space="preserve">. </w:t>
      </w:r>
      <w:r w:rsidRPr="000569FA">
        <w:rPr>
          <w:sz w:val="20"/>
          <w:lang w:val="fr-CA"/>
        </w:rPr>
        <w:t xml:space="preserve">Un associé pouvait convenir d’arrangements individuels lui permettant de continuer de travailler à titre d’employé ou d’associé « ordinaire » sans participation financière, mais le contrat précise que de tels arrangements sont l’exception plutôt que la règle. En 2009, alors âgé de 64 ans, M a déposé une plainte devant le tribunal des droits de la personne (le « Tribunal »), affirmant que cette disposition du Contrat de société constituait de la discrimination en matière d’emploi fondée sur l’âge et contrevenait au par. 13(1) du </w:t>
      </w:r>
      <w:r w:rsidRPr="000569FA">
        <w:rPr>
          <w:i/>
          <w:sz w:val="20"/>
          <w:lang w:val="fr-CA"/>
        </w:rPr>
        <w:t>Human Rights Code</w:t>
      </w:r>
      <w:r w:rsidRPr="000569FA">
        <w:rPr>
          <w:sz w:val="20"/>
          <w:lang w:val="fr-CA"/>
        </w:rPr>
        <w:t>, R.S.B.C. 1996, ch. 210 (le « </w:t>
      </w:r>
      <w:r w:rsidRPr="000569FA">
        <w:rPr>
          <w:i/>
          <w:sz w:val="20"/>
          <w:lang w:val="fr-CA"/>
        </w:rPr>
        <w:t>Code</w:t>
      </w:r>
      <w:r w:rsidRPr="000569FA">
        <w:rPr>
          <w:sz w:val="20"/>
          <w:lang w:val="fr-CA"/>
        </w:rPr>
        <w:t xml:space="preserve"> »).  </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 xml:space="preserve">Le cabinet d’avocats a demandé le rejet de la plainte, au motif que, en tant qu’associé participant, M ne se trouvait pas dans une relation d’emploi du type de celles visées par le </w:t>
      </w:r>
      <w:r w:rsidRPr="000569FA">
        <w:rPr>
          <w:i/>
          <w:sz w:val="20"/>
          <w:lang w:val="fr-CA"/>
        </w:rPr>
        <w:t>Code</w:t>
      </w:r>
      <w:r w:rsidRPr="000569FA">
        <w:rPr>
          <w:sz w:val="20"/>
          <w:lang w:val="fr-CA"/>
        </w:rPr>
        <w:t>. Le Tribunal a conclu qu’il existait une relation d’emploi</w:t>
      </w:r>
      <w:r w:rsidRPr="000569FA">
        <w:rPr>
          <w:smallCaps/>
          <w:sz w:val="20"/>
          <w:lang w:val="fr-CA"/>
        </w:rPr>
        <w:t xml:space="preserve">. </w:t>
      </w:r>
      <w:r w:rsidRPr="000569FA">
        <w:rPr>
          <w:sz w:val="20"/>
          <w:lang w:val="fr-CA"/>
        </w:rPr>
        <w:t>La demande de contrôle judiciaire présentée par le cabinet d’avocats a été rejetée par la Cour suprême de la C.</w:t>
      </w:r>
      <w:r w:rsidRPr="000569FA">
        <w:rPr>
          <w:sz w:val="20"/>
          <w:lang w:val="fr-CA"/>
        </w:rPr>
        <w:noBreakHyphen/>
        <w:t>B</w:t>
      </w:r>
      <w:r w:rsidRPr="000569FA">
        <w:rPr>
          <w:smallCaps/>
          <w:sz w:val="20"/>
          <w:lang w:val="fr-CA"/>
        </w:rPr>
        <w:t xml:space="preserve">. </w:t>
      </w:r>
      <w:r w:rsidRPr="000569FA">
        <w:rPr>
          <w:sz w:val="20"/>
          <w:lang w:val="fr-CA"/>
        </w:rPr>
        <w:t xml:space="preserve">La Cour d’appel a accueilli l’appel formé contre cette décision, concluant qu’en tant qu’associé M ne se trouvait pas dans une relation d’emploi visée par le </w:t>
      </w:r>
      <w:r w:rsidRPr="000569FA">
        <w:rPr>
          <w:i/>
          <w:sz w:val="20"/>
          <w:lang w:val="fr-CA"/>
        </w:rPr>
        <w:t>Code</w:t>
      </w:r>
      <w:r w:rsidRPr="000569FA">
        <w:rPr>
          <w:sz w:val="20"/>
          <w:lang w:val="fr-CA"/>
        </w:rPr>
        <w:t xml:space="preserve">. </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r>
      <w:r w:rsidRPr="000569FA">
        <w:rPr>
          <w:i/>
          <w:sz w:val="20"/>
          <w:lang w:val="fr-CA"/>
        </w:rPr>
        <w:t>Arrêt</w:t>
      </w:r>
      <w:r w:rsidRPr="000569FA">
        <w:rPr>
          <w:sz w:val="20"/>
          <w:lang w:val="fr-CA"/>
        </w:rPr>
        <w:t xml:space="preserve"> : Le pourvoi est rejeté.  </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 xml:space="preserve">Le </w:t>
      </w:r>
      <w:r w:rsidRPr="000569FA">
        <w:rPr>
          <w:i/>
          <w:sz w:val="20"/>
          <w:lang w:val="fr-CA"/>
        </w:rPr>
        <w:t>Code</w:t>
      </w:r>
      <w:r w:rsidRPr="000569FA">
        <w:rPr>
          <w:sz w:val="20"/>
          <w:lang w:val="fr-CA"/>
        </w:rPr>
        <w:t xml:space="preserve"> est une loi quasi constitutionnelle, qui commande une interprétation généreuse afin de permettre la réalisation de ses larges objectifs d’intérêt public</w:t>
      </w:r>
      <w:r w:rsidRPr="000569FA">
        <w:rPr>
          <w:smallCaps/>
          <w:sz w:val="20"/>
          <w:lang w:val="fr-CA"/>
        </w:rPr>
        <w:t xml:space="preserve">. </w:t>
      </w:r>
      <w:r w:rsidRPr="000569FA">
        <w:rPr>
          <w:sz w:val="20"/>
          <w:lang w:val="fr-CA"/>
        </w:rPr>
        <w:t>Ces objectifs incluent la prévention des désavantages ou exclusions arbitraires fondés sur motif énumérés, afin que les personnes réputées vulnérables en raison d’une caractéristique collective puissent être protégées contre la discrimination</w:t>
      </w:r>
      <w:r w:rsidRPr="000569FA">
        <w:rPr>
          <w:smallCaps/>
          <w:sz w:val="20"/>
          <w:lang w:val="fr-CA"/>
        </w:rPr>
        <w:t xml:space="preserve">. </w:t>
      </w:r>
      <w:r w:rsidRPr="000569FA">
        <w:rPr>
          <w:sz w:val="20"/>
          <w:lang w:val="fr-CA"/>
        </w:rPr>
        <w:t xml:space="preserve">Le </w:t>
      </w:r>
      <w:r w:rsidRPr="000569FA">
        <w:rPr>
          <w:i/>
          <w:sz w:val="20"/>
          <w:lang w:val="fr-CA"/>
        </w:rPr>
        <w:t>Code</w:t>
      </w:r>
      <w:r w:rsidRPr="000569FA">
        <w:rPr>
          <w:sz w:val="20"/>
          <w:lang w:val="fr-CA"/>
        </w:rPr>
        <w:t xml:space="preserve"> réalise ces objectifs en prohibant la discrimination dans certains contextes précis</w:t>
      </w:r>
      <w:r w:rsidRPr="000569FA">
        <w:rPr>
          <w:smallCaps/>
          <w:sz w:val="20"/>
          <w:lang w:val="fr-CA"/>
        </w:rPr>
        <w:t xml:space="preserve">. </w:t>
      </w:r>
      <w:r w:rsidRPr="000569FA">
        <w:rPr>
          <w:sz w:val="20"/>
          <w:lang w:val="fr-CA"/>
        </w:rPr>
        <w:t>L’un de ces contextes est l’emploi.</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 xml:space="preserve">Décider qui se trouve dans une « relation d’emploi » pour les besoins du </w:t>
      </w:r>
      <w:r w:rsidRPr="000569FA">
        <w:rPr>
          <w:i/>
          <w:sz w:val="20"/>
          <w:lang w:val="fr-CA"/>
        </w:rPr>
        <w:t>Code</w:t>
      </w:r>
      <w:r w:rsidRPr="000569FA">
        <w:rPr>
          <w:sz w:val="20"/>
          <w:lang w:val="fr-CA"/>
        </w:rPr>
        <w:t xml:space="preserve"> consiste essentiellement à examiner comment deux aspects synergiques interagissent dans une relation de travail donnée : le contrôle exercé par un employeur à l’égard des conditions de travail et de la rémunération, et la dépendance correspondante du travailleur. L’analyse consiste à se demander qui est responsable de fixer les conditions de travail et les avantages pécuniaires, et dans quelle mesure le travailleur exerce une influence sur ces décisions. Plus on exerce de contrôle sur les conditions de travail d’une personne, plus on accroît la dépendance de cette personne et, par voie de conséquence, sa vulnérabilité professionnelle sur les plans économique, social et psychologique. </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 xml:space="preserve">L’existence d’une situation de contrôle et de dépendance dépend non seulement de la question de savoir si le travailleur reçoit des directives directes de la part d’autrui ou s’il est touché par des décisions prises par autrui, mais également de celle de savoir s’il a la capacité d’influencer les décisions qui ont une incidence sérieuse sur sa vie </w:t>
      </w:r>
      <w:r w:rsidRPr="000569FA">
        <w:rPr>
          <w:sz w:val="20"/>
          <w:lang w:val="fr-CA"/>
        </w:rPr>
        <w:lastRenderedPageBreak/>
        <w:t xml:space="preserve">professionnelle. Les réponses à ces questions représentent les balises à suivre pour déterminer la nature véritable de la relation. En définitive, le facteur clé est le degré de contrôle et la mesure dans laquelle le travailleur est assujetti et subordonné au pouvoir décisionnel de quelqu’un d’autre à l’égard des conditions de travail et de la rémunération.  </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Appliquant l’analyse fondée sur les notions de contrôle et de dépendance à la présente affaire, en plus du droit de participer à la gestion de la société, M bénéficiait, en sa qualité d’associé participant, d’autres mesures lui accordant un pouvoir de contrôle au sein de la société, notamment les suivantes : le droit de voter à l’élection des membres du Conseil d’administration du cabinet et de se présenter comme candidat à cette élection; l’obligation faite aux autres associés de lui rendre des comptes; le droit de ne pas faire l’objet de mesures disciplinaires ou d’être renvoyé; le droit à sa part des capitaux propres de la société à son départ de celle</w:t>
      </w:r>
      <w:r w:rsidRPr="000569FA">
        <w:rPr>
          <w:sz w:val="20"/>
          <w:lang w:val="fr-CA"/>
        </w:rPr>
        <w:noBreakHyphen/>
        <w:t>ci; la protection contre l’exclusion de la société autrement qu’en vertu d’une résolution extraordinaire adoptée à une réunion de l’ensemble des associés participants et d’une résolution régionale de sa région.</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0569FA">
        <w:rPr>
          <w:sz w:val="20"/>
          <w:lang w:val="fr-CA"/>
        </w:rPr>
        <w:tab/>
        <w:t>En tant qu’associé participant, et compte tenu de son intérêt financier dans la société, de sa participation aux bénéfices et aux pertes ainsi que de son droit de prendre part à la gestion, M faisait partie du groupe qui contrôlait la société, non des personnes vulnérables à l’exercice de ce pouvoir de contrôle, et, pendant plus de 30 ans, il a profité financièrement des départs à la retraite d’autres associés. À aucun moment M ne s’est trouvé, sous quelque aspect important que ce soit, structurellement ou concrètement, dans une relation de subordination par rapport aux autres associés participants. Il est vrai que le cabinet d’avocats avait établi certaines règles administratives auxquelles M était assujetti, mais ces règles n’avaient pas pour effet de transformer la substance de la relation et de faire de celle</w:t>
      </w:r>
      <w:r w:rsidRPr="000569FA">
        <w:rPr>
          <w:sz w:val="20"/>
          <w:lang w:val="fr-CA"/>
        </w:rPr>
        <w:noBreakHyphen/>
        <w:t xml:space="preserve">ci une relation de subordination ou de dépendance. Il ne s’ensuit pas qu’un associé au sein d’un cabinet ne peut jamais être considéré comme un employé visé par le </w:t>
      </w:r>
      <w:r w:rsidRPr="000569FA">
        <w:rPr>
          <w:i/>
          <w:sz w:val="20"/>
          <w:lang w:val="fr-CA"/>
        </w:rPr>
        <w:t>Code</w:t>
      </w:r>
      <w:r w:rsidRPr="000569FA">
        <w:rPr>
          <w:sz w:val="20"/>
          <w:lang w:val="fr-CA"/>
        </w:rPr>
        <w:t xml:space="preserve">, mais vu l’absence de véritable contrôle exercé sur M relativement aux décisions importantes touchant le milieu de travail, il n’existait pas entre lui et la société de personnes une relation d’emploi visée par les dispositions du </w:t>
      </w:r>
      <w:r w:rsidRPr="000569FA">
        <w:rPr>
          <w:i/>
          <w:sz w:val="20"/>
          <w:lang w:val="fr-CA"/>
        </w:rPr>
        <w:t>Code</w:t>
      </w:r>
      <w:r w:rsidRPr="000569FA">
        <w:rPr>
          <w:sz w:val="20"/>
          <w:lang w:val="fr-CA"/>
        </w:rPr>
        <w:t>.</w:t>
      </w:r>
    </w:p>
    <w:p w:rsidR="00C544FC" w:rsidRDefault="00C544FC" w:rsidP="00C544FC">
      <w:pPr>
        <w:pStyle w:val="SCCNormalDoubleSpacing"/>
        <w:widowControl w:val="0"/>
        <w:spacing w:line="240" w:lineRule="auto"/>
        <w:rPr>
          <w:sz w:val="20"/>
          <w:lang w:val="fr-CA"/>
        </w:rPr>
      </w:pPr>
    </w:p>
    <w:p w:rsidR="00C544FC" w:rsidRDefault="00C544FC" w:rsidP="00C544FC">
      <w:pPr>
        <w:pStyle w:val="SCCNormalDoubleSpacing"/>
        <w:widowControl w:val="0"/>
        <w:spacing w:line="240" w:lineRule="auto"/>
        <w:rPr>
          <w:sz w:val="20"/>
          <w:lang w:val="fr-CA"/>
        </w:rPr>
      </w:pPr>
      <w:r w:rsidRPr="000569FA">
        <w:rPr>
          <w:sz w:val="20"/>
          <w:lang w:val="fr-CA"/>
        </w:rPr>
        <w:tab/>
        <w:t>Le Tribunal n’avait donc pas compétence à l’égard de la relation entre M et la société de personnes.</w:t>
      </w:r>
    </w:p>
    <w:p w:rsidR="00C544FC" w:rsidRDefault="00C544FC" w:rsidP="00C544FC">
      <w:pPr>
        <w:pStyle w:val="SCCNormalDoubleSpacing"/>
        <w:widowControl w:val="0"/>
        <w:spacing w:line="240" w:lineRule="auto"/>
        <w:rPr>
          <w:sz w:val="20"/>
          <w:lang w:val="fr-CA"/>
        </w:rPr>
      </w:pPr>
    </w:p>
    <w:p w:rsidR="00C544FC" w:rsidRPr="000569FA" w:rsidRDefault="00C544FC" w:rsidP="00C544FC">
      <w:pPr>
        <w:pStyle w:val="SCCNormalDoubleSpacing"/>
        <w:widowControl w:val="0"/>
        <w:spacing w:line="240" w:lineRule="auto"/>
        <w:rPr>
          <w:sz w:val="20"/>
          <w:lang w:val="fr-CA"/>
        </w:rPr>
      </w:pPr>
      <w:r w:rsidRPr="00C544FC">
        <w:rPr>
          <w:sz w:val="20"/>
          <w:lang w:val="fr-CA"/>
        </w:rPr>
        <w:tab/>
        <w:t>POURVOI contre un arrêt de la Cour d’appel de la Colombie</w:t>
      </w:r>
      <w:r w:rsidRPr="00C544FC">
        <w:rPr>
          <w:sz w:val="20"/>
          <w:lang w:val="fr-CA"/>
        </w:rPr>
        <w:noBreakHyphen/>
        <w:t>Britannique (le juge en chef Finch et les juges Newbury et Levine), 2012 BCCA 313, 352 D.L.R. (4th) 294, [2012] 9 W.W.R. 633, 325 B.C.A.C. 216, 34 B.C.L.R. (5th) 160, 100 C.C.E.L. (3d) 196, [2012] B.C.J. No. 1508 (QL), 2012 CarswellBC 2180, qui a infirmé une décision de la juge Bruce, 2011 BCSC 713, 335 D.L.R. (4th) 450, 93 C.C.E.L. (3d) 314, 71 C.H.R.R. D/280, [2011] B.C.J. No. 999 (QL), 2011 CarswellBC 1340</w:t>
      </w:r>
      <w:r w:rsidRPr="00C544FC">
        <w:rPr>
          <w:smallCaps/>
          <w:sz w:val="20"/>
          <w:lang w:val="fr-CA"/>
        </w:rPr>
        <w:t xml:space="preserve">. </w:t>
      </w:r>
      <w:r w:rsidRPr="000569FA">
        <w:rPr>
          <w:sz w:val="20"/>
          <w:lang w:val="fr-CA"/>
        </w:rPr>
        <w:t>Pourvoi rejeté.</w:t>
      </w:r>
    </w:p>
    <w:p w:rsidR="00C544FC" w:rsidRDefault="00C544FC" w:rsidP="00C544FC">
      <w:pPr>
        <w:pStyle w:val="SCCNormalDoubleSpacing"/>
        <w:widowControl w:val="0"/>
        <w:spacing w:line="240" w:lineRule="auto"/>
        <w:rPr>
          <w:i/>
          <w:sz w:val="20"/>
          <w:lang w:val="fr-CA"/>
        </w:rPr>
      </w:pPr>
    </w:p>
    <w:p w:rsidR="00C544FC" w:rsidRPr="000569FA" w:rsidRDefault="00C544FC" w:rsidP="00C544FC">
      <w:pPr>
        <w:pStyle w:val="SCCNormalDoubleSpacing"/>
        <w:widowControl w:val="0"/>
        <w:spacing w:line="240" w:lineRule="auto"/>
        <w:rPr>
          <w:sz w:val="20"/>
          <w:lang w:val="fr-CA"/>
        </w:rPr>
      </w:pPr>
      <w:r w:rsidRPr="000569FA">
        <w:rPr>
          <w:i/>
          <w:sz w:val="20"/>
          <w:lang w:val="fr-CA"/>
        </w:rPr>
        <w:tab/>
        <w:t>Murray Tevlin</w:t>
      </w:r>
      <w:r w:rsidRPr="000569FA">
        <w:rPr>
          <w:sz w:val="20"/>
          <w:lang w:val="fr-CA"/>
        </w:rPr>
        <w:t xml:space="preserve"> et </w:t>
      </w:r>
      <w:r w:rsidRPr="000569FA">
        <w:rPr>
          <w:i/>
          <w:sz w:val="20"/>
          <w:lang w:val="fr-CA"/>
        </w:rPr>
        <w:t>John Chesko</w:t>
      </w:r>
      <w:r w:rsidRPr="000569FA">
        <w:rPr>
          <w:sz w:val="20"/>
          <w:lang w:val="fr-CA"/>
        </w:rPr>
        <w:t>, pour l’appelant.</w:t>
      </w:r>
    </w:p>
    <w:p w:rsidR="00C544FC" w:rsidRDefault="00C544FC" w:rsidP="00C544FC">
      <w:pPr>
        <w:pStyle w:val="SCCNormalDoubleSpacing"/>
        <w:widowControl w:val="0"/>
        <w:spacing w:line="240" w:lineRule="auto"/>
        <w:rPr>
          <w:i/>
          <w:sz w:val="20"/>
          <w:lang w:val="fr-CA"/>
        </w:rPr>
      </w:pPr>
    </w:p>
    <w:p w:rsidR="00C544FC" w:rsidRPr="000569FA" w:rsidRDefault="00C544FC" w:rsidP="00C544FC">
      <w:pPr>
        <w:pStyle w:val="SCCNormalDoubleSpacing"/>
        <w:widowControl w:val="0"/>
        <w:spacing w:line="240" w:lineRule="auto"/>
        <w:rPr>
          <w:sz w:val="20"/>
          <w:lang w:val="fr-CA"/>
        </w:rPr>
      </w:pPr>
      <w:r w:rsidRPr="000569FA">
        <w:rPr>
          <w:i/>
          <w:sz w:val="20"/>
          <w:lang w:val="fr-CA"/>
        </w:rPr>
        <w:tab/>
        <w:t>Irwin G. Nathanson</w:t>
      </w:r>
      <w:r w:rsidRPr="000569FA">
        <w:rPr>
          <w:sz w:val="20"/>
          <w:lang w:val="fr-CA"/>
        </w:rPr>
        <w:t xml:space="preserve">, </w:t>
      </w:r>
      <w:r w:rsidRPr="000569FA">
        <w:rPr>
          <w:i/>
          <w:sz w:val="20"/>
          <w:lang w:val="fr-CA"/>
        </w:rPr>
        <w:t>c.r.</w:t>
      </w:r>
      <w:r w:rsidRPr="000569FA">
        <w:rPr>
          <w:sz w:val="20"/>
          <w:lang w:val="fr-CA"/>
        </w:rPr>
        <w:t xml:space="preserve">, et </w:t>
      </w:r>
      <w:r w:rsidRPr="000569FA">
        <w:rPr>
          <w:i/>
          <w:sz w:val="20"/>
          <w:lang w:val="fr-CA"/>
        </w:rPr>
        <w:t>Peter Senkpiel</w:t>
      </w:r>
      <w:r w:rsidRPr="000569FA">
        <w:rPr>
          <w:sz w:val="20"/>
          <w:lang w:val="fr-CA"/>
        </w:rPr>
        <w:t>, pour l’intimée.</w:t>
      </w:r>
    </w:p>
    <w:p w:rsidR="00C544FC" w:rsidRDefault="00C544FC" w:rsidP="00C544FC">
      <w:pPr>
        <w:pStyle w:val="SCCNormalDoubleSpacing"/>
        <w:widowControl w:val="0"/>
        <w:spacing w:line="240" w:lineRule="auto"/>
        <w:rPr>
          <w:i/>
          <w:sz w:val="20"/>
          <w:lang w:val="fr-CA"/>
        </w:rPr>
      </w:pPr>
    </w:p>
    <w:p w:rsidR="00C544FC" w:rsidRPr="000569FA" w:rsidRDefault="00C544FC" w:rsidP="00C544FC">
      <w:pPr>
        <w:pStyle w:val="SCCNormalDoubleSpacing"/>
        <w:widowControl w:val="0"/>
        <w:spacing w:line="240" w:lineRule="auto"/>
        <w:rPr>
          <w:sz w:val="20"/>
        </w:rPr>
      </w:pPr>
      <w:r w:rsidRPr="000569FA">
        <w:rPr>
          <w:i/>
          <w:sz w:val="20"/>
          <w:lang w:val="fr-CA"/>
        </w:rPr>
        <w:tab/>
      </w:r>
      <w:r w:rsidRPr="000569FA">
        <w:rPr>
          <w:i/>
          <w:sz w:val="20"/>
        </w:rPr>
        <w:t xml:space="preserve">Arman Mujahid Chak </w:t>
      </w:r>
      <w:r w:rsidRPr="000569FA">
        <w:rPr>
          <w:sz w:val="20"/>
        </w:rPr>
        <w:t>et</w:t>
      </w:r>
      <w:r w:rsidRPr="000569FA">
        <w:rPr>
          <w:i/>
          <w:sz w:val="20"/>
        </w:rPr>
        <w:t xml:space="preserve"> Audrey Dean</w:t>
      </w:r>
      <w:r w:rsidRPr="000569FA">
        <w:rPr>
          <w:sz w:val="20"/>
        </w:rPr>
        <w:t>, pour l’intervenante Alberta Human Rights Commission.</w:t>
      </w:r>
    </w:p>
    <w:p w:rsidR="00C544FC" w:rsidRDefault="00C544FC" w:rsidP="00C544FC">
      <w:pPr>
        <w:pStyle w:val="SCCNormalDoubleSpacing"/>
        <w:widowControl w:val="0"/>
        <w:spacing w:line="240" w:lineRule="auto"/>
        <w:rPr>
          <w:i/>
          <w:sz w:val="20"/>
          <w:lang w:val="en-US"/>
        </w:rPr>
      </w:pPr>
    </w:p>
    <w:p w:rsidR="00C544FC" w:rsidRPr="000569FA" w:rsidRDefault="00C544FC" w:rsidP="00C544FC">
      <w:pPr>
        <w:pStyle w:val="SCCNormalDoubleSpacing"/>
        <w:widowControl w:val="0"/>
        <w:spacing w:line="240" w:lineRule="auto"/>
        <w:rPr>
          <w:sz w:val="20"/>
        </w:rPr>
      </w:pPr>
      <w:r w:rsidRPr="000569FA">
        <w:rPr>
          <w:i/>
          <w:sz w:val="20"/>
          <w:lang w:val="en-US"/>
        </w:rPr>
        <w:tab/>
      </w:r>
      <w:r w:rsidRPr="000569FA">
        <w:rPr>
          <w:i/>
          <w:sz w:val="20"/>
        </w:rPr>
        <w:t>Katherine Hardie</w:t>
      </w:r>
      <w:r w:rsidRPr="000569FA">
        <w:rPr>
          <w:sz w:val="20"/>
        </w:rPr>
        <w:t>, pour l’intervenant British Columbia Human Rights Tribunal.</w:t>
      </w:r>
    </w:p>
    <w:p w:rsidR="00C544FC" w:rsidRDefault="00C544FC" w:rsidP="00C544FC">
      <w:pPr>
        <w:pStyle w:val="SCCNormalDoubleSpacing"/>
        <w:widowControl w:val="0"/>
        <w:spacing w:line="240" w:lineRule="auto"/>
        <w:rPr>
          <w:i/>
          <w:sz w:val="20"/>
        </w:rPr>
      </w:pPr>
    </w:p>
    <w:p w:rsidR="00C544FC" w:rsidRPr="000569FA" w:rsidRDefault="00C544FC" w:rsidP="00C544FC">
      <w:pPr>
        <w:pStyle w:val="SCCNormalDoubleSpacing"/>
        <w:widowControl w:val="0"/>
        <w:spacing w:line="240" w:lineRule="auto"/>
        <w:rPr>
          <w:sz w:val="20"/>
        </w:rPr>
      </w:pPr>
      <w:r w:rsidRPr="000569FA">
        <w:rPr>
          <w:i/>
          <w:sz w:val="20"/>
        </w:rPr>
        <w:tab/>
        <w:t>Peter H. Griffin</w:t>
      </w:r>
      <w:r w:rsidRPr="000569FA">
        <w:rPr>
          <w:sz w:val="20"/>
        </w:rPr>
        <w:t xml:space="preserve"> et </w:t>
      </w:r>
      <w:r w:rsidRPr="000569FA">
        <w:rPr>
          <w:i/>
          <w:sz w:val="20"/>
        </w:rPr>
        <w:t>Rory Gillis</w:t>
      </w:r>
      <w:r w:rsidRPr="000569FA">
        <w:rPr>
          <w:sz w:val="20"/>
        </w:rPr>
        <w:t>, pour les intervenantes Ernst &amp; Young s.r.l./S.E.N.C.R.L., KPMG s.r.l./S.E.N.C.R.L., Deloitte S.E.N.C.R.L./s.r.l., PricewaterhouseCoopers s.r.l., BDO Canada s.r.l./S.E.N.C.R.L. et Grant Thornton LLP.</w:t>
      </w:r>
    </w:p>
    <w:p w:rsidR="00C544FC" w:rsidRDefault="00C544FC" w:rsidP="00C544FC">
      <w:pPr>
        <w:pStyle w:val="SCCNormalDoubleSpacing"/>
        <w:widowControl w:val="0"/>
        <w:spacing w:line="240" w:lineRule="auto"/>
        <w:rPr>
          <w:sz w:val="20"/>
        </w:rPr>
      </w:pPr>
    </w:p>
    <w:p w:rsidR="00C544FC" w:rsidRPr="000569FA" w:rsidRDefault="00C544FC" w:rsidP="00C544FC">
      <w:pPr>
        <w:pStyle w:val="SCCNormalDoubleSpacing"/>
        <w:widowControl w:val="0"/>
        <w:spacing w:line="240" w:lineRule="auto"/>
        <w:rPr>
          <w:sz w:val="20"/>
          <w:lang w:val="fr-CA"/>
        </w:rPr>
      </w:pPr>
      <w:r w:rsidRPr="000569FA">
        <w:rPr>
          <w:sz w:val="20"/>
        </w:rPr>
        <w:tab/>
      </w:r>
      <w:r w:rsidRPr="000569FA">
        <w:rPr>
          <w:sz w:val="20"/>
          <w:lang w:val="fr-CA"/>
        </w:rPr>
        <w:t xml:space="preserve">Argumentation écrite seulement par </w:t>
      </w:r>
      <w:r w:rsidRPr="000569FA">
        <w:rPr>
          <w:i/>
          <w:sz w:val="20"/>
          <w:lang w:val="fr-CA"/>
        </w:rPr>
        <w:t>Vincent de l’Étoile</w:t>
      </w:r>
      <w:r w:rsidRPr="000569FA">
        <w:rPr>
          <w:sz w:val="20"/>
          <w:lang w:val="fr-CA"/>
        </w:rPr>
        <w:t xml:space="preserve"> et </w:t>
      </w:r>
      <w:r w:rsidRPr="000569FA">
        <w:rPr>
          <w:i/>
          <w:sz w:val="20"/>
          <w:lang w:val="fr-CA"/>
        </w:rPr>
        <w:t>Catherine Galardo</w:t>
      </w:r>
      <w:r w:rsidRPr="000569FA">
        <w:rPr>
          <w:sz w:val="20"/>
          <w:lang w:val="fr-CA"/>
        </w:rPr>
        <w:t>, pour l’intervenante l’Association du Jeune Barreau de Montréal.</w:t>
      </w:r>
    </w:p>
    <w:p w:rsidR="00C544FC" w:rsidRDefault="00C544FC" w:rsidP="00C544FC">
      <w:pPr>
        <w:pStyle w:val="SCCNormalDoubleSpacing"/>
        <w:widowControl w:val="0"/>
        <w:spacing w:line="240" w:lineRule="auto"/>
        <w:rPr>
          <w:i/>
          <w:sz w:val="20"/>
          <w:lang w:val="fr-CA"/>
        </w:rPr>
      </w:pPr>
    </w:p>
    <w:p w:rsidR="00C544FC" w:rsidRPr="000569FA" w:rsidRDefault="00C544FC" w:rsidP="00C544FC">
      <w:pPr>
        <w:pStyle w:val="SCCNormalDoubleSpacing"/>
        <w:widowControl w:val="0"/>
        <w:spacing w:line="240" w:lineRule="auto"/>
        <w:rPr>
          <w:sz w:val="20"/>
          <w:lang w:val="fr-CA"/>
        </w:rPr>
      </w:pPr>
      <w:r w:rsidRPr="000569FA">
        <w:rPr>
          <w:i/>
          <w:sz w:val="20"/>
          <w:lang w:val="fr-CA"/>
        </w:rPr>
        <w:tab/>
        <w:t>Reema Khawja</w:t>
      </w:r>
      <w:r w:rsidRPr="000569FA">
        <w:rPr>
          <w:sz w:val="20"/>
          <w:lang w:val="fr-CA"/>
        </w:rPr>
        <w:t xml:space="preserve"> et </w:t>
      </w:r>
      <w:r w:rsidRPr="000569FA">
        <w:rPr>
          <w:i/>
          <w:sz w:val="20"/>
          <w:lang w:val="fr-CA"/>
        </w:rPr>
        <w:t>Anthony D. Griffin</w:t>
      </w:r>
      <w:r w:rsidRPr="000569FA">
        <w:rPr>
          <w:sz w:val="20"/>
          <w:lang w:val="fr-CA"/>
        </w:rPr>
        <w:t>, pour l’intervenante la Commission ontarienne des droits de la personne.</w:t>
      </w:r>
    </w:p>
    <w:p w:rsidR="00C544FC" w:rsidRDefault="00C544FC" w:rsidP="00C544FC">
      <w:pPr>
        <w:pStyle w:val="SCCNormalDoubleSpacing"/>
        <w:widowControl w:val="0"/>
        <w:spacing w:line="240" w:lineRule="auto"/>
        <w:rPr>
          <w:i/>
          <w:sz w:val="20"/>
          <w:lang w:val="fr-CA"/>
        </w:rPr>
      </w:pPr>
    </w:p>
    <w:p w:rsidR="00C544FC" w:rsidRPr="000569FA" w:rsidRDefault="00C544FC" w:rsidP="00C544FC">
      <w:pPr>
        <w:pStyle w:val="SCCNormalDoubleSpacing"/>
        <w:widowControl w:val="0"/>
        <w:spacing w:line="240" w:lineRule="auto"/>
        <w:rPr>
          <w:sz w:val="20"/>
          <w:lang w:val="fr-CA"/>
        </w:rPr>
      </w:pPr>
      <w:r w:rsidRPr="000569FA">
        <w:rPr>
          <w:i/>
          <w:sz w:val="20"/>
          <w:lang w:val="fr-CA"/>
        </w:rPr>
        <w:tab/>
        <w:t xml:space="preserve">Philippe Dufresne </w:t>
      </w:r>
      <w:r w:rsidRPr="000569FA">
        <w:rPr>
          <w:sz w:val="20"/>
          <w:lang w:val="fr-CA"/>
        </w:rPr>
        <w:t>et</w:t>
      </w:r>
      <w:r w:rsidRPr="000569FA">
        <w:rPr>
          <w:i/>
          <w:sz w:val="20"/>
          <w:lang w:val="fr-CA"/>
        </w:rPr>
        <w:t xml:space="preserve"> Valerie Phillips</w:t>
      </w:r>
      <w:r w:rsidRPr="000569FA">
        <w:rPr>
          <w:sz w:val="20"/>
          <w:lang w:val="fr-CA"/>
        </w:rPr>
        <w:t>, pour l’intervenante la Commission canadienne des droits de la personne.</w:t>
      </w:r>
    </w:p>
    <w:p w:rsidR="00C544FC" w:rsidRDefault="00C544FC" w:rsidP="00C544FC">
      <w:pPr>
        <w:pStyle w:val="SCCLawFirm"/>
        <w:widowControl w:val="0"/>
        <w:spacing w:line="240" w:lineRule="auto"/>
        <w:rPr>
          <w:sz w:val="20"/>
          <w:lang w:val="fr-CA"/>
        </w:rPr>
      </w:pPr>
    </w:p>
    <w:p w:rsidR="00C544FC" w:rsidRPr="000569FA" w:rsidRDefault="00C544FC" w:rsidP="00C544FC">
      <w:pPr>
        <w:pStyle w:val="SCCLawFirm"/>
        <w:widowControl w:val="0"/>
        <w:spacing w:line="240" w:lineRule="auto"/>
        <w:rPr>
          <w:sz w:val="20"/>
          <w:lang w:val="fr-CA"/>
        </w:rPr>
      </w:pPr>
      <w:r w:rsidRPr="000569FA">
        <w:rPr>
          <w:sz w:val="20"/>
          <w:lang w:val="fr-CA"/>
        </w:rPr>
        <w:tab/>
        <w:t>Procureurs de l’appelant : TevlinGleadle Employment Law Strategies, Vancouver.</w:t>
      </w:r>
    </w:p>
    <w:p w:rsidR="00C544FC" w:rsidRDefault="00C544FC" w:rsidP="00C544FC">
      <w:pPr>
        <w:pStyle w:val="SCCLawFirm"/>
        <w:widowControl w:val="0"/>
        <w:spacing w:line="240" w:lineRule="auto"/>
        <w:rPr>
          <w:sz w:val="20"/>
          <w:lang w:val="fr-CA"/>
        </w:rPr>
      </w:pPr>
    </w:p>
    <w:p w:rsidR="00C544FC" w:rsidRPr="000569FA" w:rsidRDefault="00C544FC" w:rsidP="00C544FC">
      <w:pPr>
        <w:pStyle w:val="SCCLawFirm"/>
        <w:widowControl w:val="0"/>
        <w:spacing w:line="240" w:lineRule="auto"/>
        <w:rPr>
          <w:sz w:val="20"/>
          <w:lang w:val="fr-CA"/>
        </w:rPr>
      </w:pPr>
      <w:r w:rsidRPr="000569FA">
        <w:rPr>
          <w:sz w:val="20"/>
          <w:lang w:val="fr-CA"/>
        </w:rPr>
        <w:tab/>
        <w:t>Procureurs de l’intimée : Nathanson Schachter &amp; Thompson, Vancouver.</w:t>
      </w:r>
    </w:p>
    <w:p w:rsidR="00C544FC" w:rsidRDefault="00C544FC" w:rsidP="00C544FC">
      <w:pPr>
        <w:pStyle w:val="SCCLawFirm"/>
        <w:widowControl w:val="0"/>
        <w:spacing w:line="240" w:lineRule="auto"/>
        <w:rPr>
          <w:sz w:val="20"/>
          <w:lang w:val="fr-CA"/>
        </w:rPr>
      </w:pPr>
    </w:p>
    <w:p w:rsidR="00C544FC" w:rsidRPr="000569FA" w:rsidRDefault="00C544FC" w:rsidP="00C544FC">
      <w:pPr>
        <w:pStyle w:val="SCCLawFirm"/>
        <w:widowControl w:val="0"/>
        <w:spacing w:line="240" w:lineRule="auto"/>
        <w:rPr>
          <w:sz w:val="20"/>
        </w:rPr>
      </w:pPr>
      <w:r w:rsidRPr="000569FA">
        <w:rPr>
          <w:sz w:val="20"/>
          <w:lang w:val="fr-CA"/>
        </w:rPr>
        <w:tab/>
      </w:r>
      <w:r w:rsidRPr="000569FA">
        <w:rPr>
          <w:sz w:val="20"/>
        </w:rPr>
        <w:t>Procureur de l’intervenante Alberta Human Rights Commission : Alberta Human Rights Commission, Edmonton.</w:t>
      </w:r>
    </w:p>
    <w:p w:rsidR="00C544FC" w:rsidRDefault="00C544FC" w:rsidP="00C544FC">
      <w:pPr>
        <w:pStyle w:val="SCCLawFirm"/>
        <w:widowControl w:val="0"/>
        <w:spacing w:line="240" w:lineRule="auto"/>
        <w:rPr>
          <w:sz w:val="20"/>
          <w:lang w:val="en-US"/>
        </w:rPr>
      </w:pPr>
    </w:p>
    <w:p w:rsidR="00C544FC" w:rsidRPr="000569FA" w:rsidRDefault="00C544FC" w:rsidP="00C544FC">
      <w:pPr>
        <w:pStyle w:val="SCCLawFirm"/>
        <w:widowControl w:val="0"/>
        <w:spacing w:line="240" w:lineRule="auto"/>
        <w:rPr>
          <w:sz w:val="20"/>
        </w:rPr>
      </w:pPr>
      <w:r w:rsidRPr="000569FA">
        <w:rPr>
          <w:sz w:val="20"/>
          <w:lang w:val="en-US"/>
        </w:rPr>
        <w:tab/>
      </w:r>
      <w:r w:rsidRPr="000569FA">
        <w:rPr>
          <w:sz w:val="20"/>
        </w:rPr>
        <w:t>Procureur de l’intervenant British Columbia Human Rights Tribunal : British Columbia Human Rights Tribunal, Vancouver.</w:t>
      </w:r>
    </w:p>
    <w:p w:rsidR="00C544FC" w:rsidRDefault="00C544FC" w:rsidP="00C544FC">
      <w:pPr>
        <w:pStyle w:val="SCCLawFirm"/>
        <w:widowControl w:val="0"/>
        <w:spacing w:line="240" w:lineRule="auto"/>
        <w:rPr>
          <w:sz w:val="20"/>
        </w:rPr>
      </w:pPr>
    </w:p>
    <w:p w:rsidR="00C544FC" w:rsidRPr="000569FA" w:rsidRDefault="00C544FC" w:rsidP="00C544FC">
      <w:pPr>
        <w:pStyle w:val="SCCLawFirm"/>
        <w:widowControl w:val="0"/>
        <w:spacing w:line="240" w:lineRule="auto"/>
        <w:rPr>
          <w:sz w:val="20"/>
        </w:rPr>
      </w:pPr>
      <w:r w:rsidRPr="000569FA">
        <w:rPr>
          <w:sz w:val="20"/>
        </w:rPr>
        <w:tab/>
        <w:t>Procureurs des intervenantes Ernst &amp; Young s.r.l./S.E.N.C.R.L., KPMG s.r.l./S.E.N.C.R.L., Deloitte S.E.N.C.R.L./s.r.l., PricewaterhouseCoopers s.r.l., BDO Canada s.r.l./S.E.N.C.R.L. et Grant Thornton LLP : Lenczner Slaght Royce Smith Griffin, Toronto.</w:t>
      </w:r>
    </w:p>
    <w:p w:rsidR="00C544FC" w:rsidRDefault="00C544FC" w:rsidP="00C544FC">
      <w:pPr>
        <w:pStyle w:val="SCCLawFirm"/>
        <w:widowControl w:val="0"/>
        <w:spacing w:line="240" w:lineRule="auto"/>
        <w:rPr>
          <w:sz w:val="20"/>
        </w:rPr>
      </w:pPr>
    </w:p>
    <w:p w:rsidR="00C544FC" w:rsidRPr="000569FA" w:rsidRDefault="00C544FC" w:rsidP="00C544FC">
      <w:pPr>
        <w:pStyle w:val="SCCLawFirm"/>
        <w:widowControl w:val="0"/>
        <w:spacing w:line="240" w:lineRule="auto"/>
        <w:rPr>
          <w:sz w:val="20"/>
          <w:lang w:val="fr-CA"/>
        </w:rPr>
      </w:pPr>
      <w:r w:rsidRPr="000569FA">
        <w:rPr>
          <w:sz w:val="20"/>
        </w:rPr>
        <w:tab/>
      </w:r>
      <w:r w:rsidRPr="000569FA">
        <w:rPr>
          <w:sz w:val="20"/>
          <w:lang w:val="fr-CA"/>
        </w:rPr>
        <w:t>Procureurs de l’intervenante l’Association du Jeune Barreau de Montréal : Langlois Kronström Desjardins, Montréal.</w:t>
      </w:r>
    </w:p>
    <w:p w:rsidR="00C544FC" w:rsidRDefault="00C544FC" w:rsidP="00C544FC">
      <w:pPr>
        <w:pStyle w:val="SCCLawFirm"/>
        <w:widowControl w:val="0"/>
        <w:spacing w:line="240" w:lineRule="auto"/>
        <w:rPr>
          <w:sz w:val="20"/>
          <w:lang w:val="fr-CA"/>
        </w:rPr>
      </w:pPr>
    </w:p>
    <w:p w:rsidR="00C544FC" w:rsidRPr="000569FA" w:rsidRDefault="00C544FC" w:rsidP="00C544FC">
      <w:pPr>
        <w:pStyle w:val="SCCLawFirm"/>
        <w:widowControl w:val="0"/>
        <w:spacing w:line="240" w:lineRule="auto"/>
        <w:rPr>
          <w:sz w:val="20"/>
          <w:lang w:val="fr-CA"/>
        </w:rPr>
      </w:pPr>
      <w:r w:rsidRPr="000569FA">
        <w:rPr>
          <w:sz w:val="20"/>
          <w:lang w:val="fr-CA"/>
        </w:rPr>
        <w:tab/>
        <w:t>Procureur de l’intervenante la Commission ontarienne des droits de la personne : Commission ontarienne des droits de la personne, Toronto.</w:t>
      </w:r>
    </w:p>
    <w:p w:rsidR="00C544FC" w:rsidRDefault="00C544FC" w:rsidP="00C544FC">
      <w:pPr>
        <w:pStyle w:val="SCCLawFirm"/>
        <w:widowControl w:val="0"/>
        <w:spacing w:line="240" w:lineRule="auto"/>
        <w:rPr>
          <w:sz w:val="20"/>
          <w:lang w:val="fr-CA"/>
        </w:rPr>
      </w:pPr>
    </w:p>
    <w:p w:rsidR="00C544FC" w:rsidRDefault="00C544FC" w:rsidP="00C544FC">
      <w:pPr>
        <w:pStyle w:val="SCCLawFirm"/>
        <w:widowControl w:val="0"/>
        <w:spacing w:line="240" w:lineRule="auto"/>
        <w:rPr>
          <w:sz w:val="20"/>
          <w:lang w:val="fr-CA"/>
        </w:rPr>
      </w:pPr>
      <w:r w:rsidRPr="000569FA">
        <w:rPr>
          <w:sz w:val="20"/>
          <w:lang w:val="fr-CA"/>
        </w:rPr>
        <w:tab/>
        <w:t>Procureur de l’intervenante la Commission canadienne des droits de la personne : Commission canadienne des droits de la personne, Ottawa.</w:t>
      </w:r>
    </w:p>
    <w:p w:rsidR="003B3977" w:rsidRPr="00C544FC" w:rsidRDefault="003B3977" w:rsidP="005C6840">
      <w:pPr>
        <w:rPr>
          <w:rFonts w:cs="Times New Roman"/>
          <w:sz w:val="20"/>
          <w:szCs w:val="20"/>
          <w:lang w:val="fr-CA"/>
        </w:rPr>
      </w:pPr>
    </w:p>
    <w:p w:rsidR="005C6840" w:rsidRDefault="00142ACF" w:rsidP="005C6840">
      <w:pPr>
        <w:rPr>
          <w:lang w:val="fr-CA"/>
        </w:rPr>
      </w:pPr>
      <w:r>
        <w:rPr>
          <w:rFonts w:cs="Times New Roman"/>
          <w:sz w:val="20"/>
          <w:szCs w:val="20"/>
          <w:lang w:val="fr-CA"/>
        </w:rPr>
        <w:pict>
          <v:rect id="_x0000_i1054" style="width:144.3pt;height:1pt" o:hrpct="300" o:hralign="center" o:hrstd="t" o:hrnoshade="t" o:hr="t" fillcolor="black [3213]" stroked="f"/>
        </w:pict>
      </w:r>
      <w:r w:rsidR="005C6840">
        <w:rPr>
          <w:lang w:val="fr-CA"/>
        </w:rPr>
        <w:br w:type="page"/>
      </w:r>
    </w:p>
    <w:p w:rsidR="00555E10" w:rsidRPr="00530288" w:rsidRDefault="00555E10" w:rsidP="00555E10">
      <w:pPr>
        <w:ind w:left="810" w:hanging="810"/>
        <w:jc w:val="both"/>
        <w:rPr>
          <w:sz w:val="20"/>
          <w:szCs w:val="20"/>
        </w:rPr>
      </w:pPr>
      <w:r w:rsidRPr="00530288">
        <w:rPr>
          <w:i/>
          <w:sz w:val="20"/>
          <w:szCs w:val="20"/>
        </w:rPr>
        <w:lastRenderedPageBreak/>
        <w:t>Canadian National Railway Company v. Attorney General of Canada et al.</w:t>
      </w:r>
      <w:r w:rsidRPr="00530288">
        <w:rPr>
          <w:sz w:val="20"/>
          <w:szCs w:val="20"/>
        </w:rPr>
        <w:t xml:space="preserve"> (F.C.) (</w:t>
      </w:r>
      <w:hyperlink r:id="rId60" w:history="1">
        <w:r w:rsidRPr="00530288">
          <w:rPr>
            <w:rStyle w:val="Hyperlink"/>
            <w:sz w:val="20"/>
            <w:szCs w:val="20"/>
          </w:rPr>
          <w:t>35145</w:t>
        </w:r>
      </w:hyperlink>
      <w:r w:rsidRPr="00530288">
        <w:rPr>
          <w:sz w:val="20"/>
          <w:szCs w:val="20"/>
        </w:rPr>
        <w:t>)</w:t>
      </w:r>
    </w:p>
    <w:p w:rsidR="00302C94" w:rsidRPr="00E81D6B" w:rsidRDefault="00302C94" w:rsidP="00302C94">
      <w:pPr>
        <w:jc w:val="both"/>
        <w:rPr>
          <w:b/>
          <w:sz w:val="20"/>
          <w:szCs w:val="20"/>
        </w:rPr>
      </w:pPr>
      <w:r w:rsidRPr="00E81D6B">
        <w:rPr>
          <w:b/>
          <w:sz w:val="20"/>
          <w:szCs w:val="20"/>
        </w:rPr>
        <w:t xml:space="preserve">Indexed as:  Canadian National Railway Co. </w:t>
      </w:r>
      <w:r w:rsidRPr="00E81D6B">
        <w:rPr>
          <w:b/>
          <w:i/>
          <w:sz w:val="20"/>
          <w:szCs w:val="20"/>
        </w:rPr>
        <w:t>v.</w:t>
      </w:r>
      <w:r w:rsidRPr="00E81D6B">
        <w:rPr>
          <w:b/>
          <w:sz w:val="20"/>
          <w:szCs w:val="20"/>
        </w:rPr>
        <w:t xml:space="preserve"> Canada (</w:t>
      </w:r>
      <w:r w:rsidRPr="00E81D6B">
        <w:rPr>
          <w:rStyle w:val="SCCRespondentForIndexChar"/>
          <w:rFonts w:eastAsiaTheme="minorHAnsi"/>
          <w:sz w:val="20"/>
        </w:rPr>
        <w:t>Attorney General)</w:t>
      </w:r>
      <w:r>
        <w:rPr>
          <w:rStyle w:val="SCCRespondentForIndexChar"/>
          <w:rFonts w:eastAsiaTheme="minorHAnsi"/>
          <w:sz w:val="20"/>
        </w:rPr>
        <w:t xml:space="preserve"> /</w:t>
      </w:r>
    </w:p>
    <w:p w:rsidR="00302C94" w:rsidRPr="006335D1" w:rsidRDefault="00302C94" w:rsidP="00302C94">
      <w:pPr>
        <w:jc w:val="both"/>
        <w:rPr>
          <w:b/>
          <w:sz w:val="20"/>
          <w:szCs w:val="20"/>
          <w:lang w:val="fr-CA"/>
        </w:rPr>
      </w:pPr>
      <w:r w:rsidRPr="006335D1">
        <w:rPr>
          <w:b/>
          <w:sz w:val="20"/>
          <w:szCs w:val="20"/>
          <w:lang w:val="fr-CA"/>
        </w:rPr>
        <w:t xml:space="preserve">Répertorié : Compagnie des chemins de fer nationaux du Canada </w:t>
      </w:r>
      <w:r w:rsidRPr="006335D1">
        <w:rPr>
          <w:b/>
          <w:i/>
          <w:sz w:val="20"/>
          <w:szCs w:val="20"/>
          <w:lang w:val="fr-CA"/>
        </w:rPr>
        <w:t>c.</w:t>
      </w:r>
      <w:r w:rsidRPr="006335D1">
        <w:rPr>
          <w:b/>
          <w:sz w:val="20"/>
          <w:szCs w:val="20"/>
          <w:lang w:val="fr-CA"/>
        </w:rPr>
        <w:t xml:space="preserve"> Canada (</w:t>
      </w:r>
      <w:r w:rsidRPr="006335D1">
        <w:rPr>
          <w:rStyle w:val="SCCRespondentForIndexChar"/>
          <w:rFonts w:eastAsiaTheme="minorHAnsi"/>
          <w:sz w:val="20"/>
          <w:lang w:val="fr-CA"/>
        </w:rPr>
        <w:t>Procureur général)</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555E10">
        <w:rPr>
          <w:sz w:val="20"/>
        </w:rPr>
        <w:t>40</w:t>
      </w:r>
      <w:r w:rsidRPr="00352A49">
        <w:rPr>
          <w:sz w:val="20"/>
        </w:rPr>
        <w:t xml:space="preserve"> / Référence neutre : 201</w:t>
      </w:r>
      <w:r>
        <w:rPr>
          <w:sz w:val="20"/>
        </w:rPr>
        <w:t>4</w:t>
      </w:r>
      <w:r w:rsidRPr="00352A49">
        <w:rPr>
          <w:sz w:val="20"/>
        </w:rPr>
        <w:t xml:space="preserve"> CSC </w:t>
      </w:r>
      <w:r w:rsidR="00555E10">
        <w:rPr>
          <w:sz w:val="20"/>
        </w:rPr>
        <w:t>40</w:t>
      </w:r>
    </w:p>
    <w:p w:rsidR="0052229C" w:rsidRPr="00352A49" w:rsidRDefault="0052229C" w:rsidP="0052229C">
      <w:pPr>
        <w:rPr>
          <w:sz w:val="20"/>
          <w:szCs w:val="20"/>
          <w:lang w:val="fr-CA"/>
        </w:rPr>
      </w:pPr>
      <w:r w:rsidRPr="00352A49">
        <w:rPr>
          <w:sz w:val="20"/>
          <w:szCs w:val="20"/>
          <w:lang w:val="fr-CA"/>
        </w:rPr>
        <w:t xml:space="preserve">Hearing:  </w:t>
      </w:r>
      <w:r w:rsidR="00C544FC">
        <w:rPr>
          <w:sz w:val="20"/>
          <w:szCs w:val="20"/>
          <w:lang w:val="fr-CA"/>
        </w:rPr>
        <w:t>J</w:t>
      </w:r>
      <w:r w:rsidRPr="00352A49">
        <w:rPr>
          <w:sz w:val="20"/>
          <w:szCs w:val="20"/>
          <w:lang w:val="fr-CA"/>
        </w:rPr>
        <w:t>a</w:t>
      </w:r>
      <w:r w:rsidR="00C544FC">
        <w:rPr>
          <w:sz w:val="20"/>
          <w:szCs w:val="20"/>
          <w:lang w:val="fr-CA"/>
        </w:rPr>
        <w:t>nuar</w:t>
      </w:r>
      <w:r>
        <w:rPr>
          <w:sz w:val="20"/>
          <w:szCs w:val="20"/>
          <w:lang w:val="fr-CA"/>
        </w:rPr>
        <w:t>y</w:t>
      </w:r>
      <w:r w:rsidRPr="00352A49">
        <w:rPr>
          <w:sz w:val="20"/>
          <w:szCs w:val="20"/>
          <w:lang w:val="fr-CA"/>
        </w:rPr>
        <w:t xml:space="preserve"> </w:t>
      </w:r>
      <w:r w:rsidR="00C544FC">
        <w:rPr>
          <w:sz w:val="20"/>
          <w:szCs w:val="20"/>
          <w:lang w:val="fr-CA"/>
        </w:rPr>
        <w:t>14</w:t>
      </w:r>
      <w:r w:rsidRPr="00352A49">
        <w:rPr>
          <w:sz w:val="20"/>
          <w:szCs w:val="20"/>
          <w:lang w:val="fr-CA"/>
        </w:rPr>
        <w:t>, 201</w:t>
      </w:r>
      <w:r w:rsidR="00C544FC">
        <w:rPr>
          <w:sz w:val="20"/>
          <w:szCs w:val="20"/>
          <w:lang w:val="fr-CA"/>
        </w:rPr>
        <w:t>4</w:t>
      </w:r>
      <w:r w:rsidRPr="00352A49">
        <w:rPr>
          <w:sz w:val="20"/>
          <w:szCs w:val="20"/>
          <w:lang w:val="fr-CA"/>
        </w:rPr>
        <w:t xml:space="preserve"> / Judgment:  </w:t>
      </w:r>
      <w:r w:rsidR="00555E10">
        <w:rPr>
          <w:sz w:val="20"/>
          <w:szCs w:val="20"/>
          <w:lang w:val="fr-CA"/>
        </w:rPr>
        <w:t>M</w:t>
      </w:r>
      <w:r w:rsidRPr="00352A49">
        <w:rPr>
          <w:sz w:val="20"/>
          <w:szCs w:val="20"/>
          <w:lang w:val="fr-CA"/>
        </w:rPr>
        <w:t xml:space="preserve">ay </w:t>
      </w:r>
      <w:r w:rsidR="00555E10">
        <w:rPr>
          <w:sz w:val="20"/>
          <w:szCs w:val="20"/>
          <w:lang w:val="fr-CA"/>
        </w:rPr>
        <w:t>23</w:t>
      </w:r>
      <w:r w:rsidRPr="00352A49">
        <w:rPr>
          <w:sz w:val="20"/>
          <w:szCs w:val="20"/>
          <w:lang w:val="fr-CA"/>
        </w:rPr>
        <w:t>, 201</w:t>
      </w:r>
      <w:r>
        <w:rPr>
          <w:sz w:val="20"/>
          <w:szCs w:val="20"/>
          <w:lang w:val="fr-CA"/>
        </w:rPr>
        <w:t>4</w:t>
      </w:r>
    </w:p>
    <w:p w:rsidR="0052229C" w:rsidRPr="003B3977" w:rsidRDefault="0052229C" w:rsidP="0052229C">
      <w:pPr>
        <w:rPr>
          <w:sz w:val="20"/>
          <w:szCs w:val="20"/>
          <w:lang w:val="fr-CA"/>
        </w:rPr>
      </w:pPr>
      <w:r w:rsidRPr="003B3977">
        <w:rPr>
          <w:sz w:val="20"/>
          <w:szCs w:val="20"/>
          <w:lang w:val="fr-CA"/>
        </w:rPr>
        <w:t xml:space="preserve">Audition : Le </w:t>
      </w:r>
      <w:r w:rsidR="00C544FC">
        <w:rPr>
          <w:sz w:val="20"/>
          <w:szCs w:val="20"/>
          <w:lang w:val="fr-CA"/>
        </w:rPr>
        <w:t>14</w:t>
      </w:r>
      <w:r>
        <w:rPr>
          <w:sz w:val="20"/>
          <w:szCs w:val="20"/>
          <w:lang w:val="fr-CA"/>
        </w:rPr>
        <w:t xml:space="preserve"> </w:t>
      </w:r>
      <w:r w:rsidR="00C544FC">
        <w:rPr>
          <w:sz w:val="20"/>
          <w:szCs w:val="20"/>
          <w:lang w:val="fr-CA"/>
        </w:rPr>
        <w:t>j</w:t>
      </w:r>
      <w:r w:rsidRPr="003B3977">
        <w:rPr>
          <w:sz w:val="20"/>
          <w:szCs w:val="20"/>
          <w:lang w:val="fr-CA"/>
        </w:rPr>
        <w:t>a</w:t>
      </w:r>
      <w:r w:rsidR="00C544FC">
        <w:rPr>
          <w:sz w:val="20"/>
          <w:szCs w:val="20"/>
          <w:lang w:val="fr-CA"/>
        </w:rPr>
        <w:t>nv</w:t>
      </w:r>
      <w:r>
        <w:rPr>
          <w:sz w:val="20"/>
          <w:szCs w:val="20"/>
          <w:lang w:val="fr-CA"/>
        </w:rPr>
        <w:t>i</w:t>
      </w:r>
      <w:r w:rsidR="00C544FC">
        <w:rPr>
          <w:sz w:val="20"/>
          <w:szCs w:val="20"/>
          <w:lang w:val="fr-CA"/>
        </w:rPr>
        <w:t>er</w:t>
      </w:r>
      <w:r w:rsidRPr="003B3977">
        <w:rPr>
          <w:sz w:val="20"/>
          <w:szCs w:val="20"/>
          <w:lang w:val="fr-CA"/>
        </w:rPr>
        <w:t xml:space="preserve"> 201</w:t>
      </w:r>
      <w:r w:rsidR="00C544FC">
        <w:rPr>
          <w:sz w:val="20"/>
          <w:szCs w:val="20"/>
          <w:lang w:val="fr-CA"/>
        </w:rPr>
        <w:t>4</w:t>
      </w:r>
      <w:r w:rsidRPr="003B3977">
        <w:rPr>
          <w:sz w:val="20"/>
          <w:szCs w:val="20"/>
          <w:lang w:val="fr-CA"/>
        </w:rPr>
        <w:t xml:space="preserve"> / Jugement : Le </w:t>
      </w:r>
      <w:r w:rsidR="00555E10">
        <w:rPr>
          <w:sz w:val="20"/>
          <w:szCs w:val="20"/>
          <w:lang w:val="fr-CA"/>
        </w:rPr>
        <w:t>23</w:t>
      </w:r>
      <w:r>
        <w:rPr>
          <w:sz w:val="20"/>
          <w:szCs w:val="20"/>
          <w:lang w:val="fr-CA"/>
        </w:rPr>
        <w:t xml:space="preserve"> </w:t>
      </w:r>
      <w:r w:rsidR="00555E10">
        <w:rPr>
          <w:sz w:val="20"/>
          <w:szCs w:val="20"/>
          <w:lang w:val="fr-CA"/>
        </w:rPr>
        <w:t>m</w:t>
      </w:r>
      <w:r>
        <w:rPr>
          <w:sz w:val="20"/>
          <w:szCs w:val="20"/>
          <w:lang w:val="fr-CA"/>
        </w:rPr>
        <w:t>ai</w:t>
      </w:r>
      <w:r w:rsidRPr="003B3977">
        <w:rPr>
          <w:sz w:val="20"/>
          <w:szCs w:val="20"/>
          <w:lang w:val="fr-CA"/>
        </w:rPr>
        <w:t xml:space="preserve"> 201</w:t>
      </w:r>
      <w:r>
        <w:rPr>
          <w:sz w:val="20"/>
          <w:szCs w:val="20"/>
          <w:lang w:val="fr-CA"/>
        </w:rPr>
        <w:t>4</w:t>
      </w:r>
    </w:p>
    <w:p w:rsidR="005C6840" w:rsidRPr="003B3977" w:rsidRDefault="00142ACF" w:rsidP="005C6840">
      <w:pPr>
        <w:rPr>
          <w:sz w:val="20"/>
          <w:szCs w:val="20"/>
          <w:lang w:val="fr-CA"/>
        </w:rPr>
      </w:pPr>
      <w:r>
        <w:rPr>
          <w:i/>
          <w:sz w:val="20"/>
          <w:szCs w:val="20"/>
        </w:rPr>
        <w:pict>
          <v:rect id="_x0000_i105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EF7F30" w:rsidRPr="006F3F12" w:rsidRDefault="00EF7F30" w:rsidP="00EF7F30">
      <w:pPr>
        <w:jc w:val="both"/>
        <w:rPr>
          <w:sz w:val="20"/>
          <w:szCs w:val="20"/>
        </w:rPr>
      </w:pPr>
      <w:r w:rsidRPr="006F3F12">
        <w:rPr>
          <w:sz w:val="20"/>
          <w:szCs w:val="20"/>
        </w:rPr>
        <w:t>Present:  McLachlin C.J. and LeBel, Abella, Rothstein, Cromwell, Karakatsanis and Wagner JJ.</w:t>
      </w:r>
    </w:p>
    <w:p w:rsidR="00EF7F30" w:rsidRDefault="00EF7F30" w:rsidP="00EF7F30">
      <w:pPr>
        <w:pStyle w:val="SCCLowerCourtNameLowercase"/>
        <w:spacing w:line="240" w:lineRule="auto"/>
        <w:rPr>
          <w:sz w:val="20"/>
        </w:rPr>
      </w:pPr>
    </w:p>
    <w:p w:rsidR="00EF7F30" w:rsidRPr="006F3F12" w:rsidRDefault="00EF7F30" w:rsidP="00EF7F30">
      <w:pPr>
        <w:pStyle w:val="SCCNormalDoubleSpacing"/>
        <w:spacing w:line="240" w:lineRule="auto"/>
        <w:rPr>
          <w:i/>
          <w:sz w:val="20"/>
        </w:rPr>
      </w:pPr>
      <w:r w:rsidRPr="006F3F12">
        <w:rPr>
          <w:i/>
          <w:sz w:val="20"/>
        </w:rPr>
        <w:tab/>
        <w:t xml:space="preserve">Administrative law — Transportation law — Boards and tribunals — Judicial </w:t>
      </w:r>
      <w:r w:rsidRPr="006F3F12">
        <w:rPr>
          <w:i/>
          <w:sz w:val="20"/>
          <w:lang w:val="en-US"/>
        </w:rPr>
        <w:t>review</w:t>
      </w:r>
      <w:r w:rsidRPr="006F3F12">
        <w:rPr>
          <w:i/>
          <w:sz w:val="20"/>
        </w:rPr>
        <w:t xml:space="preserve"> — Standard of review — Governor in Council rescinding decision of Canadian Transportation Agency — Whether Governor in Council empowered to vary or rescind decision of Agency — Whether applicable standard of review is correctness or reasonableness — Canadian Transportation Act, S.C. 1996, c. 10, ss. 40, 41, 120.1.</w:t>
      </w:r>
    </w:p>
    <w:p w:rsidR="00EF7F30" w:rsidRDefault="00EF7F30"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t xml:space="preserve">The confidential contract between PRC and CN for shipping coal specified </w:t>
      </w:r>
      <w:r w:rsidRPr="006F3F12">
        <w:rPr>
          <w:sz w:val="20"/>
          <w:lang w:val="en-US"/>
        </w:rPr>
        <w:t>that</w:t>
      </w:r>
      <w:r w:rsidRPr="006F3F12">
        <w:rPr>
          <w:sz w:val="20"/>
        </w:rPr>
        <w:t xml:space="preserve"> a fuel surcharge set out in Tariff 7402 would be applied when the monthly average price of highway diesel fuel equalled or exceeded the “strike price”.  Tariff 7402 set the strike price at US$1.25 per gallon.  CN could make unilateral changes to Tariff 7402, and the contract provided no mechanism for PRC to challenge any such change.</w:t>
      </w:r>
    </w:p>
    <w:p w:rsidR="00EF7F30" w:rsidRDefault="00EF7F30"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t xml:space="preserve">Shortly after the confidential contract took effect, CN introduced Tariff 7403, which provided for a higher strike price.  Tariff 7402 and its lower strike price would </w:t>
      </w:r>
      <w:r w:rsidRPr="006F3F12">
        <w:rPr>
          <w:sz w:val="20"/>
          <w:lang w:val="en-US"/>
        </w:rPr>
        <w:t>remain</w:t>
      </w:r>
      <w:r w:rsidRPr="006F3F12">
        <w:rPr>
          <w:sz w:val="20"/>
        </w:rPr>
        <w:t xml:space="preserve"> in effect until the expiration of those contracts to which it applied.  CN refused to apply the higher strike price to PRC’s traffic, and the Canadian Transportation Agency (“Agency”) dismissed PRC’s application under s. 120.1 of the </w:t>
      </w:r>
      <w:r w:rsidRPr="006F3F12">
        <w:rPr>
          <w:i/>
          <w:sz w:val="20"/>
        </w:rPr>
        <w:t>Canada Transportation Act</w:t>
      </w:r>
      <w:r w:rsidRPr="006F3F12">
        <w:rPr>
          <w:sz w:val="20"/>
        </w:rPr>
        <w:t xml:space="preserve"> (“</w:t>
      </w:r>
      <w:r w:rsidRPr="006F3F12">
        <w:rPr>
          <w:i/>
          <w:sz w:val="20"/>
        </w:rPr>
        <w:t>CTA</w:t>
      </w:r>
      <w:r w:rsidRPr="006F3F12">
        <w:rPr>
          <w:sz w:val="20"/>
        </w:rPr>
        <w:t>”) for an order that the strike price in Tariff 7402 be varied to reflect the higher strike price in Tariff 7403.  The Canadian Industrial Transportation Association then filed a petition under s. 40 of the</w:t>
      </w:r>
      <w:r w:rsidRPr="006F3F12">
        <w:rPr>
          <w:i/>
          <w:sz w:val="20"/>
        </w:rPr>
        <w:t xml:space="preserve"> CTA</w:t>
      </w:r>
      <w:r w:rsidRPr="006F3F12">
        <w:rPr>
          <w:sz w:val="20"/>
        </w:rPr>
        <w:t xml:space="preserve"> requesting that the Governor in Council vary the Agency’s decision and direct the Agency that the confidential contract does not preclude the Agency from assessing the reasonableness of the fuel surcharge in Tariff 7402.  The Governor in Council rescinded the Agency’s decision.  On judicial review, the Federal Court found that the issue before the Governor in Council was one of pure jurisdiction, applied the correctness standard and set aside the Order of the Governor in Council, and restored the Agency’s decision.  The Federal Court of Appeal, applying a reasonableness standard, set aside the judgment of the Federal Court and dismissed CN’s application for judicial review of the Governor in Council’s decision.</w:t>
      </w:r>
    </w:p>
    <w:p w:rsidR="00EF7F30" w:rsidRDefault="00EF7F30"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r>
      <w:r w:rsidRPr="006F3F12">
        <w:rPr>
          <w:i/>
          <w:sz w:val="20"/>
        </w:rPr>
        <w:t>Held</w:t>
      </w:r>
      <w:r w:rsidRPr="006F3F12">
        <w:rPr>
          <w:sz w:val="20"/>
        </w:rPr>
        <w:t xml:space="preserve">:  The appeal </w:t>
      </w:r>
      <w:r w:rsidRPr="006F3F12">
        <w:rPr>
          <w:sz w:val="20"/>
          <w:lang w:val="en-US"/>
        </w:rPr>
        <w:t>should</w:t>
      </w:r>
      <w:r w:rsidRPr="006F3F12">
        <w:rPr>
          <w:sz w:val="20"/>
        </w:rPr>
        <w:t xml:space="preserve"> be dismissed.</w:t>
      </w:r>
    </w:p>
    <w:p w:rsidR="00EF7F30" w:rsidRDefault="00EF7F30"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t xml:space="preserve">Section 40 of the </w:t>
      </w:r>
      <w:r w:rsidRPr="006F3F12">
        <w:rPr>
          <w:i/>
          <w:sz w:val="20"/>
        </w:rPr>
        <w:t>CTA</w:t>
      </w:r>
      <w:r w:rsidRPr="006F3F12">
        <w:rPr>
          <w:sz w:val="20"/>
        </w:rPr>
        <w:t xml:space="preserve"> confers broad authority on the Governor in Council to address any orders or decisions of the Agency, including those involving questions of law.  Where Parliament intends to limit the Governor in Council’s </w:t>
      </w:r>
      <w:r w:rsidRPr="006F3F12">
        <w:rPr>
          <w:sz w:val="20"/>
          <w:lang w:val="en-US"/>
        </w:rPr>
        <w:t>authority</w:t>
      </w:r>
      <w:r w:rsidRPr="006F3F12">
        <w:rPr>
          <w:sz w:val="20"/>
        </w:rPr>
        <w:t>, it does so expressly, but the only inherent limitation on the authority conferred by s. 40 is that the Governor in Council’s authority is limited to matters already dealt with by the Commission.  Limitations like those placed on the right to appeal a decision of the Agency to the Federal Court of Appeal or on the Governor in Council’s authority under other legislation are not found in s. 40.</w:t>
      </w:r>
    </w:p>
    <w:p w:rsidR="00EF7F30" w:rsidRDefault="00EF7F30" w:rsidP="00EF7F30">
      <w:pPr>
        <w:pStyle w:val="SCCNormalDoubleSpacing"/>
        <w:spacing w:line="240" w:lineRule="auto"/>
        <w:rPr>
          <w:sz w:val="20"/>
        </w:rPr>
      </w:pPr>
    </w:p>
    <w:p w:rsidR="00EF7F30" w:rsidRDefault="00EF7F30" w:rsidP="00EF7F30">
      <w:pPr>
        <w:pStyle w:val="SCCNormalDoubleSpacing"/>
        <w:spacing w:line="240" w:lineRule="auto"/>
        <w:rPr>
          <w:sz w:val="20"/>
        </w:rPr>
      </w:pPr>
      <w:r w:rsidRPr="006F3F12">
        <w:rPr>
          <w:sz w:val="20"/>
        </w:rPr>
        <w:tab/>
        <w:t xml:space="preserve">The </w:t>
      </w:r>
      <w:r w:rsidRPr="006F3F12">
        <w:rPr>
          <w:i/>
          <w:sz w:val="20"/>
        </w:rPr>
        <w:t>Dunsmuir</w:t>
      </w:r>
      <w:r w:rsidRPr="006F3F12">
        <w:rPr>
          <w:sz w:val="20"/>
        </w:rPr>
        <w:t xml:space="preserve"> framework, which applies to administrative decision-makers generally and not just to administrative tribunals, applies to adjudicative decisions of the Governor in Council made under s. 40, and the applicable standard of review is </w:t>
      </w:r>
      <w:r w:rsidRPr="006F3F12">
        <w:rPr>
          <w:sz w:val="20"/>
          <w:lang w:val="en-US"/>
        </w:rPr>
        <w:t>reasonableness</w:t>
      </w:r>
      <w:r w:rsidRPr="006F3F12">
        <w:rPr>
          <w:sz w:val="20"/>
        </w:rPr>
        <w:t>.  It is now well established that deference will usually result where a decision maker is interpreting its own statute or statutes closely connected to its function, with which it will have particular familiarity.  Parliament has recognized that the Governor in Council has particular familiarity in the area of economic regulation and transportation law and policy is closely connected to the Governor in Council’s review function.</w:t>
      </w:r>
    </w:p>
    <w:p w:rsidR="00421AA3" w:rsidRDefault="00421AA3"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t xml:space="preserve">The presumption of deference applies and is not rebutted.  Whether a party to a confidential contract can bring a complaint under s. 120.1 is a question of law which </w:t>
      </w:r>
      <w:r w:rsidRPr="006F3F12">
        <w:rPr>
          <w:sz w:val="20"/>
          <w:lang w:val="en-US"/>
        </w:rPr>
        <w:t>does</w:t>
      </w:r>
      <w:r w:rsidRPr="006F3F12">
        <w:rPr>
          <w:sz w:val="20"/>
        </w:rPr>
        <w:t xml:space="preserve"> not fall within one of the established categories of questions to which correctness review applies.  There is no issue of constitutionality or competing jurisdiction between tribunals.  The question at issue is not a question of central importance to the legal system as a whole.  Finally, it is an issue of statutory interpretation and could not be a true question of jurisdiction or </w:t>
      </w:r>
      <w:r w:rsidRPr="006F3F12">
        <w:rPr>
          <w:i/>
          <w:sz w:val="20"/>
        </w:rPr>
        <w:t xml:space="preserve">vires </w:t>
      </w:r>
      <w:r w:rsidRPr="006F3F12">
        <w:rPr>
          <w:sz w:val="20"/>
        </w:rPr>
        <w:t>of the Governor in Council.</w:t>
      </w:r>
    </w:p>
    <w:p w:rsidR="00EF7F30" w:rsidRDefault="00EF7F30" w:rsidP="00EF7F30">
      <w:pPr>
        <w:pStyle w:val="SCCNormalDoubleSpacing"/>
        <w:spacing w:line="240" w:lineRule="auto"/>
        <w:rPr>
          <w:sz w:val="20"/>
        </w:rPr>
      </w:pPr>
    </w:p>
    <w:p w:rsidR="00EF7F30" w:rsidRDefault="00EF7F30" w:rsidP="00EF7F30">
      <w:pPr>
        <w:pStyle w:val="SCCNormalDoubleSpacing"/>
        <w:spacing w:line="240" w:lineRule="auto"/>
        <w:rPr>
          <w:sz w:val="20"/>
        </w:rPr>
      </w:pPr>
      <w:r w:rsidRPr="006F3F12">
        <w:rPr>
          <w:sz w:val="20"/>
        </w:rPr>
        <w:tab/>
        <w:t xml:space="preserve">The Governor in Council’s conclusion that a party to a confidential contract is able to bring a complaint under s. 120.1 in certain circumstances was reasonable.  It is supported by the facts and the wording of s. 120.1(1).  The conclusion that the existence of a confidential contract did not bar a shipper from applying for a </w:t>
      </w:r>
      <w:r w:rsidRPr="006F3F12">
        <w:rPr>
          <w:sz w:val="20"/>
          <w:lang w:val="en-US"/>
        </w:rPr>
        <w:t>reasonableness</w:t>
      </w:r>
      <w:r w:rsidRPr="006F3F12">
        <w:rPr>
          <w:sz w:val="20"/>
        </w:rPr>
        <w:t xml:space="preserve"> assessment under s. 120.1(1), is consistent with the terms of the </w:t>
      </w:r>
      <w:r w:rsidRPr="006F3F12">
        <w:rPr>
          <w:i/>
          <w:sz w:val="20"/>
        </w:rPr>
        <w:t>CTA</w:t>
      </w:r>
      <w:r w:rsidRPr="006F3F12">
        <w:rPr>
          <w:sz w:val="20"/>
        </w:rPr>
        <w:t>, which do not preclude the Agency from reviewing the reasonableness of a charge contained in a tariff applicable to more than one shipper, whether or not it is incorporated by reference into a confidential contract.  In addition, it was open to the Governor in Council to conclude that Parliament’s intent in enacting s. 120.1 was to provide a measure of protection for shippers.  Accordingly, without deciding whether in any particular case a confidential contract would preclude a shipper from relief under s. 120.1, leaving access to the s. 120.1 complaint mechanism available to parties to confidential contracts can reasonably be said to be consistent with that intention.  The Governor in Council’s interpretation of s. 120.1 was reasonable.</w:t>
      </w:r>
    </w:p>
    <w:p w:rsidR="00EF7F30" w:rsidRDefault="00EF7F30" w:rsidP="00EF7F30">
      <w:pPr>
        <w:pStyle w:val="SCCNormalDoubleSpacing"/>
        <w:spacing w:line="240" w:lineRule="auto"/>
        <w:rPr>
          <w:sz w:val="20"/>
        </w:rPr>
      </w:pPr>
    </w:p>
    <w:p w:rsidR="00EF7F30" w:rsidRPr="006F3F12" w:rsidRDefault="00EF7F30" w:rsidP="00EF7F30">
      <w:pPr>
        <w:pStyle w:val="SCCNormalDoubleSpacing"/>
        <w:spacing w:line="240" w:lineRule="auto"/>
        <w:rPr>
          <w:sz w:val="20"/>
        </w:rPr>
      </w:pPr>
      <w:r w:rsidRPr="006F3F12">
        <w:rPr>
          <w:sz w:val="20"/>
        </w:rPr>
        <w:tab/>
        <w:t>APPEAL from a judgment of the Federal Court of Appeal (Dawson, Gauthier and Stratas JJ.A.), 2012 FCA 278, 440 N.R. 217, [2012] F.C.J. No. 1438 (QL), 2012 CarswellNat 4527, setting aside a decision of Hughes J., 2011 FC 1201, 398 F.T.R. 218, [2011] F.C.J. No. 1469 (QL), 2011 CarswellNat 4297.  Appeal dismissed.</w:t>
      </w:r>
    </w:p>
    <w:p w:rsidR="00EF7F30" w:rsidRDefault="00EF7F30" w:rsidP="00EF7F30">
      <w:pPr>
        <w:pStyle w:val="SCCNormalDoubleSpacing"/>
        <w:spacing w:line="240" w:lineRule="auto"/>
        <w:rPr>
          <w:rStyle w:val="SCCCounselNameChar"/>
          <w:sz w:val="20"/>
        </w:rPr>
      </w:pPr>
    </w:p>
    <w:p w:rsidR="00EF7F30" w:rsidRPr="006F3F12" w:rsidRDefault="00EF7F30" w:rsidP="00EF7F30">
      <w:pPr>
        <w:pStyle w:val="SCCNormalDoubleSpacing"/>
        <w:spacing w:line="240" w:lineRule="auto"/>
        <w:rPr>
          <w:sz w:val="20"/>
        </w:rPr>
      </w:pPr>
      <w:r w:rsidRPr="006F3F12">
        <w:rPr>
          <w:rStyle w:val="SCCCounselNameChar"/>
          <w:sz w:val="20"/>
        </w:rPr>
        <w:tab/>
        <w:t>Guy J. Pratte</w:t>
      </w:r>
      <w:r w:rsidRPr="00EF7F30">
        <w:rPr>
          <w:rStyle w:val="SCCCounselSeparatorChar"/>
          <w:sz w:val="20"/>
          <w:lang w:val="en-CA"/>
        </w:rPr>
        <w:t xml:space="preserve">, </w:t>
      </w:r>
      <w:r w:rsidRPr="00EF7F30">
        <w:rPr>
          <w:rStyle w:val="SCCCounselSeparatorChar"/>
          <w:i/>
          <w:sz w:val="20"/>
          <w:lang w:val="en-CA"/>
        </w:rPr>
        <w:t>Nadia Effendi</w:t>
      </w:r>
      <w:r w:rsidRPr="00EF7F30">
        <w:rPr>
          <w:rStyle w:val="SCCCounselSeparatorChar"/>
          <w:sz w:val="20"/>
          <w:lang w:val="en-CA"/>
        </w:rPr>
        <w:t xml:space="preserve"> and </w:t>
      </w:r>
      <w:r w:rsidRPr="006F3F12">
        <w:rPr>
          <w:rStyle w:val="SCCCounselNameChar"/>
          <w:sz w:val="20"/>
        </w:rPr>
        <w:t>Éric Harvey</w:t>
      </w:r>
      <w:r w:rsidRPr="006F3F12">
        <w:rPr>
          <w:rStyle w:val="SCCCounselPartyRoleChar"/>
          <w:sz w:val="20"/>
        </w:rPr>
        <w:t>, for the appellant.</w:t>
      </w:r>
    </w:p>
    <w:p w:rsidR="00EF7F30" w:rsidRDefault="00EF7F30" w:rsidP="00EF7F30">
      <w:pPr>
        <w:pStyle w:val="SCCNormalDoubleSpacing"/>
        <w:spacing w:line="240" w:lineRule="auto"/>
        <w:rPr>
          <w:rStyle w:val="SCCCounselNameChar"/>
          <w:sz w:val="20"/>
        </w:rPr>
      </w:pPr>
    </w:p>
    <w:p w:rsidR="00EF7F30" w:rsidRPr="006F3F12" w:rsidRDefault="00EF7F30" w:rsidP="00EF7F30">
      <w:pPr>
        <w:pStyle w:val="SCCNormalDoubleSpacing"/>
        <w:spacing w:line="240" w:lineRule="auto"/>
        <w:rPr>
          <w:sz w:val="20"/>
        </w:rPr>
      </w:pPr>
      <w:r w:rsidRPr="006F3F12">
        <w:rPr>
          <w:rStyle w:val="SCCCounselNameChar"/>
          <w:sz w:val="20"/>
        </w:rPr>
        <w:tab/>
        <w:t>Peter Southey</w:t>
      </w:r>
      <w:r w:rsidRPr="00EF7F30">
        <w:rPr>
          <w:rStyle w:val="SCCCounselSeparatorChar"/>
          <w:sz w:val="20"/>
          <w:lang w:val="en-CA"/>
        </w:rPr>
        <w:t xml:space="preserve"> and </w:t>
      </w:r>
      <w:r w:rsidRPr="006F3F12">
        <w:rPr>
          <w:rStyle w:val="SCCCounselNameChar"/>
          <w:sz w:val="20"/>
        </w:rPr>
        <w:t>Sean Gaudet</w:t>
      </w:r>
      <w:r w:rsidRPr="006F3F12">
        <w:rPr>
          <w:rStyle w:val="SCCCounselPartyRoleChar"/>
          <w:sz w:val="20"/>
        </w:rPr>
        <w:t xml:space="preserve">, for the respondent </w:t>
      </w:r>
      <w:r w:rsidRPr="006F3F12">
        <w:rPr>
          <w:sz w:val="20"/>
        </w:rPr>
        <w:t>the Attorney General of Canada</w:t>
      </w:r>
      <w:r w:rsidRPr="006F3F12">
        <w:rPr>
          <w:rStyle w:val="SCCCounselPartyRoleChar"/>
          <w:sz w:val="20"/>
        </w:rPr>
        <w:t>.</w:t>
      </w:r>
    </w:p>
    <w:p w:rsidR="00EF7F30" w:rsidRDefault="00EF7F30" w:rsidP="00EF7F30">
      <w:pPr>
        <w:pStyle w:val="SCCNormalDoubleSpacing"/>
        <w:spacing w:line="240" w:lineRule="auto"/>
        <w:rPr>
          <w:rStyle w:val="SCCCounselNameChar"/>
          <w:sz w:val="20"/>
        </w:rPr>
      </w:pPr>
    </w:p>
    <w:p w:rsidR="00EF7F30" w:rsidRPr="006F3F12" w:rsidRDefault="00EF7F30" w:rsidP="00EF7F30">
      <w:pPr>
        <w:pStyle w:val="SCCNormalDoubleSpacing"/>
        <w:spacing w:line="240" w:lineRule="auto"/>
        <w:rPr>
          <w:sz w:val="20"/>
        </w:rPr>
      </w:pPr>
      <w:r w:rsidRPr="006F3F12">
        <w:rPr>
          <w:rStyle w:val="SCCCounselNameChar"/>
          <w:sz w:val="20"/>
        </w:rPr>
        <w:tab/>
        <w:t>Forrest C. Hume</w:t>
      </w:r>
      <w:r w:rsidRPr="00EF7F30">
        <w:rPr>
          <w:rStyle w:val="SCCCounselSeparatorChar"/>
          <w:sz w:val="20"/>
          <w:lang w:val="en-CA"/>
        </w:rPr>
        <w:t xml:space="preserve"> and </w:t>
      </w:r>
      <w:r w:rsidRPr="006F3F12">
        <w:rPr>
          <w:rStyle w:val="SCCCounselNameChar"/>
          <w:sz w:val="20"/>
        </w:rPr>
        <w:t>Cynthia A. Millar</w:t>
      </w:r>
      <w:r w:rsidRPr="006F3F12">
        <w:rPr>
          <w:rStyle w:val="SCCCounselPartyRoleChar"/>
          <w:sz w:val="20"/>
        </w:rPr>
        <w:t>, for the respondents Peace River Coal Inc. and the Canadian Industrial Transportation Association.</w:t>
      </w:r>
    </w:p>
    <w:p w:rsidR="00EF7F30" w:rsidRDefault="00EF7F30" w:rsidP="00EF7F30">
      <w:pPr>
        <w:pStyle w:val="SCCLawFirm"/>
        <w:spacing w:line="240" w:lineRule="auto"/>
        <w:rPr>
          <w:sz w:val="20"/>
        </w:rPr>
      </w:pPr>
    </w:p>
    <w:p w:rsidR="00EF7F30" w:rsidRPr="006F3F12" w:rsidRDefault="00EF7F30" w:rsidP="00EF7F30">
      <w:pPr>
        <w:pStyle w:val="SCCLawFirm"/>
        <w:spacing w:line="240" w:lineRule="auto"/>
        <w:rPr>
          <w:sz w:val="20"/>
        </w:rPr>
      </w:pPr>
      <w:r w:rsidRPr="006F3F12">
        <w:rPr>
          <w:sz w:val="20"/>
        </w:rPr>
        <w:tab/>
        <w:t>Solicitors for the appellant:  Borden Ladner Gervais, Ottawa; Canadian National Railway Company, Montréal.</w:t>
      </w:r>
    </w:p>
    <w:p w:rsidR="00EF7F30" w:rsidRDefault="00EF7F30" w:rsidP="00EF7F30">
      <w:pPr>
        <w:pStyle w:val="SCCLawFirm"/>
        <w:spacing w:line="240" w:lineRule="auto"/>
        <w:rPr>
          <w:sz w:val="20"/>
        </w:rPr>
      </w:pPr>
    </w:p>
    <w:p w:rsidR="00EF7F30" w:rsidRPr="006F3F12" w:rsidRDefault="00EF7F30" w:rsidP="00EF7F30">
      <w:pPr>
        <w:pStyle w:val="SCCLawFirm"/>
        <w:spacing w:line="240" w:lineRule="auto"/>
        <w:rPr>
          <w:sz w:val="20"/>
        </w:rPr>
      </w:pPr>
      <w:r w:rsidRPr="006F3F12">
        <w:rPr>
          <w:sz w:val="20"/>
        </w:rPr>
        <w:tab/>
        <w:t>Solicitor for the respondent the Attorney General of Canada:  Attorney General of Canada, Toronto.</w:t>
      </w:r>
    </w:p>
    <w:p w:rsidR="00EF7F30" w:rsidRDefault="00EF7F30" w:rsidP="00EF7F30">
      <w:pPr>
        <w:pStyle w:val="SCCLawFirm"/>
        <w:spacing w:line="240" w:lineRule="auto"/>
        <w:rPr>
          <w:sz w:val="20"/>
        </w:rPr>
      </w:pPr>
    </w:p>
    <w:p w:rsidR="00EF7F30" w:rsidRPr="00421AA3" w:rsidRDefault="00EF7F30" w:rsidP="00421AA3">
      <w:pPr>
        <w:jc w:val="both"/>
        <w:rPr>
          <w:i/>
          <w:sz w:val="20"/>
          <w:szCs w:val="20"/>
        </w:rPr>
      </w:pPr>
      <w:r w:rsidRPr="00421AA3">
        <w:rPr>
          <w:i/>
          <w:sz w:val="20"/>
          <w:szCs w:val="20"/>
        </w:rPr>
        <w:tab/>
        <w:t xml:space="preserve">Solicitors for the respondents </w:t>
      </w:r>
      <w:r w:rsidRPr="00421AA3">
        <w:rPr>
          <w:rStyle w:val="SCCCounselPartyRoleChar"/>
          <w:rFonts w:eastAsiaTheme="minorHAnsi"/>
          <w:i/>
          <w:sz w:val="20"/>
        </w:rPr>
        <w:t>Peace River Coal Inc. and the Canadian Industrial Transportation Association</w:t>
      </w:r>
      <w:r w:rsidRPr="00421AA3">
        <w:rPr>
          <w:i/>
          <w:sz w:val="20"/>
          <w:szCs w:val="20"/>
        </w:rPr>
        <w:t>:  Davis, Vancouver.</w:t>
      </w:r>
    </w:p>
    <w:p w:rsidR="0052229C" w:rsidRPr="00EF7F30" w:rsidRDefault="0052229C" w:rsidP="00EF7F30">
      <w:pPr>
        <w:rPr>
          <w:sz w:val="20"/>
          <w:szCs w:val="20"/>
          <w:lang w:val="fr-CA"/>
        </w:rPr>
      </w:pPr>
      <w:r w:rsidRPr="00EF7F30">
        <w:rPr>
          <w:sz w:val="20"/>
          <w:szCs w:val="20"/>
          <w:lang w:val="fr-CA"/>
        </w:rPr>
        <w:t>________________________</w:t>
      </w:r>
    </w:p>
    <w:p w:rsidR="0052229C" w:rsidRPr="00EF7F30" w:rsidRDefault="0052229C" w:rsidP="0052229C">
      <w:pPr>
        <w:rPr>
          <w:sz w:val="20"/>
          <w:szCs w:val="20"/>
          <w:lang w:val="fr-CA"/>
        </w:rPr>
      </w:pPr>
    </w:p>
    <w:p w:rsidR="00EF7F30" w:rsidRPr="009475A0" w:rsidRDefault="00EF7F30" w:rsidP="00EF7F30">
      <w:pPr>
        <w:jc w:val="both"/>
        <w:rPr>
          <w:sz w:val="20"/>
          <w:szCs w:val="20"/>
          <w:lang w:val="fr-CA"/>
        </w:rPr>
      </w:pPr>
      <w:r w:rsidRPr="009475A0">
        <w:rPr>
          <w:sz w:val="20"/>
          <w:szCs w:val="20"/>
          <w:lang w:val="fr-CA"/>
        </w:rPr>
        <w:t>Présents : La juge en chef McLachlin et les juges LeBel, Abella, Rothstein, Cromwell, Karakatsanis et Wagner.</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r>
      <w:r w:rsidRPr="009475A0">
        <w:rPr>
          <w:i/>
          <w:sz w:val="20"/>
          <w:lang w:val="fr-CA"/>
        </w:rPr>
        <w:t>Droit administratif — Droit des transports — Organismes et tribunaux administratifs — Contrôle judiciaire — Norme de contrôle — Gouverneur en conseil annulant une décision de l’Office des transports du Canada — Le gouverneur en conseil est</w:t>
      </w:r>
      <w:r w:rsidRPr="009475A0">
        <w:rPr>
          <w:i/>
          <w:sz w:val="20"/>
          <w:lang w:val="fr-CA"/>
        </w:rPr>
        <w:noBreakHyphen/>
        <w:t>il habileté à modifier ou à annuler une décision de l’Office? — La norme de contrôle applicable est</w:t>
      </w:r>
      <w:r w:rsidRPr="009475A0">
        <w:rPr>
          <w:i/>
          <w:sz w:val="20"/>
          <w:lang w:val="fr-CA"/>
        </w:rPr>
        <w:noBreakHyphen/>
        <w:t>elle celle de la décision correcte ou celle de la décision raisonnable? — Loi</w:t>
      </w:r>
      <w:r w:rsidRPr="009475A0">
        <w:rPr>
          <w:i/>
          <w:iCs/>
          <w:sz w:val="20"/>
          <w:lang w:val="fr-CA"/>
        </w:rPr>
        <w:t xml:space="preserve"> sur les transports au Canada</w:t>
      </w:r>
      <w:r w:rsidRPr="009475A0">
        <w:rPr>
          <w:i/>
          <w:sz w:val="20"/>
          <w:lang w:val="fr-CA"/>
        </w:rPr>
        <w:t>, L.C. 1996, ch. 10, art. 40, 41, 120.1.</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t>Le contrat confidentiel conclu entre PRC et le CN pour le transport de charbon par voie ferrée précisait qu’un supplément carburant prévu au tarif 7402 s’appliquerait lorsque le prix moyen mensuel du carburant diesel pour véhicules routiers serait égal ou supérieur au « seuil » prévu.  Le tarif 7402 fixait ce seuil à 1,25 $ US le gallon.  Le CN pouvait modifier unilatéralement le tarif 7402, et le contrat ne prévoyait aucun mécanisme permettant à PRC de contester un tel changement.</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t xml:space="preserve">Peu après l’entrée en vigueur du contrat confidentiel, le CN a adopté le tarif 7403, qui prévoyait un seuil plus élevé.  Le tarif 7402 et le seuil moins élevé qu’il prévoyait continueraient de s’appliquer jusqu’à l’expiration des contrats conclus à ce tarif.  Le CN a refusé d’appliquer le seuil plus élevé aux services de transport qu’il fournissait à PRC, et l’Office des transports du Canada (l’ « Office ») a rejeté la demande présentée par PRC en vertu de l’art. 120.1 de la </w:t>
      </w:r>
      <w:r w:rsidRPr="009475A0">
        <w:rPr>
          <w:i/>
          <w:sz w:val="20"/>
          <w:lang w:val="fr-CA"/>
        </w:rPr>
        <w:t>Loi</w:t>
      </w:r>
      <w:r w:rsidRPr="009475A0">
        <w:rPr>
          <w:i/>
          <w:iCs/>
          <w:sz w:val="20"/>
          <w:lang w:val="fr-CA"/>
        </w:rPr>
        <w:t xml:space="preserve"> sur les transports au Canada</w:t>
      </w:r>
      <w:r w:rsidRPr="009475A0">
        <w:rPr>
          <w:sz w:val="20"/>
          <w:lang w:val="fr-CA"/>
        </w:rPr>
        <w:t xml:space="preserve"> (« </w:t>
      </w:r>
      <w:r w:rsidRPr="009475A0">
        <w:rPr>
          <w:i/>
          <w:sz w:val="20"/>
          <w:lang w:val="fr-CA"/>
        </w:rPr>
        <w:t>Loi</w:t>
      </w:r>
      <w:r w:rsidRPr="009475A0">
        <w:rPr>
          <w:sz w:val="20"/>
          <w:lang w:val="fr-CA"/>
        </w:rPr>
        <w:t xml:space="preserve"> ») en vue d’obtenir une ordonnance modifiant le seuil prévu au tarif 7402 de façon à le faire correspondre à celui plus élevé établi par le tarif 7403.  L’Association canadienne de transport industriel a alors demandé au gouverneur en conseil, par voie de requête fondée sur l’art. 40 de la </w:t>
      </w:r>
      <w:r w:rsidRPr="009475A0">
        <w:rPr>
          <w:i/>
          <w:sz w:val="20"/>
          <w:lang w:val="fr-CA"/>
        </w:rPr>
        <w:t>Loi</w:t>
      </w:r>
      <w:r w:rsidRPr="009475A0">
        <w:rPr>
          <w:sz w:val="20"/>
          <w:lang w:val="fr-CA"/>
        </w:rPr>
        <w:t>, de modifier la décision de l’Office et d’ordonner à celui</w:t>
      </w:r>
      <w:r w:rsidRPr="009475A0">
        <w:rPr>
          <w:sz w:val="20"/>
          <w:lang w:val="fr-CA"/>
        </w:rPr>
        <w:noBreakHyphen/>
        <w:t xml:space="preserve">ci de considérer que le contrat confidentiel ne l’empêchait pas de déterminer si le supplément carburant prévu au tarif 7402 était raisonnable.  Le gouverneur en conseil a annulé la décision de </w:t>
      </w:r>
      <w:r w:rsidRPr="009475A0">
        <w:rPr>
          <w:sz w:val="20"/>
          <w:lang w:val="fr-CA"/>
        </w:rPr>
        <w:lastRenderedPageBreak/>
        <w:t>l’Office.  À l’issue d’un contrôle judiciaire, la Cour fédérale a conclu que la question soumise au gouverneur en conseil touchait véritablement à la compétence, a appliqué la norme de la décision correcte, a annulé le décret du gouverneur en conseil et a rétabli la décision de l’Office.  Appliquant la norme de la décision raisonnable, la Cour d’appel fédérale a infirmé le jugement de la Cour fédérale et a rejeté la demande de contrôle judiciaire de la décision du gouverneur en conseil présentée par le CN.</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r>
      <w:r w:rsidRPr="009475A0">
        <w:rPr>
          <w:i/>
          <w:sz w:val="20"/>
          <w:lang w:val="fr-CA"/>
        </w:rPr>
        <w:t>Arrêt</w:t>
      </w:r>
      <w:r w:rsidRPr="009475A0">
        <w:rPr>
          <w:sz w:val="20"/>
          <w:lang w:val="fr-CA"/>
        </w:rPr>
        <w:t> : Le pourvoi est rejeté.</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t xml:space="preserve">L’article 40 de la </w:t>
      </w:r>
      <w:r w:rsidRPr="009475A0">
        <w:rPr>
          <w:i/>
          <w:sz w:val="20"/>
          <w:lang w:val="fr-CA"/>
        </w:rPr>
        <w:t>Loi</w:t>
      </w:r>
      <w:r w:rsidRPr="009475A0">
        <w:rPr>
          <w:sz w:val="20"/>
          <w:lang w:val="fr-CA"/>
        </w:rPr>
        <w:t xml:space="preserve"> confère au gouverneur en conseil un vaste pouvoir décisionnel à l’égard des arrêtés et des décisions de l’Office, y compris ceux qui soulèvent des questions de droit.  Lorsque le législateur entend restreindre les pouvoirs du gouverneur en conseil, il le fait expressément, mais la seule limite inhérente au pouvoir conféré par l’art. 40 est que le pouvoir du gouverneur en conseil se limite à l’examen des questions déjà examinées par l’Office.  Des restrictions comme celles relatives au droit de porter une décision de l’Office devant la Cour d’appel fédérale ou celles qu’imposent d’autres lois au pouvoir du gouverneur en conseil n’apparaissent pas à l’art. 40.</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t xml:space="preserve">Le cadre énoncé dans l’arrêt </w:t>
      </w:r>
      <w:r w:rsidRPr="009475A0">
        <w:rPr>
          <w:i/>
          <w:sz w:val="20"/>
          <w:lang w:val="fr-CA"/>
        </w:rPr>
        <w:t>Dunsmuir</w:t>
      </w:r>
      <w:r w:rsidRPr="009475A0">
        <w:rPr>
          <w:sz w:val="20"/>
          <w:lang w:val="fr-CA"/>
        </w:rPr>
        <w:t>, qui s’applique aux décideurs administratifs en général et non seulement aux tribunaux administratifs, s’applique aux décisions juridictionnelles prises par le gouverneur en conseil en vertu de l’art. 40, et la norme de contrôle est celle de la décision raisonnable.  Il est aujourd’hui bien établi que la déférence est habituellement de mise lorsqu’un décideur interprète sa propre loi constitutive ou une loi étroitement liée à son mandat et dont il a une connaissance approfondie.  Le législateur a reconnu au gouverneur en conseil une connaissance approfondie du secteur de la réglementation économique, et les lois et politiques en matière de transport sont liées de près à la fonction d’examen du gouverneur en conseil.</w:t>
      </w:r>
      <w:r w:rsidRPr="009475A0">
        <w:rPr>
          <w:sz w:val="20"/>
          <w:lang w:val="fr-CA"/>
        </w:rPr>
        <w:tab/>
        <w:t>La présomption de déférence s’applique et n’est pas réfutée.  La question de savoir si une partie à un contrat confidentiel peut déposer une plainte en vertu de l’art. 120.1 constitue une question de droit qui n’appartient pas à l’une des catégories établies de questions auxquelles s’applique la norme de contrôle de la décision correcte.  Aucune question de constitutionnalité ou de compétence concurrente entre tribunaux administratifs ne se pose.  La question en litige ne revêt pas une importance capitale pour le système juridique dans son ensemble.  Enfin, il s’agit d’une question d’interprétation législative et il ne pouvait donc s’agir d’une question touchant véritablement la compétence ou la validité du pouvoir du gouverneur en conseil.</w:t>
      </w:r>
    </w:p>
    <w:p w:rsidR="00EF7F30" w:rsidRDefault="00EF7F30" w:rsidP="00EF7F30">
      <w:pPr>
        <w:pStyle w:val="SCCNormalDoubleSpacing"/>
        <w:spacing w:line="240" w:lineRule="auto"/>
        <w:rPr>
          <w:sz w:val="20"/>
          <w:lang w:val="fr-CA"/>
        </w:rPr>
      </w:pPr>
    </w:p>
    <w:p w:rsidR="00EF7F30" w:rsidRDefault="00EF7F30" w:rsidP="00EF7F30">
      <w:pPr>
        <w:pStyle w:val="SCCNormalDoubleSpacing"/>
        <w:spacing w:line="240" w:lineRule="auto"/>
        <w:rPr>
          <w:sz w:val="20"/>
          <w:lang w:val="fr-CA"/>
        </w:rPr>
      </w:pPr>
      <w:r w:rsidRPr="009475A0">
        <w:rPr>
          <w:sz w:val="20"/>
          <w:lang w:val="fr-CA"/>
        </w:rPr>
        <w:tab/>
        <w:t xml:space="preserve">Le gouverneur en conseil a raisonnablement conclu qu’une partie à un contrat confidentiel peut dans certaines circonstances déposer une plainte en vertu de l’art. 120.1.  Cette décision est étayée par les faits et par le libellé du par. 120.1(1).  La conclusion suivant laquelle l’existence d’un contrat confidentiel n’empêchait pas un expéditeur de demander un examen du caractère raisonnable des frais en vertu du par. 120.1(1) concorde avec les dispositions de la </w:t>
      </w:r>
      <w:r w:rsidRPr="009475A0">
        <w:rPr>
          <w:i/>
          <w:sz w:val="20"/>
          <w:lang w:val="fr-CA"/>
        </w:rPr>
        <w:t>Loi</w:t>
      </w:r>
      <w:r w:rsidRPr="009475A0">
        <w:rPr>
          <w:sz w:val="20"/>
          <w:lang w:val="fr-CA"/>
        </w:rPr>
        <w:t xml:space="preserve">, lesquelles n’empêchent pas l’Office d’examiner le caractère raisonnable des frais que contient un tarif applicable à plus d’un expéditeur, que le tarif soit ou non incorporé par renvoi dans un contrat confidentiel.  En outre, le gouverneur en conseil pouvait conclure qu’en édictant l’art. 120.1, le législateur entendait offrir une certaine protection aux expéditeurs.  En conséquence, sans décider si, dans un cas donné, un contrat confidentiel pourrait priver un expéditeur du recours prévu à l’art. 120.1, il est raisonnable d’affirmer que le fait de laisser aux parties à des contrats confidentiels l’accès au mécanisme des plaintes prévu à l’art. 120.1 serait conforme à cette intention du législateur.  L’interprétation de l’art. 120.1 donnée par le gouverneur en conseil était raisonnable.  </w:t>
      </w:r>
    </w:p>
    <w:p w:rsidR="00EF7F30" w:rsidRDefault="00EF7F30" w:rsidP="00EF7F30">
      <w:pPr>
        <w:pStyle w:val="SCCNormalDoubleSpacing"/>
        <w:spacing w:line="240" w:lineRule="auto"/>
        <w:rPr>
          <w:sz w:val="20"/>
          <w:lang w:val="fr-CA"/>
        </w:rPr>
      </w:pPr>
    </w:p>
    <w:p w:rsidR="00EF7F30" w:rsidRPr="009475A0" w:rsidRDefault="00EF7F30" w:rsidP="00EF7F30">
      <w:pPr>
        <w:pStyle w:val="SCCNormalDoubleSpacing"/>
        <w:spacing w:line="240" w:lineRule="auto"/>
        <w:rPr>
          <w:sz w:val="20"/>
          <w:lang w:val="fr-CA"/>
        </w:rPr>
      </w:pPr>
      <w:r w:rsidRPr="009475A0">
        <w:rPr>
          <w:sz w:val="20"/>
          <w:lang w:val="fr-CA"/>
        </w:rPr>
        <w:tab/>
        <w:t>POURVOI contre un arrêt de la Cour d’appel fédérale (les juges Dawson, Gauthier et Stratas), 2012 CAF 278, 440 N.R. 217, [2012] A.C.F. n</w:t>
      </w:r>
      <w:r w:rsidRPr="009475A0">
        <w:rPr>
          <w:sz w:val="20"/>
          <w:vertAlign w:val="superscript"/>
          <w:lang w:val="fr-CA"/>
        </w:rPr>
        <w:t>o</w:t>
      </w:r>
      <w:r w:rsidRPr="009475A0">
        <w:rPr>
          <w:sz w:val="20"/>
          <w:lang w:val="fr-CA"/>
        </w:rPr>
        <w:t> 1438 (QL), 2012 CarswellNat 5639, qui a infirmé une décision du juge Hughes, 2011 CF 1201, 398 F.T.R. 218, [2011] A.C.F. n</w:t>
      </w:r>
      <w:r w:rsidRPr="009475A0">
        <w:rPr>
          <w:sz w:val="20"/>
          <w:vertAlign w:val="superscript"/>
          <w:lang w:val="fr-CA"/>
        </w:rPr>
        <w:t>o </w:t>
      </w:r>
      <w:r w:rsidRPr="009475A0">
        <w:rPr>
          <w:sz w:val="20"/>
          <w:lang w:val="fr-CA"/>
        </w:rPr>
        <w:t>1469 (QL), 2011 CarswellNat 5850.  Pourvoi rejeté.</w:t>
      </w:r>
    </w:p>
    <w:p w:rsidR="00EF7F30" w:rsidRDefault="00EF7F30" w:rsidP="00EF7F30">
      <w:pPr>
        <w:pStyle w:val="SCCNormalDoubleSpacing"/>
        <w:spacing w:line="240" w:lineRule="auto"/>
        <w:rPr>
          <w:rStyle w:val="SCCCounselNameChar"/>
          <w:sz w:val="20"/>
          <w:lang w:val="fr-CA"/>
        </w:rPr>
      </w:pPr>
    </w:p>
    <w:p w:rsidR="00EF7F30" w:rsidRPr="009475A0" w:rsidRDefault="00EF7F30" w:rsidP="00EF7F30">
      <w:pPr>
        <w:pStyle w:val="SCCNormalDoubleSpacing"/>
        <w:spacing w:line="240" w:lineRule="auto"/>
        <w:rPr>
          <w:sz w:val="20"/>
          <w:lang w:val="fr-CA"/>
        </w:rPr>
      </w:pPr>
      <w:r w:rsidRPr="009475A0">
        <w:rPr>
          <w:rStyle w:val="SCCCounselNameChar"/>
          <w:sz w:val="20"/>
          <w:lang w:val="fr-CA"/>
        </w:rPr>
        <w:tab/>
        <w:t>Guy J. Pratte</w:t>
      </w:r>
      <w:r w:rsidRPr="009475A0">
        <w:rPr>
          <w:rStyle w:val="SCCCounselSeparatorChar"/>
          <w:sz w:val="20"/>
        </w:rPr>
        <w:t xml:space="preserve">, </w:t>
      </w:r>
      <w:r w:rsidRPr="009475A0">
        <w:rPr>
          <w:rStyle w:val="SCCCounselSeparatorChar"/>
          <w:i/>
          <w:sz w:val="20"/>
        </w:rPr>
        <w:t>Nadia Effendi</w:t>
      </w:r>
      <w:r w:rsidRPr="009475A0">
        <w:rPr>
          <w:rStyle w:val="SCCCounselSeparatorChar"/>
          <w:sz w:val="20"/>
        </w:rPr>
        <w:t xml:space="preserve"> et </w:t>
      </w:r>
      <w:r w:rsidRPr="009475A0">
        <w:rPr>
          <w:rStyle w:val="SCCCounselNameChar"/>
          <w:sz w:val="20"/>
          <w:lang w:val="fr-CA"/>
        </w:rPr>
        <w:t>Éric Harvey</w:t>
      </w:r>
      <w:r w:rsidRPr="009475A0">
        <w:rPr>
          <w:rStyle w:val="SCCCounselPartyRoleChar"/>
          <w:sz w:val="20"/>
          <w:lang w:val="fr-CA"/>
        </w:rPr>
        <w:t>, pour l’appelante.</w:t>
      </w:r>
    </w:p>
    <w:p w:rsidR="00EF7F30" w:rsidRDefault="00EF7F30" w:rsidP="00EF7F30">
      <w:pPr>
        <w:pStyle w:val="SCCNormalDoubleSpacing"/>
        <w:spacing w:line="240" w:lineRule="auto"/>
        <w:rPr>
          <w:rStyle w:val="SCCCounselNameChar"/>
          <w:sz w:val="20"/>
          <w:lang w:val="fr-CA"/>
        </w:rPr>
      </w:pPr>
    </w:p>
    <w:p w:rsidR="00EF7F30" w:rsidRPr="009475A0" w:rsidRDefault="00EF7F30" w:rsidP="00EF7F30">
      <w:pPr>
        <w:pStyle w:val="SCCNormalDoubleSpacing"/>
        <w:spacing w:line="240" w:lineRule="auto"/>
        <w:rPr>
          <w:sz w:val="20"/>
          <w:lang w:val="fr-CA"/>
        </w:rPr>
      </w:pPr>
      <w:r w:rsidRPr="009475A0">
        <w:rPr>
          <w:rStyle w:val="SCCCounselNameChar"/>
          <w:sz w:val="20"/>
          <w:lang w:val="fr-CA"/>
        </w:rPr>
        <w:tab/>
        <w:t>Peter Southey</w:t>
      </w:r>
      <w:r w:rsidRPr="009475A0">
        <w:rPr>
          <w:rStyle w:val="SCCCounselSeparatorChar"/>
          <w:sz w:val="20"/>
        </w:rPr>
        <w:t xml:space="preserve"> et </w:t>
      </w:r>
      <w:r w:rsidRPr="009475A0">
        <w:rPr>
          <w:rStyle w:val="SCCCounselNameChar"/>
          <w:sz w:val="20"/>
          <w:lang w:val="fr-CA"/>
        </w:rPr>
        <w:t>Sean Gaudet</w:t>
      </w:r>
      <w:r w:rsidRPr="009475A0">
        <w:rPr>
          <w:rStyle w:val="SCCCounselPartyRoleChar"/>
          <w:sz w:val="20"/>
          <w:lang w:val="fr-CA"/>
        </w:rPr>
        <w:t>, pour l’intimé le p</w:t>
      </w:r>
      <w:r w:rsidRPr="009475A0">
        <w:rPr>
          <w:sz w:val="20"/>
          <w:lang w:val="fr-CA"/>
        </w:rPr>
        <w:t>rocureur général du Canada</w:t>
      </w:r>
      <w:r w:rsidRPr="009475A0">
        <w:rPr>
          <w:rStyle w:val="SCCCounselPartyRoleChar"/>
          <w:sz w:val="20"/>
          <w:lang w:val="fr-CA"/>
        </w:rPr>
        <w:t>.</w:t>
      </w:r>
    </w:p>
    <w:p w:rsidR="00EF7F30" w:rsidRDefault="00EF7F30" w:rsidP="00EF7F30">
      <w:pPr>
        <w:pStyle w:val="SCCNormalDoubleSpacing"/>
        <w:spacing w:line="240" w:lineRule="auto"/>
        <w:rPr>
          <w:rStyle w:val="SCCCounselNameChar"/>
          <w:sz w:val="20"/>
          <w:lang w:val="fr-CA"/>
        </w:rPr>
      </w:pPr>
    </w:p>
    <w:p w:rsidR="00EF7F30" w:rsidRPr="009475A0" w:rsidRDefault="00EF7F30" w:rsidP="00EF7F30">
      <w:pPr>
        <w:pStyle w:val="SCCNormalDoubleSpacing"/>
        <w:spacing w:line="240" w:lineRule="auto"/>
        <w:rPr>
          <w:sz w:val="20"/>
          <w:lang w:val="fr-CA"/>
        </w:rPr>
      </w:pPr>
      <w:r w:rsidRPr="009475A0">
        <w:rPr>
          <w:rStyle w:val="SCCCounselNameChar"/>
          <w:sz w:val="20"/>
          <w:lang w:val="fr-CA"/>
        </w:rPr>
        <w:tab/>
        <w:t>Forrest C. Hume</w:t>
      </w:r>
      <w:r w:rsidRPr="009475A0">
        <w:rPr>
          <w:rStyle w:val="SCCCounselSeparatorChar"/>
          <w:sz w:val="20"/>
        </w:rPr>
        <w:t xml:space="preserve"> et </w:t>
      </w:r>
      <w:r w:rsidRPr="009475A0">
        <w:rPr>
          <w:rStyle w:val="SCCCounselNameChar"/>
          <w:sz w:val="20"/>
          <w:lang w:val="fr-CA"/>
        </w:rPr>
        <w:t>Cynthia A. Millar</w:t>
      </w:r>
      <w:r w:rsidRPr="009475A0">
        <w:rPr>
          <w:rStyle w:val="SCCCounselPartyRoleChar"/>
          <w:sz w:val="20"/>
          <w:lang w:val="fr-CA"/>
        </w:rPr>
        <w:t>, pour les intimées Peace River Coal Inc. et l’Association canadienne de transport industriel.</w:t>
      </w:r>
    </w:p>
    <w:p w:rsidR="00EF7F30" w:rsidRDefault="00EF7F30" w:rsidP="00EF7F30">
      <w:pPr>
        <w:pStyle w:val="SCCLawFirm"/>
        <w:spacing w:line="240" w:lineRule="auto"/>
        <w:rPr>
          <w:sz w:val="20"/>
          <w:lang w:val="fr-CA"/>
        </w:rPr>
      </w:pPr>
    </w:p>
    <w:p w:rsidR="00EF7F30" w:rsidRPr="009475A0" w:rsidRDefault="00EF7F30" w:rsidP="00EF7F30">
      <w:pPr>
        <w:pStyle w:val="SCCLawFirm"/>
        <w:spacing w:line="240" w:lineRule="auto"/>
        <w:rPr>
          <w:sz w:val="20"/>
          <w:lang w:val="fr-CA"/>
        </w:rPr>
      </w:pPr>
      <w:r w:rsidRPr="009475A0">
        <w:rPr>
          <w:sz w:val="20"/>
          <w:lang w:val="fr-CA"/>
        </w:rPr>
        <w:tab/>
        <w:t>Procureurs de l’appelante : Borden Ladner Gervais, Ottawa; Compagnie des chemins de fer nationaux du Canada, Montréal.</w:t>
      </w:r>
    </w:p>
    <w:p w:rsidR="00EF7F30" w:rsidRDefault="00EF7F30" w:rsidP="00EF7F30">
      <w:pPr>
        <w:pStyle w:val="SCCLawFirm"/>
        <w:spacing w:line="240" w:lineRule="auto"/>
        <w:rPr>
          <w:sz w:val="20"/>
          <w:lang w:val="fr-CA"/>
        </w:rPr>
      </w:pPr>
    </w:p>
    <w:p w:rsidR="00EF7F30" w:rsidRPr="009475A0" w:rsidRDefault="00EF7F30" w:rsidP="00EF7F30">
      <w:pPr>
        <w:pStyle w:val="SCCLawFirm"/>
        <w:spacing w:line="240" w:lineRule="auto"/>
        <w:rPr>
          <w:sz w:val="20"/>
          <w:lang w:val="fr-CA"/>
        </w:rPr>
      </w:pPr>
      <w:r w:rsidRPr="009475A0">
        <w:rPr>
          <w:sz w:val="20"/>
          <w:lang w:val="fr-CA"/>
        </w:rPr>
        <w:lastRenderedPageBreak/>
        <w:tab/>
        <w:t xml:space="preserve">Procureurs de l’intimé </w:t>
      </w:r>
      <w:r w:rsidRPr="009475A0">
        <w:rPr>
          <w:rStyle w:val="SCCCounselPartyRoleChar"/>
          <w:sz w:val="20"/>
          <w:lang w:val="fr-CA"/>
        </w:rPr>
        <w:t>le p</w:t>
      </w:r>
      <w:r w:rsidRPr="009475A0">
        <w:rPr>
          <w:sz w:val="20"/>
          <w:lang w:val="fr-CA"/>
        </w:rPr>
        <w:t>rocureur général du Canada : Procureur général du Canada, Toronto.</w:t>
      </w:r>
    </w:p>
    <w:p w:rsidR="00EF7F30" w:rsidRDefault="00EF7F30" w:rsidP="00EF7F30">
      <w:pPr>
        <w:pStyle w:val="SCCLawFirm"/>
        <w:spacing w:line="240" w:lineRule="auto"/>
        <w:rPr>
          <w:sz w:val="20"/>
          <w:lang w:val="fr-CA"/>
        </w:rPr>
      </w:pPr>
    </w:p>
    <w:p w:rsidR="00EF7F30" w:rsidRDefault="00EF7F30" w:rsidP="00EF7F30">
      <w:pPr>
        <w:pStyle w:val="SCCLawFirm"/>
        <w:spacing w:line="240" w:lineRule="auto"/>
        <w:rPr>
          <w:sz w:val="20"/>
          <w:lang w:val="fr-CA"/>
        </w:rPr>
      </w:pPr>
      <w:r w:rsidRPr="009475A0">
        <w:rPr>
          <w:sz w:val="20"/>
          <w:lang w:val="fr-CA"/>
        </w:rPr>
        <w:tab/>
        <w:t xml:space="preserve">Procureurs des intimées </w:t>
      </w:r>
      <w:r w:rsidRPr="009475A0">
        <w:rPr>
          <w:rStyle w:val="SCCCounselPartyRoleChar"/>
          <w:sz w:val="20"/>
          <w:lang w:val="fr-CA"/>
        </w:rPr>
        <w:t>Peace River Coal Inc. et l’Association canadienne de transport industriel</w:t>
      </w:r>
      <w:r w:rsidRPr="009475A0">
        <w:rPr>
          <w:sz w:val="20"/>
          <w:lang w:val="fr-CA"/>
        </w:rPr>
        <w:t> : Davis, Vancouver.</w:t>
      </w:r>
    </w:p>
    <w:p w:rsidR="00902E51" w:rsidRPr="00352A49" w:rsidRDefault="00902E51" w:rsidP="00902E51">
      <w:pPr>
        <w:rPr>
          <w:sz w:val="20"/>
          <w:szCs w:val="20"/>
          <w:lang w:val="fr-CA"/>
        </w:rPr>
      </w:pPr>
    </w:p>
    <w:p w:rsidR="00902E51" w:rsidRDefault="00142ACF" w:rsidP="00902E51">
      <w:pPr>
        <w:rPr>
          <w:rFonts w:cs="Times New Roman"/>
          <w:sz w:val="20"/>
          <w:szCs w:val="20"/>
          <w:lang w:val="fr-CA"/>
        </w:rPr>
      </w:pPr>
      <w:r>
        <w:rPr>
          <w:rFonts w:cs="Times New Roman"/>
          <w:sz w:val="20"/>
          <w:szCs w:val="20"/>
          <w:lang w:val="fr-CA"/>
        </w:rPr>
        <w:pict>
          <v:rect id="_x0000_i105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81610A" w:rsidRPr="002E0C7E" w:rsidRDefault="004876A0"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A87207">
      <w:r>
        <w:separator/>
      </w:r>
    </w:p>
  </w:endnote>
  <w:endnote w:type="continuationSeparator" w:id="0">
    <w:p w:rsidR="00CF1133" w:rsidRDefault="00CF11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pStyle w:val="Footer"/>
      <w:rPr>
        <w:lang w:val="fr-CA"/>
      </w:rPr>
    </w:pPr>
    <w:r>
      <w:rPr>
        <w:lang w:val="fr-CA"/>
      </w:rPr>
      <w:pict>
        <v:rect id="_x0000_i1038" style="width:480.95pt;height:1pt" o:hralign="center" o:hrstd="t" o:hrnoshade="t" o:hr="t" fillcolor="black [3213]" stroked="f"/>
      </w:pict>
    </w:r>
  </w:p>
  <w:p w:rsidR="00CF1133" w:rsidRDefault="00CF1133" w:rsidP="00245129">
    <w:pPr>
      <w:tabs>
        <w:tab w:val="center" w:pos="4680"/>
      </w:tabs>
    </w:pPr>
    <w:r>
      <w:tab/>
    </w:r>
    <w:r w:rsidRPr="0009648D">
      <w:t xml:space="preserve">- </w:t>
    </w:r>
    <w:r w:rsidR="00142ACF">
      <w:fldChar w:fldCharType="begin"/>
    </w:r>
    <w:r w:rsidR="00142ACF">
      <w:instrText xml:space="preserve"> PAGE   \* MERGEFORMAT </w:instrText>
    </w:r>
    <w:r w:rsidR="00142ACF">
      <w:fldChar w:fldCharType="separate"/>
    </w:r>
    <w:r w:rsidR="00142ACF">
      <w:rPr>
        <w:noProof/>
      </w:rPr>
      <w:t>913</w:t>
    </w:r>
    <w:r w:rsidR="00142AC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755F22">
    <w:pPr>
      <w:tabs>
        <w:tab w:val="left" w:pos="-1440"/>
        <w:tab w:val="left" w:pos="-720"/>
      </w:tabs>
    </w:pPr>
    <w:r>
      <w:pict>
        <v:rect id="_x0000_i1041" style="width:480.95pt;height:1pt" o:hralign="center" o:hrstd="t" o:hrnoshade="t" o:hr="t" fillcolor="black [3213]" stroked="f"/>
      </w:pict>
    </w:r>
  </w:p>
  <w:p w:rsidR="00CF1133" w:rsidRDefault="00CF1133" w:rsidP="00EB2B90">
    <w:pPr>
      <w:tabs>
        <w:tab w:val="center" w:pos="4680"/>
      </w:tabs>
    </w:pPr>
    <w:r>
      <w:tab/>
      <w:t xml:space="preserve">- </w:t>
    </w:r>
    <w:r w:rsidR="00142ACF">
      <w:fldChar w:fldCharType="begin"/>
    </w:r>
    <w:r w:rsidR="00142ACF">
      <w:instrText xml:space="preserve"> PAGE   \* MERGEFORMAT </w:instrText>
    </w:r>
    <w:r w:rsidR="00142ACF">
      <w:fldChar w:fldCharType="separate"/>
    </w:r>
    <w:r w:rsidR="00142ACF">
      <w:rPr>
        <w:noProof/>
      </w:rPr>
      <w:t>916</w:t>
    </w:r>
    <w:r w:rsidR="00142AC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EB2B90">
    <w:pPr>
      <w:tabs>
        <w:tab w:val="center" w:pos="4680"/>
      </w:tabs>
    </w:pPr>
    <w:r>
      <w:pict>
        <v:rect id="_x0000_i1042" style="width:480.95pt;height:1pt" o:hralign="center" o:hrstd="t" o:hrnoshade="t" o:hr="t" fillcolor="black [3213]" stroked="f"/>
      </w:pict>
    </w:r>
  </w:p>
  <w:p w:rsidR="00CF1133" w:rsidRPr="0031432F" w:rsidRDefault="00CF1133" w:rsidP="00EB2B90">
    <w:pPr>
      <w:tabs>
        <w:tab w:val="center" w:pos="4680"/>
      </w:tabs>
    </w:pPr>
    <w:r>
      <w:tab/>
      <w:t xml:space="preserve">- </w:t>
    </w:r>
    <w:r w:rsidR="00142ACF">
      <w:fldChar w:fldCharType="begin"/>
    </w:r>
    <w:r w:rsidR="00142ACF">
      <w:instrText xml:space="preserve"> PAGE   \* MERGEFORMAT </w:instrText>
    </w:r>
    <w:r w:rsidR="00142ACF">
      <w:fldChar w:fldCharType="separate"/>
    </w:r>
    <w:r w:rsidR="00142ACF">
      <w:rPr>
        <w:noProof/>
      </w:rPr>
      <w:t>915</w:t>
    </w:r>
    <w:r w:rsidR="00142AC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CF1133" w:rsidRDefault="00CF1133" w:rsidP="00EB2B90">
    <w:pPr>
      <w:tabs>
        <w:tab w:val="center" w:pos="4680"/>
      </w:tabs>
    </w:pPr>
    <w:r>
      <w:tab/>
      <w:t xml:space="preserve">- </w:t>
    </w:r>
    <w:r w:rsidR="00142ACF">
      <w:fldChar w:fldCharType="begin"/>
    </w:r>
    <w:r w:rsidR="00142ACF">
      <w:instrText xml:space="preserve"> PAGE   \* MERGEFORMAT </w:instrText>
    </w:r>
    <w:r w:rsidR="00142ACF">
      <w:fldChar w:fldCharType="separate"/>
    </w:r>
    <w:r>
      <w:rPr>
        <w:noProof/>
      </w:rPr>
      <w:t>524</w:t>
    </w:r>
    <w:r w:rsidR="00142ACF">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pStyle w:val="Footer"/>
      <w:rPr>
        <w:lang w:val="fr-CA"/>
      </w:rPr>
    </w:pPr>
    <w:r>
      <w:rPr>
        <w:lang w:val="fr-CA"/>
      </w:rPr>
      <w:pict>
        <v:rect id="_x0000_i1045" style="width:480.95pt;height:1pt" o:hralign="center" o:hrstd="t" o:hrnoshade="t" o:hr="t" fillcolor="black [3213]" stroked="f"/>
      </w:pict>
    </w:r>
  </w:p>
  <w:p w:rsidR="00CF1133" w:rsidRDefault="00CF1133" w:rsidP="00EB2B90">
    <w:pPr>
      <w:tabs>
        <w:tab w:val="center" w:pos="4680"/>
      </w:tabs>
    </w:pPr>
    <w:r>
      <w:tab/>
      <w:t xml:space="preserve">- </w:t>
    </w:r>
    <w:r w:rsidR="00142ACF">
      <w:fldChar w:fldCharType="begin"/>
    </w:r>
    <w:r w:rsidR="00142ACF">
      <w:instrText xml:space="preserve"> PAGE   \* MERGEFORMAT </w:instrText>
    </w:r>
    <w:r w:rsidR="00142ACF">
      <w:fldChar w:fldCharType="separate"/>
    </w:r>
    <w:r w:rsidR="00142ACF">
      <w:rPr>
        <w:noProof/>
      </w:rPr>
      <w:t>917</w:t>
    </w:r>
    <w:r w:rsidR="00142ACF">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732DB7">
    <w:r>
      <w:pict>
        <v:rect id="_x0000_i1047" style="width:480.95pt;height:1pt" o:hralign="center" o:hrstd="t" o:hrnoshade="t" o:hr="t" fillcolor="black" stroked="f"/>
      </w:pict>
    </w:r>
  </w:p>
  <w:p w:rsidR="00CF1133" w:rsidRDefault="00CF113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pStyle w:val="Footer"/>
    </w:pPr>
    <w:r>
      <w:pict>
        <v:rect id="_x0000_i1048" style="width:480.95pt;height:1pt" o:hralign="center" o:hrstd="t" o:hrnoshade="t" o:hr="t" fillcolor="black" stroked="f"/>
      </w:pict>
    </w:r>
  </w:p>
  <w:p w:rsidR="00CF1133" w:rsidRPr="00283C52" w:rsidRDefault="00CF1133">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732DB7">
    <w:r>
      <w:pict>
        <v:rect id="_x0000_i1051" style="width:480.95pt;height:1pt" o:hralign="center" o:hrstd="t" o:hrnoshade="t" o:hr="t" fillcolor="black" stroked="f"/>
      </w:pict>
    </w:r>
  </w:p>
  <w:p w:rsidR="00CF1133" w:rsidRDefault="00CF1133">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pStyle w:val="Footer"/>
    </w:pPr>
    <w:r>
      <w:pict>
        <v:rect id="_x0000_i1052" style="width:480.95pt;height:1pt" o:hralign="center" o:hrstd="t" o:hrnoshade="t" o:hr="t" fillcolor="black [3213]" stroked="f"/>
      </w:pict>
    </w:r>
  </w:p>
  <w:p w:rsidR="00CF1133" w:rsidRPr="003C2C0F" w:rsidRDefault="00CF1133" w:rsidP="00697C62">
    <w:pPr>
      <w:tabs>
        <w:tab w:val="center" w:pos="4680"/>
      </w:tabs>
    </w:pPr>
    <w:r>
      <w:tab/>
      <w:t xml:space="preserve">- </w:t>
    </w:r>
    <w:r w:rsidR="00142ACF">
      <w:fldChar w:fldCharType="begin"/>
    </w:r>
    <w:r w:rsidR="00142ACF">
      <w:instrText xml:space="preserve"> PAGE   \* MERGEFORMAT </w:instrText>
    </w:r>
    <w:r w:rsidR="00142ACF">
      <w:fldChar w:fldCharType="separate"/>
    </w:r>
    <w:r w:rsidR="00142ACF">
      <w:rPr>
        <w:noProof/>
      </w:rPr>
      <w:t>921</w:t>
    </w:r>
    <w:r w:rsidR="00142ACF">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1133" w:rsidRDefault="00142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CF1133" w:rsidRDefault="00CF1133" w:rsidP="00782AE4">
    <w:pPr>
      <w:tabs>
        <w:tab w:val="center" w:pos="4680"/>
      </w:tabs>
    </w:pPr>
    <w:r>
      <w:tab/>
      <w:t xml:space="preserve">- </w:t>
    </w:r>
    <w:r w:rsidR="004876A0" w:rsidRPr="001775C1">
      <w:rPr>
        <w:szCs w:val="24"/>
      </w:rPr>
      <w:fldChar w:fldCharType="begin"/>
    </w:r>
    <w:r w:rsidRPr="001775C1">
      <w:rPr>
        <w:szCs w:val="24"/>
      </w:rPr>
      <w:instrText xml:space="preserve"> PAGE   \* MERGEFORMAT </w:instrText>
    </w:r>
    <w:r w:rsidR="004876A0" w:rsidRPr="001775C1">
      <w:rPr>
        <w:szCs w:val="24"/>
      </w:rPr>
      <w:fldChar w:fldCharType="separate"/>
    </w:r>
    <w:r w:rsidR="00142ACF">
      <w:rPr>
        <w:noProof/>
        <w:szCs w:val="24"/>
      </w:rPr>
      <w:t>929</w:t>
    </w:r>
    <w:r w:rsidR="004876A0"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782AE4">
    <w:pPr>
      <w:tabs>
        <w:tab w:val="center" w:pos="4680"/>
      </w:tabs>
    </w:pPr>
    <w:r>
      <w:pict>
        <v:rect id="_x0000_i1058" style="width:480.95pt;height:1pt" o:hralign="center" o:hrstd="t" o:hrnoshade="t" o:hr="t" fillcolor="black [3213]" stroked="f"/>
      </w:pict>
    </w:r>
  </w:p>
  <w:p w:rsidR="00CF1133" w:rsidRDefault="00CF1133" w:rsidP="00782AE4">
    <w:pPr>
      <w:tabs>
        <w:tab w:val="center" w:pos="4680"/>
      </w:tabs>
    </w:pPr>
    <w:r>
      <w:tab/>
      <w:t xml:space="preserve">- </w:t>
    </w:r>
    <w:r w:rsidR="004876A0" w:rsidRPr="001775C1">
      <w:rPr>
        <w:szCs w:val="24"/>
      </w:rPr>
      <w:fldChar w:fldCharType="begin"/>
    </w:r>
    <w:r w:rsidRPr="001775C1">
      <w:rPr>
        <w:szCs w:val="24"/>
      </w:rPr>
      <w:instrText xml:space="preserve"> PAGE   \* MERGEFORMAT </w:instrText>
    </w:r>
    <w:r w:rsidR="004876A0" w:rsidRPr="001775C1">
      <w:rPr>
        <w:szCs w:val="24"/>
      </w:rPr>
      <w:fldChar w:fldCharType="separate"/>
    </w:r>
    <w:r w:rsidR="00142ACF">
      <w:rPr>
        <w:noProof/>
        <w:szCs w:val="24"/>
      </w:rPr>
      <w:t>922</w:t>
    </w:r>
    <w:r w:rsidR="004876A0"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Pr="00924065" w:rsidRDefault="00CF113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A87207">
    <w:pPr>
      <w:pStyle w:val="Footer"/>
    </w:pPr>
    <w:r>
      <w:pict>
        <v:rect id="_x0000_i1030" style="width:480.95pt;height:1pt" o:hralign="center" o:hrstd="t" o:hrnoshade="t" o:hr="t" fillcolor="black [3213]" stroked="f"/>
      </w:pict>
    </w:r>
  </w:p>
  <w:p w:rsidR="00CF1133" w:rsidRPr="00B7374B" w:rsidRDefault="00CF1133" w:rsidP="00B7374B">
    <w:pPr>
      <w:tabs>
        <w:tab w:val="center" w:pos="4680"/>
      </w:tabs>
      <w:rPr>
        <w:szCs w:val="24"/>
      </w:rPr>
    </w:pPr>
    <w:r w:rsidRPr="00954D22">
      <w:rPr>
        <w:szCs w:val="24"/>
      </w:rPr>
      <w:tab/>
      <w:t xml:space="preserve">- </w:t>
    </w:r>
    <w:r w:rsidR="004876A0" w:rsidRPr="00954D22">
      <w:rPr>
        <w:szCs w:val="24"/>
      </w:rPr>
      <w:fldChar w:fldCharType="begin"/>
    </w:r>
    <w:r w:rsidRPr="00954D22">
      <w:rPr>
        <w:szCs w:val="24"/>
      </w:rPr>
      <w:instrText xml:space="preserve"> PAGE   \* MERGEFORMAT </w:instrText>
    </w:r>
    <w:r w:rsidR="004876A0" w:rsidRPr="00954D22">
      <w:rPr>
        <w:szCs w:val="24"/>
      </w:rPr>
      <w:fldChar w:fldCharType="separate"/>
    </w:r>
    <w:r>
      <w:rPr>
        <w:noProof/>
        <w:szCs w:val="24"/>
      </w:rPr>
      <w:t>912</w:t>
    </w:r>
    <w:r w:rsidR="004876A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755F22">
    <w:pPr>
      <w:tabs>
        <w:tab w:val="left" w:pos="-1440"/>
        <w:tab w:val="left" w:pos="-720"/>
      </w:tabs>
    </w:pPr>
    <w:r>
      <w:pict>
        <v:rect id="_x0000_i1031" style="width:480.95pt;height:1pt" o:hralign="center" o:hrstd="t" o:hrnoshade="t" o:hr="t" fillcolor="black [3213]" stroked="f"/>
      </w:pict>
    </w:r>
  </w:p>
  <w:p w:rsidR="00CF1133" w:rsidRPr="00954D22" w:rsidRDefault="00CF1133" w:rsidP="00B7374B">
    <w:pPr>
      <w:tabs>
        <w:tab w:val="center" w:pos="4680"/>
      </w:tabs>
      <w:rPr>
        <w:szCs w:val="24"/>
      </w:rPr>
    </w:pPr>
    <w:r w:rsidRPr="00954D22">
      <w:rPr>
        <w:szCs w:val="24"/>
      </w:rPr>
      <w:tab/>
      <w:t xml:space="preserve">- </w:t>
    </w:r>
    <w:r w:rsidR="004876A0">
      <w:rPr>
        <w:szCs w:val="24"/>
      </w:rPr>
      <w:fldChar w:fldCharType="begin"/>
    </w:r>
    <w:r>
      <w:rPr>
        <w:szCs w:val="24"/>
      </w:rPr>
      <w:instrText xml:space="preserve"> PAGE   \* MERGEFORMAT </w:instrText>
    </w:r>
    <w:r w:rsidR="004876A0">
      <w:rPr>
        <w:szCs w:val="24"/>
      </w:rPr>
      <w:fldChar w:fldCharType="separate"/>
    </w:r>
    <w:r w:rsidR="00142ACF">
      <w:rPr>
        <w:noProof/>
        <w:szCs w:val="24"/>
      </w:rPr>
      <w:t>911</w:t>
    </w:r>
    <w:r w:rsidR="004876A0">
      <w:rPr>
        <w:szCs w:val="24"/>
      </w:rPr>
      <w:fldChar w:fldCharType="end"/>
    </w:r>
    <w:r w:rsidRPr="00954D22">
      <w:rPr>
        <w:szCs w:val="24"/>
      </w:rPr>
      <w:t xml:space="preserve"> -</w:t>
    </w:r>
  </w:p>
  <w:p w:rsidR="00CF1133" w:rsidRDefault="00CF11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A87207">
    <w:pPr>
      <w:pStyle w:val="Footer"/>
    </w:pPr>
    <w:r>
      <w:pict>
        <v:rect id="_x0000_i1033" style="width:480.95pt;height:1pt" o:hralign="center" o:hrstd="t" o:hrnoshade="t" o:hr="t" fillcolor="black [3213]" stroked="f"/>
      </w:pict>
    </w:r>
  </w:p>
  <w:p w:rsidR="00CF1133" w:rsidRPr="00B7374B" w:rsidRDefault="00CF1133" w:rsidP="00B7374B">
    <w:pPr>
      <w:tabs>
        <w:tab w:val="center" w:pos="4680"/>
      </w:tabs>
      <w:rPr>
        <w:szCs w:val="24"/>
      </w:rPr>
    </w:pPr>
    <w:r w:rsidRPr="00954D22">
      <w:rPr>
        <w:szCs w:val="24"/>
      </w:rPr>
      <w:tab/>
      <w:t xml:space="preserve">- </w:t>
    </w:r>
    <w:r w:rsidR="004876A0" w:rsidRPr="00954D22">
      <w:rPr>
        <w:szCs w:val="24"/>
      </w:rPr>
      <w:fldChar w:fldCharType="begin"/>
    </w:r>
    <w:r w:rsidRPr="00954D22">
      <w:rPr>
        <w:szCs w:val="24"/>
      </w:rPr>
      <w:instrText xml:space="preserve"> PAGE   \* MERGEFORMAT </w:instrText>
    </w:r>
    <w:r w:rsidR="004876A0" w:rsidRPr="00954D22">
      <w:rPr>
        <w:szCs w:val="24"/>
      </w:rPr>
      <w:fldChar w:fldCharType="separate"/>
    </w:r>
    <w:r>
      <w:rPr>
        <w:noProof/>
        <w:szCs w:val="24"/>
      </w:rPr>
      <w:t>503</w:t>
    </w:r>
    <w:r w:rsidR="004876A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CF1133" w:rsidRPr="00954D22" w:rsidRDefault="00CF1133" w:rsidP="00B7374B">
    <w:pPr>
      <w:tabs>
        <w:tab w:val="center" w:pos="4680"/>
      </w:tabs>
      <w:rPr>
        <w:szCs w:val="24"/>
      </w:rPr>
    </w:pPr>
    <w:r w:rsidRPr="00954D22">
      <w:rPr>
        <w:szCs w:val="24"/>
      </w:rPr>
      <w:tab/>
      <w:t xml:space="preserve">- </w:t>
    </w:r>
    <w:r w:rsidR="004876A0" w:rsidRPr="00954D22">
      <w:rPr>
        <w:szCs w:val="24"/>
      </w:rPr>
      <w:fldChar w:fldCharType="begin"/>
    </w:r>
    <w:r w:rsidRPr="00954D22">
      <w:rPr>
        <w:szCs w:val="24"/>
      </w:rPr>
      <w:instrText xml:space="preserve"> PAGE   \* MERGEFORMAT </w:instrText>
    </w:r>
    <w:r w:rsidR="004876A0" w:rsidRPr="00954D22">
      <w:rPr>
        <w:szCs w:val="24"/>
      </w:rPr>
      <w:fldChar w:fldCharType="separate"/>
    </w:r>
    <w:r w:rsidR="00142ACF">
      <w:rPr>
        <w:noProof/>
        <w:szCs w:val="24"/>
      </w:rPr>
      <w:t>912</w:t>
    </w:r>
    <w:r w:rsidR="004876A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1133" w:rsidRDefault="00CF113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42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CF1133" w:rsidRPr="0009648D" w:rsidRDefault="00CF1133" w:rsidP="00ED7E83">
    <w:pPr>
      <w:tabs>
        <w:tab w:val="center" w:pos="4680"/>
      </w:tabs>
    </w:pPr>
    <w:r>
      <w:tab/>
    </w:r>
    <w:r w:rsidRPr="0009648D">
      <w:t xml:space="preserve">- </w:t>
    </w:r>
    <w:r w:rsidR="00142ACF">
      <w:fldChar w:fldCharType="begin"/>
    </w:r>
    <w:r w:rsidR="00142ACF">
      <w:instrText xml:space="preserve"> PAGE   \* MERGEFORMAT </w:instrText>
    </w:r>
    <w:r w:rsidR="00142ACF">
      <w:fldChar w:fldCharType="separate"/>
    </w:r>
    <w:r w:rsidR="00142ACF">
      <w:rPr>
        <w:noProof/>
      </w:rPr>
      <w:t>914</w:t>
    </w:r>
    <w:r w:rsidR="00142AC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A87207">
      <w:r>
        <w:separator/>
      </w:r>
    </w:p>
  </w:footnote>
  <w:footnote w:type="continuationSeparator" w:id="0">
    <w:p w:rsidR="00CF1133" w:rsidRDefault="00CF11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1133">
      <w:tc>
        <w:tcPr>
          <w:tcW w:w="423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F1133"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1133"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F1133">
      <w:trPr>
        <w:gridAfter w:val="2"/>
        <w:wAfter w:w="5250" w:type="dxa"/>
      </w:trPr>
      <w:tc>
        <w:tcPr>
          <w:tcW w:w="4230" w:type="dxa"/>
          <w:tcMar>
            <w:left w:w="0" w:type="dxa"/>
            <w:right w:w="0" w:type="dxa"/>
          </w:tcMar>
        </w:tcPr>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1133" w:rsidRPr="00755F22" w:rsidTr="00245129">
      <w:tc>
        <w:tcPr>
          <w:tcW w:w="4230" w:type="dxa"/>
          <w:tcMar>
            <w:left w:w="0" w:type="dxa"/>
            <w:right w:w="0" w:type="dxa"/>
          </w:tcMar>
        </w:tcPr>
        <w:p w:rsidR="00CF1133" w:rsidRPr="00755F22" w:rsidRDefault="00CF1133" w:rsidP="00831CA9">
          <w:pPr>
            <w:keepNext/>
            <w:keepLines/>
            <w:rPr>
              <w:sz w:val="20"/>
              <w:szCs w:val="20"/>
            </w:rPr>
          </w:pPr>
          <w:r w:rsidRPr="00755F22">
            <w:rPr>
              <w:sz w:val="20"/>
              <w:szCs w:val="20"/>
            </w:rPr>
            <w:t>MOTIONS</w:t>
          </w:r>
        </w:p>
      </w:tc>
      <w:tc>
        <w:tcPr>
          <w:tcW w:w="1170" w:type="dxa"/>
          <w:tcMar>
            <w:left w:w="0" w:type="dxa"/>
            <w:right w:w="0" w:type="dxa"/>
          </w:tcMar>
        </w:tcPr>
        <w:p w:rsidR="00CF1133" w:rsidRPr="00755F22" w:rsidRDefault="00CF1133" w:rsidP="00831CA9">
          <w:pPr>
            <w:keepLines/>
            <w:jc w:val="center"/>
            <w:rPr>
              <w:sz w:val="20"/>
              <w:szCs w:val="20"/>
            </w:rPr>
          </w:pPr>
        </w:p>
        <w:p w:rsidR="00CF1133" w:rsidRPr="00755F22" w:rsidRDefault="00CF1133" w:rsidP="00831CA9">
          <w:pPr>
            <w:keepLines/>
            <w:tabs>
              <w:tab w:val="left" w:pos="-1440"/>
              <w:tab w:val="left" w:pos="-720"/>
            </w:tabs>
            <w:jc w:val="center"/>
            <w:rPr>
              <w:sz w:val="20"/>
              <w:szCs w:val="20"/>
            </w:rPr>
          </w:pPr>
        </w:p>
      </w:tc>
      <w:tc>
        <w:tcPr>
          <w:tcW w:w="4080" w:type="dxa"/>
          <w:tcMar>
            <w:left w:w="0" w:type="dxa"/>
            <w:right w:w="0" w:type="dxa"/>
          </w:tcMar>
        </w:tcPr>
        <w:p w:rsidR="00CF1133" w:rsidRPr="00BA6468" w:rsidRDefault="00CF1133" w:rsidP="00BA6468">
          <w:pPr>
            <w:keepLines/>
            <w:rPr>
              <w:sz w:val="20"/>
              <w:szCs w:val="20"/>
              <w:lang w:val="fr-CA"/>
            </w:rPr>
          </w:pPr>
          <w:r w:rsidRPr="00BA6468">
            <w:rPr>
              <w:sz w:val="20"/>
              <w:szCs w:val="20"/>
              <w:lang w:val="fr-CA"/>
            </w:rPr>
            <w:t>REQUÊTES</w:t>
          </w:r>
        </w:p>
      </w:tc>
    </w:tr>
  </w:tbl>
  <w:p w:rsidR="00CF1133" w:rsidRDefault="00CF113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tc>
        <w:tcPr>
          <w:tcW w:w="4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1133" w:rsidRPr="00B01A03"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F1133" w:rsidRPr="00B01A0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F1133" w:rsidRPr="00B01A0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F1133" w:rsidRPr="0040016A" w:rsidTr="00245129">
      <w:tc>
        <w:tcPr>
          <w:tcW w:w="4200" w:type="dxa"/>
          <w:tcMar>
            <w:left w:w="0" w:type="dxa"/>
            <w:right w:w="0" w:type="dxa"/>
          </w:tcMar>
        </w:tcPr>
        <w:p w:rsidR="00CF1133" w:rsidRPr="00F40249" w:rsidRDefault="00CF113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F1133" w:rsidRDefault="00CF1133" w:rsidP="00102926">
          <w:pPr>
            <w:keepNext/>
            <w:keepLines/>
            <w:tabs>
              <w:tab w:val="left" w:pos="-1440"/>
              <w:tab w:val="left" w:pos="-720"/>
            </w:tabs>
            <w:jc w:val="center"/>
            <w:rPr>
              <w:sz w:val="20"/>
              <w:szCs w:val="20"/>
            </w:rPr>
          </w:pPr>
        </w:p>
        <w:p w:rsidR="00CF1133" w:rsidRDefault="00CF1133" w:rsidP="00102926">
          <w:pPr>
            <w:keepNext/>
            <w:keepLines/>
            <w:tabs>
              <w:tab w:val="left" w:pos="-1440"/>
              <w:tab w:val="left" w:pos="-720"/>
            </w:tabs>
            <w:jc w:val="center"/>
            <w:rPr>
              <w:sz w:val="20"/>
              <w:szCs w:val="20"/>
            </w:rPr>
          </w:pPr>
        </w:p>
        <w:p w:rsidR="00CF1133" w:rsidRPr="00F40249" w:rsidRDefault="00CF1133" w:rsidP="00102926">
          <w:pPr>
            <w:keepNext/>
            <w:keepLines/>
            <w:tabs>
              <w:tab w:val="left" w:pos="-1440"/>
              <w:tab w:val="left" w:pos="-720"/>
            </w:tabs>
            <w:jc w:val="center"/>
            <w:rPr>
              <w:sz w:val="20"/>
              <w:szCs w:val="20"/>
            </w:rPr>
          </w:pPr>
        </w:p>
      </w:tc>
      <w:tc>
        <w:tcPr>
          <w:tcW w:w="4230" w:type="dxa"/>
          <w:tcMar>
            <w:left w:w="0" w:type="dxa"/>
            <w:right w:w="0" w:type="dxa"/>
          </w:tcMar>
        </w:tcPr>
        <w:p w:rsidR="00CF1133" w:rsidRPr="00F40249" w:rsidRDefault="00CF113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F1133" w:rsidRPr="00B01A03" w:rsidRDefault="00CF113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tc>
        <w:tcPr>
          <w:tcW w:w="4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1133" w:rsidRPr="00283C52"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F1133" w:rsidRPr="00283C52"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F1133" w:rsidRPr="00283C52"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rsidTr="00245129">
      <w:tc>
        <w:tcPr>
          <w:tcW w:w="4200" w:type="dxa"/>
          <w:tcMar>
            <w:left w:w="0" w:type="dxa"/>
            <w:right w:w="0" w:type="dxa"/>
          </w:tcMar>
        </w:tcPr>
        <w:p w:rsidR="00CF1133" w:rsidRPr="00732DB7" w:rsidRDefault="00CF113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CF1133" w:rsidRPr="00732DB7" w:rsidRDefault="00CF1133" w:rsidP="00732DB7">
          <w:pPr>
            <w:keepNext/>
            <w:keepLines/>
            <w:tabs>
              <w:tab w:val="left" w:pos="-1440"/>
              <w:tab w:val="left" w:pos="-720"/>
            </w:tabs>
            <w:jc w:val="center"/>
            <w:rPr>
              <w:sz w:val="20"/>
              <w:szCs w:val="20"/>
            </w:rPr>
          </w:pPr>
        </w:p>
        <w:p w:rsidR="00CF1133" w:rsidRPr="00732DB7" w:rsidRDefault="00CF1133" w:rsidP="00732DB7">
          <w:pPr>
            <w:keepNext/>
            <w:keepLines/>
            <w:tabs>
              <w:tab w:val="left" w:pos="-1440"/>
              <w:tab w:val="left" w:pos="-720"/>
            </w:tabs>
            <w:jc w:val="center"/>
            <w:rPr>
              <w:sz w:val="20"/>
              <w:szCs w:val="20"/>
            </w:rPr>
          </w:pPr>
        </w:p>
        <w:p w:rsidR="00CF1133" w:rsidRPr="00732DB7" w:rsidRDefault="00CF1133" w:rsidP="00732DB7">
          <w:pPr>
            <w:keepNext/>
            <w:keepLines/>
            <w:tabs>
              <w:tab w:val="left" w:pos="-1440"/>
              <w:tab w:val="left" w:pos="-720"/>
            </w:tabs>
            <w:jc w:val="center"/>
            <w:rPr>
              <w:sz w:val="20"/>
              <w:szCs w:val="20"/>
            </w:rPr>
          </w:pPr>
        </w:p>
      </w:tc>
      <w:tc>
        <w:tcPr>
          <w:tcW w:w="4080" w:type="dxa"/>
          <w:tcMar>
            <w:left w:w="0" w:type="dxa"/>
            <w:right w:w="0" w:type="dxa"/>
          </w:tcMar>
        </w:tcPr>
        <w:p w:rsidR="00CF1133" w:rsidRPr="00732DB7" w:rsidRDefault="00CF113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F1133" w:rsidRPr="00283C52" w:rsidRDefault="00CF113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tc>
        <w:tcPr>
          <w:tcW w:w="4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F1133" w:rsidRPr="003C2C0F"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F1133" w:rsidRPr="003C2C0F"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F1133" w:rsidRPr="003C2C0F"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rsidTr="00245129">
      <w:tc>
        <w:tcPr>
          <w:tcW w:w="4200" w:type="dxa"/>
          <w:tcMar>
            <w:left w:w="0" w:type="dxa"/>
            <w:right w:w="0" w:type="dxa"/>
          </w:tcMar>
        </w:tcPr>
        <w:p w:rsidR="00CF1133" w:rsidRPr="00FF6EEC" w:rsidRDefault="00CF1133" w:rsidP="00FF6EEC">
          <w:pPr>
            <w:rPr>
              <w:sz w:val="20"/>
              <w:szCs w:val="20"/>
            </w:rPr>
          </w:pPr>
          <w:r w:rsidRPr="00FF6EEC">
            <w:rPr>
              <w:sz w:val="20"/>
              <w:szCs w:val="20"/>
            </w:rPr>
            <w:t>PRONOUNCEMENTS OF APPEALS RESERVED</w:t>
          </w:r>
        </w:p>
      </w:tc>
      <w:tc>
        <w:tcPr>
          <w:tcW w:w="1200" w:type="dxa"/>
          <w:tcMar>
            <w:left w:w="0" w:type="dxa"/>
            <w:right w:w="0" w:type="dxa"/>
          </w:tcMar>
        </w:tcPr>
        <w:p w:rsidR="00CF1133" w:rsidRPr="00FF6EEC" w:rsidRDefault="00CF1133" w:rsidP="00FF6EEC">
          <w:pPr>
            <w:jc w:val="center"/>
            <w:rPr>
              <w:sz w:val="20"/>
              <w:szCs w:val="20"/>
            </w:rPr>
          </w:pPr>
        </w:p>
        <w:p w:rsidR="00CF1133" w:rsidRPr="00FF6EEC" w:rsidRDefault="00CF1133" w:rsidP="00FF6EEC">
          <w:pPr>
            <w:jc w:val="center"/>
            <w:rPr>
              <w:sz w:val="20"/>
              <w:szCs w:val="20"/>
            </w:rPr>
          </w:pPr>
        </w:p>
        <w:p w:rsidR="00CF1133" w:rsidRPr="00FF6EEC" w:rsidRDefault="00CF1133" w:rsidP="00FF6EEC">
          <w:pPr>
            <w:jc w:val="center"/>
            <w:rPr>
              <w:sz w:val="20"/>
              <w:szCs w:val="20"/>
            </w:rPr>
          </w:pPr>
        </w:p>
      </w:tc>
      <w:tc>
        <w:tcPr>
          <w:tcW w:w="4080" w:type="dxa"/>
          <w:tcMar>
            <w:left w:w="0" w:type="dxa"/>
            <w:right w:w="0" w:type="dxa"/>
          </w:tcMar>
        </w:tcPr>
        <w:p w:rsidR="00CF1133" w:rsidRPr="00FF6EEC" w:rsidRDefault="00CF1133" w:rsidP="00FF6EEC">
          <w:pPr>
            <w:rPr>
              <w:sz w:val="20"/>
              <w:szCs w:val="20"/>
              <w:lang w:val="fr-CA"/>
            </w:rPr>
          </w:pPr>
          <w:r w:rsidRPr="00FF6EEC">
            <w:rPr>
              <w:sz w:val="20"/>
              <w:szCs w:val="20"/>
              <w:lang w:val="fr-CA"/>
            </w:rPr>
            <w:t>JUGEMENTS RENDUS SUR LES APPELS EN DÉLIBÉRÉ</w:t>
          </w:r>
        </w:p>
      </w:tc>
    </w:tr>
  </w:tbl>
  <w:p w:rsidR="00CF1133" w:rsidRPr="003C2C0F" w:rsidRDefault="00CF113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1133">
      <w:tc>
        <w:tcPr>
          <w:tcW w:w="423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F1133"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1133"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1133" w:rsidRPr="00782AE4" w:rsidTr="00245129">
      <w:tc>
        <w:tcPr>
          <w:tcW w:w="4230" w:type="dxa"/>
          <w:tcMar>
            <w:left w:w="0" w:type="dxa"/>
            <w:right w:w="0" w:type="dxa"/>
          </w:tcMar>
        </w:tcPr>
        <w:p w:rsidR="00CF1133" w:rsidRPr="00782AE4" w:rsidRDefault="00CF1133" w:rsidP="00102926">
          <w:pPr>
            <w:keepNext/>
            <w:keepLines/>
            <w:tabs>
              <w:tab w:val="left" w:pos="-1440"/>
              <w:tab w:val="left" w:pos="-720"/>
            </w:tabs>
            <w:rPr>
              <w:sz w:val="20"/>
              <w:szCs w:val="20"/>
            </w:rPr>
          </w:pPr>
          <w:r w:rsidRPr="00782AE4">
            <w:rPr>
              <w:sz w:val="20"/>
              <w:szCs w:val="20"/>
            </w:rPr>
            <w:t xml:space="preserve">HEADNOTES OF RECENT </w:t>
          </w:r>
        </w:p>
        <w:p w:rsidR="00CF1133" w:rsidRPr="00782AE4"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F1133" w:rsidRDefault="00CF1133" w:rsidP="00102926">
          <w:pPr>
            <w:keepNext/>
            <w:keepLines/>
            <w:tabs>
              <w:tab w:val="left" w:pos="-1440"/>
              <w:tab w:val="left" w:pos="-720"/>
            </w:tabs>
            <w:jc w:val="center"/>
            <w:rPr>
              <w:sz w:val="20"/>
              <w:szCs w:val="20"/>
            </w:rPr>
          </w:pPr>
        </w:p>
        <w:p w:rsidR="00CF1133" w:rsidRDefault="00CF1133" w:rsidP="00102926">
          <w:pPr>
            <w:keepNext/>
            <w:keepLines/>
            <w:tabs>
              <w:tab w:val="left" w:pos="-1440"/>
              <w:tab w:val="left" w:pos="-720"/>
            </w:tabs>
            <w:jc w:val="center"/>
            <w:rPr>
              <w:sz w:val="20"/>
              <w:szCs w:val="20"/>
            </w:rPr>
          </w:pPr>
        </w:p>
        <w:p w:rsidR="00CF1133" w:rsidRPr="00782AE4" w:rsidRDefault="00CF1133" w:rsidP="00102926">
          <w:pPr>
            <w:keepNext/>
            <w:keepLines/>
            <w:tabs>
              <w:tab w:val="left" w:pos="-1440"/>
              <w:tab w:val="left" w:pos="-720"/>
            </w:tabs>
            <w:jc w:val="center"/>
            <w:rPr>
              <w:sz w:val="20"/>
              <w:szCs w:val="20"/>
            </w:rPr>
          </w:pPr>
        </w:p>
      </w:tc>
      <w:tc>
        <w:tcPr>
          <w:tcW w:w="4080" w:type="dxa"/>
          <w:tcMar>
            <w:left w:w="0" w:type="dxa"/>
            <w:right w:w="0" w:type="dxa"/>
          </w:tcMar>
        </w:tcPr>
        <w:p w:rsidR="00CF1133" w:rsidRPr="00102926"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F1133" w:rsidRPr="00782AE4" w:rsidRDefault="00CF1133" w:rsidP="00102926">
          <w:pPr>
            <w:keepLines/>
            <w:tabs>
              <w:tab w:val="left" w:pos="-1440"/>
              <w:tab w:val="left" w:pos="-720"/>
            </w:tabs>
            <w:rPr>
              <w:sz w:val="20"/>
              <w:szCs w:val="20"/>
            </w:rPr>
          </w:pPr>
          <w:r w:rsidRPr="00102926">
            <w:rPr>
              <w:sz w:val="20"/>
              <w:szCs w:val="20"/>
              <w:lang w:val="fr-CA"/>
            </w:rPr>
            <w:t>RÉCENTS</w:t>
          </w:r>
        </w:p>
      </w:tc>
    </w:tr>
  </w:tbl>
  <w:p w:rsidR="00CF1133" w:rsidRDefault="00CF113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F1133" w:rsidRPr="0044776A" w:rsidTr="00245129">
      <w:tc>
        <w:tcPr>
          <w:tcW w:w="4290" w:type="dxa"/>
          <w:tcMar>
            <w:left w:w="0" w:type="dxa"/>
            <w:right w:w="0" w:type="dxa"/>
          </w:tcMar>
        </w:tcPr>
        <w:p w:rsidR="00CF1133" w:rsidRPr="0044776A" w:rsidRDefault="00CF113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F1133" w:rsidRPr="0044776A" w:rsidRDefault="00CF1133" w:rsidP="002E2327">
          <w:pPr>
            <w:keepNext/>
            <w:keepLines/>
            <w:tabs>
              <w:tab w:val="left" w:pos="-1440"/>
              <w:tab w:val="left" w:pos="-720"/>
            </w:tabs>
            <w:jc w:val="center"/>
            <w:rPr>
              <w:sz w:val="20"/>
              <w:szCs w:val="20"/>
            </w:rPr>
          </w:pPr>
        </w:p>
        <w:p w:rsidR="00CF1133" w:rsidRPr="0044776A" w:rsidRDefault="00CF1133" w:rsidP="002E2327">
          <w:pPr>
            <w:keepNext/>
            <w:keepLines/>
            <w:tabs>
              <w:tab w:val="left" w:pos="-1440"/>
              <w:tab w:val="left" w:pos="-720"/>
            </w:tabs>
            <w:jc w:val="center"/>
            <w:rPr>
              <w:sz w:val="20"/>
              <w:szCs w:val="20"/>
            </w:rPr>
          </w:pPr>
        </w:p>
        <w:p w:rsidR="00CF1133" w:rsidRPr="0044776A" w:rsidRDefault="00CF1133" w:rsidP="002E2327">
          <w:pPr>
            <w:keepNext/>
            <w:keepLines/>
            <w:tabs>
              <w:tab w:val="left" w:pos="-1440"/>
              <w:tab w:val="left" w:pos="-720"/>
            </w:tabs>
            <w:jc w:val="center"/>
            <w:rPr>
              <w:sz w:val="20"/>
              <w:szCs w:val="20"/>
            </w:rPr>
          </w:pPr>
        </w:p>
      </w:tc>
      <w:tc>
        <w:tcPr>
          <w:tcW w:w="4320" w:type="dxa"/>
          <w:tcMar>
            <w:left w:w="0" w:type="dxa"/>
            <w:right w:w="0" w:type="dxa"/>
          </w:tcMar>
        </w:tcPr>
        <w:p w:rsidR="00CF1133" w:rsidRPr="0044776A" w:rsidRDefault="00CF1133" w:rsidP="002E2327">
          <w:pPr>
            <w:keepLines/>
            <w:rPr>
              <w:sz w:val="20"/>
              <w:szCs w:val="20"/>
              <w:lang w:val="fr-CA"/>
            </w:rPr>
          </w:pPr>
          <w:r w:rsidRPr="0044776A">
            <w:rPr>
              <w:sz w:val="20"/>
              <w:szCs w:val="20"/>
              <w:lang w:val="fr-CA"/>
            </w:rPr>
            <w:t>DEMANDES D'AUTORISATION D'APPEL DÉPOSÉES</w:t>
          </w:r>
        </w:p>
      </w:tc>
    </w:tr>
  </w:tbl>
  <w:p w:rsidR="00CF1133" w:rsidRDefault="00CF11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rsidTr="00245129">
      <w:tc>
        <w:tcPr>
          <w:tcW w:w="4200" w:type="dxa"/>
          <w:tcMar>
            <w:left w:w="0" w:type="dxa"/>
            <w:right w:w="0" w:type="dxa"/>
          </w:tcMar>
        </w:tcPr>
        <w:p w:rsidR="00CF1133" w:rsidRPr="0044776A" w:rsidRDefault="00CF1133" w:rsidP="0044776A">
          <w:pPr>
            <w:keepNext/>
            <w:keepLines/>
            <w:widowControl w:val="0"/>
            <w:rPr>
              <w:sz w:val="20"/>
              <w:szCs w:val="20"/>
            </w:rPr>
          </w:pPr>
          <w:r>
            <w:rPr>
              <w:sz w:val="20"/>
              <w:szCs w:val="20"/>
            </w:rPr>
            <w:t>APPLICATIONS FOR LEAVE</w:t>
          </w:r>
        </w:p>
        <w:p w:rsidR="00CF1133" w:rsidRPr="0044776A" w:rsidRDefault="00CF113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F1133" w:rsidRPr="0044776A" w:rsidRDefault="00CF1133" w:rsidP="0044776A">
          <w:pPr>
            <w:keepNext/>
            <w:keepLines/>
            <w:widowControl w:val="0"/>
            <w:jc w:val="center"/>
            <w:rPr>
              <w:sz w:val="20"/>
              <w:szCs w:val="20"/>
            </w:rPr>
          </w:pPr>
        </w:p>
        <w:p w:rsidR="00CF1133" w:rsidRPr="0044776A" w:rsidRDefault="00CF1133" w:rsidP="0044776A">
          <w:pPr>
            <w:keepNext/>
            <w:keepLines/>
            <w:widowControl w:val="0"/>
            <w:jc w:val="center"/>
            <w:rPr>
              <w:sz w:val="20"/>
              <w:szCs w:val="20"/>
            </w:rPr>
          </w:pPr>
        </w:p>
        <w:p w:rsidR="00CF1133" w:rsidRPr="0044776A" w:rsidRDefault="00CF1133" w:rsidP="0044776A">
          <w:pPr>
            <w:keepNext/>
            <w:keepLines/>
            <w:widowControl w:val="0"/>
            <w:jc w:val="center"/>
            <w:rPr>
              <w:sz w:val="20"/>
              <w:szCs w:val="20"/>
            </w:rPr>
          </w:pPr>
        </w:p>
      </w:tc>
      <w:tc>
        <w:tcPr>
          <w:tcW w:w="4080" w:type="dxa"/>
          <w:tcMar>
            <w:left w:w="0" w:type="dxa"/>
            <w:right w:w="0" w:type="dxa"/>
          </w:tcMar>
        </w:tcPr>
        <w:p w:rsidR="00CF1133" w:rsidRPr="0044776A" w:rsidRDefault="00CF1133" w:rsidP="0044776A">
          <w:pPr>
            <w:keepLines/>
            <w:widowControl w:val="0"/>
            <w:rPr>
              <w:sz w:val="20"/>
              <w:szCs w:val="20"/>
              <w:lang w:val="fr-CA"/>
            </w:rPr>
          </w:pPr>
          <w:r w:rsidRPr="0044776A">
            <w:rPr>
              <w:sz w:val="20"/>
              <w:szCs w:val="20"/>
              <w:lang w:val="fr-CA"/>
            </w:rPr>
            <w:t>DEMANDES SOUMISES À LA COUR DEPUIS LA DERNIÈRE PARUTION</w:t>
          </w:r>
        </w:p>
        <w:p w:rsidR="00CF1133" w:rsidRPr="0044776A" w:rsidRDefault="00CF1133" w:rsidP="0044776A">
          <w:pPr>
            <w:widowControl w:val="0"/>
            <w:rPr>
              <w:sz w:val="20"/>
              <w:szCs w:val="20"/>
              <w:lang w:val="fr-CA"/>
            </w:rPr>
          </w:pPr>
        </w:p>
      </w:tc>
    </w:tr>
  </w:tbl>
  <w:p w:rsidR="00CF1133" w:rsidRPr="002E2327" w:rsidRDefault="00CF113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tc>
        <w:tcPr>
          <w:tcW w:w="4200" w:type="dxa"/>
          <w:tcMar>
            <w:left w:w="0" w:type="dxa"/>
            <w:right w:w="0" w:type="dxa"/>
          </w:tcMar>
        </w:tcPr>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F1133"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F1133"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1133" w:rsidRPr="00FF6BA5"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F1133" w:rsidRPr="00FF6BA5"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F1133" w:rsidRPr="00FF6BA5"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F1133" w:rsidRPr="00FF6BA5" w:rsidRDefault="00CF1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1133" w:rsidRPr="0040016A" w:rsidTr="00245129">
      <w:tc>
        <w:tcPr>
          <w:tcW w:w="4200" w:type="dxa"/>
          <w:tcMar>
            <w:left w:w="0" w:type="dxa"/>
            <w:right w:w="0" w:type="dxa"/>
          </w:tcMar>
        </w:tcPr>
        <w:p w:rsidR="00CF1133" w:rsidRPr="00755F22"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F1133" w:rsidRPr="00755F22" w:rsidRDefault="00CF11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F1133" w:rsidRPr="00755F22" w:rsidRDefault="00CF11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1133" w:rsidRPr="00755F22" w:rsidRDefault="00CF11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1133" w:rsidRPr="00755F22" w:rsidRDefault="00CF11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F1133" w:rsidRPr="00755F22" w:rsidRDefault="00CF11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F1133" w:rsidRPr="00FF6BA5" w:rsidRDefault="00CF113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920"/>
    <w:multiLevelType w:val="hybridMultilevel"/>
    <w:tmpl w:val="6CC64B34"/>
    <w:lvl w:ilvl="0" w:tplc="713EDE2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8A58C0"/>
    <w:multiLevelType w:val="hybridMultilevel"/>
    <w:tmpl w:val="7108A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57361"/>
  </w:hdrShapeDefaults>
  <w:footnotePr>
    <w:footnote w:id="-1"/>
    <w:footnote w:id="0"/>
  </w:footnotePr>
  <w:endnotePr>
    <w:endnote w:id="-1"/>
    <w:endnote w:id="0"/>
  </w:endnotePr>
  <w:compat>
    <w:compatSetting w:name="compatibilityMode" w:uri="http://schemas.microsoft.com/office/word" w:val="12"/>
  </w:compat>
  <w:rsids>
    <w:rsidRoot w:val="00BE0286"/>
    <w:rsid w:val="0002155C"/>
    <w:rsid w:val="0003223B"/>
    <w:rsid w:val="000327B2"/>
    <w:rsid w:val="00040A45"/>
    <w:rsid w:val="0004528B"/>
    <w:rsid w:val="00091FA6"/>
    <w:rsid w:val="00096BD9"/>
    <w:rsid w:val="000B3C9A"/>
    <w:rsid w:val="000B40A2"/>
    <w:rsid w:val="000B4624"/>
    <w:rsid w:val="000C0ACD"/>
    <w:rsid w:val="000C0D2A"/>
    <w:rsid w:val="000C5CE8"/>
    <w:rsid w:val="000C7861"/>
    <w:rsid w:val="000E2959"/>
    <w:rsid w:val="000F0B60"/>
    <w:rsid w:val="00102926"/>
    <w:rsid w:val="0010587F"/>
    <w:rsid w:val="00111C6B"/>
    <w:rsid w:val="0012102B"/>
    <w:rsid w:val="0013369E"/>
    <w:rsid w:val="00142ACF"/>
    <w:rsid w:val="00160911"/>
    <w:rsid w:val="00164E6D"/>
    <w:rsid w:val="00165611"/>
    <w:rsid w:val="00183454"/>
    <w:rsid w:val="001B157C"/>
    <w:rsid w:val="001B4006"/>
    <w:rsid w:val="001B5C23"/>
    <w:rsid w:val="001D0D5F"/>
    <w:rsid w:val="001D6B8C"/>
    <w:rsid w:val="001F1F83"/>
    <w:rsid w:val="001F40DF"/>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02C94"/>
    <w:rsid w:val="00331B52"/>
    <w:rsid w:val="0033596E"/>
    <w:rsid w:val="003359D3"/>
    <w:rsid w:val="00347BB4"/>
    <w:rsid w:val="00355967"/>
    <w:rsid w:val="00382C47"/>
    <w:rsid w:val="00384384"/>
    <w:rsid w:val="003866AE"/>
    <w:rsid w:val="00396D0D"/>
    <w:rsid w:val="003B3977"/>
    <w:rsid w:val="003B65BE"/>
    <w:rsid w:val="003E14D2"/>
    <w:rsid w:val="003E1D4C"/>
    <w:rsid w:val="003F4361"/>
    <w:rsid w:val="0040016A"/>
    <w:rsid w:val="00421AA3"/>
    <w:rsid w:val="00432989"/>
    <w:rsid w:val="00434436"/>
    <w:rsid w:val="00440E24"/>
    <w:rsid w:val="0044776A"/>
    <w:rsid w:val="00460AFC"/>
    <w:rsid w:val="00465F96"/>
    <w:rsid w:val="0047471F"/>
    <w:rsid w:val="00485FA0"/>
    <w:rsid w:val="004876A0"/>
    <w:rsid w:val="004B195E"/>
    <w:rsid w:val="004B66B4"/>
    <w:rsid w:val="004B7F60"/>
    <w:rsid w:val="004C1AAC"/>
    <w:rsid w:val="004E1E0A"/>
    <w:rsid w:val="004F090E"/>
    <w:rsid w:val="00501F3C"/>
    <w:rsid w:val="005024CA"/>
    <w:rsid w:val="0052229C"/>
    <w:rsid w:val="00527CC7"/>
    <w:rsid w:val="00555E10"/>
    <w:rsid w:val="0056163A"/>
    <w:rsid w:val="00571CA4"/>
    <w:rsid w:val="00582136"/>
    <w:rsid w:val="00584048"/>
    <w:rsid w:val="005C6840"/>
    <w:rsid w:val="005D2850"/>
    <w:rsid w:val="005F1ED8"/>
    <w:rsid w:val="005F263E"/>
    <w:rsid w:val="00600252"/>
    <w:rsid w:val="00612A40"/>
    <w:rsid w:val="0062714A"/>
    <w:rsid w:val="00675479"/>
    <w:rsid w:val="00680709"/>
    <w:rsid w:val="00696BF9"/>
    <w:rsid w:val="00697C62"/>
    <w:rsid w:val="006A329B"/>
    <w:rsid w:val="006A7EB8"/>
    <w:rsid w:val="006B6926"/>
    <w:rsid w:val="006C3F47"/>
    <w:rsid w:val="006C5F7A"/>
    <w:rsid w:val="006E06AF"/>
    <w:rsid w:val="006F350F"/>
    <w:rsid w:val="006F6E67"/>
    <w:rsid w:val="0071519B"/>
    <w:rsid w:val="007323AE"/>
    <w:rsid w:val="00732DB7"/>
    <w:rsid w:val="0074238B"/>
    <w:rsid w:val="00744E84"/>
    <w:rsid w:val="00745EF7"/>
    <w:rsid w:val="00755F22"/>
    <w:rsid w:val="00766E4A"/>
    <w:rsid w:val="0077587F"/>
    <w:rsid w:val="007820CE"/>
    <w:rsid w:val="00782AE4"/>
    <w:rsid w:val="0079724F"/>
    <w:rsid w:val="007A3EAE"/>
    <w:rsid w:val="007C04FC"/>
    <w:rsid w:val="007C47C2"/>
    <w:rsid w:val="007D3E0F"/>
    <w:rsid w:val="007E4282"/>
    <w:rsid w:val="007E5877"/>
    <w:rsid w:val="007F387B"/>
    <w:rsid w:val="00802863"/>
    <w:rsid w:val="00815B3C"/>
    <w:rsid w:val="0081610A"/>
    <w:rsid w:val="0082783A"/>
    <w:rsid w:val="00831CA9"/>
    <w:rsid w:val="00850E1F"/>
    <w:rsid w:val="0085476B"/>
    <w:rsid w:val="0086340B"/>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D1F15"/>
    <w:rsid w:val="009D555E"/>
    <w:rsid w:val="009F3024"/>
    <w:rsid w:val="00A0355E"/>
    <w:rsid w:val="00A375D1"/>
    <w:rsid w:val="00A51D10"/>
    <w:rsid w:val="00A52A83"/>
    <w:rsid w:val="00A6552C"/>
    <w:rsid w:val="00A87207"/>
    <w:rsid w:val="00A935AA"/>
    <w:rsid w:val="00A956D3"/>
    <w:rsid w:val="00AB2201"/>
    <w:rsid w:val="00AD3259"/>
    <w:rsid w:val="00AD3636"/>
    <w:rsid w:val="00AF1715"/>
    <w:rsid w:val="00AF1D84"/>
    <w:rsid w:val="00AF3904"/>
    <w:rsid w:val="00B010C0"/>
    <w:rsid w:val="00B02906"/>
    <w:rsid w:val="00B4740D"/>
    <w:rsid w:val="00B61629"/>
    <w:rsid w:val="00B6317B"/>
    <w:rsid w:val="00B7374B"/>
    <w:rsid w:val="00B90DC0"/>
    <w:rsid w:val="00BA116A"/>
    <w:rsid w:val="00BA5582"/>
    <w:rsid w:val="00BA6468"/>
    <w:rsid w:val="00BB1D44"/>
    <w:rsid w:val="00BD06DA"/>
    <w:rsid w:val="00BD4217"/>
    <w:rsid w:val="00BE0286"/>
    <w:rsid w:val="00BE38E9"/>
    <w:rsid w:val="00BF25F3"/>
    <w:rsid w:val="00C1697B"/>
    <w:rsid w:val="00C21644"/>
    <w:rsid w:val="00C21CB5"/>
    <w:rsid w:val="00C42753"/>
    <w:rsid w:val="00C50A5C"/>
    <w:rsid w:val="00C50FDF"/>
    <w:rsid w:val="00C544FC"/>
    <w:rsid w:val="00C63381"/>
    <w:rsid w:val="00C73D06"/>
    <w:rsid w:val="00C73E1B"/>
    <w:rsid w:val="00C759B4"/>
    <w:rsid w:val="00C77713"/>
    <w:rsid w:val="00C85BB7"/>
    <w:rsid w:val="00CA2DEA"/>
    <w:rsid w:val="00CB288E"/>
    <w:rsid w:val="00CB3520"/>
    <w:rsid w:val="00CB43D5"/>
    <w:rsid w:val="00CC4D84"/>
    <w:rsid w:val="00CE0B6D"/>
    <w:rsid w:val="00CE198A"/>
    <w:rsid w:val="00CF08C8"/>
    <w:rsid w:val="00CF1133"/>
    <w:rsid w:val="00D004FC"/>
    <w:rsid w:val="00D26964"/>
    <w:rsid w:val="00D64901"/>
    <w:rsid w:val="00D76BDF"/>
    <w:rsid w:val="00D862C1"/>
    <w:rsid w:val="00D93B50"/>
    <w:rsid w:val="00D94028"/>
    <w:rsid w:val="00D94670"/>
    <w:rsid w:val="00DA46F6"/>
    <w:rsid w:val="00DD0B49"/>
    <w:rsid w:val="00DE0502"/>
    <w:rsid w:val="00DE349D"/>
    <w:rsid w:val="00E06DFA"/>
    <w:rsid w:val="00E20A0A"/>
    <w:rsid w:val="00E356C7"/>
    <w:rsid w:val="00E41A5A"/>
    <w:rsid w:val="00E45FE4"/>
    <w:rsid w:val="00E64FA7"/>
    <w:rsid w:val="00E770CB"/>
    <w:rsid w:val="00E903A1"/>
    <w:rsid w:val="00E940EB"/>
    <w:rsid w:val="00E9703F"/>
    <w:rsid w:val="00EB2B90"/>
    <w:rsid w:val="00ED7E83"/>
    <w:rsid w:val="00EE091F"/>
    <w:rsid w:val="00EF4B63"/>
    <w:rsid w:val="00EF7F30"/>
    <w:rsid w:val="00F0068D"/>
    <w:rsid w:val="00F0576D"/>
    <w:rsid w:val="00F14E6D"/>
    <w:rsid w:val="00F15EA8"/>
    <w:rsid w:val="00F16C8D"/>
    <w:rsid w:val="00F25AC2"/>
    <w:rsid w:val="00F26C61"/>
    <w:rsid w:val="00F33CCE"/>
    <w:rsid w:val="00F40249"/>
    <w:rsid w:val="00F51ADB"/>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040A4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47BB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sc/doc/2013/2013onsc4457/2013onsc4457.html?searchUrlHash=AAAAAQAOMjAxMyBPTlNDIDQ0NTcAAAAAAQ"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footer" Target="footer23.xml"/><Relationship Id="rId68" Type="http://schemas.openxmlformats.org/officeDocument/2006/relationships/footer" Target="footer2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on/onsc/doc/2013/2013onsc4457/2013onsc4457.html?searchUrlHash=AAAAAQAOMjAxMyBPTlNDIDQ0NTcAAAAAAQ"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header" Target="header20.xm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22.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hyperlink" Target="http://www.scc-csc.ca/case-dossier/info/sum-som-eng.aspx?cas=35145" TargetMode="External"/><Relationship Id="rId65"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3/2013onca728/2013onca728.html?searchUrlHash=AAAAAQAOMjAxMyBPTlNDIDQ0NTcAAAAAAQ" TargetMode="Externa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footer" Target="footer21.xml"/><Relationship Id="rId64" Type="http://schemas.openxmlformats.org/officeDocument/2006/relationships/footer" Target="footer24.xml"/><Relationship Id="rId69"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3/2013onca728/2013onca728.html?searchUrlHash=AAAAAQAOMjAxMyBPTlNDIDQ0NTcAAAAAAQ"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yperlink" Target="http://www.scc-csc.ca/case-dossier/info/sum-som-eng.aspx?cas=35423" TargetMode="External"/><Relationship Id="rId59" Type="http://schemas.openxmlformats.org/officeDocument/2006/relationships/hyperlink" Target="http://www.scc-csc.ca/case-dossier/info/sum-som-eng.aspx?cas=34997" TargetMode="External"/><Relationship Id="rId67"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8102</Words>
  <Characters>46184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2014-05-16T18:33:00Z</dcterms:created>
  <dcterms:modified xsi:type="dcterms:W3CDTF">2015-12-04T16:15:00Z</dcterms:modified>
</cp:coreProperties>
</file>