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E19D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E19D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E19D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E19D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E19D3" w:rsidTr="002E5576">
        <w:tc>
          <w:tcPr>
            <w:tcW w:w="4518" w:type="dxa"/>
          </w:tcPr>
          <w:p w:rsidR="00BF25F3" w:rsidRPr="002E2327" w:rsidRDefault="00EE415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E415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E19D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E19D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5E19D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5E19D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544C72">
        <w:rPr>
          <w:lang w:val="fr-CA"/>
        </w:rPr>
        <w:t>u</w:t>
      </w:r>
      <w:r>
        <w:rPr>
          <w:lang w:val="fr-CA"/>
        </w:rPr>
        <w:t>n</w:t>
      </w:r>
      <w:r w:rsidR="00544C72">
        <w:rPr>
          <w:lang w:val="fr-CA"/>
        </w:rPr>
        <w:t>e</w:t>
      </w:r>
      <w:r w:rsidR="00440E24" w:rsidRPr="00675479">
        <w:rPr>
          <w:lang w:val="fr-CA"/>
        </w:rPr>
        <w:t xml:space="preserve"> </w:t>
      </w:r>
      <w:r w:rsidR="00544C72">
        <w:rPr>
          <w:lang w:val="fr-CA"/>
        </w:rPr>
        <w:t>6</w:t>
      </w:r>
      <w:r w:rsidR="00440E24" w:rsidRPr="00675479">
        <w:rPr>
          <w:lang w:val="fr-CA"/>
        </w:rPr>
        <w:t>, 201</w:t>
      </w:r>
      <w:r w:rsidR="00501F3C">
        <w:rPr>
          <w:lang w:val="fr-CA"/>
        </w:rPr>
        <w:t>4</w:t>
      </w:r>
      <w:r w:rsidR="00F0068D" w:rsidRPr="00675479">
        <w:rPr>
          <w:lang w:val="fr-CA"/>
        </w:rPr>
        <w:tab/>
      </w:r>
      <w:r w:rsidR="00544C72">
        <w:rPr>
          <w:lang w:val="fr-CA"/>
        </w:rPr>
        <w:t>962</w:t>
      </w:r>
      <w:r w:rsidR="00F0068D" w:rsidRPr="00675479">
        <w:rPr>
          <w:lang w:val="fr-CA"/>
        </w:rPr>
        <w:t xml:space="preserve"> - </w:t>
      </w:r>
      <w:r w:rsidR="00EE08B7">
        <w:rPr>
          <w:lang w:val="fr-CA"/>
        </w:rPr>
        <w:t>994</w:t>
      </w:r>
      <w:r w:rsidR="00440E24" w:rsidRPr="00675479">
        <w:rPr>
          <w:lang w:val="fr-CA"/>
        </w:rPr>
        <w:tab/>
      </w:r>
      <w:r w:rsidR="00440E24" w:rsidRPr="002E2327">
        <w:rPr>
          <w:lang w:val="fr-CA"/>
        </w:rPr>
        <w:t>Le</w:t>
      </w:r>
      <w:r>
        <w:rPr>
          <w:lang w:val="fr-CA"/>
        </w:rPr>
        <w:t xml:space="preserve"> </w:t>
      </w:r>
      <w:r w:rsidR="00544C72">
        <w:rPr>
          <w:lang w:val="fr-CA"/>
        </w:rPr>
        <w:t>6</w:t>
      </w:r>
      <w:r>
        <w:rPr>
          <w:lang w:val="fr-CA"/>
        </w:rPr>
        <w:t xml:space="preserve"> j</w:t>
      </w:r>
      <w:r w:rsidR="00544C72">
        <w:rPr>
          <w:lang w:val="fr-CA"/>
        </w:rPr>
        <w:t>u</w:t>
      </w:r>
      <w:r w:rsidR="00440E24" w:rsidRPr="002E2327">
        <w:rPr>
          <w:lang w:val="fr-CA"/>
        </w:rPr>
        <w:t>i</w:t>
      </w:r>
      <w:r w:rsidR="00544C72">
        <w:rPr>
          <w:lang w:val="fr-CA"/>
        </w:rPr>
        <w:t>n</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F251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68566D">
            <w:pPr>
              <w:tabs>
                <w:tab w:val="right" w:pos="9360"/>
              </w:tabs>
              <w:rPr>
                <w:rFonts w:cs="Times New Roman"/>
                <w:sz w:val="20"/>
                <w:szCs w:val="20"/>
              </w:rPr>
            </w:pPr>
          </w:p>
        </w:tc>
        <w:tc>
          <w:tcPr>
            <w:tcW w:w="1980" w:type="dxa"/>
          </w:tcPr>
          <w:p w:rsidR="0095096B" w:rsidRPr="002E2327" w:rsidRDefault="00544C72" w:rsidP="0095096B">
            <w:pPr>
              <w:jc w:val="center"/>
              <w:rPr>
                <w:rFonts w:cs="Times New Roman"/>
                <w:sz w:val="20"/>
                <w:szCs w:val="20"/>
              </w:rPr>
            </w:pPr>
            <w:r>
              <w:rPr>
                <w:rFonts w:cs="Times New Roman"/>
                <w:sz w:val="20"/>
                <w:szCs w:val="20"/>
              </w:rPr>
              <w:t xml:space="preserve">962 </w:t>
            </w:r>
            <w:r w:rsidR="00EE415D" w:rsidRPr="002E2327">
              <w:rPr>
                <w:rFonts w:cs="Times New Roman"/>
                <w:sz w:val="20"/>
                <w:szCs w:val="20"/>
              </w:rPr>
              <w:fldChar w:fldCharType="begin"/>
            </w:r>
            <w:r w:rsidR="0095096B" w:rsidRPr="002E2327">
              <w:rPr>
                <w:rFonts w:cs="Times New Roman"/>
                <w:sz w:val="20"/>
                <w:szCs w:val="20"/>
              </w:rPr>
              <w:instrText xml:space="preserve"> SEQ CHAPTER \h \r 1</w:instrText>
            </w:r>
            <w:r w:rsidR="00EE415D" w:rsidRPr="002E2327">
              <w:rPr>
                <w:rFonts w:cs="Times New Roman"/>
                <w:sz w:val="20"/>
                <w:szCs w:val="20"/>
              </w:rPr>
              <w:fldChar w:fldCharType="end"/>
            </w:r>
            <w:r w:rsidR="0095096B" w:rsidRPr="002E2327">
              <w:rPr>
                <w:rFonts w:cs="Times New Roman"/>
                <w:sz w:val="20"/>
                <w:szCs w:val="20"/>
              </w:rPr>
              <w:t>-</w:t>
            </w:r>
            <w:r w:rsidR="005C6E55">
              <w:rPr>
                <w:rFonts w:cs="Times New Roman"/>
                <w:sz w:val="20"/>
                <w:szCs w:val="20"/>
              </w:rPr>
              <w:t xml:space="preserve"> 963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243F9" w:rsidP="0095096B">
            <w:pPr>
              <w:jc w:val="center"/>
              <w:rPr>
                <w:rFonts w:cs="Times New Roman"/>
                <w:sz w:val="20"/>
                <w:szCs w:val="20"/>
              </w:rPr>
            </w:pPr>
            <w:r>
              <w:rPr>
                <w:rFonts w:cs="Times New Roman"/>
                <w:sz w:val="20"/>
                <w:szCs w:val="20"/>
              </w:rPr>
              <w:t>964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8566D" w:rsidP="0095096B">
            <w:pPr>
              <w:jc w:val="center"/>
              <w:rPr>
                <w:rFonts w:cs="Times New Roman"/>
                <w:sz w:val="20"/>
                <w:szCs w:val="20"/>
              </w:rPr>
            </w:pPr>
            <w:r>
              <w:rPr>
                <w:rFonts w:cs="Times New Roman"/>
                <w:sz w:val="20"/>
                <w:szCs w:val="20"/>
              </w:rPr>
              <w:t xml:space="preserve">965 </w:t>
            </w:r>
            <w:r w:rsidR="0095096B" w:rsidRPr="002E2327">
              <w:rPr>
                <w:rFonts w:cs="Times New Roman"/>
                <w:sz w:val="20"/>
                <w:szCs w:val="20"/>
              </w:rPr>
              <w:t>-</w:t>
            </w:r>
            <w:r w:rsidR="00351AA2">
              <w:rPr>
                <w:rFonts w:cs="Times New Roman"/>
                <w:sz w:val="20"/>
                <w:szCs w:val="20"/>
              </w:rPr>
              <w:t xml:space="preserve"> 983</w:t>
            </w:r>
          </w:p>
          <w:p w:rsidR="0095096B" w:rsidRDefault="0095096B" w:rsidP="0095096B">
            <w:pPr>
              <w:jc w:val="center"/>
              <w:rPr>
                <w:rFonts w:cs="Times New Roman"/>
                <w:sz w:val="20"/>
                <w:szCs w:val="20"/>
              </w:rPr>
            </w:pPr>
          </w:p>
          <w:p w:rsidR="0068566D" w:rsidRPr="002E2327" w:rsidRDefault="0068566D" w:rsidP="0095096B">
            <w:pPr>
              <w:jc w:val="center"/>
              <w:rPr>
                <w:rFonts w:cs="Times New Roman"/>
                <w:sz w:val="20"/>
                <w:szCs w:val="20"/>
              </w:rPr>
            </w:pPr>
          </w:p>
          <w:p w:rsidR="0095096B" w:rsidRPr="002E2327" w:rsidRDefault="00351AA2" w:rsidP="0095096B">
            <w:pPr>
              <w:jc w:val="center"/>
              <w:rPr>
                <w:rFonts w:cs="Times New Roman"/>
                <w:sz w:val="20"/>
                <w:szCs w:val="20"/>
              </w:rPr>
            </w:pPr>
            <w:r>
              <w:rPr>
                <w:rFonts w:cs="Times New Roman"/>
                <w:sz w:val="20"/>
                <w:szCs w:val="20"/>
              </w:rPr>
              <w:t xml:space="preserve">984 </w:t>
            </w:r>
            <w:r w:rsidR="0095096B" w:rsidRPr="002E2327">
              <w:rPr>
                <w:rFonts w:cs="Times New Roman"/>
                <w:sz w:val="20"/>
                <w:szCs w:val="20"/>
              </w:rPr>
              <w:t>-</w:t>
            </w:r>
            <w:r>
              <w:rPr>
                <w:rFonts w:cs="Times New Roman"/>
                <w:sz w:val="20"/>
                <w:szCs w:val="20"/>
              </w:rPr>
              <w:t xml:space="preserve"> 987</w:t>
            </w:r>
          </w:p>
          <w:p w:rsidR="0095096B" w:rsidRPr="002E2327" w:rsidRDefault="0095096B" w:rsidP="0095096B">
            <w:pPr>
              <w:jc w:val="center"/>
              <w:rPr>
                <w:rFonts w:cs="Times New Roman"/>
                <w:sz w:val="20"/>
                <w:szCs w:val="20"/>
              </w:rPr>
            </w:pPr>
          </w:p>
          <w:p w:rsidR="0095096B" w:rsidRDefault="00351AA2" w:rsidP="0095096B">
            <w:pPr>
              <w:jc w:val="center"/>
              <w:rPr>
                <w:rFonts w:cs="Times New Roman"/>
                <w:sz w:val="20"/>
                <w:szCs w:val="20"/>
              </w:rPr>
            </w:pPr>
            <w:r>
              <w:rPr>
                <w:rFonts w:cs="Times New Roman"/>
                <w:sz w:val="20"/>
                <w:szCs w:val="20"/>
              </w:rPr>
              <w:t>988</w:t>
            </w:r>
          </w:p>
          <w:p w:rsidR="0068566D" w:rsidRDefault="0068566D" w:rsidP="0095096B">
            <w:pPr>
              <w:jc w:val="center"/>
              <w:rPr>
                <w:rFonts w:cs="Times New Roman"/>
                <w:sz w:val="20"/>
                <w:szCs w:val="20"/>
              </w:rPr>
            </w:pPr>
          </w:p>
          <w:p w:rsidR="0068566D" w:rsidRPr="002E2327" w:rsidRDefault="0068566D" w:rsidP="0095096B">
            <w:pPr>
              <w:jc w:val="center"/>
              <w:rPr>
                <w:rFonts w:cs="Times New Roman"/>
                <w:sz w:val="20"/>
                <w:szCs w:val="20"/>
              </w:rPr>
            </w:pPr>
          </w:p>
          <w:p w:rsidR="0095096B" w:rsidRPr="002E2327" w:rsidRDefault="00351AA2" w:rsidP="0095096B">
            <w:pPr>
              <w:jc w:val="center"/>
              <w:rPr>
                <w:rFonts w:cs="Times New Roman"/>
                <w:sz w:val="20"/>
                <w:szCs w:val="20"/>
              </w:rPr>
            </w:pPr>
            <w:r>
              <w:rPr>
                <w:rFonts w:cs="Times New Roman"/>
                <w:sz w:val="20"/>
                <w:szCs w:val="20"/>
              </w:rPr>
              <w:t>989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51AA2" w:rsidP="0095096B">
            <w:pPr>
              <w:jc w:val="center"/>
              <w:rPr>
                <w:rFonts w:cs="Times New Roman"/>
                <w:sz w:val="20"/>
                <w:szCs w:val="20"/>
              </w:rPr>
            </w:pPr>
            <w:r>
              <w:rPr>
                <w:rFonts w:cs="Times New Roman"/>
                <w:sz w:val="20"/>
                <w:szCs w:val="20"/>
              </w:rPr>
              <w:t xml:space="preserve">990 </w:t>
            </w:r>
            <w:r w:rsidR="0095096B" w:rsidRPr="002E2327">
              <w:rPr>
                <w:rFonts w:cs="Times New Roman"/>
                <w:sz w:val="20"/>
                <w:szCs w:val="20"/>
              </w:rPr>
              <w:t>-</w:t>
            </w:r>
            <w:r w:rsidR="003621B8">
              <w:rPr>
                <w:rFonts w:cs="Times New Roman"/>
                <w:sz w:val="20"/>
                <w:szCs w:val="20"/>
              </w:rPr>
              <w:t xml:space="preserve"> 994</w:t>
            </w:r>
          </w:p>
          <w:p w:rsidR="00A87207" w:rsidRPr="002E2327" w:rsidRDefault="00A87207" w:rsidP="00951023">
            <w:pPr>
              <w:jc w:val="center"/>
              <w:rPr>
                <w:rFonts w:cs="Times New Roman"/>
                <w:sz w:val="20"/>
                <w:szCs w:val="20"/>
              </w:rPr>
            </w:pPr>
          </w:p>
        </w:tc>
        <w:tc>
          <w:tcPr>
            <w:tcW w:w="3888" w:type="dxa"/>
          </w:tcPr>
          <w:p w:rsidR="0095096B" w:rsidRPr="002E2327" w:rsidRDefault="00EE415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8566D">
            <w:pPr>
              <w:rPr>
                <w:rFonts w:cs="Times New Roman"/>
                <w:sz w:val="20"/>
                <w:szCs w:val="20"/>
                <w:lang w:val="fr-CA"/>
              </w:rPr>
            </w:pPr>
          </w:p>
        </w:tc>
      </w:tr>
    </w:tbl>
    <w:p w:rsidR="0095096B" w:rsidRDefault="0095096B" w:rsidP="0095096B">
      <w:pPr>
        <w:tabs>
          <w:tab w:val="right" w:pos="9360"/>
        </w:tabs>
        <w:rPr>
          <w:lang w:val="fr-CA"/>
        </w:rPr>
      </w:pPr>
    </w:p>
    <w:p w:rsidR="00951023" w:rsidRDefault="00951023" w:rsidP="0095096B">
      <w:pPr>
        <w:tabs>
          <w:tab w:val="right" w:pos="9360"/>
        </w:tabs>
        <w:rPr>
          <w:lang w:val="fr-CA"/>
        </w:rPr>
      </w:pPr>
    </w:p>
    <w:p w:rsidR="00951023" w:rsidRDefault="00951023" w:rsidP="0095096B">
      <w:pPr>
        <w:tabs>
          <w:tab w:val="right" w:pos="9360"/>
        </w:tabs>
        <w:rPr>
          <w:lang w:val="fr-CA"/>
        </w:rPr>
      </w:pPr>
    </w:p>
    <w:p w:rsidR="00951023" w:rsidRDefault="00951023" w:rsidP="0095096B">
      <w:pPr>
        <w:tabs>
          <w:tab w:val="right" w:pos="9360"/>
        </w:tabs>
        <w:rPr>
          <w:lang w:val="fr-CA"/>
        </w:rPr>
      </w:pPr>
    </w:p>
    <w:p w:rsidR="00951023" w:rsidRPr="00A67ADB" w:rsidRDefault="00951023"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5E19D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1243F9" w:rsidRDefault="008B2EA0" w:rsidP="005F1ED8">
            <w:pPr>
              <w:rPr>
                <w:b/>
                <w:sz w:val="20"/>
                <w:szCs w:val="20"/>
              </w:rPr>
            </w:pPr>
            <w:r w:rsidRPr="001243F9">
              <w:rPr>
                <w:b/>
                <w:sz w:val="20"/>
                <w:szCs w:val="20"/>
              </w:rPr>
              <w:t>Percy Cain</w:t>
            </w:r>
          </w:p>
          <w:p w:rsidR="00C21644" w:rsidRPr="00A935AA" w:rsidRDefault="00C21644" w:rsidP="005F1ED8">
            <w:pPr>
              <w:tabs>
                <w:tab w:val="left" w:pos="-1440"/>
                <w:tab w:val="left" w:pos="-720"/>
              </w:tabs>
              <w:rPr>
                <w:sz w:val="20"/>
                <w:szCs w:val="20"/>
              </w:rPr>
            </w:pPr>
            <w:r w:rsidRPr="001243F9">
              <w:rPr>
                <w:sz w:val="20"/>
                <w:szCs w:val="20"/>
              </w:rPr>
              <w:tab/>
            </w:r>
            <w:r w:rsidR="008B2EA0">
              <w:rPr>
                <w:sz w:val="20"/>
                <w:szCs w:val="20"/>
              </w:rPr>
              <w:t>Percy Cain</w:t>
            </w:r>
            <w:r>
              <w:rPr>
                <w:sz w:val="20"/>
                <w:szCs w:val="20"/>
              </w:rPr>
              <w:t xml:space="preserve"> </w:t>
            </w:r>
          </w:p>
          <w:p w:rsidR="00C21644" w:rsidRPr="008B2EA0" w:rsidRDefault="00C21644" w:rsidP="005F1ED8">
            <w:pPr>
              <w:tabs>
                <w:tab w:val="left" w:pos="-1440"/>
                <w:tab w:val="left" w:pos="-720"/>
              </w:tabs>
              <w:rPr>
                <w:sz w:val="20"/>
                <w:szCs w:val="20"/>
              </w:rPr>
            </w:pPr>
          </w:p>
          <w:p w:rsidR="00C21644" w:rsidRPr="008B2EA0" w:rsidRDefault="00C21644" w:rsidP="005F1ED8">
            <w:pPr>
              <w:tabs>
                <w:tab w:val="left" w:pos="-1440"/>
                <w:tab w:val="left" w:pos="-720"/>
              </w:tabs>
              <w:rPr>
                <w:sz w:val="20"/>
                <w:szCs w:val="20"/>
              </w:rPr>
            </w:pPr>
            <w:r w:rsidRPr="008B2EA0">
              <w:rPr>
                <w:sz w:val="20"/>
                <w:szCs w:val="20"/>
              </w:rPr>
              <w:tab/>
              <w:t>v. (35</w:t>
            </w:r>
            <w:r w:rsidR="008B2EA0">
              <w:rPr>
                <w:sz w:val="20"/>
                <w:szCs w:val="20"/>
              </w:rPr>
              <w:t>903</w:t>
            </w:r>
            <w:r w:rsidRPr="008B2EA0">
              <w:rPr>
                <w:sz w:val="20"/>
                <w:szCs w:val="20"/>
              </w:rPr>
              <w:t>)</w:t>
            </w:r>
          </w:p>
          <w:p w:rsidR="00C21644" w:rsidRPr="008B2EA0" w:rsidRDefault="00C21644" w:rsidP="005F1ED8">
            <w:pPr>
              <w:tabs>
                <w:tab w:val="left" w:pos="-1440"/>
                <w:tab w:val="left" w:pos="-720"/>
              </w:tabs>
              <w:rPr>
                <w:sz w:val="20"/>
                <w:szCs w:val="20"/>
              </w:rPr>
            </w:pPr>
          </w:p>
          <w:p w:rsidR="00C21644" w:rsidRPr="008B2EA0" w:rsidRDefault="008B2EA0" w:rsidP="005F1ED8">
            <w:pPr>
              <w:tabs>
                <w:tab w:val="left" w:pos="-1440"/>
                <w:tab w:val="left" w:pos="-720"/>
              </w:tabs>
              <w:rPr>
                <w:b/>
                <w:sz w:val="20"/>
                <w:szCs w:val="20"/>
              </w:rPr>
            </w:pPr>
            <w:r w:rsidRPr="008B2EA0">
              <w:rPr>
                <w:b/>
                <w:sz w:val="20"/>
                <w:szCs w:val="20"/>
              </w:rPr>
              <w:t>Her Majesty the Q</w:t>
            </w:r>
            <w:r>
              <w:rPr>
                <w:b/>
                <w:sz w:val="20"/>
                <w:szCs w:val="20"/>
              </w:rPr>
              <w:t>u</w:t>
            </w:r>
            <w:r w:rsidRPr="008B2EA0">
              <w:rPr>
                <w:b/>
                <w:sz w:val="20"/>
                <w:szCs w:val="20"/>
              </w:rPr>
              <w:t>een</w:t>
            </w:r>
            <w:r w:rsidR="00C21644" w:rsidRPr="008B2EA0">
              <w:rPr>
                <w:sz w:val="20"/>
                <w:szCs w:val="20"/>
              </w:rPr>
              <w:t xml:space="preserve"> </w:t>
            </w:r>
            <w:r w:rsidR="00C21644" w:rsidRPr="008B2EA0">
              <w:rPr>
                <w:b/>
                <w:sz w:val="20"/>
                <w:szCs w:val="20"/>
              </w:rPr>
              <w:t>(</w:t>
            </w:r>
            <w:r>
              <w:rPr>
                <w:b/>
                <w:sz w:val="20"/>
                <w:szCs w:val="20"/>
              </w:rPr>
              <w:t>N.S.</w:t>
            </w:r>
            <w:r w:rsidR="00C21644" w:rsidRPr="008B2EA0">
              <w:rPr>
                <w:b/>
                <w:sz w:val="20"/>
                <w:szCs w:val="20"/>
              </w:rPr>
              <w:t>)</w:t>
            </w:r>
          </w:p>
          <w:p w:rsidR="00C21644" w:rsidRPr="00A935AA" w:rsidRDefault="00C21644" w:rsidP="005F1ED8">
            <w:pPr>
              <w:tabs>
                <w:tab w:val="left" w:pos="-1440"/>
                <w:tab w:val="left" w:pos="-720"/>
              </w:tabs>
              <w:rPr>
                <w:sz w:val="20"/>
                <w:szCs w:val="20"/>
              </w:rPr>
            </w:pPr>
            <w:r w:rsidRPr="008B2EA0">
              <w:rPr>
                <w:sz w:val="20"/>
                <w:szCs w:val="20"/>
              </w:rPr>
              <w:tab/>
            </w:r>
            <w:r w:rsidR="008B2EA0">
              <w:rPr>
                <w:sz w:val="20"/>
                <w:szCs w:val="20"/>
              </w:rPr>
              <w:t xml:space="preserve">Mark </w:t>
            </w:r>
            <w:r>
              <w:rPr>
                <w:sz w:val="20"/>
                <w:szCs w:val="20"/>
              </w:rPr>
              <w:t>A</w:t>
            </w:r>
            <w:r w:rsidR="008B2EA0">
              <w:rPr>
                <w:sz w:val="20"/>
                <w:szCs w:val="20"/>
              </w:rPr>
              <w:t>. Scott</w:t>
            </w:r>
          </w:p>
          <w:p w:rsidR="00C21644" w:rsidRPr="00A935AA" w:rsidRDefault="00C21644" w:rsidP="005F1ED8">
            <w:pPr>
              <w:tabs>
                <w:tab w:val="left" w:pos="-1440"/>
                <w:tab w:val="left" w:pos="-720"/>
              </w:tabs>
              <w:rPr>
                <w:sz w:val="20"/>
                <w:szCs w:val="20"/>
              </w:rPr>
            </w:pPr>
            <w:r w:rsidRPr="00A935AA">
              <w:rPr>
                <w:sz w:val="20"/>
                <w:szCs w:val="20"/>
              </w:rPr>
              <w:tab/>
            </w:r>
            <w:r w:rsidR="008B2EA0">
              <w:rPr>
                <w:sz w:val="20"/>
                <w:szCs w:val="20"/>
              </w:rPr>
              <w:t>Public Pr</w:t>
            </w:r>
            <w:r>
              <w:rPr>
                <w:sz w:val="20"/>
                <w:szCs w:val="20"/>
              </w:rPr>
              <w:t>os</w:t>
            </w:r>
            <w:r w:rsidR="008B2EA0">
              <w:rPr>
                <w:sz w:val="20"/>
                <w:szCs w:val="20"/>
              </w:rPr>
              <w:t xml:space="preserve">ecution Service of Nova </w:t>
            </w:r>
            <w:r w:rsidR="008B2EA0">
              <w:rPr>
                <w:sz w:val="20"/>
                <w:szCs w:val="20"/>
              </w:rPr>
              <w:tab/>
              <w:t>Scotia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Pr>
                <w:sz w:val="20"/>
                <w:szCs w:val="20"/>
              </w:rPr>
              <w:t>0</w:t>
            </w:r>
            <w:r w:rsidR="008B2EA0">
              <w:rPr>
                <w:sz w:val="20"/>
                <w:szCs w:val="20"/>
              </w:rPr>
              <w:t>1</w:t>
            </w:r>
            <w:r w:rsidRPr="00A935AA">
              <w:rPr>
                <w:sz w:val="20"/>
                <w:szCs w:val="20"/>
              </w:rPr>
              <w:t>.</w:t>
            </w:r>
            <w:r w:rsidR="008B2EA0">
              <w:rPr>
                <w:sz w:val="20"/>
                <w:szCs w:val="20"/>
              </w:rPr>
              <w:t>05</w:t>
            </w:r>
            <w:r w:rsidRPr="00A935AA">
              <w:rPr>
                <w:sz w:val="20"/>
                <w:szCs w:val="20"/>
              </w:rPr>
              <w:t>.201</w:t>
            </w:r>
            <w:r w:rsidR="008B2EA0">
              <w:rPr>
                <w:sz w:val="20"/>
                <w:szCs w:val="20"/>
              </w:rPr>
              <w:t>4</w:t>
            </w:r>
          </w:p>
          <w:p w:rsidR="00C21644" w:rsidRPr="00A935AA" w:rsidRDefault="005E19D3"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B2EA0" w:rsidRDefault="008B2EA0" w:rsidP="005F1ED8">
            <w:pPr>
              <w:keepNext/>
              <w:keepLines/>
              <w:tabs>
                <w:tab w:val="left" w:pos="-1440"/>
                <w:tab w:val="left" w:pos="-720"/>
              </w:tabs>
              <w:rPr>
                <w:b/>
                <w:sz w:val="20"/>
                <w:szCs w:val="20"/>
              </w:rPr>
            </w:pPr>
            <w:r w:rsidRPr="008B2EA0">
              <w:rPr>
                <w:b/>
                <w:sz w:val="20"/>
                <w:szCs w:val="20"/>
              </w:rPr>
              <w:t>Aaron William Lacey (aka AWF)</w:t>
            </w:r>
          </w:p>
          <w:p w:rsidR="00C21644" w:rsidRPr="001243F9" w:rsidRDefault="00C21644" w:rsidP="005F1ED8">
            <w:pPr>
              <w:keepNext/>
              <w:keepLines/>
              <w:tabs>
                <w:tab w:val="left" w:pos="-1440"/>
                <w:tab w:val="left" w:pos="-720"/>
              </w:tabs>
              <w:rPr>
                <w:sz w:val="20"/>
                <w:szCs w:val="20"/>
              </w:rPr>
            </w:pPr>
            <w:r w:rsidRPr="008B2EA0">
              <w:rPr>
                <w:sz w:val="20"/>
                <w:szCs w:val="20"/>
              </w:rPr>
              <w:tab/>
            </w:r>
            <w:r w:rsidR="008B2EA0" w:rsidRPr="001243F9">
              <w:rPr>
                <w:sz w:val="20"/>
                <w:szCs w:val="20"/>
              </w:rPr>
              <w:t>Aa</w:t>
            </w:r>
            <w:r w:rsidRPr="001243F9">
              <w:rPr>
                <w:sz w:val="20"/>
                <w:szCs w:val="20"/>
              </w:rPr>
              <w:t>r</w:t>
            </w:r>
            <w:r w:rsidR="008B2EA0" w:rsidRPr="001243F9">
              <w:rPr>
                <w:sz w:val="20"/>
                <w:szCs w:val="20"/>
              </w:rPr>
              <w:t>on Willi</w:t>
            </w:r>
            <w:r w:rsidRPr="001243F9">
              <w:rPr>
                <w:sz w:val="20"/>
                <w:szCs w:val="20"/>
              </w:rPr>
              <w:t>a</w:t>
            </w:r>
            <w:r w:rsidR="008B2EA0" w:rsidRPr="001243F9">
              <w:rPr>
                <w:sz w:val="20"/>
                <w:szCs w:val="20"/>
              </w:rPr>
              <w:t>m Lacey</w:t>
            </w:r>
          </w:p>
          <w:p w:rsidR="00C21644" w:rsidRPr="001243F9" w:rsidRDefault="00C21644" w:rsidP="005F1ED8">
            <w:pPr>
              <w:keepNext/>
              <w:keepLines/>
              <w:tabs>
                <w:tab w:val="left" w:pos="-1440"/>
                <w:tab w:val="left" w:pos="-720"/>
              </w:tabs>
              <w:rPr>
                <w:sz w:val="20"/>
                <w:szCs w:val="20"/>
              </w:rPr>
            </w:pPr>
          </w:p>
          <w:p w:rsidR="00C21644" w:rsidRPr="008B2EA0" w:rsidRDefault="00C21644" w:rsidP="005F1ED8">
            <w:pPr>
              <w:keepNext/>
              <w:keepLines/>
              <w:tabs>
                <w:tab w:val="left" w:pos="-1440"/>
                <w:tab w:val="left" w:pos="-720"/>
              </w:tabs>
              <w:rPr>
                <w:sz w:val="20"/>
                <w:szCs w:val="20"/>
              </w:rPr>
            </w:pPr>
            <w:r w:rsidRPr="001243F9">
              <w:rPr>
                <w:sz w:val="20"/>
                <w:szCs w:val="20"/>
              </w:rPr>
              <w:tab/>
            </w:r>
            <w:r w:rsidR="008B2EA0" w:rsidRPr="008B2EA0">
              <w:rPr>
                <w:sz w:val="20"/>
                <w:szCs w:val="20"/>
              </w:rPr>
              <w:t>v</w:t>
            </w:r>
            <w:r w:rsidRPr="008B2EA0">
              <w:rPr>
                <w:sz w:val="20"/>
                <w:szCs w:val="20"/>
              </w:rPr>
              <w:t>. (35</w:t>
            </w:r>
            <w:r w:rsidR="008B2EA0" w:rsidRPr="008B2EA0">
              <w:rPr>
                <w:sz w:val="20"/>
                <w:szCs w:val="20"/>
              </w:rPr>
              <w:t>8</w:t>
            </w:r>
            <w:r w:rsidRPr="008B2EA0">
              <w:rPr>
                <w:sz w:val="20"/>
                <w:szCs w:val="20"/>
              </w:rPr>
              <w:t>65)</w:t>
            </w:r>
          </w:p>
          <w:p w:rsidR="00C21644" w:rsidRPr="008B2EA0" w:rsidRDefault="00C21644" w:rsidP="005F1ED8">
            <w:pPr>
              <w:keepNext/>
              <w:keepLines/>
              <w:tabs>
                <w:tab w:val="left" w:pos="-1440"/>
                <w:tab w:val="left" w:pos="-720"/>
              </w:tabs>
              <w:rPr>
                <w:sz w:val="20"/>
                <w:szCs w:val="20"/>
              </w:rPr>
            </w:pPr>
          </w:p>
          <w:p w:rsidR="00C21644" w:rsidRPr="008B2EA0" w:rsidRDefault="008B2EA0" w:rsidP="005F1ED8">
            <w:pPr>
              <w:keepNext/>
              <w:keepLines/>
              <w:tabs>
                <w:tab w:val="left" w:pos="-1440"/>
                <w:tab w:val="left" w:pos="-720"/>
              </w:tabs>
              <w:rPr>
                <w:b/>
                <w:sz w:val="20"/>
                <w:szCs w:val="20"/>
              </w:rPr>
            </w:pPr>
            <w:r w:rsidRPr="008B2EA0">
              <w:rPr>
                <w:b/>
                <w:sz w:val="20"/>
                <w:szCs w:val="20"/>
              </w:rPr>
              <w:t>Her Majesty the Queen in Right of Canada as represented by The Minister of National Defence</w:t>
            </w:r>
            <w:r w:rsidR="00C21644" w:rsidRPr="008B2EA0">
              <w:rPr>
                <w:b/>
                <w:sz w:val="20"/>
                <w:szCs w:val="20"/>
              </w:rPr>
              <w:t xml:space="preserve"> (</w:t>
            </w:r>
            <w:r w:rsidRPr="008B2EA0">
              <w:rPr>
                <w:b/>
                <w:sz w:val="20"/>
                <w:szCs w:val="20"/>
              </w:rPr>
              <w:t>Ont.</w:t>
            </w:r>
            <w:r w:rsidR="00C21644" w:rsidRPr="008B2EA0">
              <w:rPr>
                <w:b/>
                <w:sz w:val="20"/>
                <w:szCs w:val="20"/>
              </w:rPr>
              <w:t>)</w:t>
            </w:r>
          </w:p>
          <w:p w:rsidR="00C21644" w:rsidRPr="008B2EA0" w:rsidRDefault="00C21644" w:rsidP="005F1ED8">
            <w:pPr>
              <w:keepNext/>
              <w:keepLines/>
              <w:tabs>
                <w:tab w:val="left" w:pos="-1440"/>
                <w:tab w:val="left" w:pos="-720"/>
              </w:tabs>
              <w:rPr>
                <w:sz w:val="20"/>
                <w:szCs w:val="20"/>
              </w:rPr>
            </w:pPr>
            <w:r w:rsidRPr="008B2EA0">
              <w:rPr>
                <w:sz w:val="20"/>
                <w:szCs w:val="20"/>
              </w:rPr>
              <w:tab/>
            </w:r>
            <w:r w:rsidR="008B2EA0" w:rsidRPr="008B2EA0">
              <w:rPr>
                <w:sz w:val="20"/>
                <w:szCs w:val="20"/>
              </w:rPr>
              <w:t>Joel Levine</w:t>
            </w:r>
          </w:p>
          <w:p w:rsidR="00C21644" w:rsidRPr="008B2EA0" w:rsidRDefault="00C21644" w:rsidP="005F1ED8">
            <w:pPr>
              <w:keepNext/>
              <w:keepLines/>
              <w:tabs>
                <w:tab w:val="left" w:pos="-1440"/>
                <w:tab w:val="left" w:pos="-720"/>
              </w:tabs>
              <w:rPr>
                <w:sz w:val="20"/>
                <w:szCs w:val="20"/>
              </w:rPr>
            </w:pPr>
            <w:r w:rsidRPr="008B2EA0">
              <w:rPr>
                <w:sz w:val="20"/>
                <w:szCs w:val="20"/>
              </w:rPr>
              <w:tab/>
            </w:r>
            <w:r w:rsidR="008B2EA0" w:rsidRPr="008B2EA0">
              <w:rPr>
                <w:sz w:val="20"/>
                <w:szCs w:val="20"/>
              </w:rPr>
              <w:t>A.G. of Canada</w:t>
            </w:r>
          </w:p>
          <w:p w:rsidR="00C21644" w:rsidRPr="008B2EA0" w:rsidRDefault="00C21644" w:rsidP="005F1ED8">
            <w:pPr>
              <w:keepNext/>
              <w:keepLines/>
              <w:tabs>
                <w:tab w:val="left" w:pos="-1440"/>
                <w:tab w:val="left" w:pos="-720"/>
              </w:tabs>
              <w:rPr>
                <w:sz w:val="20"/>
                <w:szCs w:val="20"/>
              </w:rPr>
            </w:pPr>
          </w:p>
          <w:p w:rsidR="00C21644" w:rsidRPr="00806A5B" w:rsidRDefault="008B2EA0" w:rsidP="008B2EA0">
            <w:pPr>
              <w:rPr>
                <w:sz w:val="20"/>
                <w:szCs w:val="20"/>
                <w:lang w:val="fr-CA"/>
              </w:rPr>
            </w:pPr>
            <w:r w:rsidRPr="00A935AA">
              <w:rPr>
                <w:sz w:val="20"/>
                <w:szCs w:val="20"/>
              </w:rPr>
              <w:t xml:space="preserve">FILING DATE: </w:t>
            </w:r>
            <w:r w:rsidR="00C21644">
              <w:rPr>
                <w:sz w:val="20"/>
                <w:szCs w:val="20"/>
                <w:lang w:val="fr-CA"/>
              </w:rPr>
              <w:t>0</w:t>
            </w:r>
            <w:r>
              <w:rPr>
                <w:sz w:val="20"/>
                <w:szCs w:val="20"/>
                <w:lang w:val="fr-CA"/>
              </w:rPr>
              <w:t>2</w:t>
            </w:r>
            <w:r w:rsidR="00C21644" w:rsidRPr="00806A5B">
              <w:rPr>
                <w:sz w:val="20"/>
                <w:szCs w:val="20"/>
                <w:lang w:val="fr-CA"/>
              </w:rPr>
              <w:t>.0</w:t>
            </w:r>
            <w:r>
              <w:rPr>
                <w:sz w:val="20"/>
                <w:szCs w:val="20"/>
                <w:lang w:val="fr-CA"/>
              </w:rPr>
              <w:t>5</w:t>
            </w:r>
            <w:r w:rsidR="00C21644" w:rsidRPr="00806A5B">
              <w:rPr>
                <w:sz w:val="20"/>
                <w:szCs w:val="20"/>
                <w:lang w:val="fr-CA"/>
              </w:rPr>
              <w:t>.2014</w:t>
            </w:r>
            <w:r w:rsidR="005E19D3">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8B2EA0" w:rsidRDefault="008B2EA0" w:rsidP="003B3977">
            <w:pPr>
              <w:rPr>
                <w:b/>
                <w:sz w:val="20"/>
                <w:szCs w:val="20"/>
              </w:rPr>
            </w:pPr>
            <w:r>
              <w:rPr>
                <w:b/>
                <w:sz w:val="20"/>
                <w:szCs w:val="20"/>
              </w:rPr>
              <w:t>Elio, A Flesh and Blood Human Being, of the Family Dalle Rive, Authorized Representative of “Elio Dalle Rive”</w:t>
            </w:r>
          </w:p>
          <w:p w:rsidR="00C21644" w:rsidRPr="008B2EA0"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8B2EA0">
              <w:rPr>
                <w:sz w:val="20"/>
                <w:szCs w:val="20"/>
              </w:rPr>
              <w:tab/>
            </w:r>
            <w:r w:rsidRPr="00A935AA">
              <w:rPr>
                <w:sz w:val="20"/>
                <w:szCs w:val="20"/>
              </w:rPr>
              <w:t>v. (3</w:t>
            </w:r>
            <w:r>
              <w:rPr>
                <w:sz w:val="20"/>
                <w:szCs w:val="20"/>
              </w:rPr>
              <w:t>5</w:t>
            </w:r>
            <w:r w:rsidR="008B2EA0">
              <w:rPr>
                <w:sz w:val="20"/>
                <w:szCs w:val="20"/>
              </w:rPr>
              <w:t>874</w:t>
            </w:r>
            <w:r w:rsidRPr="00A935AA">
              <w:rPr>
                <w:sz w:val="20"/>
                <w:szCs w:val="20"/>
              </w:rPr>
              <w:t>)</w:t>
            </w:r>
          </w:p>
          <w:p w:rsidR="00C21644" w:rsidRPr="00A935AA" w:rsidRDefault="00C21644" w:rsidP="003B3977">
            <w:pPr>
              <w:tabs>
                <w:tab w:val="left" w:pos="-1440"/>
                <w:tab w:val="left" w:pos="-720"/>
              </w:tabs>
              <w:rPr>
                <w:sz w:val="20"/>
                <w:szCs w:val="20"/>
              </w:rPr>
            </w:pPr>
          </w:p>
          <w:p w:rsidR="008B2EA0" w:rsidRPr="008B2EA0" w:rsidRDefault="008B2EA0" w:rsidP="008B2EA0">
            <w:pPr>
              <w:tabs>
                <w:tab w:val="left" w:pos="-1440"/>
                <w:tab w:val="left" w:pos="-720"/>
              </w:tabs>
              <w:rPr>
                <w:b/>
                <w:sz w:val="20"/>
                <w:szCs w:val="20"/>
              </w:rPr>
            </w:pPr>
            <w:r w:rsidRPr="008B2EA0">
              <w:rPr>
                <w:b/>
                <w:sz w:val="20"/>
                <w:szCs w:val="20"/>
              </w:rPr>
              <w:t>Her Majesty the Q</w:t>
            </w:r>
            <w:r>
              <w:rPr>
                <w:b/>
                <w:sz w:val="20"/>
                <w:szCs w:val="20"/>
              </w:rPr>
              <w:t>u</w:t>
            </w:r>
            <w:r w:rsidRPr="008B2EA0">
              <w:rPr>
                <w:b/>
                <w:sz w:val="20"/>
                <w:szCs w:val="20"/>
              </w:rPr>
              <w:t>een</w:t>
            </w:r>
            <w:r>
              <w:rPr>
                <w:b/>
                <w:sz w:val="20"/>
                <w:szCs w:val="20"/>
              </w:rPr>
              <w:t xml:space="preserve"> et al.</w:t>
            </w:r>
            <w:r w:rsidRPr="008B2EA0">
              <w:rPr>
                <w:sz w:val="20"/>
                <w:szCs w:val="20"/>
              </w:rPr>
              <w:t xml:space="preserve"> </w:t>
            </w:r>
            <w:r w:rsidRPr="008B2EA0">
              <w:rPr>
                <w:b/>
                <w:sz w:val="20"/>
                <w:szCs w:val="20"/>
              </w:rPr>
              <w:t>(</w:t>
            </w:r>
            <w:r>
              <w:rPr>
                <w:b/>
                <w:sz w:val="20"/>
                <w:szCs w:val="20"/>
              </w:rPr>
              <w:t>F.C.</w:t>
            </w:r>
            <w:r w:rsidRPr="008B2EA0">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8B2EA0">
              <w:rPr>
                <w:sz w:val="20"/>
                <w:szCs w:val="20"/>
              </w:rPr>
              <w:t>Annette Evans</w:t>
            </w:r>
          </w:p>
          <w:p w:rsidR="00C21644" w:rsidRPr="00A935AA" w:rsidRDefault="00C21644" w:rsidP="003B3977">
            <w:pPr>
              <w:tabs>
                <w:tab w:val="left" w:pos="-1440"/>
                <w:tab w:val="left" w:pos="-720"/>
              </w:tabs>
              <w:rPr>
                <w:sz w:val="20"/>
                <w:szCs w:val="20"/>
              </w:rPr>
            </w:pPr>
            <w:r w:rsidRPr="00A935AA">
              <w:rPr>
                <w:sz w:val="20"/>
                <w:szCs w:val="20"/>
              </w:rPr>
              <w:tab/>
            </w:r>
            <w:r w:rsidR="008B2EA0">
              <w:rPr>
                <w:sz w:val="20"/>
                <w:szCs w:val="20"/>
              </w:rPr>
              <w:t>A.G. of Canada</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8B2EA0">
              <w:rPr>
                <w:sz w:val="20"/>
                <w:szCs w:val="20"/>
              </w:rPr>
              <w:t>0</w:t>
            </w:r>
            <w:r w:rsidRPr="00A935AA">
              <w:rPr>
                <w:sz w:val="20"/>
                <w:szCs w:val="20"/>
              </w:rPr>
              <w:t>2.0</w:t>
            </w:r>
            <w:r w:rsidR="008B2EA0">
              <w:rPr>
                <w:sz w:val="20"/>
                <w:szCs w:val="20"/>
              </w:rPr>
              <w:t>5</w:t>
            </w:r>
            <w:r w:rsidRPr="00A935AA">
              <w:rPr>
                <w:sz w:val="20"/>
                <w:szCs w:val="20"/>
              </w:rPr>
              <w:t>.201</w:t>
            </w:r>
            <w:r>
              <w:rPr>
                <w:sz w:val="20"/>
                <w:szCs w:val="20"/>
              </w:rPr>
              <w:t>4</w:t>
            </w:r>
          </w:p>
          <w:p w:rsidR="00C21644" w:rsidRPr="00A935AA" w:rsidRDefault="005E19D3"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3B3977">
            <w:pPr>
              <w:keepNext/>
              <w:keepLines/>
              <w:tabs>
                <w:tab w:val="left" w:pos="-1440"/>
                <w:tab w:val="left" w:pos="-720"/>
              </w:tabs>
              <w:rPr>
                <w:b/>
                <w:sz w:val="20"/>
                <w:szCs w:val="20"/>
              </w:rPr>
            </w:pPr>
          </w:p>
          <w:p w:rsidR="008B2EA0" w:rsidRPr="008B2EA0" w:rsidRDefault="008B2EA0" w:rsidP="003B3977">
            <w:pPr>
              <w:keepNext/>
              <w:keepLines/>
              <w:tabs>
                <w:tab w:val="left" w:pos="-1440"/>
                <w:tab w:val="left" w:pos="-720"/>
              </w:tabs>
              <w:rPr>
                <w:b/>
                <w:sz w:val="20"/>
                <w:szCs w:val="20"/>
              </w:rPr>
            </w:pPr>
            <w:r>
              <w:rPr>
                <w:b/>
                <w:sz w:val="20"/>
                <w:szCs w:val="20"/>
              </w:rPr>
              <w:t>Greg Dowling Architect Inc. et al.</w:t>
            </w:r>
          </w:p>
          <w:p w:rsidR="00C21644" w:rsidRPr="008B2EA0" w:rsidRDefault="00C21644" w:rsidP="003B3977">
            <w:pPr>
              <w:keepNext/>
              <w:keepLines/>
              <w:tabs>
                <w:tab w:val="left" w:pos="-1440"/>
                <w:tab w:val="left" w:pos="-720"/>
              </w:tabs>
              <w:rPr>
                <w:sz w:val="20"/>
                <w:szCs w:val="20"/>
              </w:rPr>
            </w:pPr>
            <w:r w:rsidRPr="008B2EA0">
              <w:rPr>
                <w:sz w:val="20"/>
                <w:szCs w:val="20"/>
              </w:rPr>
              <w:tab/>
            </w:r>
            <w:r w:rsidR="008B2EA0">
              <w:rPr>
                <w:sz w:val="20"/>
                <w:szCs w:val="20"/>
              </w:rPr>
              <w:t>D. Geoffrey G. Cowper, Q.C.</w:t>
            </w:r>
          </w:p>
          <w:p w:rsidR="00C21644" w:rsidRPr="00A935AA" w:rsidRDefault="00C21644" w:rsidP="003B3977">
            <w:pPr>
              <w:keepNext/>
              <w:keepLines/>
              <w:tabs>
                <w:tab w:val="left" w:pos="-1440"/>
                <w:tab w:val="left" w:pos="-720"/>
              </w:tabs>
              <w:rPr>
                <w:sz w:val="20"/>
                <w:szCs w:val="20"/>
              </w:rPr>
            </w:pPr>
            <w:r w:rsidRPr="008B2EA0">
              <w:rPr>
                <w:sz w:val="20"/>
                <w:szCs w:val="20"/>
              </w:rPr>
              <w:tab/>
            </w:r>
            <w:r w:rsidR="008B2EA0">
              <w:rPr>
                <w:sz w:val="20"/>
                <w:szCs w:val="20"/>
              </w:rPr>
              <w:t>Fasken Martineau DuMoulin LLP</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8B2EA0">
              <w:rPr>
                <w:sz w:val="20"/>
                <w:szCs w:val="20"/>
              </w:rPr>
              <w:t>868</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8B2EA0" w:rsidP="003B3977">
            <w:pPr>
              <w:keepNext/>
              <w:keepLines/>
              <w:tabs>
                <w:tab w:val="left" w:pos="-1440"/>
                <w:tab w:val="left" w:pos="-720"/>
              </w:tabs>
              <w:rPr>
                <w:b/>
                <w:sz w:val="20"/>
                <w:szCs w:val="20"/>
              </w:rPr>
            </w:pPr>
            <w:r>
              <w:rPr>
                <w:b/>
                <w:sz w:val="20"/>
                <w:szCs w:val="20"/>
              </w:rPr>
              <w:t xml:space="preserve">Raymond Griffin Architect Inc. et al.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8B2EA0">
              <w:rPr>
                <w:sz w:val="20"/>
                <w:szCs w:val="20"/>
              </w:rPr>
              <w:t>Christopher McHardy</w:t>
            </w:r>
          </w:p>
          <w:p w:rsidR="00C21644" w:rsidRPr="00A935AA" w:rsidRDefault="00C21644" w:rsidP="003B3977">
            <w:pPr>
              <w:keepNext/>
              <w:keepLines/>
              <w:tabs>
                <w:tab w:val="left" w:pos="-1440"/>
                <w:tab w:val="left" w:pos="-720"/>
              </w:tabs>
              <w:rPr>
                <w:sz w:val="20"/>
                <w:szCs w:val="20"/>
              </w:rPr>
            </w:pPr>
            <w:r w:rsidRPr="00A935AA">
              <w:rPr>
                <w:sz w:val="20"/>
                <w:szCs w:val="20"/>
              </w:rPr>
              <w:tab/>
            </w:r>
            <w:r w:rsidR="008B2EA0">
              <w:rPr>
                <w:sz w:val="20"/>
                <w:szCs w:val="20"/>
              </w:rPr>
              <w:t>McCarthy Tétrault LLP</w:t>
            </w:r>
          </w:p>
          <w:p w:rsidR="00C21644" w:rsidRPr="00A935AA" w:rsidRDefault="00C21644" w:rsidP="003B3977">
            <w:pPr>
              <w:keepNext/>
              <w:keepLines/>
              <w:tabs>
                <w:tab w:val="left" w:pos="-1440"/>
                <w:tab w:val="left" w:pos="-720"/>
              </w:tabs>
              <w:rPr>
                <w:sz w:val="20"/>
                <w:szCs w:val="20"/>
              </w:rPr>
            </w:pPr>
          </w:p>
          <w:p w:rsidR="00C21644" w:rsidRPr="00A935AA" w:rsidRDefault="00C21644" w:rsidP="008B2EA0">
            <w:pPr>
              <w:rPr>
                <w:sz w:val="20"/>
                <w:szCs w:val="20"/>
              </w:rPr>
            </w:pPr>
            <w:r w:rsidRPr="00A935AA">
              <w:rPr>
                <w:sz w:val="20"/>
                <w:szCs w:val="20"/>
              </w:rPr>
              <w:t xml:space="preserve">FILING DATE: </w:t>
            </w:r>
            <w:r w:rsidR="008B2EA0">
              <w:rPr>
                <w:sz w:val="20"/>
                <w:szCs w:val="20"/>
              </w:rPr>
              <w:t>05</w:t>
            </w:r>
            <w:r w:rsidRPr="00A935AA">
              <w:rPr>
                <w:sz w:val="20"/>
                <w:szCs w:val="20"/>
              </w:rPr>
              <w:t>.0</w:t>
            </w:r>
            <w:r w:rsidR="008B2EA0">
              <w:rPr>
                <w:sz w:val="20"/>
                <w:szCs w:val="20"/>
              </w:rPr>
              <w:t>5</w:t>
            </w:r>
            <w:r w:rsidRPr="00A935AA">
              <w:rPr>
                <w:sz w:val="20"/>
                <w:szCs w:val="20"/>
              </w:rPr>
              <w:t>.201</w:t>
            </w:r>
            <w:r>
              <w:rPr>
                <w:sz w:val="20"/>
                <w:szCs w:val="20"/>
              </w:rPr>
              <w:t>4</w:t>
            </w:r>
            <w:r w:rsidR="005E19D3">
              <w:rPr>
                <w:sz w:val="20"/>
                <w:szCs w:val="20"/>
                <w:lang w:val="fr-CA"/>
              </w:rPr>
              <w:pict>
                <v:rect id="_x0000_i1028"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B4180A" w:rsidRDefault="00B4180A" w:rsidP="005F1ED8">
            <w:pPr>
              <w:rPr>
                <w:b/>
                <w:sz w:val="20"/>
                <w:szCs w:val="20"/>
                <w:lang w:val="fr-CA"/>
              </w:rPr>
            </w:pPr>
            <w:r w:rsidRPr="00B4180A">
              <w:rPr>
                <w:b/>
                <w:sz w:val="20"/>
                <w:szCs w:val="20"/>
                <w:lang w:val="fr-CA"/>
              </w:rPr>
              <w:t>Denis Bordeleau</w:t>
            </w:r>
          </w:p>
          <w:p w:rsidR="00B4180A" w:rsidRPr="00806A5B" w:rsidRDefault="00C21644" w:rsidP="00B4180A">
            <w:pPr>
              <w:keepNext/>
              <w:keepLines/>
              <w:tabs>
                <w:tab w:val="left" w:pos="-1440"/>
                <w:tab w:val="left" w:pos="-720"/>
              </w:tabs>
              <w:rPr>
                <w:sz w:val="20"/>
                <w:szCs w:val="20"/>
                <w:lang w:val="fr-CA"/>
              </w:rPr>
            </w:pPr>
            <w:r w:rsidRPr="00B4180A">
              <w:rPr>
                <w:sz w:val="20"/>
                <w:szCs w:val="20"/>
                <w:lang w:val="fr-CA"/>
              </w:rPr>
              <w:tab/>
            </w:r>
            <w:r w:rsidR="00B4180A">
              <w:rPr>
                <w:sz w:val="20"/>
                <w:szCs w:val="20"/>
                <w:lang w:val="fr-CA"/>
              </w:rPr>
              <w:t>Marc Delisle</w:t>
            </w:r>
          </w:p>
          <w:p w:rsidR="00B4180A" w:rsidRPr="00806A5B" w:rsidRDefault="00B4180A" w:rsidP="00B4180A">
            <w:pPr>
              <w:keepNext/>
              <w:keepLines/>
              <w:tabs>
                <w:tab w:val="left" w:pos="-1440"/>
                <w:tab w:val="left" w:pos="-720"/>
              </w:tabs>
              <w:rPr>
                <w:sz w:val="20"/>
                <w:szCs w:val="20"/>
                <w:lang w:val="fr-CA"/>
              </w:rPr>
            </w:pPr>
          </w:p>
          <w:p w:rsidR="00B4180A" w:rsidRPr="00806A5B" w:rsidRDefault="00B4180A" w:rsidP="00B4180A">
            <w:pPr>
              <w:keepNext/>
              <w:keepLines/>
              <w:tabs>
                <w:tab w:val="left" w:pos="-1440"/>
                <w:tab w:val="left" w:pos="-720"/>
              </w:tabs>
              <w:rPr>
                <w:sz w:val="20"/>
                <w:szCs w:val="20"/>
                <w:lang w:val="fr-CA"/>
              </w:rPr>
            </w:pPr>
            <w:r w:rsidRPr="00806A5B">
              <w:rPr>
                <w:sz w:val="20"/>
                <w:szCs w:val="20"/>
                <w:lang w:val="fr-CA"/>
              </w:rPr>
              <w:tab/>
              <w:t>c. (35</w:t>
            </w:r>
            <w:r>
              <w:rPr>
                <w:sz w:val="20"/>
                <w:szCs w:val="20"/>
                <w:lang w:val="fr-CA"/>
              </w:rPr>
              <w:t>8</w:t>
            </w:r>
            <w:r w:rsidRPr="00806A5B">
              <w:rPr>
                <w:sz w:val="20"/>
                <w:szCs w:val="20"/>
                <w:lang w:val="fr-CA"/>
              </w:rPr>
              <w:t>7</w:t>
            </w:r>
            <w:r>
              <w:rPr>
                <w:sz w:val="20"/>
                <w:szCs w:val="20"/>
                <w:lang w:val="fr-CA"/>
              </w:rPr>
              <w:t>1</w:t>
            </w:r>
            <w:r w:rsidRPr="00806A5B">
              <w:rPr>
                <w:sz w:val="20"/>
                <w:szCs w:val="20"/>
                <w:lang w:val="fr-CA"/>
              </w:rPr>
              <w:t>)</w:t>
            </w:r>
          </w:p>
          <w:p w:rsidR="00B4180A" w:rsidRPr="00806A5B" w:rsidRDefault="00B4180A" w:rsidP="00B4180A">
            <w:pPr>
              <w:keepNext/>
              <w:keepLines/>
              <w:tabs>
                <w:tab w:val="left" w:pos="-1440"/>
                <w:tab w:val="left" w:pos="-720"/>
              </w:tabs>
              <w:rPr>
                <w:sz w:val="20"/>
                <w:szCs w:val="20"/>
                <w:lang w:val="fr-CA"/>
              </w:rPr>
            </w:pPr>
          </w:p>
          <w:p w:rsidR="00B4180A" w:rsidRPr="00806A5B" w:rsidRDefault="00B4180A" w:rsidP="00B4180A">
            <w:pPr>
              <w:keepNext/>
              <w:keepLines/>
              <w:tabs>
                <w:tab w:val="left" w:pos="-1440"/>
                <w:tab w:val="left" w:pos="-720"/>
              </w:tabs>
              <w:rPr>
                <w:b/>
                <w:sz w:val="20"/>
                <w:szCs w:val="20"/>
                <w:lang w:val="fr-CA"/>
              </w:rPr>
            </w:pPr>
            <w:r>
              <w:rPr>
                <w:b/>
                <w:sz w:val="20"/>
                <w:szCs w:val="20"/>
                <w:lang w:val="fr-CA"/>
              </w:rPr>
              <w:t xml:space="preserve">Procureur </w:t>
            </w:r>
            <w:r w:rsidR="00F7346A">
              <w:rPr>
                <w:b/>
                <w:sz w:val="20"/>
                <w:szCs w:val="20"/>
                <w:lang w:val="fr-CA"/>
              </w:rPr>
              <w:t>g</w:t>
            </w:r>
            <w:r>
              <w:rPr>
                <w:b/>
                <w:sz w:val="20"/>
                <w:szCs w:val="20"/>
                <w:lang w:val="fr-CA"/>
              </w:rPr>
              <w:t>én</w:t>
            </w:r>
            <w:r w:rsidRPr="00806A5B">
              <w:rPr>
                <w:b/>
                <w:sz w:val="20"/>
                <w:szCs w:val="20"/>
                <w:lang w:val="fr-CA"/>
              </w:rPr>
              <w:t>é</w:t>
            </w:r>
            <w:r>
              <w:rPr>
                <w:b/>
                <w:sz w:val="20"/>
                <w:szCs w:val="20"/>
                <w:lang w:val="fr-CA"/>
              </w:rPr>
              <w:t>ra</w:t>
            </w:r>
            <w:r w:rsidRPr="00806A5B">
              <w:rPr>
                <w:b/>
                <w:sz w:val="20"/>
                <w:szCs w:val="20"/>
                <w:lang w:val="fr-CA"/>
              </w:rPr>
              <w:t>l</w:t>
            </w:r>
            <w:r>
              <w:rPr>
                <w:b/>
                <w:sz w:val="20"/>
                <w:szCs w:val="20"/>
                <w:lang w:val="fr-CA"/>
              </w:rPr>
              <w:t xml:space="preserve"> du C</w:t>
            </w:r>
            <w:r w:rsidRPr="00806A5B">
              <w:rPr>
                <w:b/>
                <w:sz w:val="20"/>
                <w:szCs w:val="20"/>
                <w:lang w:val="fr-CA"/>
              </w:rPr>
              <w:t>an</w:t>
            </w:r>
            <w:r>
              <w:rPr>
                <w:b/>
                <w:sz w:val="20"/>
                <w:szCs w:val="20"/>
                <w:lang w:val="fr-CA"/>
              </w:rPr>
              <w:t>ada</w:t>
            </w:r>
            <w:r w:rsidRPr="00806A5B">
              <w:rPr>
                <w:b/>
                <w:sz w:val="20"/>
                <w:szCs w:val="20"/>
                <w:lang w:val="fr-CA"/>
              </w:rPr>
              <w:t xml:space="preserve"> (Qc)</w:t>
            </w:r>
          </w:p>
          <w:p w:rsidR="00B4180A" w:rsidRPr="00806A5B" w:rsidRDefault="00B4180A" w:rsidP="00B4180A">
            <w:pPr>
              <w:keepNext/>
              <w:keepLines/>
              <w:tabs>
                <w:tab w:val="left" w:pos="-1440"/>
                <w:tab w:val="left" w:pos="-720"/>
              </w:tabs>
              <w:rPr>
                <w:sz w:val="20"/>
                <w:szCs w:val="20"/>
                <w:lang w:val="fr-CA"/>
              </w:rPr>
            </w:pPr>
            <w:r w:rsidRPr="00806A5B">
              <w:rPr>
                <w:sz w:val="20"/>
                <w:szCs w:val="20"/>
                <w:lang w:val="fr-CA"/>
              </w:rPr>
              <w:tab/>
            </w:r>
            <w:r>
              <w:rPr>
                <w:sz w:val="20"/>
                <w:szCs w:val="20"/>
                <w:lang w:val="fr-CA"/>
              </w:rPr>
              <w:t>Gilles Robert</w:t>
            </w:r>
          </w:p>
          <w:p w:rsidR="00B4180A" w:rsidRPr="00806A5B" w:rsidRDefault="00B4180A" w:rsidP="00B4180A">
            <w:pPr>
              <w:keepNext/>
              <w:keepLines/>
              <w:tabs>
                <w:tab w:val="left" w:pos="-1440"/>
                <w:tab w:val="left" w:pos="-720"/>
              </w:tabs>
              <w:rPr>
                <w:sz w:val="20"/>
                <w:szCs w:val="20"/>
                <w:lang w:val="fr-CA"/>
              </w:rPr>
            </w:pPr>
            <w:r w:rsidRPr="00806A5B">
              <w:rPr>
                <w:sz w:val="20"/>
                <w:szCs w:val="20"/>
                <w:lang w:val="fr-CA"/>
              </w:rPr>
              <w:tab/>
            </w:r>
            <w:r>
              <w:rPr>
                <w:sz w:val="20"/>
                <w:szCs w:val="20"/>
                <w:lang w:val="fr-CA"/>
              </w:rPr>
              <w:t>Ministère de la Justice du Canada</w:t>
            </w:r>
          </w:p>
          <w:p w:rsidR="00B4180A" w:rsidRPr="00806A5B" w:rsidRDefault="00B4180A" w:rsidP="00B4180A">
            <w:pPr>
              <w:keepNext/>
              <w:keepLines/>
              <w:tabs>
                <w:tab w:val="left" w:pos="-1440"/>
                <w:tab w:val="left" w:pos="-720"/>
              </w:tabs>
              <w:rPr>
                <w:sz w:val="20"/>
                <w:szCs w:val="20"/>
                <w:lang w:val="fr-CA"/>
              </w:rPr>
            </w:pPr>
          </w:p>
          <w:p w:rsidR="00C21644" w:rsidRPr="00A935AA" w:rsidRDefault="00B4180A" w:rsidP="00B4180A">
            <w:pPr>
              <w:rPr>
                <w:sz w:val="20"/>
                <w:szCs w:val="20"/>
              </w:rPr>
            </w:pPr>
            <w:r w:rsidRPr="00806A5B">
              <w:rPr>
                <w:sz w:val="20"/>
                <w:szCs w:val="20"/>
                <w:lang w:val="fr-CA"/>
              </w:rPr>
              <w:t xml:space="preserve">DATE DE PRODUCTION: </w:t>
            </w:r>
            <w:r>
              <w:rPr>
                <w:sz w:val="20"/>
                <w:szCs w:val="20"/>
                <w:lang w:val="fr-CA"/>
              </w:rPr>
              <w:t>09</w:t>
            </w:r>
            <w:r w:rsidRPr="00806A5B">
              <w:rPr>
                <w:sz w:val="20"/>
                <w:szCs w:val="20"/>
                <w:lang w:val="fr-CA"/>
              </w:rPr>
              <w:t>.0</w:t>
            </w:r>
            <w:r>
              <w:rPr>
                <w:sz w:val="20"/>
                <w:szCs w:val="20"/>
                <w:lang w:val="fr-CA"/>
              </w:rPr>
              <w:t>5</w:t>
            </w:r>
            <w:r w:rsidRPr="00806A5B">
              <w:rPr>
                <w:sz w:val="20"/>
                <w:szCs w:val="20"/>
                <w:lang w:val="fr-CA"/>
              </w:rPr>
              <w:t>.2014</w:t>
            </w:r>
            <w:r w:rsidR="005E19D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B4180A" w:rsidRDefault="00B4180A" w:rsidP="005F1ED8">
            <w:pPr>
              <w:rPr>
                <w:b/>
                <w:sz w:val="20"/>
                <w:szCs w:val="20"/>
                <w:lang w:val="fr-CA"/>
              </w:rPr>
            </w:pPr>
          </w:p>
          <w:p w:rsidR="00C21644" w:rsidRPr="00B4180A" w:rsidRDefault="00B4180A" w:rsidP="005F1ED8">
            <w:pPr>
              <w:rPr>
                <w:b/>
                <w:sz w:val="20"/>
                <w:szCs w:val="20"/>
                <w:lang w:val="fr-CA"/>
              </w:rPr>
            </w:pPr>
            <w:r w:rsidRPr="00B4180A">
              <w:rPr>
                <w:b/>
                <w:sz w:val="20"/>
                <w:szCs w:val="20"/>
                <w:lang w:val="fr-CA"/>
              </w:rPr>
              <w:t>Ghassan Fadlallah</w:t>
            </w:r>
          </w:p>
          <w:p w:rsidR="00B4180A" w:rsidRPr="00806A5B" w:rsidRDefault="00C21644" w:rsidP="00B4180A">
            <w:pPr>
              <w:keepNext/>
              <w:keepLines/>
              <w:tabs>
                <w:tab w:val="left" w:pos="-1440"/>
                <w:tab w:val="left" w:pos="-720"/>
              </w:tabs>
              <w:rPr>
                <w:sz w:val="20"/>
                <w:szCs w:val="20"/>
                <w:lang w:val="fr-CA"/>
              </w:rPr>
            </w:pPr>
            <w:r w:rsidRPr="00B4180A">
              <w:rPr>
                <w:sz w:val="20"/>
                <w:szCs w:val="20"/>
                <w:lang w:val="fr-CA"/>
              </w:rPr>
              <w:tab/>
            </w:r>
            <w:r w:rsidR="00B4180A">
              <w:rPr>
                <w:sz w:val="20"/>
                <w:szCs w:val="20"/>
                <w:lang w:val="fr-CA"/>
              </w:rPr>
              <w:t>Ghassan Fadlallah</w:t>
            </w:r>
          </w:p>
          <w:p w:rsidR="00B4180A" w:rsidRPr="00806A5B" w:rsidRDefault="00B4180A" w:rsidP="00B4180A">
            <w:pPr>
              <w:keepNext/>
              <w:keepLines/>
              <w:tabs>
                <w:tab w:val="left" w:pos="-1440"/>
                <w:tab w:val="left" w:pos="-720"/>
              </w:tabs>
              <w:rPr>
                <w:sz w:val="20"/>
                <w:szCs w:val="20"/>
                <w:lang w:val="fr-CA"/>
              </w:rPr>
            </w:pPr>
          </w:p>
          <w:p w:rsidR="00B4180A" w:rsidRPr="00806A5B" w:rsidRDefault="00B4180A" w:rsidP="00B4180A">
            <w:pPr>
              <w:keepNext/>
              <w:keepLines/>
              <w:tabs>
                <w:tab w:val="left" w:pos="-1440"/>
                <w:tab w:val="left" w:pos="-720"/>
              </w:tabs>
              <w:rPr>
                <w:sz w:val="20"/>
                <w:szCs w:val="20"/>
                <w:lang w:val="fr-CA"/>
              </w:rPr>
            </w:pPr>
            <w:r w:rsidRPr="00806A5B">
              <w:rPr>
                <w:sz w:val="20"/>
                <w:szCs w:val="20"/>
                <w:lang w:val="fr-CA"/>
              </w:rPr>
              <w:tab/>
              <w:t>c. (35</w:t>
            </w:r>
            <w:r>
              <w:rPr>
                <w:sz w:val="20"/>
                <w:szCs w:val="20"/>
                <w:lang w:val="fr-CA"/>
              </w:rPr>
              <w:t>881</w:t>
            </w:r>
            <w:r w:rsidRPr="00806A5B">
              <w:rPr>
                <w:sz w:val="20"/>
                <w:szCs w:val="20"/>
                <w:lang w:val="fr-CA"/>
              </w:rPr>
              <w:t>)</w:t>
            </w:r>
          </w:p>
          <w:p w:rsidR="00B4180A" w:rsidRPr="00806A5B" w:rsidRDefault="00B4180A" w:rsidP="00B4180A">
            <w:pPr>
              <w:keepNext/>
              <w:keepLines/>
              <w:tabs>
                <w:tab w:val="left" w:pos="-1440"/>
                <w:tab w:val="left" w:pos="-720"/>
              </w:tabs>
              <w:rPr>
                <w:sz w:val="20"/>
                <w:szCs w:val="20"/>
                <w:lang w:val="fr-CA"/>
              </w:rPr>
            </w:pPr>
          </w:p>
          <w:p w:rsidR="00B4180A" w:rsidRPr="00806A5B" w:rsidRDefault="00B4180A" w:rsidP="00B4180A">
            <w:pPr>
              <w:keepNext/>
              <w:keepLines/>
              <w:tabs>
                <w:tab w:val="left" w:pos="-1440"/>
                <w:tab w:val="left" w:pos="-720"/>
              </w:tabs>
              <w:rPr>
                <w:b/>
                <w:sz w:val="20"/>
                <w:szCs w:val="20"/>
                <w:lang w:val="fr-CA"/>
              </w:rPr>
            </w:pPr>
            <w:r>
              <w:rPr>
                <w:b/>
                <w:sz w:val="20"/>
                <w:szCs w:val="20"/>
                <w:lang w:val="fr-CA"/>
              </w:rPr>
              <w:t xml:space="preserve">Université de </w:t>
            </w:r>
            <w:r w:rsidRPr="00806A5B">
              <w:rPr>
                <w:b/>
                <w:sz w:val="20"/>
                <w:szCs w:val="20"/>
                <w:lang w:val="fr-CA"/>
              </w:rPr>
              <w:t>S</w:t>
            </w:r>
            <w:r>
              <w:rPr>
                <w:b/>
                <w:sz w:val="20"/>
                <w:szCs w:val="20"/>
                <w:lang w:val="fr-CA"/>
              </w:rPr>
              <w:t>h</w:t>
            </w:r>
            <w:r w:rsidRPr="00806A5B">
              <w:rPr>
                <w:b/>
                <w:sz w:val="20"/>
                <w:szCs w:val="20"/>
                <w:lang w:val="fr-CA"/>
              </w:rPr>
              <w:t>e</w:t>
            </w:r>
            <w:r>
              <w:rPr>
                <w:b/>
                <w:sz w:val="20"/>
                <w:szCs w:val="20"/>
                <w:lang w:val="fr-CA"/>
              </w:rPr>
              <w:t>rbrook</w:t>
            </w:r>
            <w:r w:rsidRPr="00806A5B">
              <w:rPr>
                <w:b/>
                <w:sz w:val="20"/>
                <w:szCs w:val="20"/>
                <w:lang w:val="fr-CA"/>
              </w:rPr>
              <w:t>e (Qc)</w:t>
            </w:r>
          </w:p>
          <w:p w:rsidR="00B4180A" w:rsidRPr="00806A5B" w:rsidRDefault="00B4180A" w:rsidP="00B4180A">
            <w:pPr>
              <w:keepNext/>
              <w:keepLines/>
              <w:tabs>
                <w:tab w:val="left" w:pos="-1440"/>
                <w:tab w:val="left" w:pos="-720"/>
              </w:tabs>
              <w:rPr>
                <w:sz w:val="20"/>
                <w:szCs w:val="20"/>
                <w:lang w:val="fr-CA"/>
              </w:rPr>
            </w:pPr>
            <w:r w:rsidRPr="00806A5B">
              <w:rPr>
                <w:sz w:val="20"/>
                <w:szCs w:val="20"/>
                <w:lang w:val="fr-CA"/>
              </w:rPr>
              <w:tab/>
            </w:r>
            <w:r>
              <w:rPr>
                <w:sz w:val="20"/>
                <w:szCs w:val="20"/>
                <w:lang w:val="fr-CA"/>
              </w:rPr>
              <w:t>Michèle Bédard</w:t>
            </w:r>
          </w:p>
          <w:p w:rsidR="00B4180A" w:rsidRPr="00806A5B" w:rsidRDefault="00B4180A" w:rsidP="00B4180A">
            <w:pPr>
              <w:keepNext/>
              <w:keepLines/>
              <w:tabs>
                <w:tab w:val="left" w:pos="-1440"/>
                <w:tab w:val="left" w:pos="-720"/>
              </w:tabs>
              <w:rPr>
                <w:sz w:val="20"/>
                <w:szCs w:val="20"/>
                <w:lang w:val="fr-CA"/>
              </w:rPr>
            </w:pPr>
            <w:r w:rsidRPr="00806A5B">
              <w:rPr>
                <w:sz w:val="20"/>
                <w:szCs w:val="20"/>
                <w:lang w:val="fr-CA"/>
              </w:rPr>
              <w:tab/>
            </w:r>
            <w:r>
              <w:rPr>
                <w:sz w:val="20"/>
                <w:szCs w:val="20"/>
                <w:lang w:val="fr-CA"/>
              </w:rPr>
              <w:t>Langlois Kronström Desjardins s.e.n.c.r.l.</w:t>
            </w:r>
          </w:p>
          <w:p w:rsidR="00B4180A" w:rsidRPr="00806A5B" w:rsidRDefault="00B4180A" w:rsidP="00B4180A">
            <w:pPr>
              <w:keepNext/>
              <w:keepLines/>
              <w:tabs>
                <w:tab w:val="left" w:pos="-1440"/>
                <w:tab w:val="left" w:pos="-720"/>
              </w:tabs>
              <w:rPr>
                <w:sz w:val="20"/>
                <w:szCs w:val="20"/>
                <w:lang w:val="fr-CA"/>
              </w:rPr>
            </w:pPr>
          </w:p>
          <w:p w:rsidR="00C21644" w:rsidRPr="00A935AA" w:rsidRDefault="00B4180A" w:rsidP="00B4180A">
            <w:pPr>
              <w:rPr>
                <w:sz w:val="20"/>
                <w:szCs w:val="20"/>
              </w:rPr>
            </w:pPr>
            <w:r w:rsidRPr="00806A5B">
              <w:rPr>
                <w:sz w:val="20"/>
                <w:szCs w:val="20"/>
                <w:lang w:val="fr-CA"/>
              </w:rPr>
              <w:t xml:space="preserve">DATE DE PRODUCTION: </w:t>
            </w:r>
            <w:r>
              <w:rPr>
                <w:sz w:val="20"/>
                <w:szCs w:val="20"/>
                <w:lang w:val="fr-CA"/>
              </w:rPr>
              <w:t>09</w:t>
            </w:r>
            <w:r w:rsidRPr="00806A5B">
              <w:rPr>
                <w:sz w:val="20"/>
                <w:szCs w:val="20"/>
                <w:lang w:val="fr-CA"/>
              </w:rPr>
              <w:t>.0</w:t>
            </w:r>
            <w:r>
              <w:rPr>
                <w:sz w:val="20"/>
                <w:szCs w:val="20"/>
                <w:lang w:val="fr-CA"/>
              </w:rPr>
              <w:t>5</w:t>
            </w:r>
            <w:r w:rsidRPr="00806A5B">
              <w:rPr>
                <w:sz w:val="20"/>
                <w:szCs w:val="20"/>
                <w:lang w:val="fr-CA"/>
              </w:rPr>
              <w:t>.2014</w:t>
            </w:r>
            <w:r w:rsidR="005E19D3">
              <w:rPr>
                <w:sz w:val="20"/>
                <w:szCs w:val="20"/>
                <w:lang w:val="fr-CA"/>
              </w:rPr>
              <w:pict>
                <v:rect id="_x0000_i1030" style="width:108pt;height:1pt" o:hrpct="0" o:hralign="center" o:hrstd="t" o:hrnoshade="t" o:hr="t" fillcolor="black [3213]" stroked="f"/>
              </w:pict>
            </w:r>
          </w:p>
        </w:tc>
      </w:tr>
      <w:tr w:rsidR="00DE64EF" w:rsidRPr="00A935AA" w:rsidTr="003B3977">
        <w:trPr>
          <w:cantSplit/>
        </w:trPr>
        <w:tc>
          <w:tcPr>
            <w:tcW w:w="4320" w:type="dxa"/>
            <w:shd w:val="clear" w:color="auto" w:fill="auto"/>
          </w:tcPr>
          <w:p w:rsidR="00DE64EF" w:rsidRPr="00B4180A" w:rsidRDefault="00A86ECA" w:rsidP="00A86ECA">
            <w:pPr>
              <w:rPr>
                <w:b/>
                <w:sz w:val="20"/>
                <w:szCs w:val="20"/>
                <w:lang w:val="fr-CA"/>
              </w:rPr>
            </w:pPr>
            <w:r>
              <w:rPr>
                <w:b/>
                <w:sz w:val="20"/>
                <w:szCs w:val="20"/>
                <w:lang w:val="fr-CA"/>
              </w:rPr>
              <w:t>Héma-Q</w:t>
            </w:r>
            <w:r w:rsidR="00DE64EF">
              <w:rPr>
                <w:b/>
                <w:sz w:val="20"/>
                <w:szCs w:val="20"/>
                <w:lang w:val="fr-CA"/>
              </w:rPr>
              <w:t>u</w:t>
            </w:r>
            <w:r>
              <w:rPr>
                <w:b/>
                <w:sz w:val="20"/>
                <w:szCs w:val="20"/>
                <w:lang w:val="fr-CA"/>
              </w:rPr>
              <w:t>éb</w:t>
            </w:r>
            <w:r w:rsidR="00DE64EF">
              <w:rPr>
                <w:b/>
                <w:sz w:val="20"/>
                <w:szCs w:val="20"/>
                <w:lang w:val="fr-CA"/>
              </w:rPr>
              <w:t>e</w:t>
            </w:r>
            <w:r>
              <w:rPr>
                <w:b/>
                <w:sz w:val="20"/>
                <w:szCs w:val="20"/>
                <w:lang w:val="fr-CA"/>
              </w:rPr>
              <w:t>c</w:t>
            </w:r>
          </w:p>
          <w:p w:rsidR="00DE64EF" w:rsidRDefault="00DE64EF" w:rsidP="00A86ECA">
            <w:pPr>
              <w:keepNext/>
              <w:keepLines/>
              <w:tabs>
                <w:tab w:val="left" w:pos="-1440"/>
                <w:tab w:val="left" w:pos="-720"/>
              </w:tabs>
              <w:rPr>
                <w:sz w:val="20"/>
                <w:szCs w:val="20"/>
                <w:lang w:val="fr-CA"/>
              </w:rPr>
            </w:pPr>
            <w:r w:rsidRPr="00B4180A">
              <w:rPr>
                <w:sz w:val="20"/>
                <w:szCs w:val="20"/>
                <w:lang w:val="fr-CA"/>
              </w:rPr>
              <w:tab/>
            </w:r>
            <w:r w:rsidR="00A86ECA">
              <w:rPr>
                <w:sz w:val="20"/>
                <w:szCs w:val="20"/>
                <w:lang w:val="fr-CA"/>
              </w:rPr>
              <w:t>Den</w:t>
            </w:r>
            <w:r w:rsidR="00A86ECA" w:rsidRPr="00A86ECA">
              <w:rPr>
                <w:sz w:val="20"/>
                <w:szCs w:val="20"/>
                <w:lang w:val="fr-CA"/>
              </w:rPr>
              <w:t>is</w:t>
            </w:r>
            <w:r w:rsidR="00A86ECA">
              <w:rPr>
                <w:sz w:val="20"/>
                <w:szCs w:val="20"/>
                <w:lang w:val="fr-CA"/>
              </w:rPr>
              <w:t xml:space="preserve"> M</w:t>
            </w:r>
            <w:r w:rsidR="00A86ECA" w:rsidRPr="00A86ECA">
              <w:rPr>
                <w:sz w:val="20"/>
                <w:szCs w:val="20"/>
                <w:lang w:val="fr-CA"/>
              </w:rPr>
              <w:t>a</w:t>
            </w:r>
            <w:r w:rsidR="00A86ECA">
              <w:rPr>
                <w:sz w:val="20"/>
                <w:szCs w:val="20"/>
                <w:lang w:val="fr-CA"/>
              </w:rPr>
              <w:t>nzo</w:t>
            </w:r>
          </w:p>
          <w:p w:rsidR="00A86ECA" w:rsidRPr="00A86ECA" w:rsidRDefault="00A86ECA" w:rsidP="00A86ECA">
            <w:pPr>
              <w:keepNext/>
              <w:keepLines/>
              <w:tabs>
                <w:tab w:val="left" w:pos="-1440"/>
                <w:tab w:val="left" w:pos="-720"/>
              </w:tabs>
              <w:rPr>
                <w:sz w:val="20"/>
                <w:szCs w:val="20"/>
                <w:lang w:val="fr-CA"/>
              </w:rPr>
            </w:pPr>
            <w:r>
              <w:rPr>
                <w:sz w:val="20"/>
                <w:szCs w:val="20"/>
                <w:lang w:val="fr-CA"/>
              </w:rPr>
              <w:tab/>
              <w:t>Dentons Canada s.e.n.c.r.l.</w:t>
            </w:r>
          </w:p>
          <w:p w:rsidR="00DE64EF" w:rsidRPr="00806A5B" w:rsidRDefault="00DE64EF" w:rsidP="00A86ECA">
            <w:pPr>
              <w:keepNext/>
              <w:keepLines/>
              <w:tabs>
                <w:tab w:val="left" w:pos="-1440"/>
                <w:tab w:val="left" w:pos="-720"/>
              </w:tabs>
              <w:rPr>
                <w:sz w:val="20"/>
                <w:szCs w:val="20"/>
                <w:lang w:val="fr-CA"/>
              </w:rPr>
            </w:pPr>
          </w:p>
          <w:p w:rsidR="00DE64EF" w:rsidRPr="00806A5B" w:rsidRDefault="00DE64EF" w:rsidP="00A86ECA">
            <w:pPr>
              <w:keepNext/>
              <w:keepLines/>
              <w:tabs>
                <w:tab w:val="left" w:pos="-1440"/>
                <w:tab w:val="left" w:pos="-720"/>
              </w:tabs>
              <w:rPr>
                <w:sz w:val="20"/>
                <w:szCs w:val="20"/>
                <w:lang w:val="fr-CA"/>
              </w:rPr>
            </w:pPr>
            <w:r w:rsidRPr="00806A5B">
              <w:rPr>
                <w:sz w:val="20"/>
                <w:szCs w:val="20"/>
                <w:lang w:val="fr-CA"/>
              </w:rPr>
              <w:tab/>
              <w:t>c. (35</w:t>
            </w:r>
            <w:r w:rsidR="00A86ECA">
              <w:rPr>
                <w:sz w:val="20"/>
                <w:szCs w:val="20"/>
                <w:lang w:val="fr-CA"/>
              </w:rPr>
              <w:t>883</w:t>
            </w:r>
            <w:r w:rsidRPr="00806A5B">
              <w:rPr>
                <w:sz w:val="20"/>
                <w:szCs w:val="20"/>
                <w:lang w:val="fr-CA"/>
              </w:rPr>
              <w:t>)</w:t>
            </w:r>
          </w:p>
          <w:p w:rsidR="00DE64EF" w:rsidRPr="00806A5B" w:rsidRDefault="00DE64EF" w:rsidP="00A86ECA">
            <w:pPr>
              <w:keepNext/>
              <w:keepLines/>
              <w:tabs>
                <w:tab w:val="left" w:pos="-1440"/>
                <w:tab w:val="left" w:pos="-720"/>
              </w:tabs>
              <w:rPr>
                <w:sz w:val="20"/>
                <w:szCs w:val="20"/>
                <w:lang w:val="fr-CA"/>
              </w:rPr>
            </w:pPr>
          </w:p>
          <w:p w:rsidR="00DE64EF" w:rsidRPr="00806A5B" w:rsidRDefault="00A86ECA" w:rsidP="00A86ECA">
            <w:pPr>
              <w:keepNext/>
              <w:keepLines/>
              <w:tabs>
                <w:tab w:val="left" w:pos="-1440"/>
                <w:tab w:val="left" w:pos="-720"/>
              </w:tabs>
              <w:rPr>
                <w:b/>
                <w:sz w:val="20"/>
                <w:szCs w:val="20"/>
                <w:lang w:val="fr-CA"/>
              </w:rPr>
            </w:pPr>
            <w:r>
              <w:rPr>
                <w:b/>
                <w:sz w:val="20"/>
                <w:szCs w:val="20"/>
                <w:lang w:val="fr-CA"/>
              </w:rPr>
              <w:t>Synd</w:t>
            </w:r>
            <w:r w:rsidR="00DE64EF">
              <w:rPr>
                <w:b/>
                <w:sz w:val="20"/>
                <w:szCs w:val="20"/>
                <w:lang w:val="fr-CA"/>
              </w:rPr>
              <w:t>i</w:t>
            </w:r>
            <w:r>
              <w:rPr>
                <w:b/>
                <w:sz w:val="20"/>
                <w:szCs w:val="20"/>
                <w:lang w:val="fr-CA"/>
              </w:rPr>
              <w:t>c</w:t>
            </w:r>
            <w:r w:rsidR="00DE64EF">
              <w:rPr>
                <w:b/>
                <w:sz w:val="20"/>
                <w:szCs w:val="20"/>
                <w:lang w:val="fr-CA"/>
              </w:rPr>
              <w:t>a</w:t>
            </w:r>
            <w:r>
              <w:rPr>
                <w:b/>
                <w:sz w:val="20"/>
                <w:szCs w:val="20"/>
                <w:lang w:val="fr-CA"/>
              </w:rPr>
              <w:t>t des tr</w:t>
            </w:r>
            <w:r w:rsidR="00DE64EF">
              <w:rPr>
                <w:b/>
                <w:sz w:val="20"/>
                <w:szCs w:val="20"/>
                <w:lang w:val="fr-CA"/>
              </w:rPr>
              <w:t>a</w:t>
            </w:r>
            <w:r>
              <w:rPr>
                <w:b/>
                <w:sz w:val="20"/>
                <w:szCs w:val="20"/>
                <w:lang w:val="fr-CA"/>
              </w:rPr>
              <w:t xml:space="preserve">vailleuses et </w:t>
            </w:r>
            <w:r w:rsidR="00DE64EF">
              <w:rPr>
                <w:b/>
                <w:sz w:val="20"/>
                <w:szCs w:val="20"/>
                <w:lang w:val="fr-CA"/>
              </w:rPr>
              <w:t>tr</w:t>
            </w:r>
            <w:r w:rsidR="00DE64EF" w:rsidRPr="00806A5B">
              <w:rPr>
                <w:b/>
                <w:sz w:val="20"/>
                <w:szCs w:val="20"/>
                <w:lang w:val="fr-CA"/>
              </w:rPr>
              <w:t>a</w:t>
            </w:r>
            <w:r w:rsidR="00DE64EF">
              <w:rPr>
                <w:b/>
                <w:sz w:val="20"/>
                <w:szCs w:val="20"/>
                <w:lang w:val="fr-CA"/>
              </w:rPr>
              <w:t>vail</w:t>
            </w:r>
            <w:r>
              <w:rPr>
                <w:b/>
                <w:sz w:val="20"/>
                <w:szCs w:val="20"/>
                <w:lang w:val="fr-CA"/>
              </w:rPr>
              <w:t>leurs de Héma-Québec</w:t>
            </w:r>
            <w:r w:rsidR="00DE64EF" w:rsidRPr="00806A5B">
              <w:rPr>
                <w:b/>
                <w:sz w:val="20"/>
                <w:szCs w:val="20"/>
                <w:lang w:val="fr-CA"/>
              </w:rPr>
              <w:t xml:space="preserve"> </w:t>
            </w:r>
            <w:r>
              <w:rPr>
                <w:b/>
                <w:sz w:val="20"/>
                <w:szCs w:val="20"/>
                <w:lang w:val="fr-CA"/>
              </w:rPr>
              <w:t xml:space="preserve">(CSN) </w:t>
            </w:r>
            <w:r w:rsidR="00DE64EF" w:rsidRPr="00806A5B">
              <w:rPr>
                <w:b/>
                <w:sz w:val="20"/>
                <w:szCs w:val="20"/>
                <w:lang w:val="fr-CA"/>
              </w:rPr>
              <w:t>(Qc)</w:t>
            </w:r>
          </w:p>
          <w:p w:rsidR="00DE64EF" w:rsidRPr="00806A5B" w:rsidRDefault="00DE64EF" w:rsidP="00A86ECA">
            <w:pPr>
              <w:keepNext/>
              <w:keepLines/>
              <w:tabs>
                <w:tab w:val="left" w:pos="-1440"/>
                <w:tab w:val="left" w:pos="-720"/>
              </w:tabs>
              <w:rPr>
                <w:sz w:val="20"/>
                <w:szCs w:val="20"/>
                <w:lang w:val="fr-CA"/>
              </w:rPr>
            </w:pPr>
            <w:r w:rsidRPr="00806A5B">
              <w:rPr>
                <w:sz w:val="20"/>
                <w:szCs w:val="20"/>
                <w:lang w:val="fr-CA"/>
              </w:rPr>
              <w:tab/>
            </w:r>
            <w:r w:rsidR="00A86ECA">
              <w:rPr>
                <w:sz w:val="20"/>
                <w:szCs w:val="20"/>
                <w:lang w:val="fr-CA"/>
              </w:rPr>
              <w:t>Jul</w:t>
            </w:r>
            <w:r>
              <w:rPr>
                <w:sz w:val="20"/>
                <w:szCs w:val="20"/>
                <w:lang w:val="fr-CA"/>
              </w:rPr>
              <w:t>ie</w:t>
            </w:r>
            <w:r w:rsidR="00A86ECA">
              <w:rPr>
                <w:sz w:val="20"/>
                <w:szCs w:val="20"/>
                <w:lang w:val="fr-CA"/>
              </w:rPr>
              <w:t xml:space="preserve"> Sanogo</w:t>
            </w:r>
          </w:p>
          <w:p w:rsidR="00DE64EF" w:rsidRPr="00806A5B" w:rsidRDefault="00DE64EF" w:rsidP="00A86ECA">
            <w:pPr>
              <w:keepNext/>
              <w:keepLines/>
              <w:tabs>
                <w:tab w:val="left" w:pos="-1440"/>
                <w:tab w:val="left" w:pos="-720"/>
              </w:tabs>
              <w:rPr>
                <w:sz w:val="20"/>
                <w:szCs w:val="20"/>
                <w:lang w:val="fr-CA"/>
              </w:rPr>
            </w:pPr>
            <w:r w:rsidRPr="00806A5B">
              <w:rPr>
                <w:sz w:val="20"/>
                <w:szCs w:val="20"/>
                <w:lang w:val="fr-CA"/>
              </w:rPr>
              <w:tab/>
            </w:r>
            <w:r w:rsidR="00A86ECA">
              <w:rPr>
                <w:sz w:val="20"/>
                <w:szCs w:val="20"/>
                <w:lang w:val="fr-CA"/>
              </w:rPr>
              <w:t>Laroch</w:t>
            </w:r>
            <w:r>
              <w:rPr>
                <w:sz w:val="20"/>
                <w:szCs w:val="20"/>
                <w:lang w:val="fr-CA"/>
              </w:rPr>
              <w:t>e</w:t>
            </w:r>
            <w:r w:rsidR="00A86ECA">
              <w:rPr>
                <w:sz w:val="20"/>
                <w:szCs w:val="20"/>
                <w:lang w:val="fr-CA"/>
              </w:rPr>
              <w:t xml:space="preserve"> M</w:t>
            </w:r>
            <w:r>
              <w:rPr>
                <w:sz w:val="20"/>
                <w:szCs w:val="20"/>
                <w:lang w:val="fr-CA"/>
              </w:rPr>
              <w:t>a</w:t>
            </w:r>
            <w:r w:rsidR="00A86ECA">
              <w:rPr>
                <w:sz w:val="20"/>
                <w:szCs w:val="20"/>
                <w:lang w:val="fr-CA"/>
              </w:rPr>
              <w:t>rtin</w:t>
            </w:r>
          </w:p>
          <w:p w:rsidR="00DE64EF" w:rsidRPr="00806A5B" w:rsidRDefault="00DE64EF" w:rsidP="00A86ECA">
            <w:pPr>
              <w:keepNext/>
              <w:keepLines/>
              <w:tabs>
                <w:tab w:val="left" w:pos="-1440"/>
                <w:tab w:val="left" w:pos="-720"/>
              </w:tabs>
              <w:rPr>
                <w:sz w:val="20"/>
                <w:szCs w:val="20"/>
                <w:lang w:val="fr-CA"/>
              </w:rPr>
            </w:pPr>
          </w:p>
          <w:p w:rsidR="00DE64EF" w:rsidRPr="00BB10A4" w:rsidRDefault="00DE64EF" w:rsidP="00A86ECA">
            <w:pPr>
              <w:rPr>
                <w:sz w:val="20"/>
                <w:szCs w:val="20"/>
                <w:lang w:val="fr-CA"/>
              </w:rPr>
            </w:pPr>
            <w:r w:rsidRPr="00806A5B">
              <w:rPr>
                <w:sz w:val="20"/>
                <w:szCs w:val="20"/>
                <w:lang w:val="fr-CA"/>
              </w:rPr>
              <w:t xml:space="preserve">DATE DE PRODUCTION: </w:t>
            </w:r>
            <w:r w:rsidR="00A86ECA">
              <w:rPr>
                <w:sz w:val="20"/>
                <w:szCs w:val="20"/>
                <w:lang w:val="fr-CA"/>
              </w:rPr>
              <w:t>12</w:t>
            </w:r>
            <w:r w:rsidRPr="00806A5B">
              <w:rPr>
                <w:sz w:val="20"/>
                <w:szCs w:val="20"/>
                <w:lang w:val="fr-CA"/>
              </w:rPr>
              <w:t>.0</w:t>
            </w:r>
            <w:r>
              <w:rPr>
                <w:sz w:val="20"/>
                <w:szCs w:val="20"/>
                <w:lang w:val="fr-CA"/>
              </w:rPr>
              <w:t>5</w:t>
            </w:r>
            <w:r w:rsidRPr="00806A5B">
              <w:rPr>
                <w:sz w:val="20"/>
                <w:szCs w:val="20"/>
                <w:lang w:val="fr-CA"/>
              </w:rPr>
              <w:t>.2014</w:t>
            </w:r>
            <w:r w:rsidR="005E19D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p w:rsidR="00DE64EF" w:rsidRPr="00BB10A4" w:rsidRDefault="00DE64EF" w:rsidP="00242AEE">
            <w:pPr>
              <w:jc w:val="center"/>
              <w:rPr>
                <w:sz w:val="20"/>
                <w:szCs w:val="20"/>
                <w:lang w:val="fr-CA"/>
              </w:rPr>
            </w:pPr>
          </w:p>
        </w:tc>
        <w:tc>
          <w:tcPr>
            <w:tcW w:w="4320" w:type="dxa"/>
            <w:shd w:val="clear" w:color="auto" w:fill="auto"/>
          </w:tcPr>
          <w:p w:rsidR="00DE64EF" w:rsidRPr="00BB10A4" w:rsidRDefault="00DE64EF" w:rsidP="005F1ED8">
            <w:pPr>
              <w:rPr>
                <w:b/>
                <w:sz w:val="20"/>
                <w:szCs w:val="20"/>
                <w:lang w:val="fr-CA"/>
              </w:rPr>
            </w:pPr>
          </w:p>
          <w:p w:rsidR="00A86ECA" w:rsidRPr="00A86ECA" w:rsidRDefault="00A86ECA" w:rsidP="005F1ED8">
            <w:pPr>
              <w:rPr>
                <w:b/>
                <w:sz w:val="20"/>
                <w:szCs w:val="20"/>
                <w:lang w:val="fr-CA"/>
              </w:rPr>
            </w:pPr>
            <w:r w:rsidRPr="00A86ECA">
              <w:rPr>
                <w:b/>
                <w:sz w:val="20"/>
                <w:szCs w:val="20"/>
                <w:lang w:val="fr-CA"/>
              </w:rPr>
              <w:t>Louis-Jacques Perreault</w:t>
            </w:r>
          </w:p>
          <w:p w:rsidR="00A86ECA" w:rsidRPr="00A86ECA" w:rsidRDefault="00DE64EF" w:rsidP="00A86ECA">
            <w:pPr>
              <w:keepNext/>
              <w:keepLines/>
              <w:tabs>
                <w:tab w:val="left" w:pos="-1440"/>
                <w:tab w:val="left" w:pos="-720"/>
              </w:tabs>
              <w:rPr>
                <w:sz w:val="20"/>
                <w:szCs w:val="20"/>
                <w:lang w:val="fr-CA"/>
              </w:rPr>
            </w:pPr>
            <w:r w:rsidRPr="00A86ECA">
              <w:rPr>
                <w:sz w:val="20"/>
                <w:szCs w:val="20"/>
                <w:lang w:val="fr-CA"/>
              </w:rPr>
              <w:tab/>
            </w:r>
            <w:r w:rsidR="00A86ECA" w:rsidRPr="00A86ECA">
              <w:rPr>
                <w:sz w:val="20"/>
                <w:szCs w:val="20"/>
                <w:lang w:val="fr-CA"/>
              </w:rPr>
              <w:t>Louis-Jacques Perreault</w:t>
            </w:r>
          </w:p>
          <w:p w:rsidR="00A86ECA" w:rsidRPr="00806A5B" w:rsidRDefault="00A86ECA" w:rsidP="00A86ECA">
            <w:pPr>
              <w:keepNext/>
              <w:keepLines/>
              <w:tabs>
                <w:tab w:val="left" w:pos="-1440"/>
                <w:tab w:val="left" w:pos="-720"/>
              </w:tabs>
              <w:rPr>
                <w:sz w:val="20"/>
                <w:szCs w:val="20"/>
                <w:lang w:val="fr-CA"/>
              </w:rPr>
            </w:pPr>
          </w:p>
          <w:p w:rsidR="00A86ECA" w:rsidRPr="00806A5B" w:rsidRDefault="00A86ECA" w:rsidP="00A86ECA">
            <w:pPr>
              <w:keepNext/>
              <w:keepLines/>
              <w:tabs>
                <w:tab w:val="left" w:pos="-1440"/>
                <w:tab w:val="left" w:pos="-720"/>
              </w:tabs>
              <w:rPr>
                <w:sz w:val="20"/>
                <w:szCs w:val="20"/>
                <w:lang w:val="fr-CA"/>
              </w:rPr>
            </w:pPr>
            <w:r w:rsidRPr="00806A5B">
              <w:rPr>
                <w:sz w:val="20"/>
                <w:szCs w:val="20"/>
                <w:lang w:val="fr-CA"/>
              </w:rPr>
              <w:tab/>
              <w:t>c. (35</w:t>
            </w:r>
            <w:r>
              <w:rPr>
                <w:sz w:val="20"/>
                <w:szCs w:val="20"/>
                <w:lang w:val="fr-CA"/>
              </w:rPr>
              <w:t>900</w:t>
            </w:r>
            <w:r w:rsidRPr="00806A5B">
              <w:rPr>
                <w:sz w:val="20"/>
                <w:szCs w:val="20"/>
                <w:lang w:val="fr-CA"/>
              </w:rPr>
              <w:t>)</w:t>
            </w:r>
          </w:p>
          <w:p w:rsidR="00A86ECA" w:rsidRPr="00806A5B" w:rsidRDefault="00A86ECA" w:rsidP="00A86ECA">
            <w:pPr>
              <w:keepNext/>
              <w:keepLines/>
              <w:tabs>
                <w:tab w:val="left" w:pos="-1440"/>
                <w:tab w:val="left" w:pos="-720"/>
              </w:tabs>
              <w:rPr>
                <w:sz w:val="20"/>
                <w:szCs w:val="20"/>
                <w:lang w:val="fr-CA"/>
              </w:rPr>
            </w:pPr>
          </w:p>
          <w:p w:rsidR="00A86ECA" w:rsidRPr="00806A5B" w:rsidRDefault="00A86ECA" w:rsidP="00A86ECA">
            <w:pPr>
              <w:keepNext/>
              <w:keepLines/>
              <w:tabs>
                <w:tab w:val="left" w:pos="-1440"/>
                <w:tab w:val="left" w:pos="-720"/>
              </w:tabs>
              <w:rPr>
                <w:b/>
                <w:sz w:val="20"/>
                <w:szCs w:val="20"/>
                <w:lang w:val="fr-CA"/>
              </w:rPr>
            </w:pPr>
            <w:r>
              <w:rPr>
                <w:b/>
                <w:sz w:val="20"/>
                <w:szCs w:val="20"/>
                <w:lang w:val="fr-CA"/>
              </w:rPr>
              <w:t>Commission de la sant</w:t>
            </w:r>
            <w:r w:rsidRPr="00806A5B">
              <w:rPr>
                <w:b/>
                <w:sz w:val="20"/>
                <w:szCs w:val="20"/>
                <w:lang w:val="fr-CA"/>
              </w:rPr>
              <w:t>é</w:t>
            </w:r>
            <w:r>
              <w:rPr>
                <w:b/>
                <w:sz w:val="20"/>
                <w:szCs w:val="20"/>
                <w:lang w:val="fr-CA"/>
              </w:rPr>
              <w:t xml:space="preserve"> et de la sécurité du tr</w:t>
            </w:r>
            <w:r w:rsidRPr="00806A5B">
              <w:rPr>
                <w:b/>
                <w:sz w:val="20"/>
                <w:szCs w:val="20"/>
                <w:lang w:val="fr-CA"/>
              </w:rPr>
              <w:t>a</w:t>
            </w:r>
            <w:r>
              <w:rPr>
                <w:b/>
                <w:sz w:val="20"/>
                <w:szCs w:val="20"/>
                <w:lang w:val="fr-CA"/>
              </w:rPr>
              <w:t>vail</w:t>
            </w:r>
            <w:r w:rsidRPr="00806A5B">
              <w:rPr>
                <w:b/>
                <w:sz w:val="20"/>
                <w:szCs w:val="20"/>
                <w:lang w:val="fr-CA"/>
              </w:rPr>
              <w:t xml:space="preserve"> (Qc)</w:t>
            </w:r>
          </w:p>
          <w:p w:rsidR="00A86ECA" w:rsidRPr="00806A5B" w:rsidRDefault="00A86ECA" w:rsidP="00A86ECA">
            <w:pPr>
              <w:keepNext/>
              <w:keepLines/>
              <w:tabs>
                <w:tab w:val="left" w:pos="-1440"/>
                <w:tab w:val="left" w:pos="-720"/>
              </w:tabs>
              <w:rPr>
                <w:sz w:val="20"/>
                <w:szCs w:val="20"/>
                <w:lang w:val="fr-CA"/>
              </w:rPr>
            </w:pPr>
            <w:r w:rsidRPr="00806A5B">
              <w:rPr>
                <w:sz w:val="20"/>
                <w:szCs w:val="20"/>
                <w:lang w:val="fr-CA"/>
              </w:rPr>
              <w:tab/>
            </w:r>
            <w:r>
              <w:rPr>
                <w:sz w:val="20"/>
                <w:szCs w:val="20"/>
                <w:lang w:val="fr-CA"/>
              </w:rPr>
              <w:t>Marie-Claude Deslisle</w:t>
            </w:r>
          </w:p>
          <w:p w:rsidR="00A86ECA" w:rsidRPr="00806A5B" w:rsidRDefault="00A86ECA" w:rsidP="00A86ECA">
            <w:pPr>
              <w:keepNext/>
              <w:keepLines/>
              <w:tabs>
                <w:tab w:val="left" w:pos="-1440"/>
                <w:tab w:val="left" w:pos="-720"/>
              </w:tabs>
              <w:rPr>
                <w:sz w:val="20"/>
                <w:szCs w:val="20"/>
                <w:lang w:val="fr-CA"/>
              </w:rPr>
            </w:pPr>
            <w:r w:rsidRPr="00806A5B">
              <w:rPr>
                <w:sz w:val="20"/>
                <w:szCs w:val="20"/>
                <w:lang w:val="fr-CA"/>
              </w:rPr>
              <w:tab/>
            </w:r>
            <w:r>
              <w:rPr>
                <w:sz w:val="20"/>
                <w:szCs w:val="20"/>
                <w:lang w:val="fr-CA"/>
              </w:rPr>
              <w:t>Vigneault Thibodeau Bergeron, Avocats</w:t>
            </w:r>
          </w:p>
          <w:p w:rsidR="00A86ECA" w:rsidRPr="00806A5B" w:rsidRDefault="00A86ECA" w:rsidP="00A86ECA">
            <w:pPr>
              <w:keepNext/>
              <w:keepLines/>
              <w:tabs>
                <w:tab w:val="left" w:pos="-1440"/>
                <w:tab w:val="left" w:pos="-720"/>
              </w:tabs>
              <w:rPr>
                <w:sz w:val="20"/>
                <w:szCs w:val="20"/>
                <w:lang w:val="fr-CA"/>
              </w:rPr>
            </w:pPr>
          </w:p>
          <w:p w:rsidR="00DE64EF" w:rsidRPr="00A935AA" w:rsidRDefault="00A86ECA" w:rsidP="00A86ECA">
            <w:pPr>
              <w:rPr>
                <w:sz w:val="20"/>
                <w:szCs w:val="20"/>
              </w:rPr>
            </w:pPr>
            <w:r w:rsidRPr="00806A5B">
              <w:rPr>
                <w:sz w:val="20"/>
                <w:szCs w:val="20"/>
                <w:lang w:val="fr-CA"/>
              </w:rPr>
              <w:t xml:space="preserve">DATE DE PRODUCTION: </w:t>
            </w:r>
            <w:r>
              <w:rPr>
                <w:sz w:val="20"/>
                <w:szCs w:val="20"/>
                <w:lang w:val="fr-CA"/>
              </w:rPr>
              <w:t>09</w:t>
            </w:r>
            <w:r w:rsidRPr="00806A5B">
              <w:rPr>
                <w:sz w:val="20"/>
                <w:szCs w:val="20"/>
                <w:lang w:val="fr-CA"/>
              </w:rPr>
              <w:t>.0</w:t>
            </w:r>
            <w:r>
              <w:rPr>
                <w:sz w:val="20"/>
                <w:szCs w:val="20"/>
                <w:lang w:val="fr-CA"/>
              </w:rPr>
              <w:t>5</w:t>
            </w:r>
            <w:r w:rsidRPr="00806A5B">
              <w:rPr>
                <w:sz w:val="20"/>
                <w:szCs w:val="20"/>
                <w:lang w:val="fr-CA"/>
              </w:rPr>
              <w:t>.2014</w:t>
            </w:r>
            <w:r w:rsidR="005E19D3">
              <w:rPr>
                <w:sz w:val="20"/>
                <w:szCs w:val="20"/>
                <w:lang w:val="fr-CA"/>
              </w:rPr>
              <w:pict>
                <v:rect id="_x0000_i1032" style="width:108pt;height:1pt" o:hrpct="0" o:hralign="center" o:hrstd="t" o:hrnoshade="t" o:hr="t" fillcolor="black [3213]" stroked="f"/>
              </w:pict>
            </w:r>
          </w:p>
        </w:tc>
      </w:tr>
      <w:tr w:rsidR="00DE64EF" w:rsidRPr="00A935AA" w:rsidTr="003B3977">
        <w:trPr>
          <w:cantSplit/>
        </w:trPr>
        <w:tc>
          <w:tcPr>
            <w:tcW w:w="4320" w:type="dxa"/>
            <w:shd w:val="clear" w:color="auto" w:fill="auto"/>
          </w:tcPr>
          <w:p w:rsidR="00DE64EF" w:rsidRPr="00BB10A4" w:rsidRDefault="00BB10A4" w:rsidP="00B4180A">
            <w:pPr>
              <w:rPr>
                <w:b/>
                <w:sz w:val="20"/>
                <w:szCs w:val="20"/>
                <w:lang w:val="fr-CA"/>
              </w:rPr>
            </w:pPr>
            <w:r w:rsidRPr="00BB10A4">
              <w:rPr>
                <w:b/>
                <w:sz w:val="20"/>
                <w:szCs w:val="20"/>
                <w:lang w:val="fr-CA"/>
              </w:rPr>
              <w:lastRenderedPageBreak/>
              <w:t>C.C. Havanos Corporation et al.</w:t>
            </w:r>
          </w:p>
          <w:p w:rsidR="00DE64EF" w:rsidRPr="00BB10A4" w:rsidRDefault="00DE64EF" w:rsidP="00B4180A">
            <w:pPr>
              <w:tabs>
                <w:tab w:val="left" w:pos="-1440"/>
                <w:tab w:val="left" w:pos="-720"/>
              </w:tabs>
              <w:rPr>
                <w:sz w:val="20"/>
                <w:szCs w:val="20"/>
              </w:rPr>
            </w:pPr>
            <w:r w:rsidRPr="00BB10A4">
              <w:rPr>
                <w:sz w:val="20"/>
                <w:szCs w:val="20"/>
                <w:lang w:val="fr-CA"/>
              </w:rPr>
              <w:tab/>
            </w:r>
            <w:r w:rsidR="00BB10A4" w:rsidRPr="00BB10A4">
              <w:rPr>
                <w:sz w:val="20"/>
                <w:szCs w:val="20"/>
              </w:rPr>
              <w:t>Bruce Taub</w:t>
            </w:r>
          </w:p>
          <w:p w:rsidR="00DE64EF" w:rsidRPr="00BB10A4" w:rsidRDefault="00DE64EF" w:rsidP="00B4180A">
            <w:pPr>
              <w:tabs>
                <w:tab w:val="left" w:pos="-1440"/>
                <w:tab w:val="left" w:pos="-720"/>
              </w:tabs>
              <w:rPr>
                <w:sz w:val="20"/>
                <w:szCs w:val="20"/>
              </w:rPr>
            </w:pPr>
            <w:r w:rsidRPr="00BB10A4">
              <w:rPr>
                <w:sz w:val="20"/>
                <w:szCs w:val="20"/>
              </w:rPr>
              <w:tab/>
            </w:r>
            <w:r w:rsidR="00BB10A4" w:rsidRPr="00BB10A4">
              <w:rPr>
                <w:sz w:val="20"/>
                <w:szCs w:val="20"/>
              </w:rPr>
              <w:t>Excellence Partner Canada Inc.</w:t>
            </w:r>
          </w:p>
          <w:p w:rsidR="00DE64EF" w:rsidRPr="00BB10A4" w:rsidRDefault="00DE64EF" w:rsidP="00B4180A">
            <w:pPr>
              <w:tabs>
                <w:tab w:val="left" w:pos="-1440"/>
                <w:tab w:val="left" w:pos="-720"/>
              </w:tabs>
              <w:rPr>
                <w:sz w:val="20"/>
                <w:szCs w:val="20"/>
              </w:rPr>
            </w:pPr>
          </w:p>
          <w:p w:rsidR="00DE64EF" w:rsidRPr="00A935AA" w:rsidRDefault="00DE64EF" w:rsidP="00B4180A">
            <w:pPr>
              <w:tabs>
                <w:tab w:val="left" w:pos="-1440"/>
                <w:tab w:val="left" w:pos="-720"/>
              </w:tabs>
              <w:rPr>
                <w:sz w:val="20"/>
                <w:szCs w:val="20"/>
              </w:rPr>
            </w:pPr>
            <w:r w:rsidRPr="00BB10A4">
              <w:rPr>
                <w:sz w:val="20"/>
                <w:szCs w:val="20"/>
              </w:rPr>
              <w:tab/>
            </w:r>
            <w:r w:rsidRPr="00A935AA">
              <w:rPr>
                <w:sz w:val="20"/>
                <w:szCs w:val="20"/>
              </w:rPr>
              <w:t>v. (3</w:t>
            </w:r>
            <w:r>
              <w:rPr>
                <w:sz w:val="20"/>
                <w:szCs w:val="20"/>
              </w:rPr>
              <w:t>5</w:t>
            </w:r>
            <w:r w:rsidR="00BB10A4">
              <w:rPr>
                <w:sz w:val="20"/>
                <w:szCs w:val="20"/>
              </w:rPr>
              <w:t>884</w:t>
            </w:r>
            <w:r w:rsidRPr="00A935AA">
              <w:rPr>
                <w:sz w:val="20"/>
                <w:szCs w:val="20"/>
              </w:rPr>
              <w:t>)</w:t>
            </w:r>
          </w:p>
          <w:p w:rsidR="00DE64EF" w:rsidRPr="00A935AA" w:rsidRDefault="00DE64EF" w:rsidP="00B4180A">
            <w:pPr>
              <w:tabs>
                <w:tab w:val="left" w:pos="-1440"/>
                <w:tab w:val="left" w:pos="-720"/>
              </w:tabs>
              <w:rPr>
                <w:sz w:val="20"/>
                <w:szCs w:val="20"/>
              </w:rPr>
            </w:pPr>
          </w:p>
          <w:p w:rsidR="00DE64EF" w:rsidRPr="00A935AA" w:rsidRDefault="00BB10A4" w:rsidP="00B4180A">
            <w:pPr>
              <w:tabs>
                <w:tab w:val="left" w:pos="-1440"/>
                <w:tab w:val="left" w:pos="-720"/>
              </w:tabs>
              <w:rPr>
                <w:b/>
                <w:sz w:val="20"/>
                <w:szCs w:val="20"/>
              </w:rPr>
            </w:pPr>
            <w:r>
              <w:rPr>
                <w:b/>
                <w:sz w:val="20"/>
                <w:szCs w:val="20"/>
              </w:rPr>
              <w:t xml:space="preserve">Her Majesty the Queen et al. </w:t>
            </w:r>
            <w:r w:rsidR="00DE64EF" w:rsidRPr="00A935AA">
              <w:rPr>
                <w:b/>
                <w:sz w:val="20"/>
                <w:szCs w:val="20"/>
              </w:rPr>
              <w:t>(</w:t>
            </w:r>
            <w:r>
              <w:rPr>
                <w:b/>
                <w:sz w:val="20"/>
                <w:szCs w:val="20"/>
              </w:rPr>
              <w:t>Que</w:t>
            </w:r>
            <w:r w:rsidR="00DE64EF" w:rsidRPr="00A935AA">
              <w:rPr>
                <w:b/>
                <w:sz w:val="20"/>
                <w:szCs w:val="20"/>
              </w:rPr>
              <w:t>.)</w:t>
            </w:r>
          </w:p>
          <w:p w:rsidR="00DE64EF" w:rsidRPr="00A935AA" w:rsidRDefault="00DE64EF" w:rsidP="00B4180A">
            <w:pPr>
              <w:tabs>
                <w:tab w:val="left" w:pos="-1440"/>
                <w:tab w:val="left" w:pos="-720"/>
              </w:tabs>
              <w:rPr>
                <w:sz w:val="20"/>
                <w:szCs w:val="20"/>
              </w:rPr>
            </w:pPr>
            <w:r w:rsidRPr="00A935AA">
              <w:rPr>
                <w:sz w:val="20"/>
                <w:szCs w:val="20"/>
              </w:rPr>
              <w:tab/>
            </w:r>
            <w:r w:rsidR="00BB10A4">
              <w:rPr>
                <w:sz w:val="20"/>
                <w:szCs w:val="20"/>
              </w:rPr>
              <w:t>Jacques Savary</w:t>
            </w:r>
          </w:p>
          <w:p w:rsidR="00DE64EF" w:rsidRPr="00A935AA" w:rsidRDefault="00DE64EF" w:rsidP="00B4180A">
            <w:pPr>
              <w:tabs>
                <w:tab w:val="left" w:pos="-1440"/>
                <w:tab w:val="left" w:pos="-720"/>
              </w:tabs>
              <w:rPr>
                <w:sz w:val="20"/>
                <w:szCs w:val="20"/>
              </w:rPr>
            </w:pPr>
            <w:r w:rsidRPr="00A935AA">
              <w:rPr>
                <w:sz w:val="20"/>
                <w:szCs w:val="20"/>
              </w:rPr>
              <w:tab/>
            </w:r>
            <w:r w:rsidR="00BB10A4">
              <w:rPr>
                <w:sz w:val="20"/>
                <w:szCs w:val="20"/>
              </w:rPr>
              <w:t>A.G. of Canada</w:t>
            </w:r>
          </w:p>
          <w:p w:rsidR="00DE64EF" w:rsidRPr="00A935AA" w:rsidRDefault="00DE64EF" w:rsidP="00B4180A">
            <w:pPr>
              <w:tabs>
                <w:tab w:val="left" w:pos="-1440"/>
                <w:tab w:val="left" w:pos="-720"/>
              </w:tabs>
              <w:rPr>
                <w:sz w:val="20"/>
                <w:szCs w:val="20"/>
              </w:rPr>
            </w:pPr>
          </w:p>
          <w:p w:rsidR="00DE64EF" w:rsidRPr="00A935AA" w:rsidRDefault="00DE64EF" w:rsidP="00B4180A">
            <w:pPr>
              <w:rPr>
                <w:sz w:val="20"/>
                <w:szCs w:val="20"/>
              </w:rPr>
            </w:pPr>
            <w:r w:rsidRPr="00A935AA">
              <w:rPr>
                <w:sz w:val="20"/>
                <w:szCs w:val="20"/>
              </w:rPr>
              <w:t xml:space="preserve">FILING DATE: </w:t>
            </w:r>
            <w:r w:rsidR="00BB10A4">
              <w:rPr>
                <w:sz w:val="20"/>
                <w:szCs w:val="20"/>
              </w:rPr>
              <w:t>1</w:t>
            </w:r>
            <w:r w:rsidRPr="00A935AA">
              <w:rPr>
                <w:sz w:val="20"/>
                <w:szCs w:val="20"/>
              </w:rPr>
              <w:t>2.0</w:t>
            </w:r>
            <w:r w:rsidR="00BB10A4">
              <w:rPr>
                <w:sz w:val="20"/>
                <w:szCs w:val="20"/>
              </w:rPr>
              <w:t>5</w:t>
            </w:r>
            <w:r w:rsidRPr="00A935AA">
              <w:rPr>
                <w:sz w:val="20"/>
                <w:szCs w:val="20"/>
              </w:rPr>
              <w:t>.201</w:t>
            </w:r>
            <w:r>
              <w:rPr>
                <w:sz w:val="20"/>
                <w:szCs w:val="20"/>
              </w:rPr>
              <w:t>4</w:t>
            </w:r>
          </w:p>
          <w:p w:rsidR="00DE64EF" w:rsidRPr="00A935AA" w:rsidRDefault="005E19D3" w:rsidP="00B4180A">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Default="00DE64EF" w:rsidP="00242AEE">
            <w:pPr>
              <w:jc w:val="center"/>
              <w:rPr>
                <w:sz w:val="20"/>
                <w:szCs w:val="20"/>
              </w:rPr>
            </w:pPr>
          </w:p>
          <w:p w:rsidR="00DE64EF" w:rsidRPr="00A935AA" w:rsidRDefault="00DE64EF" w:rsidP="00242AEE">
            <w:pPr>
              <w:jc w:val="center"/>
              <w:rPr>
                <w:sz w:val="20"/>
                <w:szCs w:val="20"/>
              </w:rPr>
            </w:pPr>
          </w:p>
        </w:tc>
        <w:tc>
          <w:tcPr>
            <w:tcW w:w="4320" w:type="dxa"/>
            <w:shd w:val="clear" w:color="auto" w:fill="auto"/>
          </w:tcPr>
          <w:p w:rsidR="00DE64EF" w:rsidRPr="00A935AA" w:rsidRDefault="00BB10A4" w:rsidP="00B4180A">
            <w:pPr>
              <w:rPr>
                <w:b/>
                <w:sz w:val="20"/>
                <w:szCs w:val="20"/>
              </w:rPr>
            </w:pPr>
            <w:r>
              <w:rPr>
                <w:b/>
                <w:sz w:val="20"/>
                <w:szCs w:val="20"/>
              </w:rPr>
              <w:t>Jason Hyra</w:t>
            </w:r>
          </w:p>
          <w:p w:rsidR="00DE64EF" w:rsidRPr="00A935AA" w:rsidRDefault="00DE64EF" w:rsidP="00B4180A">
            <w:pPr>
              <w:tabs>
                <w:tab w:val="left" w:pos="-1440"/>
                <w:tab w:val="left" w:pos="-720"/>
              </w:tabs>
              <w:rPr>
                <w:sz w:val="20"/>
                <w:szCs w:val="20"/>
              </w:rPr>
            </w:pPr>
            <w:r w:rsidRPr="00A935AA">
              <w:rPr>
                <w:sz w:val="20"/>
                <w:szCs w:val="20"/>
              </w:rPr>
              <w:tab/>
            </w:r>
            <w:r w:rsidR="00BB10A4">
              <w:rPr>
                <w:sz w:val="20"/>
                <w:szCs w:val="20"/>
              </w:rPr>
              <w:t>Jason Hyra</w:t>
            </w:r>
          </w:p>
          <w:p w:rsidR="00DE64EF" w:rsidRPr="00A935AA" w:rsidRDefault="00DE64EF" w:rsidP="00B4180A">
            <w:pPr>
              <w:tabs>
                <w:tab w:val="left" w:pos="-1440"/>
                <w:tab w:val="left" w:pos="-720"/>
              </w:tabs>
              <w:rPr>
                <w:sz w:val="20"/>
                <w:szCs w:val="20"/>
              </w:rPr>
            </w:pPr>
          </w:p>
          <w:p w:rsidR="00DE64EF" w:rsidRPr="00A935AA" w:rsidRDefault="00DE64EF" w:rsidP="00B4180A">
            <w:pPr>
              <w:tabs>
                <w:tab w:val="left" w:pos="-1440"/>
                <w:tab w:val="left" w:pos="-720"/>
              </w:tabs>
              <w:rPr>
                <w:sz w:val="20"/>
                <w:szCs w:val="20"/>
              </w:rPr>
            </w:pPr>
            <w:r w:rsidRPr="00A935AA">
              <w:rPr>
                <w:sz w:val="20"/>
                <w:szCs w:val="20"/>
              </w:rPr>
              <w:tab/>
              <w:t>v. (3</w:t>
            </w:r>
            <w:r>
              <w:rPr>
                <w:sz w:val="20"/>
                <w:szCs w:val="20"/>
              </w:rPr>
              <w:t>5</w:t>
            </w:r>
            <w:r w:rsidR="00BB10A4">
              <w:rPr>
                <w:sz w:val="20"/>
                <w:szCs w:val="20"/>
              </w:rPr>
              <w:t>891</w:t>
            </w:r>
            <w:r w:rsidRPr="00A935AA">
              <w:rPr>
                <w:sz w:val="20"/>
                <w:szCs w:val="20"/>
              </w:rPr>
              <w:t>)</w:t>
            </w:r>
          </w:p>
          <w:p w:rsidR="00DE64EF" w:rsidRPr="00A935AA" w:rsidRDefault="00DE64EF" w:rsidP="00B4180A">
            <w:pPr>
              <w:tabs>
                <w:tab w:val="left" w:pos="-1440"/>
                <w:tab w:val="left" w:pos="-720"/>
              </w:tabs>
              <w:rPr>
                <w:sz w:val="20"/>
                <w:szCs w:val="20"/>
              </w:rPr>
            </w:pPr>
          </w:p>
          <w:p w:rsidR="00DE64EF" w:rsidRPr="00A935AA" w:rsidRDefault="00BB10A4" w:rsidP="00B4180A">
            <w:pPr>
              <w:tabs>
                <w:tab w:val="left" w:pos="-1440"/>
                <w:tab w:val="left" w:pos="-720"/>
              </w:tabs>
              <w:rPr>
                <w:b/>
                <w:sz w:val="20"/>
                <w:szCs w:val="20"/>
              </w:rPr>
            </w:pPr>
            <w:r>
              <w:rPr>
                <w:b/>
                <w:sz w:val="20"/>
                <w:szCs w:val="20"/>
              </w:rPr>
              <w:t xml:space="preserve">Her Majesty the Queen </w:t>
            </w:r>
            <w:r w:rsidR="00DE64EF" w:rsidRPr="00A935AA">
              <w:rPr>
                <w:b/>
                <w:sz w:val="20"/>
                <w:szCs w:val="20"/>
              </w:rPr>
              <w:t>(</w:t>
            </w:r>
            <w:r>
              <w:rPr>
                <w:b/>
                <w:sz w:val="20"/>
                <w:szCs w:val="20"/>
              </w:rPr>
              <w:t>Ma</w:t>
            </w:r>
            <w:r w:rsidR="00DE64EF">
              <w:rPr>
                <w:b/>
                <w:sz w:val="20"/>
                <w:szCs w:val="20"/>
              </w:rPr>
              <w:t>n</w:t>
            </w:r>
            <w:r w:rsidR="00DE64EF" w:rsidRPr="00A935AA">
              <w:rPr>
                <w:b/>
                <w:sz w:val="20"/>
                <w:szCs w:val="20"/>
              </w:rPr>
              <w:t>.)</w:t>
            </w:r>
          </w:p>
          <w:p w:rsidR="00DE64EF" w:rsidRPr="00A935AA" w:rsidRDefault="00DE64EF" w:rsidP="00B4180A">
            <w:pPr>
              <w:tabs>
                <w:tab w:val="left" w:pos="-1440"/>
                <w:tab w:val="left" w:pos="-720"/>
              </w:tabs>
              <w:rPr>
                <w:sz w:val="20"/>
                <w:szCs w:val="20"/>
              </w:rPr>
            </w:pPr>
            <w:r w:rsidRPr="00A935AA">
              <w:rPr>
                <w:sz w:val="20"/>
                <w:szCs w:val="20"/>
              </w:rPr>
              <w:tab/>
            </w:r>
            <w:r w:rsidR="00BB10A4">
              <w:rPr>
                <w:sz w:val="20"/>
                <w:szCs w:val="20"/>
              </w:rPr>
              <w:t>Neil Steen</w:t>
            </w:r>
          </w:p>
          <w:p w:rsidR="00DE64EF" w:rsidRPr="00A935AA" w:rsidRDefault="00DE64EF" w:rsidP="00B4180A">
            <w:pPr>
              <w:tabs>
                <w:tab w:val="left" w:pos="-1440"/>
                <w:tab w:val="left" w:pos="-720"/>
              </w:tabs>
              <w:rPr>
                <w:sz w:val="20"/>
                <w:szCs w:val="20"/>
              </w:rPr>
            </w:pPr>
            <w:r w:rsidRPr="00A935AA">
              <w:rPr>
                <w:sz w:val="20"/>
                <w:szCs w:val="20"/>
              </w:rPr>
              <w:tab/>
            </w:r>
            <w:r w:rsidR="00BB10A4">
              <w:rPr>
                <w:sz w:val="20"/>
                <w:szCs w:val="20"/>
              </w:rPr>
              <w:t>A.G. of Manitoba</w:t>
            </w:r>
          </w:p>
          <w:p w:rsidR="00DE64EF" w:rsidRPr="00A935AA" w:rsidRDefault="00DE64EF" w:rsidP="00B4180A">
            <w:pPr>
              <w:tabs>
                <w:tab w:val="left" w:pos="-1440"/>
                <w:tab w:val="left" w:pos="-720"/>
              </w:tabs>
              <w:rPr>
                <w:sz w:val="20"/>
                <w:szCs w:val="20"/>
              </w:rPr>
            </w:pPr>
          </w:p>
          <w:p w:rsidR="00DE64EF" w:rsidRPr="00A935AA" w:rsidRDefault="00DE64EF" w:rsidP="00B4180A">
            <w:pPr>
              <w:rPr>
                <w:sz w:val="20"/>
                <w:szCs w:val="20"/>
              </w:rPr>
            </w:pPr>
            <w:r w:rsidRPr="00A935AA">
              <w:rPr>
                <w:sz w:val="20"/>
                <w:szCs w:val="20"/>
              </w:rPr>
              <w:t xml:space="preserve">FILING DATE: </w:t>
            </w:r>
            <w:r w:rsidR="00BB10A4">
              <w:rPr>
                <w:sz w:val="20"/>
                <w:szCs w:val="20"/>
              </w:rPr>
              <w:t>14</w:t>
            </w:r>
            <w:r w:rsidRPr="00A935AA">
              <w:rPr>
                <w:sz w:val="20"/>
                <w:szCs w:val="20"/>
              </w:rPr>
              <w:t>.0</w:t>
            </w:r>
            <w:r w:rsidR="00BB10A4">
              <w:rPr>
                <w:sz w:val="20"/>
                <w:szCs w:val="20"/>
              </w:rPr>
              <w:t>5</w:t>
            </w:r>
            <w:r w:rsidRPr="00A935AA">
              <w:rPr>
                <w:sz w:val="20"/>
                <w:szCs w:val="20"/>
              </w:rPr>
              <w:t>.201</w:t>
            </w:r>
            <w:r>
              <w:rPr>
                <w:sz w:val="20"/>
                <w:szCs w:val="20"/>
              </w:rPr>
              <w:t>4</w:t>
            </w:r>
          </w:p>
          <w:p w:rsidR="00DE64EF" w:rsidRPr="00A935AA" w:rsidRDefault="005E19D3" w:rsidP="00B4180A">
            <w:pPr>
              <w:rPr>
                <w:sz w:val="20"/>
                <w:szCs w:val="20"/>
              </w:rPr>
            </w:pPr>
            <w:r>
              <w:rPr>
                <w:sz w:val="20"/>
                <w:szCs w:val="20"/>
                <w:lang w:val="fr-CA"/>
              </w:rPr>
              <w:pict>
                <v:rect id="_x0000_i1034" style="width:108pt;height:1pt" o:hrpct="0" o:hralign="center" o:hrstd="t" o:hrnoshade="t" o:hr="t" fillcolor="black [3213]" stroked="f"/>
              </w:pict>
            </w:r>
          </w:p>
        </w:tc>
      </w:tr>
      <w:tr w:rsidR="00BB10A4" w:rsidRPr="00A935AA" w:rsidTr="003B3977">
        <w:trPr>
          <w:cantSplit/>
        </w:trPr>
        <w:tc>
          <w:tcPr>
            <w:tcW w:w="4320" w:type="dxa"/>
            <w:shd w:val="clear" w:color="auto" w:fill="auto"/>
          </w:tcPr>
          <w:p w:rsidR="00BB10A4" w:rsidRDefault="00BB10A4" w:rsidP="00BB10A4">
            <w:pPr>
              <w:rPr>
                <w:b/>
                <w:sz w:val="20"/>
                <w:szCs w:val="20"/>
              </w:rPr>
            </w:pPr>
          </w:p>
          <w:p w:rsidR="00BB10A4" w:rsidRPr="00A935AA" w:rsidRDefault="00BB10A4" w:rsidP="00BB10A4">
            <w:pPr>
              <w:rPr>
                <w:b/>
                <w:sz w:val="20"/>
                <w:szCs w:val="20"/>
              </w:rPr>
            </w:pPr>
            <w:r>
              <w:rPr>
                <w:b/>
                <w:sz w:val="20"/>
                <w:szCs w:val="20"/>
              </w:rPr>
              <w:t>Zofia Hebda</w:t>
            </w:r>
          </w:p>
          <w:p w:rsidR="00BB10A4" w:rsidRPr="00A935AA" w:rsidRDefault="00BB10A4" w:rsidP="00BB10A4">
            <w:pPr>
              <w:tabs>
                <w:tab w:val="left" w:pos="-1440"/>
                <w:tab w:val="left" w:pos="-720"/>
              </w:tabs>
              <w:rPr>
                <w:sz w:val="20"/>
                <w:szCs w:val="20"/>
              </w:rPr>
            </w:pPr>
            <w:r w:rsidRPr="00A935AA">
              <w:rPr>
                <w:sz w:val="20"/>
                <w:szCs w:val="20"/>
              </w:rPr>
              <w:tab/>
            </w:r>
            <w:r>
              <w:rPr>
                <w:sz w:val="20"/>
                <w:szCs w:val="20"/>
              </w:rPr>
              <w:t>Zofia Hebda</w:t>
            </w:r>
          </w:p>
          <w:p w:rsidR="00BB10A4" w:rsidRPr="00A935AA" w:rsidRDefault="00BB10A4" w:rsidP="00BB10A4">
            <w:pPr>
              <w:tabs>
                <w:tab w:val="left" w:pos="-1440"/>
                <w:tab w:val="left" w:pos="-720"/>
              </w:tabs>
              <w:rPr>
                <w:sz w:val="20"/>
                <w:szCs w:val="20"/>
              </w:rPr>
            </w:pPr>
          </w:p>
          <w:p w:rsidR="00BB10A4" w:rsidRPr="001243F9" w:rsidRDefault="00BB10A4" w:rsidP="00BB10A4">
            <w:pPr>
              <w:tabs>
                <w:tab w:val="left" w:pos="-1440"/>
                <w:tab w:val="left" w:pos="-720"/>
              </w:tabs>
              <w:rPr>
                <w:sz w:val="20"/>
                <w:szCs w:val="20"/>
              </w:rPr>
            </w:pPr>
            <w:r w:rsidRPr="00A935AA">
              <w:rPr>
                <w:sz w:val="20"/>
                <w:szCs w:val="20"/>
              </w:rPr>
              <w:tab/>
            </w:r>
            <w:r w:rsidRPr="001243F9">
              <w:rPr>
                <w:sz w:val="20"/>
                <w:szCs w:val="20"/>
              </w:rPr>
              <w:t>v. (35901)</w:t>
            </w:r>
          </w:p>
          <w:p w:rsidR="00BB10A4" w:rsidRPr="001243F9" w:rsidRDefault="00BB10A4" w:rsidP="00BB10A4">
            <w:pPr>
              <w:tabs>
                <w:tab w:val="left" w:pos="-1440"/>
                <w:tab w:val="left" w:pos="-720"/>
              </w:tabs>
              <w:rPr>
                <w:sz w:val="20"/>
                <w:szCs w:val="20"/>
              </w:rPr>
            </w:pPr>
          </w:p>
          <w:p w:rsidR="00BB10A4" w:rsidRPr="00BB10A4" w:rsidRDefault="00BB10A4" w:rsidP="00BB10A4">
            <w:pPr>
              <w:tabs>
                <w:tab w:val="left" w:pos="-1440"/>
                <w:tab w:val="left" w:pos="-720"/>
              </w:tabs>
              <w:rPr>
                <w:b/>
                <w:sz w:val="20"/>
                <w:szCs w:val="20"/>
                <w:lang w:val="fr-CA"/>
              </w:rPr>
            </w:pPr>
            <w:r w:rsidRPr="00BB10A4">
              <w:rPr>
                <w:b/>
                <w:sz w:val="20"/>
                <w:szCs w:val="20"/>
                <w:lang w:val="fr-CA"/>
              </w:rPr>
              <w:t>Jacques A. Laurin (Que.)</w:t>
            </w:r>
          </w:p>
          <w:p w:rsidR="00BB10A4" w:rsidRPr="001243F9" w:rsidRDefault="00BB10A4" w:rsidP="00BB10A4">
            <w:pPr>
              <w:tabs>
                <w:tab w:val="left" w:pos="-1440"/>
                <w:tab w:val="left" w:pos="-720"/>
              </w:tabs>
              <w:rPr>
                <w:sz w:val="20"/>
                <w:szCs w:val="20"/>
                <w:lang w:val="fr-CA"/>
              </w:rPr>
            </w:pPr>
            <w:r w:rsidRPr="00BB10A4">
              <w:rPr>
                <w:sz w:val="20"/>
                <w:szCs w:val="20"/>
                <w:lang w:val="fr-CA"/>
              </w:rPr>
              <w:tab/>
            </w:r>
            <w:r w:rsidRPr="001243F9">
              <w:rPr>
                <w:sz w:val="20"/>
                <w:szCs w:val="20"/>
                <w:lang w:val="fr-CA"/>
              </w:rPr>
              <w:t>Patricia Timmons</w:t>
            </w:r>
          </w:p>
          <w:p w:rsidR="00BB10A4" w:rsidRPr="00BB10A4" w:rsidRDefault="00BB10A4" w:rsidP="00BB10A4">
            <w:pPr>
              <w:tabs>
                <w:tab w:val="left" w:pos="-1440"/>
                <w:tab w:val="left" w:pos="-720"/>
              </w:tabs>
              <w:rPr>
                <w:sz w:val="20"/>
                <w:szCs w:val="20"/>
              </w:rPr>
            </w:pPr>
            <w:r w:rsidRPr="001243F9">
              <w:rPr>
                <w:sz w:val="20"/>
                <w:szCs w:val="20"/>
                <w:lang w:val="fr-CA"/>
              </w:rPr>
              <w:tab/>
            </w:r>
            <w:r w:rsidRPr="00BB10A4">
              <w:rPr>
                <w:sz w:val="20"/>
                <w:szCs w:val="20"/>
              </w:rPr>
              <w:t>Fairbault &amp; Associés</w:t>
            </w:r>
          </w:p>
          <w:p w:rsidR="00BB10A4" w:rsidRPr="00BB10A4" w:rsidRDefault="00BB10A4" w:rsidP="00BB10A4">
            <w:pPr>
              <w:tabs>
                <w:tab w:val="left" w:pos="-1440"/>
                <w:tab w:val="left" w:pos="-720"/>
              </w:tabs>
              <w:rPr>
                <w:sz w:val="20"/>
                <w:szCs w:val="20"/>
              </w:rPr>
            </w:pPr>
          </w:p>
          <w:p w:rsidR="00BB10A4" w:rsidRPr="00BB10A4" w:rsidRDefault="00BB10A4" w:rsidP="00BB10A4">
            <w:pPr>
              <w:rPr>
                <w:sz w:val="20"/>
                <w:szCs w:val="20"/>
              </w:rPr>
            </w:pPr>
            <w:r w:rsidRPr="00BB10A4">
              <w:rPr>
                <w:sz w:val="20"/>
                <w:szCs w:val="20"/>
              </w:rPr>
              <w:t>FILING DATE: 16.05.2014</w:t>
            </w:r>
          </w:p>
          <w:p w:rsidR="00BB10A4" w:rsidRPr="00BB10A4" w:rsidRDefault="005E19D3" w:rsidP="00BB10A4">
            <w:pPr>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p w:rsidR="00BB10A4" w:rsidRPr="00BB10A4" w:rsidRDefault="00BB10A4" w:rsidP="00242AEE">
            <w:pPr>
              <w:jc w:val="center"/>
              <w:rPr>
                <w:sz w:val="20"/>
                <w:szCs w:val="20"/>
                <w:lang w:val="fr-CA"/>
              </w:rPr>
            </w:pPr>
          </w:p>
        </w:tc>
        <w:tc>
          <w:tcPr>
            <w:tcW w:w="4320" w:type="dxa"/>
            <w:shd w:val="clear" w:color="auto" w:fill="auto"/>
          </w:tcPr>
          <w:p w:rsidR="00BB10A4" w:rsidRPr="00BB10A4" w:rsidRDefault="00BB10A4" w:rsidP="00BB10A4">
            <w:pPr>
              <w:rPr>
                <w:b/>
                <w:sz w:val="20"/>
                <w:szCs w:val="20"/>
                <w:lang w:val="fr-CA"/>
              </w:rPr>
            </w:pPr>
            <w:r>
              <w:rPr>
                <w:b/>
                <w:sz w:val="20"/>
                <w:szCs w:val="20"/>
                <w:lang w:val="fr-CA"/>
              </w:rPr>
              <w:t xml:space="preserve">David Robinson et al. </w:t>
            </w:r>
          </w:p>
          <w:p w:rsidR="00BB10A4" w:rsidRPr="001243F9" w:rsidRDefault="00BB10A4" w:rsidP="00BB10A4">
            <w:pPr>
              <w:tabs>
                <w:tab w:val="left" w:pos="-1440"/>
                <w:tab w:val="left" w:pos="-720"/>
              </w:tabs>
              <w:rPr>
                <w:sz w:val="20"/>
                <w:szCs w:val="20"/>
                <w:lang w:val="fr-CA"/>
              </w:rPr>
            </w:pPr>
            <w:r w:rsidRPr="00BB10A4">
              <w:rPr>
                <w:sz w:val="20"/>
                <w:szCs w:val="20"/>
                <w:lang w:val="fr-CA"/>
              </w:rPr>
              <w:tab/>
            </w:r>
            <w:r w:rsidRPr="001243F9">
              <w:rPr>
                <w:sz w:val="20"/>
                <w:szCs w:val="20"/>
                <w:lang w:val="fr-CA"/>
              </w:rPr>
              <w:t>Peter C. Ghiz</w:t>
            </w:r>
          </w:p>
          <w:p w:rsidR="00BB10A4" w:rsidRPr="001243F9" w:rsidRDefault="00BB10A4" w:rsidP="00BB10A4">
            <w:pPr>
              <w:tabs>
                <w:tab w:val="left" w:pos="-1440"/>
                <w:tab w:val="left" w:pos="-720"/>
              </w:tabs>
              <w:rPr>
                <w:sz w:val="20"/>
                <w:szCs w:val="20"/>
                <w:lang w:val="fr-CA"/>
              </w:rPr>
            </w:pPr>
            <w:r w:rsidRPr="001243F9">
              <w:rPr>
                <w:sz w:val="20"/>
                <w:szCs w:val="20"/>
                <w:lang w:val="fr-CA"/>
              </w:rPr>
              <w:tab/>
              <w:t>Peter C. Ghiz &amp; Associates</w:t>
            </w:r>
          </w:p>
          <w:p w:rsidR="00BB10A4" w:rsidRPr="001243F9" w:rsidRDefault="00BB10A4" w:rsidP="00BB10A4">
            <w:pPr>
              <w:tabs>
                <w:tab w:val="left" w:pos="-1440"/>
                <w:tab w:val="left" w:pos="-720"/>
              </w:tabs>
              <w:rPr>
                <w:sz w:val="20"/>
                <w:szCs w:val="20"/>
                <w:lang w:val="fr-CA"/>
              </w:rPr>
            </w:pPr>
          </w:p>
          <w:p w:rsidR="00BB10A4" w:rsidRPr="001243F9" w:rsidRDefault="00BB10A4" w:rsidP="00BB10A4">
            <w:pPr>
              <w:tabs>
                <w:tab w:val="left" w:pos="-1440"/>
                <w:tab w:val="left" w:pos="-720"/>
              </w:tabs>
              <w:rPr>
                <w:sz w:val="20"/>
                <w:szCs w:val="20"/>
                <w:lang w:val="fr-CA"/>
              </w:rPr>
            </w:pPr>
            <w:r w:rsidRPr="001243F9">
              <w:rPr>
                <w:sz w:val="20"/>
                <w:szCs w:val="20"/>
                <w:lang w:val="fr-CA"/>
              </w:rPr>
              <w:tab/>
              <w:t>v. (35895)</w:t>
            </w:r>
          </w:p>
          <w:p w:rsidR="00BB10A4" w:rsidRPr="001243F9" w:rsidRDefault="00BB10A4" w:rsidP="00BB10A4">
            <w:pPr>
              <w:tabs>
                <w:tab w:val="left" w:pos="-1440"/>
                <w:tab w:val="left" w:pos="-720"/>
              </w:tabs>
              <w:rPr>
                <w:sz w:val="20"/>
                <w:szCs w:val="20"/>
                <w:lang w:val="fr-CA"/>
              </w:rPr>
            </w:pPr>
          </w:p>
          <w:p w:rsidR="00BB10A4" w:rsidRPr="00A935AA" w:rsidRDefault="00BB10A4" w:rsidP="00BB10A4">
            <w:pPr>
              <w:tabs>
                <w:tab w:val="left" w:pos="-1440"/>
                <w:tab w:val="left" w:pos="-720"/>
              </w:tabs>
              <w:rPr>
                <w:b/>
                <w:sz w:val="20"/>
                <w:szCs w:val="20"/>
              </w:rPr>
            </w:pPr>
            <w:r w:rsidRPr="001243F9">
              <w:rPr>
                <w:b/>
                <w:sz w:val="20"/>
                <w:szCs w:val="20"/>
                <w:lang w:val="fr-CA"/>
              </w:rPr>
              <w:t xml:space="preserve">Jeff Willis et al. </w:t>
            </w:r>
            <w:r w:rsidRPr="00A935AA">
              <w:rPr>
                <w:b/>
                <w:sz w:val="20"/>
                <w:szCs w:val="20"/>
              </w:rPr>
              <w:t>(</w:t>
            </w:r>
            <w:r>
              <w:rPr>
                <w:b/>
                <w:sz w:val="20"/>
                <w:szCs w:val="20"/>
              </w:rPr>
              <w:t>P.E.I</w:t>
            </w:r>
            <w:r w:rsidRPr="00A935AA">
              <w:rPr>
                <w:b/>
                <w:sz w:val="20"/>
                <w:szCs w:val="20"/>
              </w:rPr>
              <w:t>.)</w:t>
            </w:r>
          </w:p>
          <w:p w:rsidR="00BB10A4" w:rsidRPr="00A935AA" w:rsidRDefault="00BB10A4" w:rsidP="00BB10A4">
            <w:pPr>
              <w:tabs>
                <w:tab w:val="left" w:pos="-1440"/>
                <w:tab w:val="left" w:pos="-720"/>
              </w:tabs>
              <w:rPr>
                <w:sz w:val="20"/>
                <w:szCs w:val="20"/>
              </w:rPr>
            </w:pPr>
            <w:r w:rsidRPr="00A935AA">
              <w:rPr>
                <w:sz w:val="20"/>
                <w:szCs w:val="20"/>
              </w:rPr>
              <w:tab/>
            </w:r>
            <w:r>
              <w:rPr>
                <w:sz w:val="20"/>
                <w:szCs w:val="20"/>
              </w:rPr>
              <w:t>Jeff Willis</w:t>
            </w:r>
          </w:p>
          <w:p w:rsidR="00BB10A4" w:rsidRPr="00A935AA" w:rsidRDefault="00BB10A4" w:rsidP="00BB10A4">
            <w:pPr>
              <w:tabs>
                <w:tab w:val="left" w:pos="-1440"/>
                <w:tab w:val="left" w:pos="-720"/>
              </w:tabs>
              <w:rPr>
                <w:sz w:val="20"/>
                <w:szCs w:val="20"/>
              </w:rPr>
            </w:pPr>
          </w:p>
          <w:p w:rsidR="00BB10A4" w:rsidRPr="00A935AA" w:rsidRDefault="00BB10A4" w:rsidP="00BB10A4">
            <w:pPr>
              <w:rPr>
                <w:sz w:val="20"/>
                <w:szCs w:val="20"/>
              </w:rPr>
            </w:pPr>
            <w:r w:rsidRPr="00A935AA">
              <w:rPr>
                <w:sz w:val="20"/>
                <w:szCs w:val="20"/>
              </w:rPr>
              <w:t>FILING DATE: 2</w:t>
            </w:r>
            <w:r>
              <w:rPr>
                <w:sz w:val="20"/>
                <w:szCs w:val="20"/>
              </w:rPr>
              <w:t>0</w:t>
            </w:r>
            <w:r w:rsidRPr="00A935AA">
              <w:rPr>
                <w:sz w:val="20"/>
                <w:szCs w:val="20"/>
              </w:rPr>
              <w:t>.0</w:t>
            </w:r>
            <w:r>
              <w:rPr>
                <w:sz w:val="20"/>
                <w:szCs w:val="20"/>
              </w:rPr>
              <w:t>5</w:t>
            </w:r>
            <w:r w:rsidRPr="00A935AA">
              <w:rPr>
                <w:sz w:val="20"/>
                <w:szCs w:val="20"/>
              </w:rPr>
              <w:t>.201</w:t>
            </w:r>
            <w:r>
              <w:rPr>
                <w:sz w:val="20"/>
                <w:szCs w:val="20"/>
              </w:rPr>
              <w:t>4</w:t>
            </w:r>
          </w:p>
          <w:p w:rsidR="00BB10A4" w:rsidRPr="00A935AA" w:rsidRDefault="005E19D3" w:rsidP="00BB10A4">
            <w:pPr>
              <w:rPr>
                <w:sz w:val="20"/>
                <w:szCs w:val="20"/>
              </w:rPr>
            </w:pPr>
            <w:r>
              <w:rPr>
                <w:sz w:val="20"/>
                <w:szCs w:val="20"/>
                <w:lang w:val="fr-CA"/>
              </w:rPr>
              <w:pict>
                <v:rect id="_x0000_i1036" style="width:108pt;height:1pt" o:hrpct="0" o:hralign="center" o:hrstd="t" o:hrnoshade="t" o:hr="t" fillcolor="black [3213]" stroked="f"/>
              </w:pict>
            </w:r>
          </w:p>
        </w:tc>
      </w:tr>
      <w:tr w:rsidR="00BB10A4" w:rsidRPr="00A935AA" w:rsidTr="003B3977">
        <w:trPr>
          <w:cantSplit/>
        </w:trPr>
        <w:tc>
          <w:tcPr>
            <w:tcW w:w="4320" w:type="dxa"/>
            <w:shd w:val="clear" w:color="auto" w:fill="auto"/>
          </w:tcPr>
          <w:p w:rsidR="00BB10A4" w:rsidRDefault="00BB10A4" w:rsidP="00B4180A">
            <w:pPr>
              <w:rPr>
                <w:b/>
                <w:sz w:val="20"/>
                <w:szCs w:val="20"/>
              </w:rPr>
            </w:pPr>
          </w:p>
          <w:p w:rsidR="00BB10A4" w:rsidRPr="00A935AA" w:rsidRDefault="00BB10A4" w:rsidP="00B4180A">
            <w:pPr>
              <w:rPr>
                <w:b/>
                <w:sz w:val="20"/>
                <w:szCs w:val="20"/>
              </w:rPr>
            </w:pPr>
            <w:r>
              <w:rPr>
                <w:b/>
                <w:sz w:val="20"/>
                <w:szCs w:val="20"/>
              </w:rPr>
              <w:t>Svetlana Fotinov, Citizen of Canada et al.</w:t>
            </w:r>
          </w:p>
          <w:p w:rsidR="00BB10A4" w:rsidRPr="00A935AA" w:rsidRDefault="00BB10A4" w:rsidP="00B4180A">
            <w:pPr>
              <w:tabs>
                <w:tab w:val="left" w:pos="-1440"/>
                <w:tab w:val="left" w:pos="-720"/>
              </w:tabs>
              <w:rPr>
                <w:sz w:val="20"/>
                <w:szCs w:val="20"/>
              </w:rPr>
            </w:pPr>
            <w:r w:rsidRPr="00A935AA">
              <w:rPr>
                <w:sz w:val="20"/>
                <w:szCs w:val="20"/>
              </w:rPr>
              <w:tab/>
            </w:r>
            <w:r>
              <w:rPr>
                <w:sz w:val="20"/>
                <w:szCs w:val="20"/>
              </w:rPr>
              <w:t>Svetlana Fotinov</w:t>
            </w:r>
          </w:p>
          <w:p w:rsidR="00BB10A4" w:rsidRPr="00A935AA" w:rsidRDefault="00BB10A4" w:rsidP="00B4180A">
            <w:pPr>
              <w:tabs>
                <w:tab w:val="left" w:pos="-1440"/>
                <w:tab w:val="left" w:pos="-720"/>
              </w:tabs>
              <w:rPr>
                <w:sz w:val="20"/>
                <w:szCs w:val="20"/>
              </w:rPr>
            </w:pPr>
          </w:p>
          <w:p w:rsidR="00BB10A4" w:rsidRPr="00A935AA" w:rsidRDefault="00BB10A4" w:rsidP="00B4180A">
            <w:pPr>
              <w:tabs>
                <w:tab w:val="left" w:pos="-1440"/>
                <w:tab w:val="left" w:pos="-720"/>
              </w:tabs>
              <w:rPr>
                <w:sz w:val="20"/>
                <w:szCs w:val="20"/>
              </w:rPr>
            </w:pPr>
            <w:r w:rsidRPr="00A935AA">
              <w:rPr>
                <w:sz w:val="20"/>
                <w:szCs w:val="20"/>
              </w:rPr>
              <w:tab/>
              <w:t>v. (3</w:t>
            </w:r>
            <w:r>
              <w:rPr>
                <w:sz w:val="20"/>
                <w:szCs w:val="20"/>
              </w:rPr>
              <w:t>5911</w:t>
            </w:r>
            <w:r w:rsidRPr="00A935AA">
              <w:rPr>
                <w:sz w:val="20"/>
                <w:szCs w:val="20"/>
              </w:rPr>
              <w:t>)</w:t>
            </w:r>
          </w:p>
          <w:p w:rsidR="00BB10A4" w:rsidRPr="00A935AA" w:rsidRDefault="00BB10A4" w:rsidP="00B4180A">
            <w:pPr>
              <w:tabs>
                <w:tab w:val="left" w:pos="-1440"/>
                <w:tab w:val="left" w:pos="-720"/>
              </w:tabs>
              <w:rPr>
                <w:sz w:val="20"/>
                <w:szCs w:val="20"/>
              </w:rPr>
            </w:pPr>
          </w:p>
          <w:p w:rsidR="00BB10A4" w:rsidRPr="00A935AA" w:rsidRDefault="00BB10A4" w:rsidP="00B4180A">
            <w:pPr>
              <w:tabs>
                <w:tab w:val="left" w:pos="-1440"/>
                <w:tab w:val="left" w:pos="-720"/>
              </w:tabs>
              <w:rPr>
                <w:b/>
                <w:sz w:val="20"/>
                <w:szCs w:val="20"/>
              </w:rPr>
            </w:pPr>
            <w:r>
              <w:rPr>
                <w:b/>
                <w:sz w:val="20"/>
                <w:szCs w:val="20"/>
              </w:rPr>
              <w:t xml:space="preserve">Royal Bank of Canada </w:t>
            </w:r>
            <w:r w:rsidRPr="00A935AA">
              <w:rPr>
                <w:b/>
                <w:sz w:val="20"/>
                <w:szCs w:val="20"/>
              </w:rPr>
              <w:t>(</w:t>
            </w:r>
            <w:r>
              <w:rPr>
                <w:b/>
                <w:sz w:val="20"/>
                <w:szCs w:val="20"/>
              </w:rPr>
              <w:t>F.C</w:t>
            </w:r>
            <w:r w:rsidRPr="00A935AA">
              <w:rPr>
                <w:b/>
                <w:sz w:val="20"/>
                <w:szCs w:val="20"/>
              </w:rPr>
              <w:t>.)</w:t>
            </w:r>
          </w:p>
          <w:p w:rsidR="00BB10A4" w:rsidRPr="00A935AA" w:rsidRDefault="00BB10A4" w:rsidP="00B4180A">
            <w:pPr>
              <w:tabs>
                <w:tab w:val="left" w:pos="-1440"/>
                <w:tab w:val="left" w:pos="-720"/>
              </w:tabs>
              <w:rPr>
                <w:sz w:val="20"/>
                <w:szCs w:val="20"/>
              </w:rPr>
            </w:pPr>
            <w:r w:rsidRPr="00A935AA">
              <w:rPr>
                <w:sz w:val="20"/>
                <w:szCs w:val="20"/>
              </w:rPr>
              <w:tab/>
            </w:r>
            <w:r w:rsidR="00AE045B">
              <w:rPr>
                <w:sz w:val="20"/>
                <w:szCs w:val="20"/>
              </w:rPr>
              <w:t>Alexander Bayus</w:t>
            </w:r>
          </w:p>
          <w:p w:rsidR="00BB10A4" w:rsidRPr="00A935AA" w:rsidRDefault="00BB10A4" w:rsidP="00B4180A">
            <w:pPr>
              <w:tabs>
                <w:tab w:val="left" w:pos="-1440"/>
                <w:tab w:val="left" w:pos="-720"/>
              </w:tabs>
              <w:rPr>
                <w:sz w:val="20"/>
                <w:szCs w:val="20"/>
              </w:rPr>
            </w:pPr>
            <w:r w:rsidRPr="00A935AA">
              <w:rPr>
                <w:sz w:val="20"/>
                <w:szCs w:val="20"/>
              </w:rPr>
              <w:tab/>
            </w:r>
            <w:r w:rsidR="00AE045B">
              <w:rPr>
                <w:sz w:val="20"/>
                <w:szCs w:val="20"/>
              </w:rPr>
              <w:t>Gowling Lafleur Henderson LLP</w:t>
            </w:r>
          </w:p>
          <w:p w:rsidR="00BB10A4" w:rsidRPr="00A935AA" w:rsidRDefault="00BB10A4" w:rsidP="00B4180A">
            <w:pPr>
              <w:tabs>
                <w:tab w:val="left" w:pos="-1440"/>
                <w:tab w:val="left" w:pos="-720"/>
              </w:tabs>
              <w:rPr>
                <w:sz w:val="20"/>
                <w:szCs w:val="20"/>
              </w:rPr>
            </w:pPr>
          </w:p>
          <w:p w:rsidR="00BB10A4" w:rsidRPr="00A935AA" w:rsidRDefault="00BB10A4" w:rsidP="00B4180A">
            <w:pPr>
              <w:rPr>
                <w:sz w:val="20"/>
                <w:szCs w:val="20"/>
              </w:rPr>
            </w:pPr>
            <w:r w:rsidRPr="00A935AA">
              <w:rPr>
                <w:sz w:val="20"/>
                <w:szCs w:val="20"/>
              </w:rPr>
              <w:t>FILING DATE: 2</w:t>
            </w:r>
            <w:r w:rsidR="00AE045B">
              <w:rPr>
                <w:sz w:val="20"/>
                <w:szCs w:val="20"/>
              </w:rPr>
              <w:t>0</w:t>
            </w:r>
            <w:r w:rsidRPr="00A935AA">
              <w:rPr>
                <w:sz w:val="20"/>
                <w:szCs w:val="20"/>
              </w:rPr>
              <w:t>.0</w:t>
            </w:r>
            <w:r w:rsidR="00AE045B">
              <w:rPr>
                <w:sz w:val="20"/>
                <w:szCs w:val="20"/>
              </w:rPr>
              <w:t>5</w:t>
            </w:r>
            <w:r w:rsidRPr="00A935AA">
              <w:rPr>
                <w:sz w:val="20"/>
                <w:szCs w:val="20"/>
              </w:rPr>
              <w:t>.201</w:t>
            </w:r>
            <w:r>
              <w:rPr>
                <w:sz w:val="20"/>
                <w:szCs w:val="20"/>
              </w:rPr>
              <w:t>4</w:t>
            </w:r>
          </w:p>
          <w:p w:rsidR="00BB10A4" w:rsidRPr="00A935AA" w:rsidRDefault="005E19D3" w:rsidP="00B4180A">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Default="00BB10A4" w:rsidP="00242AEE">
            <w:pPr>
              <w:jc w:val="center"/>
              <w:rPr>
                <w:sz w:val="20"/>
                <w:szCs w:val="20"/>
              </w:rPr>
            </w:pPr>
          </w:p>
          <w:p w:rsidR="00BB10A4" w:rsidRPr="00A935AA" w:rsidRDefault="00BB10A4" w:rsidP="00242AEE">
            <w:pPr>
              <w:jc w:val="center"/>
              <w:rPr>
                <w:sz w:val="20"/>
                <w:szCs w:val="20"/>
              </w:rPr>
            </w:pPr>
          </w:p>
        </w:tc>
        <w:tc>
          <w:tcPr>
            <w:tcW w:w="4320" w:type="dxa"/>
            <w:shd w:val="clear" w:color="auto" w:fill="auto"/>
          </w:tcPr>
          <w:p w:rsidR="00BB10A4" w:rsidRPr="00A935AA" w:rsidRDefault="00AE045B" w:rsidP="00BB10A4">
            <w:pPr>
              <w:rPr>
                <w:b/>
                <w:sz w:val="20"/>
                <w:szCs w:val="20"/>
              </w:rPr>
            </w:pPr>
            <w:r>
              <w:rPr>
                <w:b/>
                <w:sz w:val="20"/>
                <w:szCs w:val="20"/>
              </w:rPr>
              <w:t>Shane Claude Ward</w:t>
            </w:r>
          </w:p>
          <w:p w:rsidR="00BB10A4" w:rsidRPr="00A935AA" w:rsidRDefault="00BB10A4" w:rsidP="00BB10A4">
            <w:pPr>
              <w:tabs>
                <w:tab w:val="left" w:pos="-1440"/>
                <w:tab w:val="left" w:pos="-720"/>
              </w:tabs>
              <w:rPr>
                <w:sz w:val="20"/>
                <w:szCs w:val="20"/>
              </w:rPr>
            </w:pPr>
            <w:r w:rsidRPr="00A935AA">
              <w:rPr>
                <w:sz w:val="20"/>
                <w:szCs w:val="20"/>
              </w:rPr>
              <w:tab/>
            </w:r>
            <w:r w:rsidR="00AE045B">
              <w:rPr>
                <w:sz w:val="20"/>
                <w:szCs w:val="20"/>
              </w:rPr>
              <w:t>Michael Crystal</w:t>
            </w:r>
          </w:p>
          <w:p w:rsidR="00BB10A4" w:rsidRPr="00A935AA" w:rsidRDefault="00BB10A4" w:rsidP="00BB10A4">
            <w:pPr>
              <w:tabs>
                <w:tab w:val="left" w:pos="-1440"/>
                <w:tab w:val="left" w:pos="-720"/>
              </w:tabs>
              <w:rPr>
                <w:sz w:val="20"/>
                <w:szCs w:val="20"/>
              </w:rPr>
            </w:pPr>
            <w:r w:rsidRPr="00A935AA">
              <w:rPr>
                <w:sz w:val="20"/>
                <w:szCs w:val="20"/>
              </w:rPr>
              <w:tab/>
            </w:r>
            <w:r w:rsidR="00AE045B">
              <w:rPr>
                <w:sz w:val="20"/>
                <w:szCs w:val="20"/>
              </w:rPr>
              <w:t>Crystal Cyr Barristers</w:t>
            </w:r>
          </w:p>
          <w:p w:rsidR="00BB10A4" w:rsidRPr="00A935AA" w:rsidRDefault="00BB10A4" w:rsidP="00BB10A4">
            <w:pPr>
              <w:tabs>
                <w:tab w:val="left" w:pos="-1440"/>
                <w:tab w:val="left" w:pos="-720"/>
              </w:tabs>
              <w:rPr>
                <w:sz w:val="20"/>
                <w:szCs w:val="20"/>
              </w:rPr>
            </w:pPr>
          </w:p>
          <w:p w:rsidR="00BB10A4" w:rsidRPr="00A935AA" w:rsidRDefault="00BB10A4" w:rsidP="00BB10A4">
            <w:pPr>
              <w:tabs>
                <w:tab w:val="left" w:pos="-1440"/>
                <w:tab w:val="left" w:pos="-720"/>
              </w:tabs>
              <w:rPr>
                <w:sz w:val="20"/>
                <w:szCs w:val="20"/>
              </w:rPr>
            </w:pPr>
            <w:r w:rsidRPr="00A935AA">
              <w:rPr>
                <w:sz w:val="20"/>
                <w:szCs w:val="20"/>
              </w:rPr>
              <w:tab/>
              <w:t>v. (3</w:t>
            </w:r>
            <w:r>
              <w:rPr>
                <w:sz w:val="20"/>
                <w:szCs w:val="20"/>
              </w:rPr>
              <w:t>5</w:t>
            </w:r>
            <w:r w:rsidR="00AE045B">
              <w:rPr>
                <w:sz w:val="20"/>
                <w:szCs w:val="20"/>
              </w:rPr>
              <w:t>902</w:t>
            </w:r>
            <w:r w:rsidRPr="00A935AA">
              <w:rPr>
                <w:sz w:val="20"/>
                <w:szCs w:val="20"/>
              </w:rPr>
              <w:t>)</w:t>
            </w:r>
          </w:p>
          <w:p w:rsidR="00BB10A4" w:rsidRPr="00A935AA" w:rsidRDefault="00BB10A4" w:rsidP="00BB10A4">
            <w:pPr>
              <w:tabs>
                <w:tab w:val="left" w:pos="-1440"/>
                <w:tab w:val="left" w:pos="-720"/>
              </w:tabs>
              <w:rPr>
                <w:sz w:val="20"/>
                <w:szCs w:val="20"/>
              </w:rPr>
            </w:pPr>
          </w:p>
          <w:p w:rsidR="00BB10A4" w:rsidRPr="00A935AA" w:rsidRDefault="00AE045B" w:rsidP="00BB10A4">
            <w:pPr>
              <w:tabs>
                <w:tab w:val="left" w:pos="-1440"/>
                <w:tab w:val="left" w:pos="-720"/>
              </w:tabs>
              <w:rPr>
                <w:b/>
                <w:sz w:val="20"/>
                <w:szCs w:val="20"/>
              </w:rPr>
            </w:pPr>
            <w:r>
              <w:rPr>
                <w:b/>
                <w:sz w:val="20"/>
                <w:szCs w:val="20"/>
              </w:rPr>
              <w:t xml:space="preserve">Her Majesty the Queen </w:t>
            </w:r>
            <w:r w:rsidR="00BB10A4" w:rsidRPr="00A935AA">
              <w:rPr>
                <w:b/>
                <w:sz w:val="20"/>
                <w:szCs w:val="20"/>
              </w:rPr>
              <w:t>(</w:t>
            </w:r>
            <w:r>
              <w:rPr>
                <w:b/>
                <w:sz w:val="20"/>
                <w:szCs w:val="20"/>
              </w:rPr>
              <w:t>N.S.</w:t>
            </w:r>
            <w:r w:rsidR="00BB10A4" w:rsidRPr="00A935AA">
              <w:rPr>
                <w:b/>
                <w:sz w:val="20"/>
                <w:szCs w:val="20"/>
              </w:rPr>
              <w:t>)</w:t>
            </w:r>
          </w:p>
          <w:p w:rsidR="00BB10A4" w:rsidRPr="00AE045B" w:rsidRDefault="00BB10A4" w:rsidP="00BB10A4">
            <w:pPr>
              <w:tabs>
                <w:tab w:val="left" w:pos="-1440"/>
                <w:tab w:val="left" w:pos="-720"/>
              </w:tabs>
              <w:rPr>
                <w:sz w:val="20"/>
                <w:szCs w:val="20"/>
                <w:lang w:val="fr-CA"/>
              </w:rPr>
            </w:pPr>
            <w:r w:rsidRPr="00A935AA">
              <w:rPr>
                <w:sz w:val="20"/>
                <w:szCs w:val="20"/>
              </w:rPr>
              <w:tab/>
            </w:r>
            <w:r w:rsidR="00AE045B" w:rsidRPr="00AE045B">
              <w:rPr>
                <w:sz w:val="20"/>
                <w:szCs w:val="20"/>
                <w:lang w:val="fr-CA"/>
              </w:rPr>
              <w:t>James A. Gumpert, Q.C.</w:t>
            </w:r>
          </w:p>
          <w:p w:rsidR="00BB10A4" w:rsidRPr="00AE045B" w:rsidRDefault="00BB10A4" w:rsidP="00BB10A4">
            <w:pPr>
              <w:tabs>
                <w:tab w:val="left" w:pos="-1440"/>
                <w:tab w:val="left" w:pos="-720"/>
              </w:tabs>
              <w:rPr>
                <w:sz w:val="20"/>
                <w:szCs w:val="20"/>
              </w:rPr>
            </w:pPr>
            <w:r w:rsidRPr="00AE045B">
              <w:rPr>
                <w:sz w:val="20"/>
                <w:szCs w:val="20"/>
                <w:lang w:val="fr-CA"/>
              </w:rPr>
              <w:tab/>
            </w:r>
            <w:r w:rsidR="00AE045B" w:rsidRPr="00AE045B">
              <w:rPr>
                <w:sz w:val="20"/>
                <w:szCs w:val="20"/>
              </w:rPr>
              <w:t xml:space="preserve">Public Prosecution Service of Nova </w:t>
            </w:r>
            <w:r w:rsidR="00AE045B" w:rsidRPr="00AE045B">
              <w:rPr>
                <w:sz w:val="20"/>
                <w:szCs w:val="20"/>
              </w:rPr>
              <w:tab/>
              <w:t>Scotia</w:t>
            </w:r>
          </w:p>
          <w:p w:rsidR="00BB10A4" w:rsidRPr="00AE045B" w:rsidRDefault="00BB10A4" w:rsidP="00BB10A4">
            <w:pPr>
              <w:tabs>
                <w:tab w:val="left" w:pos="-1440"/>
                <w:tab w:val="left" w:pos="-720"/>
              </w:tabs>
              <w:rPr>
                <w:sz w:val="20"/>
                <w:szCs w:val="20"/>
              </w:rPr>
            </w:pPr>
          </w:p>
          <w:p w:rsidR="00BB10A4" w:rsidRPr="00A935AA" w:rsidRDefault="00BB10A4" w:rsidP="00BB10A4">
            <w:pPr>
              <w:rPr>
                <w:sz w:val="20"/>
                <w:szCs w:val="20"/>
              </w:rPr>
            </w:pPr>
            <w:r w:rsidRPr="00A935AA">
              <w:rPr>
                <w:sz w:val="20"/>
                <w:szCs w:val="20"/>
              </w:rPr>
              <w:t>FILING DATE: 2</w:t>
            </w:r>
            <w:r w:rsidR="00AE045B">
              <w:rPr>
                <w:sz w:val="20"/>
                <w:szCs w:val="20"/>
              </w:rPr>
              <w:t>2</w:t>
            </w:r>
            <w:r w:rsidRPr="00A935AA">
              <w:rPr>
                <w:sz w:val="20"/>
                <w:szCs w:val="20"/>
              </w:rPr>
              <w:t>.0</w:t>
            </w:r>
            <w:r w:rsidR="00AE045B">
              <w:rPr>
                <w:sz w:val="20"/>
                <w:szCs w:val="20"/>
              </w:rPr>
              <w:t>5</w:t>
            </w:r>
            <w:r w:rsidRPr="00A935AA">
              <w:rPr>
                <w:sz w:val="20"/>
                <w:szCs w:val="20"/>
              </w:rPr>
              <w:t>.201</w:t>
            </w:r>
            <w:r>
              <w:rPr>
                <w:sz w:val="20"/>
                <w:szCs w:val="20"/>
              </w:rPr>
              <w:t>4</w:t>
            </w:r>
          </w:p>
          <w:p w:rsidR="00BB10A4" w:rsidRPr="00A935AA" w:rsidRDefault="005E19D3" w:rsidP="00BB10A4">
            <w:pPr>
              <w:rPr>
                <w:sz w:val="20"/>
                <w:szCs w:val="20"/>
              </w:rPr>
            </w:pPr>
            <w:r>
              <w:rPr>
                <w:sz w:val="20"/>
                <w:szCs w:val="20"/>
                <w:lang w:val="fr-CA"/>
              </w:rPr>
              <w:pict>
                <v:rect id="_x0000_i1038" style="width:108pt;height:1pt" o:hrpct="0" o:hralign="center" o:hrstd="t" o:hrnoshade="t" o:hr="t" fillcolor="black [3213]" stroked="f"/>
              </w:pict>
            </w:r>
          </w:p>
        </w:tc>
      </w:tr>
      <w:tr w:rsidR="00BB10A4" w:rsidRPr="00B52AC5" w:rsidTr="003B3977">
        <w:trPr>
          <w:cantSplit/>
        </w:trPr>
        <w:tc>
          <w:tcPr>
            <w:tcW w:w="4320" w:type="dxa"/>
            <w:shd w:val="clear" w:color="auto" w:fill="auto"/>
          </w:tcPr>
          <w:p w:rsidR="00BB10A4" w:rsidRPr="00A935AA" w:rsidRDefault="00B52AC5" w:rsidP="005F1ED8">
            <w:pPr>
              <w:rPr>
                <w:b/>
                <w:sz w:val="20"/>
                <w:szCs w:val="20"/>
              </w:rPr>
            </w:pPr>
            <w:r>
              <w:rPr>
                <w:b/>
                <w:sz w:val="20"/>
                <w:szCs w:val="20"/>
              </w:rPr>
              <w:t>Jessica Walker</w:t>
            </w:r>
          </w:p>
          <w:p w:rsidR="00BB10A4" w:rsidRPr="00A935AA" w:rsidRDefault="00BB10A4" w:rsidP="005F1ED8">
            <w:pPr>
              <w:tabs>
                <w:tab w:val="left" w:pos="-1440"/>
                <w:tab w:val="left" w:pos="-720"/>
              </w:tabs>
              <w:rPr>
                <w:sz w:val="20"/>
                <w:szCs w:val="20"/>
              </w:rPr>
            </w:pPr>
            <w:r w:rsidRPr="00A935AA">
              <w:rPr>
                <w:sz w:val="20"/>
                <w:szCs w:val="20"/>
              </w:rPr>
              <w:tab/>
            </w:r>
            <w:r w:rsidR="00B52AC5">
              <w:rPr>
                <w:sz w:val="20"/>
                <w:szCs w:val="20"/>
              </w:rPr>
              <w:t>David Grossman</w:t>
            </w:r>
          </w:p>
          <w:p w:rsidR="00BB10A4" w:rsidRPr="00A935AA" w:rsidRDefault="00BB10A4" w:rsidP="005F1ED8">
            <w:pPr>
              <w:tabs>
                <w:tab w:val="left" w:pos="-1440"/>
                <w:tab w:val="left" w:pos="-720"/>
              </w:tabs>
              <w:rPr>
                <w:sz w:val="20"/>
                <w:szCs w:val="20"/>
              </w:rPr>
            </w:pPr>
            <w:r w:rsidRPr="00A935AA">
              <w:rPr>
                <w:sz w:val="20"/>
                <w:szCs w:val="20"/>
              </w:rPr>
              <w:tab/>
            </w:r>
            <w:r w:rsidR="00B52AC5">
              <w:rPr>
                <w:sz w:val="20"/>
                <w:szCs w:val="20"/>
              </w:rPr>
              <w:t>Irving Mitchell Kalichman LLP</w:t>
            </w:r>
          </w:p>
          <w:p w:rsidR="00BB10A4" w:rsidRPr="00A935AA" w:rsidRDefault="00BB10A4" w:rsidP="005F1ED8">
            <w:pPr>
              <w:tabs>
                <w:tab w:val="left" w:pos="-1440"/>
                <w:tab w:val="left" w:pos="-720"/>
              </w:tabs>
              <w:rPr>
                <w:sz w:val="20"/>
                <w:szCs w:val="20"/>
              </w:rPr>
            </w:pPr>
          </w:p>
          <w:p w:rsidR="00BB10A4" w:rsidRPr="00B52AC5" w:rsidRDefault="00BB10A4" w:rsidP="005F1ED8">
            <w:pPr>
              <w:tabs>
                <w:tab w:val="left" w:pos="-1440"/>
                <w:tab w:val="left" w:pos="-720"/>
              </w:tabs>
              <w:rPr>
                <w:sz w:val="20"/>
                <w:szCs w:val="20"/>
                <w:lang w:val="fr-CA"/>
              </w:rPr>
            </w:pPr>
            <w:r w:rsidRPr="00A935AA">
              <w:rPr>
                <w:sz w:val="20"/>
                <w:szCs w:val="20"/>
              </w:rPr>
              <w:tab/>
            </w:r>
            <w:r w:rsidRPr="00B52AC5">
              <w:rPr>
                <w:sz w:val="20"/>
                <w:szCs w:val="20"/>
                <w:lang w:val="fr-CA"/>
              </w:rPr>
              <w:t>v. (35</w:t>
            </w:r>
            <w:r w:rsidR="00B52AC5" w:rsidRPr="00B52AC5">
              <w:rPr>
                <w:sz w:val="20"/>
                <w:szCs w:val="20"/>
                <w:lang w:val="fr-CA"/>
              </w:rPr>
              <w:t>904</w:t>
            </w:r>
            <w:r w:rsidRPr="00B52AC5">
              <w:rPr>
                <w:sz w:val="20"/>
                <w:szCs w:val="20"/>
                <w:lang w:val="fr-CA"/>
              </w:rPr>
              <w:t>)</w:t>
            </w:r>
          </w:p>
          <w:p w:rsidR="00BB10A4" w:rsidRPr="00B52AC5" w:rsidRDefault="00BB10A4" w:rsidP="005F1ED8">
            <w:pPr>
              <w:tabs>
                <w:tab w:val="left" w:pos="-1440"/>
                <w:tab w:val="left" w:pos="-720"/>
              </w:tabs>
              <w:rPr>
                <w:sz w:val="20"/>
                <w:szCs w:val="20"/>
                <w:lang w:val="fr-CA"/>
              </w:rPr>
            </w:pPr>
          </w:p>
          <w:p w:rsidR="00BB10A4" w:rsidRPr="00B52AC5" w:rsidRDefault="00B52AC5" w:rsidP="005F1ED8">
            <w:pPr>
              <w:tabs>
                <w:tab w:val="left" w:pos="-1440"/>
                <w:tab w:val="left" w:pos="-720"/>
              </w:tabs>
              <w:rPr>
                <w:b/>
                <w:sz w:val="20"/>
                <w:szCs w:val="20"/>
                <w:lang w:val="fr-CA"/>
              </w:rPr>
            </w:pPr>
            <w:r w:rsidRPr="00B52AC5">
              <w:rPr>
                <w:b/>
                <w:sz w:val="20"/>
                <w:szCs w:val="20"/>
                <w:lang w:val="fr-CA"/>
              </w:rPr>
              <w:t>Digital Shape Technologies Inc.</w:t>
            </w:r>
            <w:r>
              <w:rPr>
                <w:b/>
                <w:sz w:val="20"/>
                <w:szCs w:val="20"/>
                <w:lang w:val="fr-CA"/>
              </w:rPr>
              <w:t xml:space="preserve"> et al. </w:t>
            </w:r>
            <w:r w:rsidR="00BB10A4" w:rsidRPr="00B52AC5">
              <w:rPr>
                <w:b/>
                <w:sz w:val="20"/>
                <w:szCs w:val="20"/>
                <w:lang w:val="fr-CA"/>
              </w:rPr>
              <w:t>(</w:t>
            </w:r>
            <w:r>
              <w:rPr>
                <w:b/>
                <w:sz w:val="20"/>
                <w:szCs w:val="20"/>
                <w:lang w:val="fr-CA"/>
              </w:rPr>
              <w:t>Que</w:t>
            </w:r>
            <w:r w:rsidR="00BB10A4" w:rsidRPr="00B52AC5">
              <w:rPr>
                <w:b/>
                <w:sz w:val="20"/>
                <w:szCs w:val="20"/>
                <w:lang w:val="fr-CA"/>
              </w:rPr>
              <w:t>.)</w:t>
            </w:r>
          </w:p>
          <w:p w:rsidR="00BB10A4" w:rsidRPr="00B52AC5" w:rsidRDefault="00BB10A4" w:rsidP="005F1ED8">
            <w:pPr>
              <w:tabs>
                <w:tab w:val="left" w:pos="-1440"/>
                <w:tab w:val="left" w:pos="-720"/>
              </w:tabs>
              <w:rPr>
                <w:sz w:val="20"/>
                <w:szCs w:val="20"/>
                <w:lang w:val="fr-CA"/>
              </w:rPr>
            </w:pPr>
            <w:r w:rsidRPr="00B52AC5">
              <w:rPr>
                <w:sz w:val="20"/>
                <w:szCs w:val="20"/>
                <w:lang w:val="fr-CA"/>
              </w:rPr>
              <w:tab/>
            </w:r>
            <w:r w:rsidR="00B52AC5">
              <w:rPr>
                <w:sz w:val="20"/>
                <w:szCs w:val="20"/>
                <w:lang w:val="fr-CA"/>
              </w:rPr>
              <w:t>Éric Azran</w:t>
            </w:r>
          </w:p>
          <w:p w:rsidR="00BB10A4" w:rsidRPr="00B52AC5" w:rsidRDefault="00BB10A4" w:rsidP="005F1ED8">
            <w:pPr>
              <w:tabs>
                <w:tab w:val="left" w:pos="-1440"/>
                <w:tab w:val="left" w:pos="-720"/>
              </w:tabs>
              <w:rPr>
                <w:sz w:val="20"/>
                <w:szCs w:val="20"/>
                <w:lang w:val="fr-CA"/>
              </w:rPr>
            </w:pPr>
            <w:r w:rsidRPr="00B52AC5">
              <w:rPr>
                <w:sz w:val="20"/>
                <w:szCs w:val="20"/>
                <w:lang w:val="fr-CA"/>
              </w:rPr>
              <w:tab/>
            </w:r>
            <w:r w:rsidR="00B52AC5">
              <w:rPr>
                <w:sz w:val="20"/>
                <w:szCs w:val="20"/>
                <w:lang w:val="fr-CA"/>
              </w:rPr>
              <w:t>Stikeman Elliott S.E.N.C.R.L., s.r.l.</w:t>
            </w:r>
          </w:p>
          <w:p w:rsidR="00BB10A4" w:rsidRPr="00B52AC5" w:rsidRDefault="00BB10A4" w:rsidP="005F1ED8">
            <w:pPr>
              <w:tabs>
                <w:tab w:val="left" w:pos="-1440"/>
                <w:tab w:val="left" w:pos="-720"/>
              </w:tabs>
              <w:rPr>
                <w:sz w:val="20"/>
                <w:szCs w:val="20"/>
                <w:lang w:val="fr-CA"/>
              </w:rPr>
            </w:pPr>
          </w:p>
          <w:p w:rsidR="00BB10A4" w:rsidRPr="00B52AC5" w:rsidRDefault="00BB10A4" w:rsidP="005F1ED8">
            <w:pPr>
              <w:rPr>
                <w:sz w:val="20"/>
                <w:szCs w:val="20"/>
                <w:lang w:val="fr-CA"/>
              </w:rPr>
            </w:pPr>
            <w:r w:rsidRPr="00B52AC5">
              <w:rPr>
                <w:sz w:val="20"/>
                <w:szCs w:val="20"/>
                <w:lang w:val="fr-CA"/>
              </w:rPr>
              <w:t>FILING DATE: 28.0</w:t>
            </w:r>
            <w:r w:rsidR="00B52AC5">
              <w:rPr>
                <w:sz w:val="20"/>
                <w:szCs w:val="20"/>
                <w:lang w:val="fr-CA"/>
              </w:rPr>
              <w:t>5</w:t>
            </w:r>
            <w:r w:rsidRPr="00B52AC5">
              <w:rPr>
                <w:sz w:val="20"/>
                <w:szCs w:val="20"/>
                <w:lang w:val="fr-CA"/>
              </w:rPr>
              <w:t>.2014</w:t>
            </w:r>
          </w:p>
          <w:p w:rsidR="00BB10A4" w:rsidRPr="00B52AC5" w:rsidRDefault="005E19D3" w:rsidP="005F1ED8">
            <w:pPr>
              <w:rPr>
                <w:sz w:val="20"/>
                <w:szCs w:val="20"/>
                <w:lang w:val="fr-CA"/>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p w:rsidR="00BB10A4" w:rsidRPr="00B52AC5" w:rsidRDefault="00BB10A4" w:rsidP="00242AEE">
            <w:pPr>
              <w:jc w:val="center"/>
              <w:rPr>
                <w:sz w:val="20"/>
                <w:szCs w:val="20"/>
                <w:lang w:val="fr-CA"/>
              </w:rPr>
            </w:pPr>
          </w:p>
        </w:tc>
        <w:tc>
          <w:tcPr>
            <w:tcW w:w="4320" w:type="dxa"/>
            <w:shd w:val="clear" w:color="auto" w:fill="auto"/>
          </w:tcPr>
          <w:p w:rsidR="00B52AC5" w:rsidRDefault="00B52AC5" w:rsidP="008B2EA0">
            <w:pPr>
              <w:keepNext/>
              <w:keepLines/>
              <w:tabs>
                <w:tab w:val="left" w:pos="-1440"/>
                <w:tab w:val="left" w:pos="-720"/>
              </w:tabs>
              <w:rPr>
                <w:b/>
                <w:sz w:val="20"/>
                <w:szCs w:val="20"/>
                <w:lang w:val="fr-CA"/>
              </w:rPr>
            </w:pPr>
          </w:p>
          <w:p w:rsidR="00BB10A4" w:rsidRPr="00806A5B" w:rsidRDefault="00B52AC5" w:rsidP="008B2EA0">
            <w:pPr>
              <w:keepNext/>
              <w:keepLines/>
              <w:tabs>
                <w:tab w:val="left" w:pos="-1440"/>
                <w:tab w:val="left" w:pos="-720"/>
              </w:tabs>
              <w:rPr>
                <w:b/>
                <w:sz w:val="20"/>
                <w:szCs w:val="20"/>
                <w:lang w:val="fr-CA"/>
              </w:rPr>
            </w:pPr>
            <w:r>
              <w:rPr>
                <w:b/>
                <w:sz w:val="20"/>
                <w:szCs w:val="20"/>
                <w:lang w:val="fr-CA"/>
              </w:rPr>
              <w:t>Jean-Franç</w:t>
            </w:r>
            <w:r w:rsidR="00BB10A4" w:rsidRPr="00806A5B">
              <w:rPr>
                <w:b/>
                <w:sz w:val="20"/>
                <w:szCs w:val="20"/>
                <w:lang w:val="fr-CA"/>
              </w:rPr>
              <w:t>o</w:t>
            </w:r>
            <w:r>
              <w:rPr>
                <w:b/>
                <w:sz w:val="20"/>
                <w:szCs w:val="20"/>
                <w:lang w:val="fr-CA"/>
              </w:rPr>
              <w:t>is Blais</w:t>
            </w:r>
          </w:p>
          <w:p w:rsidR="00BB10A4" w:rsidRPr="00806A5B" w:rsidRDefault="00BB10A4" w:rsidP="008B2EA0">
            <w:pPr>
              <w:keepNext/>
              <w:keepLines/>
              <w:tabs>
                <w:tab w:val="left" w:pos="-1440"/>
                <w:tab w:val="left" w:pos="-720"/>
              </w:tabs>
              <w:rPr>
                <w:sz w:val="20"/>
                <w:szCs w:val="20"/>
                <w:lang w:val="fr-CA"/>
              </w:rPr>
            </w:pPr>
            <w:r w:rsidRPr="00806A5B">
              <w:rPr>
                <w:sz w:val="20"/>
                <w:szCs w:val="20"/>
                <w:lang w:val="fr-CA"/>
              </w:rPr>
              <w:tab/>
            </w:r>
            <w:r w:rsidR="00B52AC5">
              <w:rPr>
                <w:sz w:val="20"/>
                <w:szCs w:val="20"/>
                <w:lang w:val="fr-CA"/>
              </w:rPr>
              <w:t>J</w:t>
            </w:r>
            <w:r w:rsidRPr="00806A5B">
              <w:rPr>
                <w:sz w:val="20"/>
                <w:szCs w:val="20"/>
                <w:lang w:val="fr-CA"/>
              </w:rPr>
              <w:t>e</w:t>
            </w:r>
            <w:r w:rsidR="00B52AC5">
              <w:rPr>
                <w:sz w:val="20"/>
                <w:szCs w:val="20"/>
                <w:lang w:val="fr-CA"/>
              </w:rPr>
              <w:t>an-F</w:t>
            </w:r>
            <w:r w:rsidRPr="00806A5B">
              <w:rPr>
                <w:sz w:val="20"/>
                <w:szCs w:val="20"/>
                <w:lang w:val="fr-CA"/>
              </w:rPr>
              <w:t>ra</w:t>
            </w:r>
            <w:r w:rsidR="00B52AC5">
              <w:rPr>
                <w:sz w:val="20"/>
                <w:szCs w:val="20"/>
                <w:lang w:val="fr-CA"/>
              </w:rPr>
              <w:t>nçois Blais</w:t>
            </w:r>
          </w:p>
          <w:p w:rsidR="00BB10A4" w:rsidRPr="00806A5B" w:rsidRDefault="00BB10A4" w:rsidP="008B2EA0">
            <w:pPr>
              <w:keepNext/>
              <w:keepLines/>
              <w:tabs>
                <w:tab w:val="left" w:pos="-1440"/>
                <w:tab w:val="left" w:pos="-720"/>
              </w:tabs>
              <w:rPr>
                <w:sz w:val="20"/>
                <w:szCs w:val="20"/>
                <w:lang w:val="fr-CA"/>
              </w:rPr>
            </w:pPr>
          </w:p>
          <w:p w:rsidR="00BB10A4" w:rsidRPr="00806A5B" w:rsidRDefault="00BB10A4" w:rsidP="008B2EA0">
            <w:pPr>
              <w:keepNext/>
              <w:keepLines/>
              <w:tabs>
                <w:tab w:val="left" w:pos="-1440"/>
                <w:tab w:val="left" w:pos="-720"/>
              </w:tabs>
              <w:rPr>
                <w:sz w:val="20"/>
                <w:szCs w:val="20"/>
                <w:lang w:val="fr-CA"/>
              </w:rPr>
            </w:pPr>
            <w:r w:rsidRPr="00806A5B">
              <w:rPr>
                <w:sz w:val="20"/>
                <w:szCs w:val="20"/>
                <w:lang w:val="fr-CA"/>
              </w:rPr>
              <w:tab/>
              <w:t>c. (35</w:t>
            </w:r>
            <w:r w:rsidR="00B52AC5">
              <w:rPr>
                <w:sz w:val="20"/>
                <w:szCs w:val="20"/>
                <w:lang w:val="fr-CA"/>
              </w:rPr>
              <w:t>90</w:t>
            </w:r>
            <w:r w:rsidRPr="00806A5B">
              <w:rPr>
                <w:sz w:val="20"/>
                <w:szCs w:val="20"/>
                <w:lang w:val="fr-CA"/>
              </w:rPr>
              <w:t>5)</w:t>
            </w:r>
          </w:p>
          <w:p w:rsidR="00BB10A4" w:rsidRPr="00806A5B" w:rsidRDefault="00BB10A4" w:rsidP="008B2EA0">
            <w:pPr>
              <w:keepNext/>
              <w:keepLines/>
              <w:tabs>
                <w:tab w:val="left" w:pos="-1440"/>
                <w:tab w:val="left" w:pos="-720"/>
              </w:tabs>
              <w:rPr>
                <w:sz w:val="20"/>
                <w:szCs w:val="20"/>
                <w:lang w:val="fr-CA"/>
              </w:rPr>
            </w:pPr>
          </w:p>
          <w:p w:rsidR="00BB10A4" w:rsidRPr="00806A5B" w:rsidRDefault="00BB10A4" w:rsidP="008B2EA0">
            <w:pPr>
              <w:keepNext/>
              <w:keepLines/>
              <w:tabs>
                <w:tab w:val="left" w:pos="-1440"/>
                <w:tab w:val="left" w:pos="-720"/>
              </w:tabs>
              <w:rPr>
                <w:b/>
                <w:sz w:val="20"/>
                <w:szCs w:val="20"/>
                <w:lang w:val="fr-CA"/>
              </w:rPr>
            </w:pPr>
            <w:r w:rsidRPr="00806A5B">
              <w:rPr>
                <w:b/>
                <w:sz w:val="20"/>
                <w:szCs w:val="20"/>
                <w:lang w:val="fr-CA"/>
              </w:rPr>
              <w:t>Sa Majesté la Reine (Qc)</w:t>
            </w:r>
          </w:p>
          <w:p w:rsidR="00BB10A4" w:rsidRPr="00806A5B" w:rsidRDefault="00BB10A4" w:rsidP="008B2EA0">
            <w:pPr>
              <w:keepNext/>
              <w:keepLines/>
              <w:tabs>
                <w:tab w:val="left" w:pos="-1440"/>
                <w:tab w:val="left" w:pos="-720"/>
              </w:tabs>
              <w:rPr>
                <w:sz w:val="20"/>
                <w:szCs w:val="20"/>
                <w:lang w:val="fr-CA"/>
              </w:rPr>
            </w:pPr>
            <w:r w:rsidRPr="00806A5B">
              <w:rPr>
                <w:sz w:val="20"/>
                <w:szCs w:val="20"/>
                <w:lang w:val="fr-CA"/>
              </w:rPr>
              <w:tab/>
            </w:r>
            <w:r w:rsidR="00B52AC5">
              <w:rPr>
                <w:sz w:val="20"/>
                <w:szCs w:val="20"/>
                <w:lang w:val="fr-CA"/>
              </w:rPr>
              <w:t>Dan</w:t>
            </w:r>
            <w:r>
              <w:rPr>
                <w:sz w:val="20"/>
                <w:szCs w:val="20"/>
                <w:lang w:val="fr-CA"/>
              </w:rPr>
              <w:t xml:space="preserve">iel </w:t>
            </w:r>
            <w:r w:rsidR="00B52AC5">
              <w:rPr>
                <w:sz w:val="20"/>
                <w:szCs w:val="20"/>
                <w:lang w:val="fr-CA"/>
              </w:rPr>
              <w:t>R</w:t>
            </w:r>
            <w:r>
              <w:rPr>
                <w:sz w:val="20"/>
                <w:szCs w:val="20"/>
                <w:lang w:val="fr-CA"/>
              </w:rPr>
              <w:t>o</w:t>
            </w:r>
            <w:r w:rsidR="00B52AC5">
              <w:rPr>
                <w:sz w:val="20"/>
                <w:szCs w:val="20"/>
                <w:lang w:val="fr-CA"/>
              </w:rPr>
              <w:t>yer</w:t>
            </w:r>
          </w:p>
          <w:p w:rsidR="00BB10A4" w:rsidRPr="00806A5B" w:rsidRDefault="00BB10A4" w:rsidP="008B2EA0">
            <w:pPr>
              <w:keepNext/>
              <w:keepLines/>
              <w:tabs>
                <w:tab w:val="left" w:pos="-1440"/>
                <w:tab w:val="left" w:pos="-720"/>
              </w:tabs>
              <w:rPr>
                <w:sz w:val="20"/>
                <w:szCs w:val="20"/>
                <w:lang w:val="fr-CA"/>
              </w:rPr>
            </w:pPr>
            <w:r w:rsidRPr="00806A5B">
              <w:rPr>
                <w:sz w:val="20"/>
                <w:szCs w:val="20"/>
                <w:lang w:val="fr-CA"/>
              </w:rPr>
              <w:tab/>
            </w:r>
            <w:r w:rsidR="00B52AC5">
              <w:rPr>
                <w:sz w:val="20"/>
                <w:szCs w:val="20"/>
                <w:lang w:val="fr-CA"/>
              </w:rPr>
              <w:t>Directeur des p</w:t>
            </w:r>
            <w:r>
              <w:rPr>
                <w:sz w:val="20"/>
                <w:szCs w:val="20"/>
                <w:lang w:val="fr-CA"/>
              </w:rPr>
              <w:t xml:space="preserve">oursuites criminelles et </w:t>
            </w:r>
            <w:r w:rsidR="00B52AC5">
              <w:rPr>
                <w:sz w:val="20"/>
                <w:szCs w:val="20"/>
                <w:lang w:val="fr-CA"/>
              </w:rPr>
              <w:tab/>
            </w:r>
            <w:r>
              <w:rPr>
                <w:sz w:val="20"/>
                <w:szCs w:val="20"/>
                <w:lang w:val="fr-CA"/>
              </w:rPr>
              <w:t>pénales du Québec</w:t>
            </w:r>
          </w:p>
          <w:p w:rsidR="00BB10A4" w:rsidRPr="00806A5B" w:rsidRDefault="00BB10A4" w:rsidP="008B2EA0">
            <w:pPr>
              <w:keepNext/>
              <w:keepLines/>
              <w:tabs>
                <w:tab w:val="left" w:pos="-1440"/>
                <w:tab w:val="left" w:pos="-720"/>
              </w:tabs>
              <w:rPr>
                <w:sz w:val="20"/>
                <w:szCs w:val="20"/>
                <w:lang w:val="fr-CA"/>
              </w:rPr>
            </w:pPr>
          </w:p>
          <w:p w:rsidR="00BB10A4" w:rsidRPr="00806A5B" w:rsidRDefault="00BB10A4" w:rsidP="00B52AC5">
            <w:pPr>
              <w:rPr>
                <w:sz w:val="20"/>
                <w:szCs w:val="20"/>
                <w:lang w:val="fr-CA"/>
              </w:rPr>
            </w:pPr>
            <w:r w:rsidRPr="00806A5B">
              <w:rPr>
                <w:sz w:val="20"/>
                <w:szCs w:val="20"/>
                <w:lang w:val="fr-CA"/>
              </w:rPr>
              <w:t xml:space="preserve">DATE DE PRODUCTION: </w:t>
            </w:r>
            <w:r w:rsidR="00B52AC5">
              <w:rPr>
                <w:sz w:val="20"/>
                <w:szCs w:val="20"/>
                <w:lang w:val="fr-CA"/>
              </w:rPr>
              <w:t>23</w:t>
            </w:r>
            <w:r w:rsidRPr="00806A5B">
              <w:rPr>
                <w:sz w:val="20"/>
                <w:szCs w:val="20"/>
                <w:lang w:val="fr-CA"/>
              </w:rPr>
              <w:t>.0</w:t>
            </w:r>
            <w:r w:rsidR="00B52AC5">
              <w:rPr>
                <w:sz w:val="20"/>
                <w:szCs w:val="20"/>
                <w:lang w:val="fr-CA"/>
              </w:rPr>
              <w:t>5</w:t>
            </w:r>
            <w:r w:rsidRPr="00806A5B">
              <w:rPr>
                <w:sz w:val="20"/>
                <w:szCs w:val="20"/>
                <w:lang w:val="fr-CA"/>
              </w:rPr>
              <w:t>.2014</w:t>
            </w:r>
            <w:r w:rsidR="005E19D3">
              <w:rPr>
                <w:sz w:val="20"/>
                <w:szCs w:val="20"/>
                <w:lang w:val="fr-CA"/>
              </w:rPr>
              <w:pict>
                <v:rect id="_x0000_i1040" style="width:108pt;height:1pt" o:hrpct="0" o:hralign="center" o:hrstd="t" o:hrnoshade="t" o:hr="t" fillcolor="black [3213]" stroked="f"/>
              </w:pict>
            </w:r>
          </w:p>
        </w:tc>
      </w:tr>
    </w:tbl>
    <w:p w:rsidR="006C3F47" w:rsidRPr="00B52AC5" w:rsidRDefault="006C3F47" w:rsidP="0095096B">
      <w:pPr>
        <w:tabs>
          <w:tab w:val="right" w:pos="9360"/>
        </w:tabs>
        <w:rPr>
          <w:sz w:val="20"/>
          <w:szCs w:val="20"/>
          <w:lang w:val="fr-CA"/>
        </w:rPr>
      </w:pPr>
    </w:p>
    <w:p w:rsidR="00242AEE" w:rsidRPr="00B52AC5" w:rsidRDefault="00242AEE" w:rsidP="0095096B">
      <w:pPr>
        <w:tabs>
          <w:tab w:val="right" w:pos="9360"/>
        </w:tabs>
        <w:rPr>
          <w:sz w:val="20"/>
          <w:szCs w:val="20"/>
          <w:lang w:val="fr-CA"/>
        </w:rPr>
      </w:pPr>
    </w:p>
    <w:p w:rsidR="00242AEE" w:rsidRPr="00B52AC5" w:rsidRDefault="00242AEE" w:rsidP="0095096B">
      <w:pPr>
        <w:tabs>
          <w:tab w:val="right" w:pos="9360"/>
        </w:tabs>
        <w:rPr>
          <w:sz w:val="20"/>
          <w:szCs w:val="20"/>
          <w:lang w:val="fr-CA"/>
        </w:rPr>
        <w:sectPr w:rsidR="00242AEE" w:rsidRPr="00B52AC5" w:rsidSect="00544C72">
          <w:headerReference w:type="default" r:id="rId17"/>
          <w:footerReference w:type="default" r:id="rId18"/>
          <w:headerReference w:type="first" r:id="rId19"/>
          <w:footerReference w:type="first" r:id="rId20"/>
          <w:pgSz w:w="12240" w:h="15840"/>
          <w:pgMar w:top="720" w:right="965" w:bottom="1080" w:left="1656" w:header="706" w:footer="706" w:gutter="0"/>
          <w:pgNumType w:start="96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E19D3" w:rsidTr="00BA6468">
        <w:trPr>
          <w:trHeight w:val="900"/>
        </w:trPr>
        <w:tc>
          <w:tcPr>
            <w:tcW w:w="4200" w:type="dxa"/>
            <w:tcMar>
              <w:left w:w="0" w:type="dxa"/>
              <w:right w:w="0" w:type="dxa"/>
            </w:tcMar>
          </w:tcPr>
          <w:p w:rsidR="002E2327" w:rsidRPr="001243F9" w:rsidRDefault="002E2327" w:rsidP="002E2327">
            <w:pPr>
              <w:keepNext/>
              <w:keepLines/>
              <w:widowControl w:val="0"/>
              <w:rPr>
                <w:b/>
                <w:szCs w:val="24"/>
              </w:rPr>
            </w:pPr>
            <w:r w:rsidRPr="001243F9">
              <w:rPr>
                <w:b/>
                <w:szCs w:val="24"/>
              </w:rPr>
              <w:lastRenderedPageBreak/>
              <w:t>APPLICATIONS FOR LEAVE SUBMITTED TO COURT SINCE LAST ISSUE</w:t>
            </w:r>
          </w:p>
        </w:tc>
        <w:tc>
          <w:tcPr>
            <w:tcW w:w="1200" w:type="dxa"/>
            <w:tcMar>
              <w:left w:w="0" w:type="dxa"/>
              <w:right w:w="0" w:type="dxa"/>
            </w:tcMar>
          </w:tcPr>
          <w:p w:rsidR="002E2327" w:rsidRPr="001243F9" w:rsidRDefault="002E2327" w:rsidP="002E2327">
            <w:pPr>
              <w:keepNext/>
              <w:keepLines/>
              <w:widowControl w:val="0"/>
              <w:jc w:val="center"/>
              <w:rPr>
                <w:b/>
                <w:szCs w:val="24"/>
              </w:rPr>
            </w:pPr>
          </w:p>
          <w:p w:rsidR="001D0D5F" w:rsidRPr="001243F9" w:rsidRDefault="001D0D5F" w:rsidP="002E2327">
            <w:pPr>
              <w:keepNext/>
              <w:keepLines/>
              <w:widowControl w:val="0"/>
              <w:jc w:val="center"/>
              <w:rPr>
                <w:b/>
                <w:szCs w:val="24"/>
              </w:rPr>
            </w:pPr>
          </w:p>
          <w:p w:rsidR="001D0D5F" w:rsidRPr="001243F9" w:rsidRDefault="001D0D5F" w:rsidP="002E2327">
            <w:pPr>
              <w:keepNext/>
              <w:keepLines/>
              <w:widowControl w:val="0"/>
              <w:jc w:val="center"/>
              <w:rPr>
                <w:b/>
                <w:szCs w:val="24"/>
              </w:rPr>
            </w:pPr>
          </w:p>
          <w:p w:rsidR="001D0D5F" w:rsidRPr="001243F9"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w:t>
      </w:r>
      <w:r w:rsidR="00BB0208">
        <w:rPr>
          <w:b/>
          <w:sz w:val="20"/>
          <w:szCs w:val="20"/>
        </w:rPr>
        <w:t>U</w:t>
      </w:r>
      <w:r>
        <w:rPr>
          <w:b/>
          <w:sz w:val="20"/>
          <w:szCs w:val="20"/>
        </w:rPr>
        <w:t>N</w:t>
      </w:r>
      <w:r w:rsidR="00BB0208">
        <w:rPr>
          <w:b/>
          <w:sz w:val="20"/>
          <w:szCs w:val="20"/>
        </w:rPr>
        <w:t>E</w:t>
      </w:r>
      <w:r>
        <w:rPr>
          <w:b/>
          <w:sz w:val="20"/>
          <w:szCs w:val="20"/>
        </w:rPr>
        <w:t xml:space="preserve"> 2</w:t>
      </w:r>
      <w:r w:rsidRPr="00C50A5C">
        <w:rPr>
          <w:b/>
          <w:sz w:val="20"/>
          <w:szCs w:val="20"/>
        </w:rPr>
        <w:t>, 201</w:t>
      </w:r>
      <w:r>
        <w:rPr>
          <w:b/>
          <w:sz w:val="20"/>
          <w:szCs w:val="20"/>
        </w:rPr>
        <w:t>4</w:t>
      </w:r>
      <w:r w:rsidRPr="00C50A5C">
        <w:rPr>
          <w:b/>
          <w:sz w:val="20"/>
          <w:szCs w:val="20"/>
        </w:rPr>
        <w:t xml:space="preserve"> / LE </w:t>
      </w:r>
      <w:r>
        <w:rPr>
          <w:b/>
          <w:sz w:val="20"/>
          <w:szCs w:val="20"/>
        </w:rPr>
        <w:t>2 J</w:t>
      </w:r>
      <w:r w:rsidR="00BB0208">
        <w:rPr>
          <w:b/>
          <w:sz w:val="20"/>
          <w:szCs w:val="20"/>
        </w:rPr>
        <w:t>UI</w:t>
      </w:r>
      <w:r>
        <w:rPr>
          <w:b/>
          <w:sz w:val="20"/>
          <w:szCs w:val="20"/>
        </w:rPr>
        <w:t>N</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DA0C5E" w:rsidRDefault="00DA0C5E" w:rsidP="00CB3520">
      <w:pPr>
        <w:pStyle w:val="ListParagraph"/>
        <w:widowControl w:val="0"/>
        <w:numPr>
          <w:ilvl w:val="0"/>
          <w:numId w:val="1"/>
        </w:numPr>
        <w:ind w:hanging="720"/>
        <w:jc w:val="both"/>
        <w:rPr>
          <w:sz w:val="20"/>
          <w:szCs w:val="20"/>
          <w:lang w:val="fr-CA"/>
        </w:rPr>
      </w:pPr>
      <w:r w:rsidRPr="00DA0C5E">
        <w:rPr>
          <w:i/>
          <w:sz w:val="20"/>
          <w:szCs w:val="20"/>
          <w:lang w:val="fr-CA"/>
        </w:rPr>
        <w:t>Jérôme Choquette c. Pierre-Gabriel Guimont, en qualité de syndic adjoint du Barreau du Québec</w:t>
      </w:r>
      <w:r w:rsidRPr="00DA0C5E">
        <w:rPr>
          <w:sz w:val="20"/>
          <w:szCs w:val="20"/>
          <w:lang w:val="fr-CA"/>
        </w:rPr>
        <w:t xml:space="preserve"> (Qc) (Civile) (Autorisation) </w:t>
      </w:r>
      <w:r w:rsidR="00CB3520" w:rsidRPr="00DA0C5E">
        <w:rPr>
          <w:sz w:val="20"/>
          <w:szCs w:val="20"/>
          <w:lang w:val="fr-CA"/>
        </w:rPr>
        <w:t>(35</w:t>
      </w:r>
      <w:r>
        <w:rPr>
          <w:sz w:val="20"/>
          <w:szCs w:val="20"/>
          <w:lang w:val="fr-CA"/>
        </w:rPr>
        <w:t>774</w:t>
      </w:r>
      <w:r w:rsidR="00CB3520" w:rsidRPr="00DA0C5E">
        <w:rPr>
          <w:sz w:val="20"/>
          <w:szCs w:val="20"/>
          <w:lang w:val="fr-CA"/>
        </w:rPr>
        <w:t>)</w:t>
      </w:r>
    </w:p>
    <w:p w:rsidR="00CB3520" w:rsidRPr="00DA0C5E" w:rsidRDefault="00CB3520" w:rsidP="00CB3520">
      <w:pPr>
        <w:widowControl w:val="0"/>
        <w:jc w:val="both"/>
        <w:rPr>
          <w:sz w:val="20"/>
          <w:szCs w:val="20"/>
          <w:lang w:val="fr-CA"/>
        </w:rPr>
      </w:pPr>
    </w:p>
    <w:p w:rsidR="00CB3520" w:rsidRPr="00DA0C5E" w:rsidRDefault="00DA0C5E" w:rsidP="00CB3520">
      <w:pPr>
        <w:pStyle w:val="ListParagraph"/>
        <w:widowControl w:val="0"/>
        <w:numPr>
          <w:ilvl w:val="0"/>
          <w:numId w:val="1"/>
        </w:numPr>
        <w:ind w:hanging="720"/>
        <w:jc w:val="both"/>
        <w:rPr>
          <w:sz w:val="20"/>
          <w:szCs w:val="20"/>
          <w:lang w:val="fr-CA"/>
        </w:rPr>
      </w:pPr>
      <w:r w:rsidRPr="00E75638">
        <w:rPr>
          <w:i/>
          <w:sz w:val="20"/>
          <w:szCs w:val="20"/>
          <w:lang w:val="fr-CA"/>
        </w:rPr>
        <w:t>Sa Majesté la Reine c. Jean-Claude Ouellet</w:t>
      </w:r>
      <w:r w:rsidRPr="00DA0C5E">
        <w:rPr>
          <w:sz w:val="20"/>
          <w:szCs w:val="20"/>
          <w:lang w:val="fr-CA"/>
        </w:rPr>
        <w:t xml:space="preserve"> (Qc) (Crim.) (Autorisation) </w:t>
      </w:r>
      <w:r w:rsidR="00CB3520" w:rsidRPr="00DA0C5E">
        <w:rPr>
          <w:sz w:val="20"/>
          <w:szCs w:val="20"/>
          <w:lang w:val="fr-CA"/>
        </w:rPr>
        <w:t>(35</w:t>
      </w:r>
      <w:r w:rsidRPr="00DA0C5E">
        <w:rPr>
          <w:sz w:val="20"/>
          <w:szCs w:val="20"/>
          <w:lang w:val="fr-CA"/>
        </w:rPr>
        <w:t>790</w:t>
      </w:r>
      <w:r w:rsidR="00CB3520" w:rsidRPr="00DA0C5E">
        <w:rPr>
          <w:sz w:val="20"/>
          <w:szCs w:val="20"/>
          <w:lang w:val="fr-CA"/>
        </w:rPr>
        <w:t>)</w:t>
      </w:r>
    </w:p>
    <w:p w:rsidR="00CB3520" w:rsidRPr="00DA0C5E" w:rsidRDefault="00CB3520" w:rsidP="00CB3520">
      <w:pPr>
        <w:widowControl w:val="0"/>
        <w:jc w:val="both"/>
        <w:rPr>
          <w:sz w:val="20"/>
          <w:szCs w:val="20"/>
          <w:lang w:val="fr-CA"/>
        </w:rPr>
      </w:pPr>
    </w:p>
    <w:p w:rsidR="00CB3520" w:rsidRPr="00C50A5C" w:rsidRDefault="00DA0C5E" w:rsidP="00CB3520">
      <w:pPr>
        <w:pStyle w:val="ListParagraph"/>
        <w:widowControl w:val="0"/>
        <w:numPr>
          <w:ilvl w:val="0"/>
          <w:numId w:val="1"/>
        </w:numPr>
        <w:ind w:hanging="720"/>
        <w:jc w:val="both"/>
        <w:rPr>
          <w:sz w:val="20"/>
          <w:szCs w:val="20"/>
        </w:rPr>
      </w:pPr>
      <w:r w:rsidRPr="00DA0C5E">
        <w:rPr>
          <w:i/>
          <w:sz w:val="20"/>
          <w:szCs w:val="20"/>
        </w:rPr>
        <w:t>Randy Tymkin v. Chief Jack Ewatski et al.</w:t>
      </w:r>
      <w:r w:rsidRPr="00DA0C5E">
        <w:rPr>
          <w:sz w:val="20"/>
          <w:szCs w:val="20"/>
        </w:rPr>
        <w:t xml:space="preserve"> (Man.) (Civil) (By Leave)</w:t>
      </w:r>
      <w:r w:rsidRPr="00940CAD">
        <w:rPr>
          <w:sz w:val="20"/>
          <w:szCs w:val="20"/>
        </w:rPr>
        <w:t xml:space="preserve"> </w:t>
      </w:r>
      <w:r w:rsidR="00CB3520" w:rsidRPr="00940CAD">
        <w:rPr>
          <w:sz w:val="20"/>
          <w:szCs w:val="20"/>
        </w:rPr>
        <w:t>(3</w:t>
      </w:r>
      <w:r w:rsidR="00CB3520">
        <w:rPr>
          <w:sz w:val="20"/>
          <w:szCs w:val="20"/>
        </w:rPr>
        <w:t>5</w:t>
      </w:r>
      <w:r>
        <w:rPr>
          <w:sz w:val="20"/>
          <w:szCs w:val="20"/>
        </w:rPr>
        <w:t>7</w:t>
      </w:r>
      <w:r w:rsidR="00CB3520">
        <w:rPr>
          <w:sz w:val="20"/>
          <w:szCs w:val="20"/>
        </w:rPr>
        <w:t>4</w:t>
      </w:r>
      <w:r>
        <w:rPr>
          <w:sz w:val="20"/>
          <w:szCs w:val="20"/>
        </w:rPr>
        <w:t>9</w:t>
      </w:r>
      <w:r w:rsidR="00CB3520" w:rsidRPr="00940CAD">
        <w:rPr>
          <w:sz w:val="20"/>
          <w:szCs w:val="20"/>
        </w:rPr>
        <w:t>)</w:t>
      </w:r>
    </w:p>
    <w:p w:rsidR="00CB3520" w:rsidRPr="00C50A5C" w:rsidRDefault="00CB3520" w:rsidP="00CB3520">
      <w:pPr>
        <w:widowControl w:val="0"/>
        <w:rPr>
          <w:sz w:val="20"/>
          <w:szCs w:val="20"/>
        </w:rPr>
      </w:pPr>
    </w:p>
    <w:p w:rsidR="00CB3520" w:rsidRPr="00C50A5C" w:rsidRDefault="00DA0C5E" w:rsidP="00CB3520">
      <w:pPr>
        <w:pStyle w:val="ListParagraph"/>
        <w:widowControl w:val="0"/>
        <w:numPr>
          <w:ilvl w:val="0"/>
          <w:numId w:val="1"/>
        </w:numPr>
        <w:ind w:hanging="720"/>
        <w:jc w:val="both"/>
        <w:rPr>
          <w:sz w:val="20"/>
          <w:szCs w:val="20"/>
        </w:rPr>
      </w:pPr>
      <w:r w:rsidRPr="00DA0C5E">
        <w:rPr>
          <w:i/>
          <w:sz w:val="20"/>
          <w:szCs w:val="20"/>
        </w:rPr>
        <w:t>Jeffrey Bradfield v. Jeremy Caton et al.</w:t>
      </w:r>
      <w:r w:rsidRPr="00DA0C5E">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5</w:t>
      </w:r>
      <w:r>
        <w:rPr>
          <w:sz w:val="20"/>
          <w:szCs w:val="20"/>
        </w:rPr>
        <w:t>784</w:t>
      </w:r>
      <w:r w:rsidR="00CB3520" w:rsidRPr="00C50A5C">
        <w:rPr>
          <w:sz w:val="20"/>
          <w:szCs w:val="20"/>
        </w:rPr>
        <w:t>)</w:t>
      </w:r>
    </w:p>
    <w:p w:rsidR="00CB3520" w:rsidRDefault="00CB3520" w:rsidP="00CB3520">
      <w:pPr>
        <w:widowControl w:val="0"/>
        <w:jc w:val="both"/>
        <w:rPr>
          <w:sz w:val="20"/>
          <w:szCs w:val="20"/>
        </w:rPr>
      </w:pPr>
    </w:p>
    <w:p w:rsidR="00CB3520" w:rsidRPr="00DA0C5E" w:rsidRDefault="00DA0C5E" w:rsidP="00CB3520">
      <w:pPr>
        <w:pStyle w:val="ListParagraph"/>
        <w:widowControl w:val="0"/>
        <w:numPr>
          <w:ilvl w:val="0"/>
          <w:numId w:val="1"/>
        </w:numPr>
        <w:ind w:hanging="720"/>
        <w:jc w:val="both"/>
        <w:rPr>
          <w:sz w:val="20"/>
          <w:szCs w:val="20"/>
          <w:lang w:val="fr-CA"/>
        </w:rPr>
      </w:pPr>
      <w:r w:rsidRPr="00DA0C5E">
        <w:rPr>
          <w:i/>
          <w:sz w:val="20"/>
          <w:szCs w:val="20"/>
          <w:lang w:val="fr-CA"/>
        </w:rPr>
        <w:t>Transit du Roy Inc. c. Commission de la santé et de la sécurité du travail</w:t>
      </w:r>
      <w:r w:rsidRPr="00DA0C5E">
        <w:rPr>
          <w:sz w:val="20"/>
          <w:szCs w:val="20"/>
          <w:lang w:val="fr-CA"/>
        </w:rPr>
        <w:t xml:space="preserve"> (Qc) (Civile) (Autorisation) </w:t>
      </w:r>
      <w:r w:rsidR="00CB3520" w:rsidRPr="00DA0C5E">
        <w:rPr>
          <w:sz w:val="20"/>
          <w:szCs w:val="20"/>
          <w:lang w:val="fr-CA"/>
        </w:rPr>
        <w:t>(35</w:t>
      </w:r>
      <w:r w:rsidRPr="00DA0C5E">
        <w:rPr>
          <w:sz w:val="20"/>
          <w:szCs w:val="20"/>
          <w:lang w:val="fr-CA"/>
        </w:rPr>
        <w:t>8</w:t>
      </w:r>
      <w:r w:rsidR="00CB3520" w:rsidRPr="00DA0C5E">
        <w:rPr>
          <w:sz w:val="20"/>
          <w:szCs w:val="20"/>
          <w:lang w:val="fr-CA"/>
        </w:rPr>
        <w:t>31)</w:t>
      </w:r>
    </w:p>
    <w:p w:rsidR="00CB3520" w:rsidRPr="00DA0C5E" w:rsidRDefault="00CB3520" w:rsidP="00CB3520">
      <w:pPr>
        <w:widowControl w:val="0"/>
        <w:rPr>
          <w:sz w:val="20"/>
          <w:szCs w:val="20"/>
          <w:lang w:val="fr-CA"/>
        </w:rPr>
      </w:pPr>
    </w:p>
    <w:p w:rsidR="00CB3520" w:rsidRPr="00DA0C5E" w:rsidRDefault="00CB3520" w:rsidP="00CB3520">
      <w:pPr>
        <w:widowControl w:val="0"/>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CB3520" w:rsidRPr="00C16CB3" w:rsidRDefault="00CB3520" w:rsidP="00CB3520">
      <w:pPr>
        <w:widowControl w:val="0"/>
        <w:jc w:val="both"/>
        <w:rPr>
          <w:sz w:val="20"/>
          <w:szCs w:val="20"/>
          <w:lang w:val="fr-CA"/>
        </w:rPr>
      </w:pPr>
    </w:p>
    <w:p w:rsidR="00CB3520" w:rsidRPr="00DA0C5E" w:rsidRDefault="00DA0C5E" w:rsidP="00CB3520">
      <w:pPr>
        <w:pStyle w:val="ListParagraph"/>
        <w:widowControl w:val="0"/>
        <w:numPr>
          <w:ilvl w:val="0"/>
          <w:numId w:val="1"/>
        </w:numPr>
        <w:ind w:hanging="720"/>
        <w:jc w:val="both"/>
        <w:rPr>
          <w:sz w:val="20"/>
          <w:szCs w:val="20"/>
        </w:rPr>
      </w:pPr>
      <w:r w:rsidRPr="00DA0C5E">
        <w:rPr>
          <w:i/>
          <w:sz w:val="20"/>
          <w:szCs w:val="20"/>
        </w:rPr>
        <w:t>Shawn Anthony Amos v. Her Majesty the Queen</w:t>
      </w:r>
      <w:r w:rsidRPr="00DA0C5E">
        <w:rPr>
          <w:sz w:val="20"/>
          <w:szCs w:val="20"/>
        </w:rPr>
        <w:t xml:space="preserve"> (Ont.) (Crim.) (By Leave) </w:t>
      </w:r>
      <w:r w:rsidR="00CB3520" w:rsidRPr="00DA0C5E">
        <w:rPr>
          <w:sz w:val="20"/>
          <w:szCs w:val="20"/>
        </w:rPr>
        <w:t>(35</w:t>
      </w:r>
      <w:r w:rsidRPr="00DA0C5E">
        <w:rPr>
          <w:sz w:val="20"/>
          <w:szCs w:val="20"/>
        </w:rPr>
        <w:t>827</w:t>
      </w:r>
      <w:r w:rsidR="00CB3520" w:rsidRPr="00DA0C5E">
        <w:rPr>
          <w:sz w:val="20"/>
          <w:szCs w:val="20"/>
        </w:rPr>
        <w:t>)</w:t>
      </w:r>
    </w:p>
    <w:p w:rsidR="00CB3520" w:rsidRPr="00DA0C5E" w:rsidRDefault="00CB3520" w:rsidP="00CB3520">
      <w:pPr>
        <w:widowControl w:val="0"/>
        <w:jc w:val="both"/>
        <w:rPr>
          <w:sz w:val="20"/>
          <w:szCs w:val="20"/>
        </w:rPr>
      </w:pPr>
    </w:p>
    <w:p w:rsidR="00CB3520" w:rsidRPr="00DA0C5E" w:rsidRDefault="00DA0C5E" w:rsidP="00CB3520">
      <w:pPr>
        <w:pStyle w:val="ListParagraph"/>
        <w:widowControl w:val="0"/>
        <w:numPr>
          <w:ilvl w:val="0"/>
          <w:numId w:val="1"/>
        </w:numPr>
        <w:ind w:hanging="720"/>
        <w:jc w:val="both"/>
        <w:rPr>
          <w:sz w:val="20"/>
          <w:szCs w:val="20"/>
          <w:lang w:val="fr-CA"/>
        </w:rPr>
      </w:pPr>
      <w:r w:rsidRPr="00DA0C5E">
        <w:rPr>
          <w:i/>
          <w:sz w:val="20"/>
          <w:szCs w:val="20"/>
          <w:lang w:val="fr-CA"/>
        </w:rPr>
        <w:t>Z.Z. et a</w:t>
      </w:r>
      <w:r w:rsidR="00E75638">
        <w:rPr>
          <w:i/>
          <w:sz w:val="20"/>
          <w:szCs w:val="20"/>
          <w:lang w:val="fr-CA"/>
        </w:rPr>
        <w:t>utre</w:t>
      </w:r>
      <w:r w:rsidRPr="00DA0C5E">
        <w:rPr>
          <w:i/>
          <w:sz w:val="20"/>
          <w:szCs w:val="20"/>
          <w:lang w:val="fr-CA"/>
        </w:rPr>
        <w:t xml:space="preserve"> c. Sa Majesté la Reine</w:t>
      </w:r>
      <w:r w:rsidRPr="00DA0C5E">
        <w:rPr>
          <w:sz w:val="20"/>
          <w:szCs w:val="20"/>
          <w:lang w:val="fr-CA"/>
        </w:rPr>
        <w:t xml:space="preserve"> (Qc) (Crim.) (Autorisation) </w:t>
      </w:r>
      <w:r w:rsidR="00CB3520" w:rsidRPr="00DA0C5E">
        <w:rPr>
          <w:sz w:val="20"/>
          <w:szCs w:val="20"/>
          <w:lang w:val="fr-CA"/>
        </w:rPr>
        <w:t>(35</w:t>
      </w:r>
      <w:r w:rsidRPr="00DA0C5E">
        <w:rPr>
          <w:sz w:val="20"/>
          <w:szCs w:val="20"/>
          <w:lang w:val="fr-CA"/>
        </w:rPr>
        <w:t>801</w:t>
      </w:r>
      <w:r w:rsidR="00CB3520" w:rsidRPr="00DA0C5E">
        <w:rPr>
          <w:sz w:val="20"/>
          <w:szCs w:val="20"/>
          <w:lang w:val="fr-CA"/>
        </w:rPr>
        <w:t>)</w:t>
      </w:r>
    </w:p>
    <w:p w:rsidR="00CB3520" w:rsidRPr="00DA0C5E" w:rsidRDefault="00CB3520" w:rsidP="00CB3520">
      <w:pPr>
        <w:widowControl w:val="0"/>
        <w:jc w:val="both"/>
        <w:rPr>
          <w:sz w:val="20"/>
          <w:szCs w:val="20"/>
          <w:lang w:val="fr-CA"/>
        </w:rPr>
      </w:pPr>
    </w:p>
    <w:p w:rsidR="00CB3520" w:rsidRPr="00DA0C5E" w:rsidRDefault="00DA0C5E" w:rsidP="00CB3520">
      <w:pPr>
        <w:pStyle w:val="ListParagraph"/>
        <w:widowControl w:val="0"/>
        <w:numPr>
          <w:ilvl w:val="0"/>
          <w:numId w:val="1"/>
        </w:numPr>
        <w:ind w:hanging="720"/>
        <w:jc w:val="both"/>
        <w:rPr>
          <w:sz w:val="20"/>
          <w:szCs w:val="20"/>
        </w:rPr>
      </w:pPr>
      <w:r w:rsidRPr="00DA0C5E">
        <w:rPr>
          <w:i/>
          <w:sz w:val="20"/>
          <w:szCs w:val="20"/>
        </w:rPr>
        <w:t>Vito Nardulli v. C-W Agencies Inc.</w:t>
      </w:r>
      <w:r w:rsidRPr="00DA0C5E">
        <w:rPr>
          <w:sz w:val="20"/>
          <w:szCs w:val="20"/>
        </w:rPr>
        <w:t xml:space="preserve"> (B.C.) (Civil) (By Leave) </w:t>
      </w:r>
      <w:r w:rsidR="00CB3520" w:rsidRPr="00DA0C5E">
        <w:rPr>
          <w:sz w:val="20"/>
          <w:szCs w:val="20"/>
        </w:rPr>
        <w:t>(35</w:t>
      </w:r>
      <w:r w:rsidRPr="00DA0C5E">
        <w:rPr>
          <w:sz w:val="20"/>
          <w:szCs w:val="20"/>
        </w:rPr>
        <w:t>80</w:t>
      </w:r>
      <w:r w:rsidR="00CB3520" w:rsidRPr="00DA0C5E">
        <w:rPr>
          <w:sz w:val="20"/>
          <w:szCs w:val="20"/>
        </w:rPr>
        <w:t>2)</w:t>
      </w:r>
    </w:p>
    <w:p w:rsidR="00CB3520" w:rsidRPr="00DA0C5E" w:rsidRDefault="00CB3520" w:rsidP="00CB3520">
      <w:pPr>
        <w:widowControl w:val="0"/>
        <w:rPr>
          <w:sz w:val="20"/>
          <w:szCs w:val="20"/>
        </w:rPr>
      </w:pPr>
    </w:p>
    <w:p w:rsidR="00CB3520" w:rsidRPr="009C5D38" w:rsidRDefault="00DA0C5E" w:rsidP="00CB3520">
      <w:pPr>
        <w:pStyle w:val="ListParagraph"/>
        <w:widowControl w:val="0"/>
        <w:numPr>
          <w:ilvl w:val="0"/>
          <w:numId w:val="1"/>
        </w:numPr>
        <w:ind w:hanging="720"/>
        <w:jc w:val="both"/>
        <w:rPr>
          <w:sz w:val="20"/>
          <w:szCs w:val="20"/>
          <w:lang w:val="fr-CA"/>
        </w:rPr>
      </w:pPr>
      <w:r w:rsidRPr="00DA0C5E">
        <w:rPr>
          <w:i/>
          <w:sz w:val="20"/>
          <w:szCs w:val="20"/>
          <w:lang w:val="fr-CA"/>
        </w:rPr>
        <w:t>Commission scolaire francophone du Yukon no. 23 c. Procureure générale du territoire du Yukon</w:t>
      </w:r>
      <w:r w:rsidRPr="00DA0C5E">
        <w:rPr>
          <w:sz w:val="20"/>
          <w:szCs w:val="20"/>
          <w:lang w:val="fr-CA"/>
        </w:rPr>
        <w:t xml:space="preserve"> (Yn) (Civile) (Autorisation)</w:t>
      </w:r>
      <w:r w:rsidRPr="009C5D38">
        <w:rPr>
          <w:sz w:val="20"/>
          <w:szCs w:val="20"/>
          <w:lang w:val="fr-CA"/>
        </w:rPr>
        <w:t xml:space="preserve"> </w:t>
      </w:r>
      <w:r w:rsidR="00CB3520" w:rsidRPr="009C5D38">
        <w:rPr>
          <w:sz w:val="20"/>
          <w:szCs w:val="20"/>
          <w:lang w:val="fr-CA"/>
        </w:rPr>
        <w:t>(35</w:t>
      </w:r>
      <w:r>
        <w:rPr>
          <w:sz w:val="20"/>
          <w:szCs w:val="20"/>
          <w:lang w:val="fr-CA"/>
        </w:rPr>
        <w:t>8</w:t>
      </w:r>
      <w:r w:rsidR="00CB3520" w:rsidRPr="009C5D38">
        <w:rPr>
          <w:sz w:val="20"/>
          <w:szCs w:val="20"/>
          <w:lang w:val="fr-CA"/>
        </w:rPr>
        <w:t>2</w:t>
      </w:r>
      <w:r>
        <w:rPr>
          <w:sz w:val="20"/>
          <w:szCs w:val="20"/>
          <w:lang w:val="fr-CA"/>
        </w:rPr>
        <w:t>3</w:t>
      </w:r>
      <w:r w:rsidR="00CB3520" w:rsidRPr="009C5D38">
        <w:rPr>
          <w:sz w:val="20"/>
          <w:szCs w:val="20"/>
          <w:lang w:val="fr-CA"/>
        </w:rPr>
        <w:t>)</w:t>
      </w:r>
    </w:p>
    <w:p w:rsidR="00CB3520" w:rsidRPr="009C5D38" w:rsidRDefault="00CB3520" w:rsidP="00CB3520">
      <w:pPr>
        <w:widowControl w:val="0"/>
        <w:jc w:val="both"/>
        <w:rPr>
          <w:sz w:val="20"/>
          <w:szCs w:val="20"/>
          <w:lang w:val="fr-CA"/>
        </w:rPr>
      </w:pPr>
    </w:p>
    <w:p w:rsidR="00CB3520" w:rsidRPr="00115C9E" w:rsidRDefault="00DA0C5E" w:rsidP="00CB3520">
      <w:pPr>
        <w:pStyle w:val="ListParagraph"/>
        <w:widowControl w:val="0"/>
        <w:numPr>
          <w:ilvl w:val="0"/>
          <w:numId w:val="1"/>
        </w:numPr>
        <w:ind w:hanging="720"/>
        <w:jc w:val="both"/>
        <w:rPr>
          <w:sz w:val="20"/>
          <w:szCs w:val="20"/>
        </w:rPr>
      </w:pPr>
      <w:r w:rsidRPr="00DA0C5E">
        <w:rPr>
          <w:i/>
          <w:sz w:val="20"/>
          <w:szCs w:val="20"/>
        </w:rPr>
        <w:t>Pricewaterhousecoopers LLP et al. v. RSM  Richter Inc.</w:t>
      </w:r>
      <w:r w:rsidRPr="00DA0C5E">
        <w:rPr>
          <w:sz w:val="20"/>
          <w:szCs w:val="20"/>
        </w:rPr>
        <w:t xml:space="preserve"> (Que.) (Civil) (By Leave)</w:t>
      </w:r>
      <w:r w:rsidRPr="00115C9E">
        <w:rPr>
          <w:sz w:val="20"/>
          <w:szCs w:val="20"/>
        </w:rPr>
        <w:t xml:space="preserve"> </w:t>
      </w:r>
      <w:r w:rsidR="00CB3520" w:rsidRPr="00115C9E">
        <w:rPr>
          <w:sz w:val="20"/>
          <w:szCs w:val="20"/>
        </w:rPr>
        <w:t>(3</w:t>
      </w:r>
      <w:r w:rsidR="00CB3520">
        <w:rPr>
          <w:sz w:val="20"/>
          <w:szCs w:val="20"/>
        </w:rPr>
        <w:t>5</w:t>
      </w:r>
      <w:r>
        <w:rPr>
          <w:sz w:val="20"/>
          <w:szCs w:val="20"/>
        </w:rPr>
        <w:t>787</w:t>
      </w:r>
      <w:r w:rsidR="00CB3520" w:rsidRPr="00115C9E">
        <w:rPr>
          <w:sz w:val="20"/>
          <w:szCs w:val="20"/>
        </w:rPr>
        <w:t>)</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A8251C" w:rsidRDefault="00CB3520" w:rsidP="00CB3520">
      <w:pPr>
        <w:widowControl w:val="0"/>
        <w:jc w:val="both"/>
        <w:rPr>
          <w:sz w:val="20"/>
          <w:szCs w:val="20"/>
          <w:lang w:val="fr-CA"/>
        </w:rPr>
      </w:pPr>
    </w:p>
    <w:p w:rsidR="00CB3520" w:rsidRPr="00115C9E" w:rsidRDefault="00323325" w:rsidP="00CB3520">
      <w:pPr>
        <w:pStyle w:val="ListParagraph"/>
        <w:widowControl w:val="0"/>
        <w:numPr>
          <w:ilvl w:val="0"/>
          <w:numId w:val="1"/>
        </w:numPr>
        <w:ind w:hanging="720"/>
        <w:jc w:val="both"/>
        <w:rPr>
          <w:sz w:val="20"/>
          <w:szCs w:val="20"/>
        </w:rPr>
      </w:pPr>
      <w:r w:rsidRPr="00323325">
        <w:rPr>
          <w:i/>
          <w:sz w:val="20"/>
          <w:szCs w:val="20"/>
        </w:rPr>
        <w:t>Wayne Ferron v. Her Majesty the Queen</w:t>
      </w:r>
      <w:r w:rsidRPr="00DA0C5E">
        <w:rPr>
          <w:sz w:val="20"/>
          <w:szCs w:val="20"/>
        </w:rPr>
        <w:t xml:space="preserve"> (Ont.) (Crim.) (By Leave)</w:t>
      </w:r>
      <w:r w:rsidRPr="00115C9E">
        <w:rPr>
          <w:sz w:val="20"/>
          <w:szCs w:val="20"/>
        </w:rPr>
        <w:t xml:space="preserve"> </w:t>
      </w:r>
      <w:r w:rsidR="00CB3520" w:rsidRPr="00115C9E">
        <w:rPr>
          <w:sz w:val="20"/>
          <w:szCs w:val="20"/>
        </w:rPr>
        <w:t>(3</w:t>
      </w:r>
      <w:r w:rsidR="00CB3520">
        <w:rPr>
          <w:sz w:val="20"/>
          <w:szCs w:val="20"/>
        </w:rPr>
        <w:t>5</w:t>
      </w:r>
      <w:r w:rsidR="00DA0C5E">
        <w:rPr>
          <w:sz w:val="20"/>
          <w:szCs w:val="20"/>
        </w:rPr>
        <w:t>812</w:t>
      </w:r>
      <w:r w:rsidR="00CB3520" w:rsidRPr="00115C9E">
        <w:rPr>
          <w:sz w:val="20"/>
          <w:szCs w:val="20"/>
        </w:rPr>
        <w:t>)</w:t>
      </w:r>
    </w:p>
    <w:p w:rsidR="00CB3520" w:rsidRPr="00115C9E" w:rsidRDefault="00CB3520" w:rsidP="00CB3520">
      <w:pPr>
        <w:widowControl w:val="0"/>
        <w:jc w:val="both"/>
        <w:rPr>
          <w:sz w:val="20"/>
          <w:szCs w:val="20"/>
        </w:rPr>
      </w:pPr>
    </w:p>
    <w:p w:rsidR="00CB3520" w:rsidRDefault="00323325" w:rsidP="00CB3520">
      <w:pPr>
        <w:pStyle w:val="ListParagraph"/>
        <w:widowControl w:val="0"/>
        <w:numPr>
          <w:ilvl w:val="0"/>
          <w:numId w:val="1"/>
        </w:numPr>
        <w:ind w:hanging="720"/>
        <w:jc w:val="both"/>
        <w:rPr>
          <w:sz w:val="20"/>
          <w:szCs w:val="20"/>
        </w:rPr>
      </w:pPr>
      <w:r w:rsidRPr="00323325">
        <w:rPr>
          <w:i/>
          <w:sz w:val="20"/>
          <w:szCs w:val="20"/>
        </w:rPr>
        <w:t>Wayne Ferron v. Her Majesty the Queen</w:t>
      </w:r>
      <w:r w:rsidRPr="00DA0C5E">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5</w:t>
      </w:r>
      <w:r w:rsidR="00DA0C5E">
        <w:rPr>
          <w:sz w:val="20"/>
          <w:szCs w:val="20"/>
        </w:rPr>
        <w:t>840</w:t>
      </w:r>
      <w:r w:rsidR="00CB3520" w:rsidRPr="00C50A5C">
        <w:rPr>
          <w:sz w:val="20"/>
          <w:szCs w:val="20"/>
        </w:rPr>
        <w:t>)</w:t>
      </w:r>
    </w:p>
    <w:p w:rsidR="00CB3520" w:rsidRPr="009C5D38" w:rsidRDefault="00CB3520" w:rsidP="00CB3520">
      <w:pPr>
        <w:widowControl w:val="0"/>
        <w:rPr>
          <w:i/>
          <w:sz w:val="20"/>
          <w:szCs w:val="20"/>
        </w:rPr>
      </w:pPr>
    </w:p>
    <w:p w:rsidR="00CB3520" w:rsidRPr="009C5D38" w:rsidRDefault="00323325" w:rsidP="00CB3520">
      <w:pPr>
        <w:pStyle w:val="ListParagraph"/>
        <w:widowControl w:val="0"/>
        <w:numPr>
          <w:ilvl w:val="0"/>
          <w:numId w:val="1"/>
        </w:numPr>
        <w:ind w:hanging="720"/>
        <w:jc w:val="both"/>
        <w:rPr>
          <w:sz w:val="20"/>
          <w:szCs w:val="20"/>
        </w:rPr>
      </w:pPr>
      <w:r w:rsidRPr="00323325">
        <w:rPr>
          <w:i/>
          <w:sz w:val="20"/>
          <w:szCs w:val="20"/>
        </w:rPr>
        <w:t>Wayne Ferron v. Her Majesty the Queen et al.</w:t>
      </w:r>
      <w:r w:rsidRPr="00DA0C5E">
        <w:rPr>
          <w:sz w:val="20"/>
          <w:szCs w:val="20"/>
        </w:rPr>
        <w:t xml:space="preserve"> (Ont.) (Civil) (By Leave)</w:t>
      </w:r>
      <w:r w:rsidRPr="009C5D38">
        <w:rPr>
          <w:sz w:val="20"/>
          <w:szCs w:val="20"/>
        </w:rPr>
        <w:t xml:space="preserve"> </w:t>
      </w:r>
      <w:r w:rsidR="00CB3520" w:rsidRPr="009C5D38">
        <w:rPr>
          <w:sz w:val="20"/>
          <w:szCs w:val="20"/>
        </w:rPr>
        <w:t>(35</w:t>
      </w:r>
      <w:r w:rsidR="00DA0C5E">
        <w:rPr>
          <w:sz w:val="20"/>
          <w:szCs w:val="20"/>
        </w:rPr>
        <w:t>82</w:t>
      </w:r>
      <w:r w:rsidR="00CB3520" w:rsidRPr="009C5D38">
        <w:rPr>
          <w:sz w:val="20"/>
          <w:szCs w:val="20"/>
        </w:rPr>
        <w:t>1)</w:t>
      </w:r>
    </w:p>
    <w:p w:rsidR="00CB3520" w:rsidRPr="009C5D38" w:rsidRDefault="00CB3520" w:rsidP="00CB3520">
      <w:pPr>
        <w:widowControl w:val="0"/>
        <w:jc w:val="both"/>
        <w:rPr>
          <w:sz w:val="20"/>
          <w:szCs w:val="20"/>
        </w:rPr>
      </w:pPr>
    </w:p>
    <w:p w:rsidR="00CB3520" w:rsidRPr="00C50A5C" w:rsidRDefault="00323325" w:rsidP="00CB3520">
      <w:pPr>
        <w:pStyle w:val="ListParagraph"/>
        <w:widowControl w:val="0"/>
        <w:numPr>
          <w:ilvl w:val="0"/>
          <w:numId w:val="1"/>
        </w:numPr>
        <w:ind w:hanging="720"/>
        <w:jc w:val="both"/>
        <w:rPr>
          <w:sz w:val="20"/>
          <w:szCs w:val="20"/>
          <w:lang w:val="fr-CA"/>
        </w:rPr>
      </w:pPr>
      <w:r w:rsidRPr="00323325">
        <w:rPr>
          <w:i/>
          <w:sz w:val="20"/>
          <w:szCs w:val="20"/>
        </w:rPr>
        <w:t>Jeannine M. Kapelus v. University of British Columbia</w:t>
      </w:r>
      <w:r w:rsidRPr="00323325">
        <w:rPr>
          <w:sz w:val="20"/>
          <w:szCs w:val="20"/>
        </w:rPr>
        <w:t xml:space="preserve"> (B.C.) </w:t>
      </w:r>
      <w:r w:rsidRPr="00DA0C5E">
        <w:rPr>
          <w:sz w:val="20"/>
          <w:szCs w:val="20"/>
        </w:rPr>
        <w:t>(Civil) (By Leave)</w:t>
      </w:r>
      <w:r w:rsidRPr="00C50A5C">
        <w:rPr>
          <w:sz w:val="20"/>
          <w:szCs w:val="20"/>
          <w:lang w:val="fr-CA"/>
        </w:rPr>
        <w:t xml:space="preserve"> </w:t>
      </w:r>
      <w:r w:rsidR="00CB3520" w:rsidRPr="00C50A5C">
        <w:rPr>
          <w:sz w:val="20"/>
          <w:szCs w:val="20"/>
          <w:lang w:val="fr-CA"/>
        </w:rPr>
        <w:t>(3</w:t>
      </w:r>
      <w:r w:rsidR="00CB3520">
        <w:rPr>
          <w:sz w:val="20"/>
          <w:szCs w:val="20"/>
          <w:lang w:val="fr-CA"/>
        </w:rPr>
        <w:t>5</w:t>
      </w:r>
      <w:r w:rsidR="00DA0C5E">
        <w:rPr>
          <w:sz w:val="20"/>
          <w:szCs w:val="20"/>
          <w:lang w:val="fr-CA"/>
        </w:rPr>
        <w:t>817</w:t>
      </w:r>
      <w:r w:rsidR="00CB3520" w:rsidRPr="00C50A5C">
        <w:rPr>
          <w:sz w:val="20"/>
          <w:szCs w:val="20"/>
          <w:lang w:val="fr-CA"/>
        </w:rPr>
        <w:t>)</w:t>
      </w:r>
    </w:p>
    <w:p w:rsidR="002E2327" w:rsidRPr="00CB3520" w:rsidRDefault="002E2327" w:rsidP="002E2327">
      <w:pPr>
        <w:widowControl w:val="0"/>
        <w:rPr>
          <w:sz w:val="20"/>
          <w:szCs w:val="20"/>
        </w:rPr>
      </w:pPr>
    </w:p>
    <w:p w:rsidR="002E2327" w:rsidRDefault="005E19D3"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E19D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257B0" w:rsidP="000E2959">
      <w:pPr>
        <w:rPr>
          <w:b/>
          <w:sz w:val="20"/>
          <w:szCs w:val="20"/>
        </w:rPr>
      </w:pPr>
      <w:r>
        <w:rPr>
          <w:b/>
          <w:sz w:val="20"/>
          <w:szCs w:val="20"/>
        </w:rPr>
        <w:t>JUNE 5</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5 JU</w:t>
      </w:r>
      <w:r w:rsidR="000E2959" w:rsidRPr="00C50A5C">
        <w:rPr>
          <w:b/>
          <w:sz w:val="20"/>
          <w:szCs w:val="20"/>
        </w:rPr>
        <w:t>I</w:t>
      </w:r>
      <w:r>
        <w:rPr>
          <w:b/>
          <w:sz w:val="20"/>
          <w:szCs w:val="20"/>
        </w:rPr>
        <w:t>N</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F453D" w:rsidRPr="008F453D" w:rsidTr="00480963">
        <w:trPr>
          <w:cantSplit/>
        </w:trPr>
        <w:tc>
          <w:tcPr>
            <w:tcW w:w="1458" w:type="dxa"/>
          </w:tcPr>
          <w:p w:rsidR="008F453D" w:rsidRPr="008F453D" w:rsidRDefault="008F453D" w:rsidP="008F453D">
            <w:pPr>
              <w:rPr>
                <w:sz w:val="20"/>
                <w:szCs w:val="20"/>
              </w:rPr>
            </w:pPr>
            <w:r w:rsidRPr="008F453D">
              <w:rPr>
                <w:b/>
                <w:sz w:val="20"/>
                <w:lang w:val="fr-CA"/>
              </w:rPr>
              <w:t>35703</w:t>
            </w:r>
          </w:p>
          <w:p w:rsidR="008F453D" w:rsidRPr="008F453D" w:rsidRDefault="008F453D" w:rsidP="008F453D">
            <w:pPr>
              <w:rPr>
                <w:b/>
                <w:sz w:val="20"/>
                <w:szCs w:val="20"/>
                <w:lang w:val="fr-CA"/>
              </w:rPr>
            </w:pPr>
          </w:p>
        </w:tc>
        <w:tc>
          <w:tcPr>
            <w:tcW w:w="8118" w:type="dxa"/>
          </w:tcPr>
          <w:p w:rsidR="008F453D" w:rsidRPr="008F453D" w:rsidRDefault="008F453D" w:rsidP="008F453D">
            <w:pPr>
              <w:rPr>
                <w:sz w:val="20"/>
                <w:szCs w:val="20"/>
              </w:rPr>
            </w:pPr>
            <w:r w:rsidRPr="008F453D">
              <w:rPr>
                <w:b/>
                <w:sz w:val="20"/>
                <w:u w:val="single"/>
              </w:rPr>
              <w:t>Inco Limited v. Ellen Smith</w:t>
            </w:r>
            <w:r>
              <w:rPr>
                <w:b/>
                <w:sz w:val="20"/>
                <w:u w:val="single"/>
              </w:rPr>
              <w:t xml:space="preserve"> and</w:t>
            </w:r>
            <w:r w:rsidRPr="008F453D">
              <w:rPr>
                <w:b/>
                <w:sz w:val="20"/>
                <w:u w:val="single"/>
              </w:rPr>
              <w:t xml:space="preserve"> Law Foundation of Ontario</w:t>
            </w:r>
            <w:r w:rsidRPr="008F453D">
              <w:rPr>
                <w:sz w:val="20"/>
                <w:szCs w:val="20"/>
              </w:rPr>
              <w:t xml:space="preserve"> (Ont.) (Civil) (By Leave)</w:t>
            </w:r>
          </w:p>
          <w:p w:rsidR="008F453D" w:rsidRPr="008F453D" w:rsidRDefault="008F453D" w:rsidP="008F453D">
            <w:pPr>
              <w:rPr>
                <w:sz w:val="20"/>
                <w:szCs w:val="20"/>
              </w:rPr>
            </w:pPr>
          </w:p>
        </w:tc>
      </w:tr>
      <w:tr w:rsidR="008F453D" w:rsidRPr="008F453D" w:rsidTr="00480963">
        <w:trPr>
          <w:cantSplit/>
        </w:trPr>
        <w:tc>
          <w:tcPr>
            <w:tcW w:w="1458" w:type="dxa"/>
          </w:tcPr>
          <w:p w:rsidR="008F453D" w:rsidRPr="008F453D" w:rsidRDefault="008F453D" w:rsidP="008F453D">
            <w:pPr>
              <w:rPr>
                <w:sz w:val="20"/>
                <w:szCs w:val="20"/>
              </w:rPr>
            </w:pPr>
            <w:r w:rsidRPr="008F453D">
              <w:rPr>
                <w:sz w:val="20"/>
                <w:szCs w:val="20"/>
              </w:rPr>
              <w:t>Coram :</w:t>
            </w:r>
          </w:p>
        </w:tc>
        <w:tc>
          <w:tcPr>
            <w:tcW w:w="8118" w:type="dxa"/>
          </w:tcPr>
          <w:p w:rsidR="008F453D" w:rsidRPr="008F453D" w:rsidRDefault="008F453D" w:rsidP="008F453D">
            <w:pPr>
              <w:rPr>
                <w:sz w:val="20"/>
                <w:szCs w:val="20"/>
              </w:rPr>
            </w:pPr>
            <w:r w:rsidRPr="008F453D">
              <w:rPr>
                <w:sz w:val="20"/>
                <w:u w:val="single"/>
              </w:rPr>
              <w:t>McLachlin C.J. and Cromwell and Wagner JJ.</w:t>
            </w:r>
          </w:p>
          <w:p w:rsidR="008F453D" w:rsidRPr="008F453D" w:rsidRDefault="008F453D" w:rsidP="008F453D">
            <w:pPr>
              <w:rPr>
                <w:sz w:val="20"/>
                <w:szCs w:val="20"/>
                <w:u w:val="single"/>
              </w:rPr>
            </w:pPr>
          </w:p>
        </w:tc>
      </w:tr>
      <w:tr w:rsidR="008F453D" w:rsidRPr="005E19D3" w:rsidTr="00480963">
        <w:trPr>
          <w:cantSplit/>
        </w:trPr>
        <w:tc>
          <w:tcPr>
            <w:tcW w:w="9576" w:type="dxa"/>
            <w:gridSpan w:val="2"/>
          </w:tcPr>
          <w:p w:rsidR="008F453D" w:rsidRPr="008F453D" w:rsidRDefault="008F453D" w:rsidP="008F453D">
            <w:pPr>
              <w:ind w:firstLine="720"/>
              <w:jc w:val="both"/>
              <w:rPr>
                <w:sz w:val="20"/>
                <w:szCs w:val="20"/>
              </w:rPr>
            </w:pPr>
            <w:r w:rsidRPr="008F453D">
              <w:rPr>
                <w:sz w:val="20"/>
                <w:szCs w:val="20"/>
              </w:rPr>
              <w:t>The application for leave to appeal from the judgment of the Court of Appeal for Ontario, Number C57026, 2013 ONCA 724,  dated November 29, 2013, is dismissed with costs.</w:t>
            </w:r>
          </w:p>
          <w:p w:rsidR="008F453D" w:rsidRPr="008F453D" w:rsidRDefault="008F453D" w:rsidP="008F453D">
            <w:pPr>
              <w:jc w:val="both"/>
              <w:rPr>
                <w:sz w:val="20"/>
                <w:szCs w:val="20"/>
              </w:rPr>
            </w:pPr>
          </w:p>
          <w:p w:rsidR="008F453D" w:rsidRPr="008F453D" w:rsidRDefault="008F453D" w:rsidP="008F453D">
            <w:pPr>
              <w:ind w:firstLine="720"/>
              <w:jc w:val="both"/>
              <w:rPr>
                <w:sz w:val="20"/>
                <w:szCs w:val="20"/>
                <w:lang w:val="fr-CA"/>
              </w:rPr>
            </w:pPr>
            <w:r w:rsidRPr="008F453D">
              <w:rPr>
                <w:sz w:val="20"/>
                <w:szCs w:val="20"/>
                <w:lang w:val="fr-CA"/>
              </w:rPr>
              <w:t>La demande d’autorisation d’appel de l’arrêt de la Cour d’appel de l’Ontario, numéro C57026, 2013 ONCA 724, daté du 29 novembre 2013, est rejetée avec dépens.</w:t>
            </w:r>
          </w:p>
        </w:tc>
      </w:tr>
    </w:tbl>
    <w:p w:rsidR="00D257B0" w:rsidRPr="008F453D" w:rsidRDefault="00D257B0" w:rsidP="000E2959">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33"/>
        <w:gridCol w:w="370"/>
        <w:gridCol w:w="4624"/>
      </w:tblGrid>
      <w:tr w:rsidR="004037E1" w:rsidRPr="00CD0B1B" w:rsidTr="00480963">
        <w:tc>
          <w:tcPr>
            <w:tcW w:w="5000" w:type="pct"/>
            <w:gridSpan w:val="3"/>
          </w:tcPr>
          <w:p w:rsidR="004037E1" w:rsidRPr="00CD0B1B" w:rsidRDefault="004037E1" w:rsidP="00480963">
            <w:pPr>
              <w:jc w:val="both"/>
              <w:rPr>
                <w:rFonts w:eastAsia="Calibri"/>
                <w:sz w:val="20"/>
              </w:rPr>
            </w:pPr>
            <w:r w:rsidRPr="00CD0B1B">
              <w:rPr>
                <w:rFonts w:eastAsia="Calibri"/>
                <w:sz w:val="20"/>
              </w:rPr>
              <w:t xml:space="preserve">Civil Procedure – Costs – Class proceedings – Costs to be awarded in a class proceeding – Appeals from costs awards – Principles governing costs in class proceedings – Meaning of “novel issue” and “in the public interest” for purposes of s. 31(1) of </w:t>
            </w:r>
            <w:r w:rsidRPr="00CD0B1B">
              <w:rPr>
                <w:rFonts w:eastAsia="Calibri"/>
                <w:i/>
                <w:sz w:val="20"/>
              </w:rPr>
              <w:t>Class Proceedings</w:t>
            </w:r>
            <w:r w:rsidRPr="00CD0B1B">
              <w:rPr>
                <w:rFonts w:eastAsia="Calibri"/>
                <w:sz w:val="20"/>
              </w:rPr>
              <w:t xml:space="preserve"> </w:t>
            </w:r>
            <w:r w:rsidRPr="00CD0B1B">
              <w:rPr>
                <w:rFonts w:eastAsia="Calibri"/>
                <w:i/>
                <w:sz w:val="20"/>
              </w:rPr>
              <w:t>Act</w:t>
            </w:r>
            <w:r w:rsidRPr="00CD0B1B">
              <w:rPr>
                <w:rFonts w:eastAsia="Calibri"/>
                <w:sz w:val="20"/>
              </w:rPr>
              <w:t xml:space="preserve">, </w:t>
            </w:r>
            <w:r w:rsidRPr="00CD0B1B">
              <w:rPr>
                <w:rFonts w:eastAsia="Calibri"/>
                <w:i/>
                <w:sz w:val="20"/>
              </w:rPr>
              <w:t>1992</w:t>
            </w:r>
            <w:r w:rsidRPr="00CD0B1B">
              <w:rPr>
                <w:rFonts w:eastAsia="Calibri"/>
                <w:sz w:val="20"/>
              </w:rPr>
              <w:t>, S.O. 1992, c. 6 – Whether it is appropriate to reconsider certification considerations in costs appeal – Whether a finding of public interest at the certification stage can reduce a successful defendant’s costs – Whether a novel issue can be established in ancient causes of action merely if raised in a class proceeding – If a court determines that it is in the public interest to certify an action as a class proceeding, whether a successful defendant loses some or all partial indemnity costs.</w:t>
            </w:r>
          </w:p>
          <w:p w:rsidR="004037E1" w:rsidRPr="00CD0B1B" w:rsidRDefault="004037E1" w:rsidP="00480963">
            <w:pPr>
              <w:jc w:val="both"/>
              <w:rPr>
                <w:rFonts w:eastAsia="Calibri"/>
                <w:sz w:val="20"/>
              </w:rPr>
            </w:pPr>
          </w:p>
        </w:tc>
      </w:tr>
      <w:tr w:rsidR="004037E1" w:rsidRPr="00CD0B1B" w:rsidTr="00480963">
        <w:tc>
          <w:tcPr>
            <w:tcW w:w="5000" w:type="pct"/>
            <w:gridSpan w:val="3"/>
          </w:tcPr>
          <w:p w:rsidR="004037E1" w:rsidRPr="00CD0B1B" w:rsidRDefault="004037E1" w:rsidP="00480963">
            <w:pPr>
              <w:jc w:val="both"/>
              <w:rPr>
                <w:rFonts w:eastAsia="Calibri"/>
                <w:sz w:val="20"/>
              </w:rPr>
            </w:pPr>
            <w:r w:rsidRPr="00CD0B1B">
              <w:rPr>
                <w:rFonts w:eastAsia="Calibri"/>
                <w:sz w:val="20"/>
              </w:rPr>
              <w:t>A class proceeding against Inco Limited was dismissed.  Inco requested partial indemnity costs to the date of an offer to settle and substantial indemnity costs thereafter.  Its Bill of Costs claimed $5,340,000 including disbursements.</w:t>
            </w:r>
          </w:p>
          <w:p w:rsidR="004037E1" w:rsidRPr="00CD0B1B" w:rsidRDefault="004037E1" w:rsidP="00480963">
            <w:pPr>
              <w:jc w:val="both"/>
              <w:rPr>
                <w:rFonts w:eastAsia="Calibri"/>
                <w:sz w:val="20"/>
              </w:rPr>
            </w:pPr>
          </w:p>
        </w:tc>
      </w:tr>
      <w:tr w:rsidR="004037E1" w:rsidRPr="00CD0B1B" w:rsidTr="00480963">
        <w:trPr>
          <w:trHeight w:val="351"/>
        </w:trPr>
        <w:tc>
          <w:tcPr>
            <w:tcW w:w="2379" w:type="pct"/>
          </w:tcPr>
          <w:p w:rsidR="004037E1" w:rsidRPr="00CD0B1B" w:rsidRDefault="004037E1" w:rsidP="00480963">
            <w:pPr>
              <w:jc w:val="both"/>
              <w:rPr>
                <w:sz w:val="20"/>
                <w:lang w:eastAsia="en-CA"/>
              </w:rPr>
            </w:pPr>
            <w:r w:rsidRPr="00CD0B1B">
              <w:rPr>
                <w:rFonts w:eastAsia="Calibri"/>
                <w:sz w:val="20"/>
              </w:rPr>
              <w:t>July 6, 2010</w:t>
            </w:r>
          </w:p>
          <w:p w:rsidR="004037E1" w:rsidRPr="00CD0B1B" w:rsidRDefault="004037E1" w:rsidP="00480963">
            <w:pPr>
              <w:jc w:val="both"/>
              <w:rPr>
                <w:rFonts w:eastAsia="Calibri"/>
                <w:sz w:val="20"/>
              </w:rPr>
            </w:pPr>
            <w:r w:rsidRPr="00CD0B1B">
              <w:rPr>
                <w:rFonts w:eastAsia="Calibri"/>
                <w:sz w:val="20"/>
              </w:rPr>
              <w:t>Ontario Superior Court of Justice</w:t>
            </w:r>
          </w:p>
          <w:p w:rsidR="004037E1" w:rsidRPr="00CD0B1B" w:rsidRDefault="004037E1" w:rsidP="00480963">
            <w:pPr>
              <w:jc w:val="both"/>
              <w:rPr>
                <w:rFonts w:eastAsia="Calibri"/>
                <w:sz w:val="20"/>
              </w:rPr>
            </w:pPr>
            <w:r w:rsidRPr="00CD0B1B">
              <w:rPr>
                <w:rFonts w:eastAsia="Calibri"/>
                <w:sz w:val="20"/>
              </w:rPr>
              <w:t>(Henderson J.)</w:t>
            </w:r>
          </w:p>
          <w:p w:rsidR="004037E1" w:rsidRPr="00CD0B1B" w:rsidRDefault="005E19D3" w:rsidP="00480963">
            <w:pPr>
              <w:jc w:val="both"/>
              <w:rPr>
                <w:rFonts w:eastAsia="Calibri"/>
                <w:sz w:val="20"/>
              </w:rPr>
            </w:pPr>
            <w:hyperlink r:id="rId25" w:history="1">
              <w:r w:rsidR="004037E1" w:rsidRPr="00CD0B1B">
                <w:rPr>
                  <w:rFonts w:eastAsia="Calibri"/>
                  <w:color w:val="0000FF"/>
                  <w:sz w:val="20"/>
                  <w:u w:val="single"/>
                </w:rPr>
                <w:t>2010 ONSC 3790</w:t>
              </w:r>
            </w:hyperlink>
          </w:p>
          <w:p w:rsidR="004037E1" w:rsidRPr="00CD0B1B" w:rsidRDefault="004037E1" w:rsidP="00480963">
            <w:pPr>
              <w:jc w:val="both"/>
              <w:rPr>
                <w:rFonts w:eastAsia="Calibri"/>
                <w:sz w:val="20"/>
              </w:rPr>
            </w:pPr>
          </w:p>
        </w:tc>
        <w:tc>
          <w:tcPr>
            <w:tcW w:w="194" w:type="pct"/>
          </w:tcPr>
          <w:p w:rsidR="004037E1" w:rsidRPr="00CD0B1B" w:rsidRDefault="004037E1" w:rsidP="00480963">
            <w:pPr>
              <w:jc w:val="both"/>
              <w:rPr>
                <w:rFonts w:eastAsia="Calibri"/>
                <w:sz w:val="20"/>
              </w:rPr>
            </w:pPr>
          </w:p>
        </w:tc>
        <w:tc>
          <w:tcPr>
            <w:tcW w:w="2427" w:type="pct"/>
          </w:tcPr>
          <w:p w:rsidR="004037E1" w:rsidRPr="00CD0B1B" w:rsidRDefault="004037E1" w:rsidP="00480963">
            <w:pPr>
              <w:jc w:val="both"/>
              <w:rPr>
                <w:sz w:val="20"/>
                <w:lang w:eastAsia="en-CA"/>
              </w:rPr>
            </w:pPr>
            <w:r w:rsidRPr="00CD0B1B">
              <w:rPr>
                <w:rFonts w:eastAsia="Calibri"/>
                <w:sz w:val="20"/>
              </w:rPr>
              <w:t xml:space="preserve">Applicant found liable in class proceeding; Damages of $36 million awarded </w:t>
            </w:r>
          </w:p>
          <w:p w:rsidR="004037E1" w:rsidRPr="00CD0B1B" w:rsidRDefault="004037E1" w:rsidP="00480963">
            <w:pPr>
              <w:jc w:val="both"/>
              <w:rPr>
                <w:rFonts w:eastAsia="Calibri"/>
                <w:sz w:val="20"/>
              </w:rPr>
            </w:pPr>
          </w:p>
        </w:tc>
      </w:tr>
      <w:tr w:rsidR="004037E1" w:rsidRPr="00CD0B1B" w:rsidTr="00480963">
        <w:trPr>
          <w:trHeight w:val="351"/>
        </w:trPr>
        <w:tc>
          <w:tcPr>
            <w:tcW w:w="2379" w:type="pct"/>
          </w:tcPr>
          <w:p w:rsidR="004037E1" w:rsidRPr="00CD0B1B" w:rsidRDefault="004037E1" w:rsidP="00480963">
            <w:pPr>
              <w:jc w:val="both"/>
              <w:rPr>
                <w:sz w:val="20"/>
                <w:lang w:eastAsia="en-CA"/>
              </w:rPr>
            </w:pPr>
            <w:r w:rsidRPr="00CD0B1B">
              <w:rPr>
                <w:rFonts w:eastAsia="Calibri"/>
                <w:sz w:val="20"/>
              </w:rPr>
              <w:t>October 7, 2011</w:t>
            </w:r>
          </w:p>
          <w:p w:rsidR="004037E1" w:rsidRPr="00CD0B1B" w:rsidRDefault="004037E1" w:rsidP="00480963">
            <w:pPr>
              <w:jc w:val="both"/>
              <w:rPr>
                <w:rFonts w:eastAsia="Calibri"/>
                <w:sz w:val="20"/>
              </w:rPr>
            </w:pPr>
            <w:r w:rsidRPr="00CD0B1B">
              <w:rPr>
                <w:rFonts w:eastAsia="Calibri"/>
                <w:sz w:val="20"/>
              </w:rPr>
              <w:t>Court of Appeal for Ontario</w:t>
            </w:r>
          </w:p>
          <w:p w:rsidR="004037E1" w:rsidRPr="00CD0B1B" w:rsidRDefault="004037E1" w:rsidP="00480963">
            <w:pPr>
              <w:jc w:val="both"/>
              <w:rPr>
                <w:rFonts w:eastAsia="Calibri"/>
                <w:sz w:val="20"/>
              </w:rPr>
            </w:pPr>
            <w:r w:rsidRPr="00CD0B1B">
              <w:rPr>
                <w:rFonts w:eastAsia="Calibri"/>
                <w:sz w:val="20"/>
              </w:rPr>
              <w:t>(Doherty, MacFarland, Hoy JJ.A.)</w:t>
            </w:r>
          </w:p>
          <w:p w:rsidR="004037E1" w:rsidRPr="00CD0B1B" w:rsidRDefault="005E19D3" w:rsidP="00480963">
            <w:pPr>
              <w:jc w:val="both"/>
              <w:rPr>
                <w:rFonts w:eastAsia="Calibri"/>
                <w:sz w:val="20"/>
              </w:rPr>
            </w:pPr>
            <w:hyperlink r:id="rId26" w:history="1">
              <w:r w:rsidR="004037E1" w:rsidRPr="00CD0B1B">
                <w:rPr>
                  <w:rFonts w:eastAsia="Calibri"/>
                  <w:color w:val="0000FF"/>
                  <w:sz w:val="20"/>
                  <w:u w:val="single"/>
                </w:rPr>
                <w:t>2011 ONCA 628</w:t>
              </w:r>
            </w:hyperlink>
          </w:p>
          <w:p w:rsidR="004037E1" w:rsidRPr="00CD0B1B" w:rsidRDefault="004037E1" w:rsidP="00480963">
            <w:pPr>
              <w:jc w:val="both"/>
              <w:rPr>
                <w:rFonts w:eastAsia="Calibri"/>
                <w:sz w:val="20"/>
              </w:rPr>
            </w:pPr>
          </w:p>
        </w:tc>
        <w:tc>
          <w:tcPr>
            <w:tcW w:w="194" w:type="pct"/>
          </w:tcPr>
          <w:p w:rsidR="004037E1" w:rsidRPr="00CD0B1B" w:rsidRDefault="004037E1" w:rsidP="00480963">
            <w:pPr>
              <w:jc w:val="both"/>
              <w:rPr>
                <w:rFonts w:eastAsia="Calibri"/>
                <w:sz w:val="20"/>
              </w:rPr>
            </w:pPr>
          </w:p>
        </w:tc>
        <w:tc>
          <w:tcPr>
            <w:tcW w:w="2427" w:type="pct"/>
          </w:tcPr>
          <w:p w:rsidR="004037E1" w:rsidRPr="00CD0B1B" w:rsidRDefault="004037E1" w:rsidP="00480963">
            <w:pPr>
              <w:jc w:val="both"/>
              <w:rPr>
                <w:rFonts w:eastAsia="Calibri"/>
                <w:sz w:val="20"/>
              </w:rPr>
            </w:pPr>
            <w:r w:rsidRPr="00CD0B1B">
              <w:rPr>
                <w:rFonts w:eastAsia="Calibri"/>
                <w:sz w:val="20"/>
              </w:rPr>
              <w:t>Appeal allowed, class proceeding dismissed</w:t>
            </w:r>
          </w:p>
        </w:tc>
      </w:tr>
      <w:tr w:rsidR="004037E1" w:rsidRPr="00CD0B1B" w:rsidTr="00480963">
        <w:trPr>
          <w:trHeight w:val="351"/>
        </w:trPr>
        <w:tc>
          <w:tcPr>
            <w:tcW w:w="2379" w:type="pct"/>
          </w:tcPr>
          <w:p w:rsidR="004037E1" w:rsidRPr="00CD0B1B" w:rsidRDefault="004037E1" w:rsidP="00480963">
            <w:pPr>
              <w:jc w:val="both"/>
              <w:rPr>
                <w:sz w:val="20"/>
                <w:lang w:eastAsia="en-CA"/>
              </w:rPr>
            </w:pPr>
            <w:r w:rsidRPr="00CD0B1B">
              <w:rPr>
                <w:rFonts w:eastAsia="Calibri"/>
                <w:sz w:val="20"/>
              </w:rPr>
              <w:t>December 5, 2011</w:t>
            </w:r>
          </w:p>
          <w:p w:rsidR="004037E1" w:rsidRPr="00CD0B1B" w:rsidRDefault="004037E1" w:rsidP="00480963">
            <w:pPr>
              <w:jc w:val="both"/>
              <w:rPr>
                <w:rFonts w:eastAsia="Calibri"/>
                <w:sz w:val="20"/>
              </w:rPr>
            </w:pPr>
            <w:r w:rsidRPr="00CD0B1B">
              <w:rPr>
                <w:rFonts w:eastAsia="Calibri"/>
                <w:sz w:val="20"/>
              </w:rPr>
              <w:t>Supreme Court of Canada</w:t>
            </w:r>
          </w:p>
          <w:p w:rsidR="004037E1" w:rsidRPr="00CD0B1B" w:rsidRDefault="004037E1" w:rsidP="00480963">
            <w:pPr>
              <w:jc w:val="both"/>
              <w:rPr>
                <w:rFonts w:eastAsia="Calibri"/>
                <w:sz w:val="20"/>
              </w:rPr>
            </w:pPr>
            <w:r w:rsidRPr="00CD0B1B">
              <w:rPr>
                <w:rFonts w:eastAsia="Calibri"/>
                <w:sz w:val="20"/>
              </w:rPr>
              <w:t>(McLachlin C.J., Rothstein and Moldaver JJ.)</w:t>
            </w:r>
          </w:p>
          <w:p w:rsidR="004037E1" w:rsidRPr="00CD0B1B" w:rsidRDefault="004037E1" w:rsidP="00480963">
            <w:pPr>
              <w:jc w:val="both"/>
              <w:rPr>
                <w:rFonts w:eastAsia="Calibri"/>
                <w:sz w:val="20"/>
              </w:rPr>
            </w:pPr>
            <w:r w:rsidRPr="00CD0B1B">
              <w:rPr>
                <w:rFonts w:eastAsia="Calibri"/>
                <w:sz w:val="20"/>
              </w:rPr>
              <w:t>(</w:t>
            </w:r>
            <w:hyperlink r:id="rId27" w:history="1">
              <w:r w:rsidRPr="00CD0B1B">
                <w:rPr>
                  <w:rFonts w:eastAsia="Calibri"/>
                  <w:color w:val="0000FF"/>
                  <w:sz w:val="20"/>
                  <w:u w:val="single"/>
                </w:rPr>
                <w:t>SCC 34561</w:t>
              </w:r>
            </w:hyperlink>
            <w:r w:rsidRPr="00CD0B1B">
              <w:rPr>
                <w:rFonts w:eastAsia="Calibri"/>
                <w:sz w:val="20"/>
              </w:rPr>
              <w:t>)</w:t>
            </w:r>
          </w:p>
          <w:p w:rsidR="004037E1" w:rsidRPr="00CD0B1B" w:rsidRDefault="004037E1" w:rsidP="00480963">
            <w:pPr>
              <w:jc w:val="both"/>
              <w:rPr>
                <w:rFonts w:eastAsia="Calibri"/>
                <w:sz w:val="20"/>
              </w:rPr>
            </w:pPr>
          </w:p>
        </w:tc>
        <w:tc>
          <w:tcPr>
            <w:tcW w:w="194" w:type="pct"/>
          </w:tcPr>
          <w:p w:rsidR="004037E1" w:rsidRPr="00CD0B1B" w:rsidRDefault="004037E1" w:rsidP="00480963">
            <w:pPr>
              <w:jc w:val="both"/>
              <w:rPr>
                <w:rFonts w:eastAsia="Calibri"/>
                <w:sz w:val="20"/>
              </w:rPr>
            </w:pPr>
          </w:p>
        </w:tc>
        <w:tc>
          <w:tcPr>
            <w:tcW w:w="2427" w:type="pct"/>
          </w:tcPr>
          <w:p w:rsidR="004037E1" w:rsidRPr="00CD0B1B" w:rsidRDefault="004037E1" w:rsidP="00480963">
            <w:pPr>
              <w:jc w:val="both"/>
              <w:rPr>
                <w:sz w:val="20"/>
                <w:lang w:eastAsia="en-CA"/>
              </w:rPr>
            </w:pPr>
            <w:r w:rsidRPr="00CD0B1B">
              <w:rPr>
                <w:rFonts w:eastAsia="Calibri"/>
                <w:sz w:val="20"/>
              </w:rPr>
              <w:t>Application for leave to appeal dismissed</w:t>
            </w:r>
          </w:p>
          <w:p w:rsidR="004037E1" w:rsidRPr="00CD0B1B" w:rsidRDefault="004037E1" w:rsidP="00480963">
            <w:pPr>
              <w:jc w:val="both"/>
              <w:rPr>
                <w:rFonts w:eastAsia="Calibri"/>
                <w:sz w:val="20"/>
              </w:rPr>
            </w:pPr>
          </w:p>
        </w:tc>
      </w:tr>
      <w:tr w:rsidR="004037E1" w:rsidRPr="00CD0B1B" w:rsidTr="00480963">
        <w:trPr>
          <w:trHeight w:val="351"/>
        </w:trPr>
        <w:tc>
          <w:tcPr>
            <w:tcW w:w="2379" w:type="pct"/>
          </w:tcPr>
          <w:p w:rsidR="004037E1" w:rsidRPr="00CD0B1B" w:rsidRDefault="004037E1" w:rsidP="00480963">
            <w:pPr>
              <w:jc w:val="both"/>
              <w:rPr>
                <w:sz w:val="20"/>
                <w:lang w:eastAsia="en-CA"/>
              </w:rPr>
            </w:pPr>
            <w:r w:rsidRPr="00CD0B1B">
              <w:rPr>
                <w:rFonts w:eastAsia="Calibri"/>
                <w:sz w:val="20"/>
              </w:rPr>
              <w:t>September 10, 2012</w:t>
            </w:r>
          </w:p>
          <w:p w:rsidR="004037E1" w:rsidRPr="00CD0B1B" w:rsidRDefault="004037E1" w:rsidP="00480963">
            <w:pPr>
              <w:jc w:val="both"/>
              <w:rPr>
                <w:rFonts w:eastAsia="Calibri"/>
                <w:sz w:val="20"/>
              </w:rPr>
            </w:pPr>
            <w:r w:rsidRPr="00CD0B1B">
              <w:rPr>
                <w:rFonts w:eastAsia="Calibri"/>
                <w:sz w:val="20"/>
              </w:rPr>
              <w:t>Ontario Superior Court of Justice</w:t>
            </w:r>
          </w:p>
          <w:p w:rsidR="004037E1" w:rsidRPr="00CD0B1B" w:rsidRDefault="004037E1" w:rsidP="00480963">
            <w:pPr>
              <w:jc w:val="both"/>
              <w:rPr>
                <w:rFonts w:eastAsia="Calibri"/>
                <w:sz w:val="20"/>
              </w:rPr>
            </w:pPr>
            <w:r w:rsidRPr="00CD0B1B">
              <w:rPr>
                <w:rFonts w:eastAsia="Calibri"/>
                <w:sz w:val="20"/>
              </w:rPr>
              <w:t>(Henderson J.)</w:t>
            </w:r>
          </w:p>
          <w:p w:rsidR="004037E1" w:rsidRPr="00CD0B1B" w:rsidRDefault="005E19D3" w:rsidP="00480963">
            <w:pPr>
              <w:jc w:val="both"/>
              <w:rPr>
                <w:rFonts w:eastAsia="Calibri"/>
                <w:sz w:val="20"/>
              </w:rPr>
            </w:pPr>
            <w:hyperlink r:id="rId28" w:history="1">
              <w:r w:rsidR="004037E1" w:rsidRPr="00CD0B1B">
                <w:rPr>
                  <w:rFonts w:eastAsia="Calibri"/>
                  <w:color w:val="0000FF"/>
                  <w:sz w:val="20"/>
                  <w:u w:val="single"/>
                </w:rPr>
                <w:t>2012 ONSC 5094</w:t>
              </w:r>
            </w:hyperlink>
          </w:p>
          <w:p w:rsidR="004037E1" w:rsidRPr="00CD0B1B" w:rsidRDefault="004037E1" w:rsidP="00480963">
            <w:pPr>
              <w:jc w:val="both"/>
              <w:rPr>
                <w:rFonts w:eastAsia="Calibri"/>
                <w:sz w:val="20"/>
              </w:rPr>
            </w:pPr>
          </w:p>
        </w:tc>
        <w:tc>
          <w:tcPr>
            <w:tcW w:w="194" w:type="pct"/>
          </w:tcPr>
          <w:p w:rsidR="004037E1" w:rsidRPr="00CD0B1B" w:rsidRDefault="004037E1" w:rsidP="00480963">
            <w:pPr>
              <w:jc w:val="both"/>
              <w:rPr>
                <w:rFonts w:eastAsia="Calibri"/>
                <w:sz w:val="20"/>
              </w:rPr>
            </w:pPr>
          </w:p>
        </w:tc>
        <w:tc>
          <w:tcPr>
            <w:tcW w:w="2427" w:type="pct"/>
          </w:tcPr>
          <w:p w:rsidR="004037E1" w:rsidRPr="00CD0B1B" w:rsidRDefault="004037E1" w:rsidP="00480963">
            <w:pPr>
              <w:jc w:val="both"/>
              <w:rPr>
                <w:sz w:val="20"/>
                <w:lang w:eastAsia="en-CA"/>
              </w:rPr>
            </w:pPr>
            <w:r w:rsidRPr="00CD0B1B">
              <w:rPr>
                <w:rFonts w:eastAsia="Calibri"/>
                <w:sz w:val="20"/>
              </w:rPr>
              <w:t>$1.766 million in costs awarded to Applicant</w:t>
            </w:r>
          </w:p>
          <w:p w:rsidR="004037E1" w:rsidRPr="00CD0B1B" w:rsidRDefault="004037E1" w:rsidP="00480963">
            <w:pPr>
              <w:jc w:val="both"/>
              <w:rPr>
                <w:rFonts w:eastAsia="Calibri"/>
                <w:sz w:val="20"/>
              </w:rPr>
            </w:pPr>
          </w:p>
        </w:tc>
      </w:tr>
      <w:tr w:rsidR="004037E1" w:rsidRPr="00CD0B1B" w:rsidTr="008F453D">
        <w:trPr>
          <w:cantSplit/>
          <w:trHeight w:val="351"/>
        </w:trPr>
        <w:tc>
          <w:tcPr>
            <w:tcW w:w="2379" w:type="pct"/>
          </w:tcPr>
          <w:p w:rsidR="004037E1" w:rsidRPr="00CD0B1B" w:rsidRDefault="004037E1" w:rsidP="00480963">
            <w:pPr>
              <w:jc w:val="both"/>
              <w:rPr>
                <w:sz w:val="20"/>
                <w:lang w:eastAsia="en-CA"/>
              </w:rPr>
            </w:pPr>
            <w:r w:rsidRPr="00CD0B1B">
              <w:rPr>
                <w:rFonts w:eastAsia="Calibri"/>
                <w:sz w:val="20"/>
              </w:rPr>
              <w:lastRenderedPageBreak/>
              <w:t>November 29, 2013</w:t>
            </w:r>
          </w:p>
          <w:p w:rsidR="004037E1" w:rsidRPr="00CD0B1B" w:rsidRDefault="004037E1" w:rsidP="00480963">
            <w:pPr>
              <w:jc w:val="both"/>
              <w:rPr>
                <w:rFonts w:eastAsia="Calibri"/>
                <w:sz w:val="20"/>
              </w:rPr>
            </w:pPr>
            <w:r w:rsidRPr="00CD0B1B">
              <w:rPr>
                <w:rFonts w:eastAsia="Calibri"/>
                <w:sz w:val="20"/>
              </w:rPr>
              <w:t>Court of Appeal for Ontario</w:t>
            </w:r>
          </w:p>
          <w:p w:rsidR="004037E1" w:rsidRPr="00CD0B1B" w:rsidRDefault="004037E1" w:rsidP="00480963">
            <w:pPr>
              <w:jc w:val="both"/>
              <w:rPr>
                <w:rFonts w:eastAsia="Calibri"/>
                <w:sz w:val="20"/>
              </w:rPr>
            </w:pPr>
            <w:r w:rsidRPr="00CD0B1B">
              <w:rPr>
                <w:rFonts w:eastAsia="Calibri"/>
                <w:sz w:val="20"/>
              </w:rPr>
              <w:t>(MacPherson, Watt, Pepall JJ.A.)</w:t>
            </w:r>
          </w:p>
          <w:p w:rsidR="004037E1" w:rsidRPr="00CD0B1B" w:rsidRDefault="005E19D3" w:rsidP="00480963">
            <w:pPr>
              <w:jc w:val="both"/>
              <w:rPr>
                <w:rFonts w:eastAsia="Calibri"/>
                <w:sz w:val="20"/>
              </w:rPr>
            </w:pPr>
            <w:hyperlink r:id="rId29" w:history="1">
              <w:r w:rsidR="004037E1" w:rsidRPr="00CD0B1B">
                <w:rPr>
                  <w:rFonts w:eastAsia="Calibri"/>
                  <w:color w:val="0000FF"/>
                  <w:sz w:val="20"/>
                  <w:u w:val="single"/>
                </w:rPr>
                <w:t>2013 ONCA 724</w:t>
              </w:r>
            </w:hyperlink>
            <w:r w:rsidR="004037E1" w:rsidRPr="00CD0B1B">
              <w:rPr>
                <w:rFonts w:eastAsia="Calibri"/>
                <w:sz w:val="20"/>
              </w:rPr>
              <w:t>; C57026</w:t>
            </w:r>
          </w:p>
          <w:p w:rsidR="004037E1" w:rsidRPr="00CD0B1B" w:rsidRDefault="004037E1" w:rsidP="00480963">
            <w:pPr>
              <w:jc w:val="both"/>
              <w:rPr>
                <w:rFonts w:eastAsia="Calibri"/>
                <w:sz w:val="20"/>
              </w:rPr>
            </w:pPr>
          </w:p>
        </w:tc>
        <w:tc>
          <w:tcPr>
            <w:tcW w:w="194" w:type="pct"/>
          </w:tcPr>
          <w:p w:rsidR="004037E1" w:rsidRPr="00CD0B1B" w:rsidRDefault="004037E1" w:rsidP="00480963">
            <w:pPr>
              <w:jc w:val="both"/>
              <w:rPr>
                <w:rFonts w:eastAsia="Calibri"/>
                <w:sz w:val="20"/>
              </w:rPr>
            </w:pPr>
          </w:p>
        </w:tc>
        <w:tc>
          <w:tcPr>
            <w:tcW w:w="2427" w:type="pct"/>
          </w:tcPr>
          <w:p w:rsidR="004037E1" w:rsidRPr="00CD0B1B" w:rsidRDefault="004037E1" w:rsidP="00480963">
            <w:pPr>
              <w:jc w:val="both"/>
              <w:rPr>
                <w:sz w:val="20"/>
                <w:lang w:eastAsia="en-CA"/>
              </w:rPr>
            </w:pPr>
            <w:r w:rsidRPr="00CD0B1B">
              <w:rPr>
                <w:rFonts w:eastAsia="Calibri"/>
                <w:sz w:val="20"/>
              </w:rPr>
              <w:t>Applicant’s appeal from costs award dismissed</w:t>
            </w:r>
          </w:p>
          <w:p w:rsidR="004037E1" w:rsidRPr="00CD0B1B" w:rsidRDefault="004037E1" w:rsidP="00480963">
            <w:pPr>
              <w:jc w:val="both"/>
              <w:rPr>
                <w:rFonts w:eastAsia="Calibri"/>
                <w:sz w:val="20"/>
              </w:rPr>
            </w:pPr>
          </w:p>
        </w:tc>
      </w:tr>
      <w:tr w:rsidR="004037E1" w:rsidRPr="00CD0B1B" w:rsidTr="008F453D">
        <w:trPr>
          <w:cantSplit/>
          <w:trHeight w:val="351"/>
        </w:trPr>
        <w:tc>
          <w:tcPr>
            <w:tcW w:w="2379" w:type="pct"/>
          </w:tcPr>
          <w:p w:rsidR="004037E1" w:rsidRPr="00CD0B1B" w:rsidRDefault="004037E1" w:rsidP="00480963">
            <w:pPr>
              <w:jc w:val="both"/>
              <w:rPr>
                <w:sz w:val="20"/>
                <w:lang w:eastAsia="en-CA"/>
              </w:rPr>
            </w:pPr>
            <w:r w:rsidRPr="00CD0B1B">
              <w:rPr>
                <w:rFonts w:eastAsia="Calibri"/>
                <w:sz w:val="20"/>
              </w:rPr>
              <w:t>January 27, 2014</w:t>
            </w:r>
          </w:p>
          <w:p w:rsidR="004037E1" w:rsidRPr="00CD0B1B" w:rsidRDefault="004037E1" w:rsidP="00480963">
            <w:pPr>
              <w:jc w:val="both"/>
              <w:rPr>
                <w:rFonts w:eastAsia="Calibri"/>
                <w:sz w:val="20"/>
              </w:rPr>
            </w:pPr>
            <w:r w:rsidRPr="00CD0B1B">
              <w:rPr>
                <w:rFonts w:eastAsia="Calibri"/>
                <w:sz w:val="20"/>
              </w:rPr>
              <w:t>Supreme Court of Canada</w:t>
            </w:r>
          </w:p>
        </w:tc>
        <w:tc>
          <w:tcPr>
            <w:tcW w:w="194" w:type="pct"/>
          </w:tcPr>
          <w:p w:rsidR="004037E1" w:rsidRPr="00CD0B1B" w:rsidRDefault="004037E1" w:rsidP="00480963">
            <w:pPr>
              <w:jc w:val="both"/>
              <w:rPr>
                <w:rFonts w:eastAsia="Calibri"/>
                <w:sz w:val="20"/>
              </w:rPr>
            </w:pPr>
          </w:p>
        </w:tc>
        <w:tc>
          <w:tcPr>
            <w:tcW w:w="2427" w:type="pct"/>
          </w:tcPr>
          <w:p w:rsidR="004037E1" w:rsidRPr="00CD0B1B" w:rsidRDefault="004037E1" w:rsidP="00480963">
            <w:pPr>
              <w:jc w:val="both"/>
              <w:rPr>
                <w:rFonts w:eastAsia="Calibri"/>
                <w:sz w:val="20"/>
              </w:rPr>
            </w:pPr>
            <w:r w:rsidRPr="00CD0B1B">
              <w:rPr>
                <w:rFonts w:eastAsia="Calibri"/>
                <w:sz w:val="20"/>
              </w:rPr>
              <w:t>Application for leave to appeal filed</w:t>
            </w:r>
          </w:p>
        </w:tc>
      </w:tr>
    </w:tbl>
    <w:p w:rsidR="00D257B0" w:rsidRDefault="00D257B0" w:rsidP="000E2959">
      <w:pPr>
        <w:rPr>
          <w:sz w:val="20"/>
          <w:szCs w:val="20"/>
        </w:rPr>
      </w:pPr>
    </w:p>
    <w:p w:rsidR="00D257B0" w:rsidRPr="00C50A5C" w:rsidRDefault="005E19D3" w:rsidP="00D257B0">
      <w:pPr>
        <w:rPr>
          <w:sz w:val="20"/>
          <w:szCs w:val="20"/>
        </w:rPr>
      </w:pPr>
      <w:r>
        <w:rPr>
          <w:sz w:val="20"/>
          <w:szCs w:val="20"/>
          <w:lang w:val="fr-CA"/>
        </w:rPr>
        <w:pict>
          <v:rect id="_x0000_i1046"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33"/>
        <w:gridCol w:w="370"/>
        <w:gridCol w:w="4624"/>
      </w:tblGrid>
      <w:tr w:rsidR="00335133" w:rsidRPr="005E19D3" w:rsidTr="00480963">
        <w:tc>
          <w:tcPr>
            <w:tcW w:w="5000" w:type="pct"/>
            <w:gridSpan w:val="3"/>
          </w:tcPr>
          <w:p w:rsidR="00335133" w:rsidRPr="00CD0B1B" w:rsidRDefault="00335133" w:rsidP="00480963">
            <w:pPr>
              <w:jc w:val="both"/>
              <w:rPr>
                <w:rFonts w:eastAsia="Calibri"/>
                <w:sz w:val="20"/>
                <w:lang w:val="fr-CA"/>
              </w:rPr>
            </w:pPr>
            <w:r w:rsidRPr="00CD0B1B">
              <w:rPr>
                <w:rFonts w:eastAsia="Calibri"/>
                <w:sz w:val="20"/>
                <w:lang w:val="fr-CA"/>
              </w:rPr>
              <w:t xml:space="preserve">Procédure civile – Dépens – Recours collectifs – Dépens à accorder dans un recours collectif – Appel des dépens attribués – Principes régissant les dépens dans un recours collectif – Sens de « nouveau point » et « d’intérêt public » pour l’application du par. 31(1) de la </w:t>
            </w:r>
            <w:r w:rsidRPr="00CD0B1B">
              <w:rPr>
                <w:rFonts w:eastAsia="Calibri"/>
                <w:i/>
                <w:sz w:val="20"/>
                <w:lang w:val="fr-CA"/>
              </w:rPr>
              <w:t>Loi de 1992 sur les recours collectifs</w:t>
            </w:r>
            <w:r w:rsidRPr="00CD0B1B">
              <w:rPr>
                <w:rFonts w:eastAsia="Calibri"/>
                <w:sz w:val="20"/>
                <w:lang w:val="fr-CA"/>
              </w:rPr>
              <w:t xml:space="preserve">, L.O. 1992, ch. 6 – Convient-il de revoir des considérations liées à la certification dans un appel portant sur les dépens? – Le fait d’avoir conclu à l’intérêt public au stade de la certification peut-il entraîner la baisse des dépens adjugés au défendeur ayant eu gain de cause? – L’existence d’un nouveau point peut-elle être établie pour d’anciennes causes d’action uniquement si elle est invoquée dans un recours collectif? – Si le tribunal décide qu’il est dans l’intérêt public d’autoriser l’action en tant que recours collectif, le défendeur ayant eu gain de cause perd-il tout ou partie des dépens d’indemnisation partielle? </w:t>
            </w:r>
          </w:p>
          <w:p w:rsidR="00335133" w:rsidRPr="00CD0B1B" w:rsidRDefault="00335133" w:rsidP="00480963">
            <w:pPr>
              <w:jc w:val="both"/>
              <w:rPr>
                <w:rFonts w:eastAsia="Calibri"/>
                <w:sz w:val="20"/>
                <w:lang w:val="fr-CA"/>
              </w:rPr>
            </w:pPr>
          </w:p>
        </w:tc>
      </w:tr>
      <w:tr w:rsidR="00335133" w:rsidRPr="005E19D3" w:rsidTr="00480963">
        <w:tc>
          <w:tcPr>
            <w:tcW w:w="5000" w:type="pct"/>
            <w:gridSpan w:val="3"/>
          </w:tcPr>
          <w:p w:rsidR="00335133" w:rsidRPr="00CD0B1B" w:rsidRDefault="00335133" w:rsidP="00480963">
            <w:pPr>
              <w:jc w:val="both"/>
              <w:rPr>
                <w:rFonts w:eastAsia="Calibri"/>
                <w:sz w:val="20"/>
                <w:lang w:val="fr-CA"/>
              </w:rPr>
            </w:pPr>
            <w:r w:rsidRPr="00CD0B1B">
              <w:rPr>
                <w:rFonts w:eastAsia="Calibri"/>
                <w:sz w:val="20"/>
                <w:lang w:val="fr-CA"/>
              </w:rPr>
              <w:t xml:space="preserve">Un recours collectif contre Inco limitée a été rejeté.  Inco a demandé des dépens d’indemnisation partielle jusqu’à la date de l’offre de règlement et des dépens d’indemnisation considérables par la suite.  Elle a réclamé dans son mémoire de frais 5 340 000 $, débours compris. </w:t>
            </w:r>
          </w:p>
          <w:p w:rsidR="00335133" w:rsidRPr="00CD0B1B" w:rsidRDefault="00335133" w:rsidP="00480963">
            <w:pPr>
              <w:jc w:val="both"/>
              <w:rPr>
                <w:rFonts w:eastAsia="Calibri"/>
                <w:sz w:val="20"/>
                <w:lang w:val="fr-CA"/>
              </w:rPr>
            </w:pPr>
          </w:p>
        </w:tc>
      </w:tr>
      <w:tr w:rsidR="00335133" w:rsidRPr="005E19D3" w:rsidTr="00480963">
        <w:trPr>
          <w:trHeight w:val="351"/>
        </w:trPr>
        <w:tc>
          <w:tcPr>
            <w:tcW w:w="2379" w:type="pct"/>
          </w:tcPr>
          <w:p w:rsidR="00335133" w:rsidRPr="00CD0B1B" w:rsidRDefault="00335133" w:rsidP="00480963">
            <w:pPr>
              <w:jc w:val="both"/>
              <w:rPr>
                <w:sz w:val="20"/>
                <w:lang w:val="fr-CA" w:eastAsia="en-CA"/>
              </w:rPr>
            </w:pPr>
            <w:r w:rsidRPr="00CD0B1B">
              <w:rPr>
                <w:rFonts w:eastAsia="Calibri"/>
                <w:sz w:val="20"/>
                <w:lang w:val="fr-CA"/>
              </w:rPr>
              <w:t>6 juillet 2010</w:t>
            </w:r>
          </w:p>
          <w:p w:rsidR="00335133" w:rsidRPr="00CD0B1B" w:rsidRDefault="00335133" w:rsidP="00480963">
            <w:pPr>
              <w:jc w:val="both"/>
              <w:rPr>
                <w:rFonts w:eastAsia="Calibri"/>
                <w:sz w:val="20"/>
                <w:lang w:val="fr-CA"/>
              </w:rPr>
            </w:pPr>
            <w:r w:rsidRPr="00CD0B1B">
              <w:rPr>
                <w:rFonts w:eastAsia="Calibri"/>
                <w:sz w:val="20"/>
                <w:lang w:val="fr-CA"/>
              </w:rPr>
              <w:t xml:space="preserve">Cour supérieure de justice de l’Ontario </w:t>
            </w:r>
          </w:p>
          <w:p w:rsidR="00335133" w:rsidRPr="00CD0B1B" w:rsidRDefault="00335133" w:rsidP="00480963">
            <w:pPr>
              <w:jc w:val="both"/>
              <w:rPr>
                <w:rFonts w:eastAsia="Calibri"/>
                <w:sz w:val="20"/>
              </w:rPr>
            </w:pPr>
            <w:r w:rsidRPr="00CD0B1B">
              <w:rPr>
                <w:rFonts w:eastAsia="Calibri"/>
                <w:sz w:val="20"/>
              </w:rPr>
              <w:t>(Juge Henderson)</w:t>
            </w:r>
          </w:p>
          <w:p w:rsidR="00335133" w:rsidRPr="00CD0B1B" w:rsidRDefault="005E19D3" w:rsidP="00480963">
            <w:pPr>
              <w:jc w:val="both"/>
              <w:rPr>
                <w:rFonts w:eastAsia="Calibri"/>
                <w:sz w:val="20"/>
              </w:rPr>
            </w:pPr>
            <w:hyperlink r:id="rId30" w:history="1">
              <w:r w:rsidR="00335133" w:rsidRPr="00CD0B1B">
                <w:rPr>
                  <w:rFonts w:eastAsia="Calibri"/>
                  <w:color w:val="0000FF"/>
                  <w:sz w:val="20"/>
                  <w:u w:val="single"/>
                </w:rPr>
                <w:t>2010 ONSC 3790</w:t>
              </w:r>
            </w:hyperlink>
          </w:p>
          <w:p w:rsidR="00335133" w:rsidRPr="00CD0B1B" w:rsidRDefault="00335133" w:rsidP="00480963">
            <w:pPr>
              <w:jc w:val="both"/>
              <w:rPr>
                <w:rFonts w:eastAsia="Calibri"/>
                <w:sz w:val="20"/>
              </w:rPr>
            </w:pPr>
          </w:p>
        </w:tc>
        <w:tc>
          <w:tcPr>
            <w:tcW w:w="194" w:type="pct"/>
          </w:tcPr>
          <w:p w:rsidR="00335133" w:rsidRPr="00CD0B1B" w:rsidRDefault="00335133" w:rsidP="00480963">
            <w:pPr>
              <w:jc w:val="both"/>
              <w:rPr>
                <w:rFonts w:eastAsia="Calibri"/>
                <w:sz w:val="20"/>
              </w:rPr>
            </w:pPr>
          </w:p>
        </w:tc>
        <w:tc>
          <w:tcPr>
            <w:tcW w:w="2427" w:type="pct"/>
          </w:tcPr>
          <w:p w:rsidR="00335133" w:rsidRPr="00CD0B1B" w:rsidRDefault="00335133" w:rsidP="00480963">
            <w:pPr>
              <w:jc w:val="both"/>
              <w:rPr>
                <w:sz w:val="20"/>
                <w:lang w:val="fr-CA" w:eastAsia="en-CA"/>
              </w:rPr>
            </w:pPr>
            <w:r w:rsidRPr="00CD0B1B">
              <w:rPr>
                <w:rFonts w:eastAsia="Calibri"/>
                <w:sz w:val="20"/>
                <w:lang w:val="fr-CA"/>
              </w:rPr>
              <w:t xml:space="preserve">Demanderesse tenue responsable dans le recours collectif; dommages-intérêts de 36 millions de dollars adjugés  </w:t>
            </w:r>
          </w:p>
          <w:p w:rsidR="00335133" w:rsidRPr="00CD0B1B" w:rsidRDefault="00335133" w:rsidP="00480963">
            <w:pPr>
              <w:jc w:val="both"/>
              <w:rPr>
                <w:rFonts w:eastAsia="Calibri"/>
                <w:sz w:val="20"/>
                <w:lang w:val="fr-CA"/>
              </w:rPr>
            </w:pPr>
          </w:p>
        </w:tc>
      </w:tr>
      <w:tr w:rsidR="00335133" w:rsidRPr="005E19D3" w:rsidTr="00480963">
        <w:trPr>
          <w:trHeight w:val="351"/>
        </w:trPr>
        <w:tc>
          <w:tcPr>
            <w:tcW w:w="2379" w:type="pct"/>
          </w:tcPr>
          <w:p w:rsidR="00335133" w:rsidRPr="00CD0B1B" w:rsidRDefault="00335133" w:rsidP="00480963">
            <w:pPr>
              <w:jc w:val="both"/>
              <w:rPr>
                <w:sz w:val="20"/>
                <w:lang w:val="fr-CA" w:eastAsia="en-CA"/>
              </w:rPr>
            </w:pPr>
            <w:r w:rsidRPr="00CD0B1B">
              <w:rPr>
                <w:rFonts w:eastAsia="Calibri"/>
                <w:sz w:val="20"/>
                <w:lang w:val="fr-CA"/>
              </w:rPr>
              <w:t>7 octobre 2011</w:t>
            </w:r>
          </w:p>
          <w:p w:rsidR="00335133" w:rsidRPr="00CD0B1B" w:rsidRDefault="00335133" w:rsidP="00480963">
            <w:pPr>
              <w:jc w:val="both"/>
              <w:rPr>
                <w:rFonts w:eastAsia="Calibri"/>
                <w:sz w:val="20"/>
                <w:lang w:val="fr-CA"/>
              </w:rPr>
            </w:pPr>
            <w:r w:rsidRPr="00CD0B1B">
              <w:rPr>
                <w:rFonts w:eastAsia="Calibri"/>
                <w:sz w:val="20"/>
                <w:lang w:val="fr-CA"/>
              </w:rPr>
              <w:t>Cour d’appel de l’Ontario</w:t>
            </w:r>
          </w:p>
          <w:p w:rsidR="00335133" w:rsidRPr="00CD0B1B" w:rsidRDefault="00335133" w:rsidP="00480963">
            <w:pPr>
              <w:jc w:val="both"/>
              <w:rPr>
                <w:rFonts w:eastAsia="Calibri"/>
                <w:sz w:val="20"/>
                <w:lang w:val="fr-CA"/>
              </w:rPr>
            </w:pPr>
            <w:r w:rsidRPr="00CD0B1B">
              <w:rPr>
                <w:rFonts w:eastAsia="Calibri"/>
                <w:sz w:val="20"/>
                <w:lang w:val="fr-CA"/>
              </w:rPr>
              <w:t>(Juges Doherty, MacFarland et Hoy)</w:t>
            </w:r>
          </w:p>
          <w:p w:rsidR="00335133" w:rsidRPr="00CD0B1B" w:rsidRDefault="005E19D3" w:rsidP="00480963">
            <w:pPr>
              <w:jc w:val="both"/>
              <w:rPr>
                <w:rFonts w:eastAsia="Calibri"/>
                <w:sz w:val="20"/>
              </w:rPr>
            </w:pPr>
            <w:hyperlink r:id="rId31" w:history="1">
              <w:r w:rsidR="00335133" w:rsidRPr="00CD0B1B">
                <w:rPr>
                  <w:rFonts w:eastAsia="Calibri"/>
                  <w:color w:val="0000FF"/>
                  <w:sz w:val="20"/>
                  <w:u w:val="single"/>
                </w:rPr>
                <w:t>2011 ONCA 628</w:t>
              </w:r>
            </w:hyperlink>
          </w:p>
          <w:p w:rsidR="00335133" w:rsidRPr="00CD0B1B" w:rsidRDefault="00335133" w:rsidP="00480963">
            <w:pPr>
              <w:jc w:val="both"/>
              <w:rPr>
                <w:rFonts w:eastAsia="Calibri"/>
                <w:sz w:val="20"/>
              </w:rPr>
            </w:pPr>
          </w:p>
        </w:tc>
        <w:tc>
          <w:tcPr>
            <w:tcW w:w="194" w:type="pct"/>
          </w:tcPr>
          <w:p w:rsidR="00335133" w:rsidRPr="00CD0B1B" w:rsidRDefault="00335133" w:rsidP="00480963">
            <w:pPr>
              <w:jc w:val="both"/>
              <w:rPr>
                <w:rFonts w:eastAsia="Calibri"/>
                <w:sz w:val="20"/>
              </w:rPr>
            </w:pPr>
          </w:p>
        </w:tc>
        <w:tc>
          <w:tcPr>
            <w:tcW w:w="2427" w:type="pct"/>
          </w:tcPr>
          <w:p w:rsidR="00335133" w:rsidRPr="00CD0B1B" w:rsidRDefault="00335133" w:rsidP="00480963">
            <w:pPr>
              <w:jc w:val="both"/>
              <w:rPr>
                <w:rFonts w:eastAsia="Calibri"/>
                <w:sz w:val="20"/>
                <w:lang w:val="fr-CA"/>
              </w:rPr>
            </w:pPr>
            <w:r w:rsidRPr="00CD0B1B">
              <w:rPr>
                <w:rFonts w:eastAsia="Calibri"/>
                <w:sz w:val="20"/>
                <w:lang w:val="fr-CA"/>
              </w:rPr>
              <w:t>Appel accueilli, recours collectif rejeté</w:t>
            </w:r>
          </w:p>
        </w:tc>
      </w:tr>
      <w:tr w:rsidR="00335133" w:rsidRPr="00CD0B1B" w:rsidTr="00480963">
        <w:trPr>
          <w:trHeight w:val="351"/>
        </w:trPr>
        <w:tc>
          <w:tcPr>
            <w:tcW w:w="2379" w:type="pct"/>
          </w:tcPr>
          <w:p w:rsidR="00335133" w:rsidRPr="00CD0B1B" w:rsidRDefault="00335133" w:rsidP="00480963">
            <w:pPr>
              <w:jc w:val="both"/>
              <w:rPr>
                <w:sz w:val="20"/>
                <w:lang w:val="fr-CA" w:eastAsia="en-CA"/>
              </w:rPr>
            </w:pPr>
            <w:r w:rsidRPr="00CD0B1B">
              <w:rPr>
                <w:rFonts w:eastAsia="Calibri"/>
                <w:sz w:val="20"/>
                <w:lang w:val="fr-CA"/>
              </w:rPr>
              <w:t>5 décembre 2011</w:t>
            </w:r>
          </w:p>
          <w:p w:rsidR="00335133" w:rsidRPr="00CD0B1B" w:rsidRDefault="00335133" w:rsidP="00480963">
            <w:pPr>
              <w:jc w:val="both"/>
              <w:rPr>
                <w:rFonts w:eastAsia="Calibri"/>
                <w:sz w:val="20"/>
                <w:lang w:val="fr-CA"/>
              </w:rPr>
            </w:pPr>
            <w:r w:rsidRPr="00CD0B1B">
              <w:rPr>
                <w:rFonts w:eastAsia="Calibri"/>
                <w:sz w:val="20"/>
                <w:lang w:val="fr-CA"/>
              </w:rPr>
              <w:t>Cour suprême du Canada</w:t>
            </w:r>
          </w:p>
          <w:p w:rsidR="00335133" w:rsidRPr="00CD0B1B" w:rsidRDefault="00335133" w:rsidP="00480963">
            <w:pPr>
              <w:jc w:val="both"/>
              <w:rPr>
                <w:rFonts w:eastAsia="Calibri"/>
                <w:sz w:val="20"/>
                <w:lang w:val="fr-CA"/>
              </w:rPr>
            </w:pPr>
            <w:r w:rsidRPr="00CD0B1B">
              <w:rPr>
                <w:rFonts w:eastAsia="Calibri"/>
                <w:sz w:val="20"/>
                <w:lang w:val="fr-CA"/>
              </w:rPr>
              <w:t>(Juge en chef McLachlin et juges Rothstein et Moldaver)</w:t>
            </w:r>
          </w:p>
          <w:p w:rsidR="00335133" w:rsidRPr="00CD0B1B" w:rsidRDefault="00335133" w:rsidP="00480963">
            <w:pPr>
              <w:jc w:val="both"/>
              <w:rPr>
                <w:rFonts w:eastAsia="Calibri"/>
                <w:sz w:val="20"/>
              </w:rPr>
            </w:pPr>
            <w:r w:rsidRPr="00CD0B1B">
              <w:rPr>
                <w:rFonts w:eastAsia="Calibri"/>
                <w:sz w:val="20"/>
              </w:rPr>
              <w:t>(</w:t>
            </w:r>
            <w:hyperlink r:id="rId32" w:history="1">
              <w:r w:rsidRPr="00CD0B1B">
                <w:rPr>
                  <w:rFonts w:eastAsia="Calibri"/>
                  <w:color w:val="0000FF"/>
                  <w:sz w:val="20"/>
                  <w:u w:val="single"/>
                </w:rPr>
                <w:t>SCC 34561</w:t>
              </w:r>
            </w:hyperlink>
            <w:r w:rsidRPr="00CD0B1B">
              <w:rPr>
                <w:rFonts w:eastAsia="Calibri"/>
                <w:sz w:val="20"/>
              </w:rPr>
              <w:t>)</w:t>
            </w:r>
          </w:p>
          <w:p w:rsidR="00335133" w:rsidRPr="00CD0B1B" w:rsidRDefault="00335133" w:rsidP="00480963">
            <w:pPr>
              <w:jc w:val="both"/>
              <w:rPr>
                <w:rFonts w:eastAsia="Calibri"/>
                <w:sz w:val="20"/>
              </w:rPr>
            </w:pPr>
          </w:p>
        </w:tc>
        <w:tc>
          <w:tcPr>
            <w:tcW w:w="194" w:type="pct"/>
          </w:tcPr>
          <w:p w:rsidR="00335133" w:rsidRPr="00CD0B1B" w:rsidRDefault="00335133" w:rsidP="00480963">
            <w:pPr>
              <w:jc w:val="both"/>
              <w:rPr>
                <w:rFonts w:eastAsia="Calibri"/>
                <w:sz w:val="20"/>
              </w:rPr>
            </w:pPr>
          </w:p>
        </w:tc>
        <w:tc>
          <w:tcPr>
            <w:tcW w:w="2427" w:type="pct"/>
          </w:tcPr>
          <w:p w:rsidR="00335133" w:rsidRPr="00CD0B1B" w:rsidRDefault="00335133" w:rsidP="00480963">
            <w:pPr>
              <w:jc w:val="both"/>
              <w:rPr>
                <w:sz w:val="20"/>
                <w:lang w:eastAsia="en-CA"/>
              </w:rPr>
            </w:pPr>
            <w:r w:rsidRPr="00CD0B1B">
              <w:rPr>
                <w:rFonts w:eastAsia="Calibri"/>
                <w:sz w:val="20"/>
              </w:rPr>
              <w:t xml:space="preserve">Demande d’autorisation d’appel rejetée </w:t>
            </w:r>
          </w:p>
          <w:p w:rsidR="00335133" w:rsidRPr="00CD0B1B" w:rsidRDefault="00335133" w:rsidP="00480963">
            <w:pPr>
              <w:jc w:val="both"/>
              <w:rPr>
                <w:rFonts w:eastAsia="Calibri"/>
                <w:sz w:val="20"/>
              </w:rPr>
            </w:pPr>
          </w:p>
        </w:tc>
      </w:tr>
      <w:tr w:rsidR="00335133" w:rsidRPr="005E19D3" w:rsidTr="00480963">
        <w:trPr>
          <w:trHeight w:val="351"/>
        </w:trPr>
        <w:tc>
          <w:tcPr>
            <w:tcW w:w="2379" w:type="pct"/>
          </w:tcPr>
          <w:p w:rsidR="00335133" w:rsidRPr="00CD0B1B" w:rsidRDefault="00335133" w:rsidP="00480963">
            <w:pPr>
              <w:jc w:val="both"/>
              <w:rPr>
                <w:sz w:val="20"/>
                <w:lang w:val="fr-CA" w:eastAsia="en-CA"/>
              </w:rPr>
            </w:pPr>
            <w:r w:rsidRPr="00CD0B1B">
              <w:rPr>
                <w:rFonts w:eastAsia="Calibri"/>
                <w:sz w:val="20"/>
                <w:lang w:val="fr-CA"/>
              </w:rPr>
              <w:t>10 septembre 2012</w:t>
            </w:r>
          </w:p>
          <w:p w:rsidR="00335133" w:rsidRPr="00CD0B1B" w:rsidRDefault="00335133" w:rsidP="00480963">
            <w:pPr>
              <w:jc w:val="both"/>
              <w:rPr>
                <w:rFonts w:eastAsia="Calibri"/>
                <w:sz w:val="20"/>
                <w:lang w:val="fr-CA"/>
              </w:rPr>
            </w:pPr>
            <w:r w:rsidRPr="00CD0B1B">
              <w:rPr>
                <w:rFonts w:eastAsia="Calibri"/>
                <w:sz w:val="20"/>
                <w:lang w:val="fr-CA"/>
              </w:rPr>
              <w:t xml:space="preserve">Cour supérieure de justice de l’Ontario </w:t>
            </w:r>
          </w:p>
          <w:p w:rsidR="00335133" w:rsidRPr="00CD0B1B" w:rsidRDefault="00335133" w:rsidP="00480963">
            <w:pPr>
              <w:jc w:val="both"/>
              <w:rPr>
                <w:rFonts w:eastAsia="Calibri"/>
                <w:sz w:val="20"/>
              </w:rPr>
            </w:pPr>
            <w:r w:rsidRPr="00CD0B1B">
              <w:rPr>
                <w:rFonts w:eastAsia="Calibri"/>
                <w:sz w:val="20"/>
              </w:rPr>
              <w:t>(Juge Henderson)</w:t>
            </w:r>
          </w:p>
          <w:p w:rsidR="00335133" w:rsidRPr="00CD0B1B" w:rsidRDefault="005E19D3" w:rsidP="00480963">
            <w:pPr>
              <w:jc w:val="both"/>
              <w:rPr>
                <w:rFonts w:eastAsia="Calibri"/>
                <w:sz w:val="20"/>
              </w:rPr>
            </w:pPr>
            <w:hyperlink r:id="rId33" w:history="1">
              <w:r w:rsidR="00335133" w:rsidRPr="00CD0B1B">
                <w:rPr>
                  <w:rFonts w:eastAsia="Calibri"/>
                  <w:color w:val="0000FF"/>
                  <w:sz w:val="20"/>
                  <w:u w:val="single"/>
                </w:rPr>
                <w:t>2012 ONSC 5094</w:t>
              </w:r>
            </w:hyperlink>
          </w:p>
          <w:p w:rsidR="00335133" w:rsidRPr="00CD0B1B" w:rsidRDefault="00335133" w:rsidP="00480963">
            <w:pPr>
              <w:jc w:val="both"/>
              <w:rPr>
                <w:rFonts w:eastAsia="Calibri"/>
                <w:sz w:val="20"/>
              </w:rPr>
            </w:pPr>
          </w:p>
        </w:tc>
        <w:tc>
          <w:tcPr>
            <w:tcW w:w="194" w:type="pct"/>
          </w:tcPr>
          <w:p w:rsidR="00335133" w:rsidRPr="00CD0B1B" w:rsidRDefault="00335133" w:rsidP="00480963">
            <w:pPr>
              <w:jc w:val="both"/>
              <w:rPr>
                <w:rFonts w:eastAsia="Calibri"/>
                <w:sz w:val="20"/>
              </w:rPr>
            </w:pPr>
          </w:p>
        </w:tc>
        <w:tc>
          <w:tcPr>
            <w:tcW w:w="2427" w:type="pct"/>
          </w:tcPr>
          <w:p w:rsidR="00335133" w:rsidRPr="00CD0B1B" w:rsidRDefault="00335133" w:rsidP="00480963">
            <w:pPr>
              <w:jc w:val="both"/>
              <w:rPr>
                <w:sz w:val="20"/>
                <w:lang w:val="fr-CA" w:eastAsia="en-CA"/>
              </w:rPr>
            </w:pPr>
            <w:r w:rsidRPr="00CD0B1B">
              <w:rPr>
                <w:rFonts w:eastAsia="Calibri"/>
                <w:sz w:val="20"/>
                <w:lang w:val="fr-CA"/>
              </w:rPr>
              <w:t>Dépens de 1,766 million de dollars adjugés à la demanderesse</w:t>
            </w:r>
          </w:p>
          <w:p w:rsidR="00335133" w:rsidRPr="00CD0B1B" w:rsidRDefault="00335133" w:rsidP="00480963">
            <w:pPr>
              <w:jc w:val="both"/>
              <w:rPr>
                <w:rFonts w:eastAsia="Calibri"/>
                <w:sz w:val="20"/>
                <w:lang w:val="fr-CA"/>
              </w:rPr>
            </w:pPr>
          </w:p>
        </w:tc>
      </w:tr>
      <w:tr w:rsidR="00335133" w:rsidRPr="005E19D3" w:rsidTr="008F453D">
        <w:trPr>
          <w:cantSplit/>
          <w:trHeight w:val="351"/>
        </w:trPr>
        <w:tc>
          <w:tcPr>
            <w:tcW w:w="2379" w:type="pct"/>
          </w:tcPr>
          <w:p w:rsidR="00335133" w:rsidRPr="00CD0B1B" w:rsidRDefault="00335133" w:rsidP="00480963">
            <w:pPr>
              <w:jc w:val="both"/>
              <w:rPr>
                <w:sz w:val="20"/>
                <w:lang w:val="fr-CA" w:eastAsia="en-CA"/>
              </w:rPr>
            </w:pPr>
            <w:r w:rsidRPr="00CD0B1B">
              <w:rPr>
                <w:rFonts w:eastAsia="Calibri"/>
                <w:sz w:val="20"/>
                <w:lang w:val="fr-CA"/>
              </w:rPr>
              <w:lastRenderedPageBreak/>
              <w:t>29 novembre 2013</w:t>
            </w:r>
          </w:p>
          <w:p w:rsidR="00335133" w:rsidRPr="00CD0B1B" w:rsidRDefault="00335133" w:rsidP="00480963">
            <w:pPr>
              <w:jc w:val="both"/>
              <w:rPr>
                <w:rFonts w:eastAsia="Calibri"/>
                <w:sz w:val="20"/>
                <w:lang w:val="fr-CA"/>
              </w:rPr>
            </w:pPr>
            <w:r w:rsidRPr="00CD0B1B">
              <w:rPr>
                <w:rFonts w:eastAsia="Calibri"/>
                <w:sz w:val="20"/>
                <w:lang w:val="fr-CA"/>
              </w:rPr>
              <w:t>Cour d’appel de l’Ontario</w:t>
            </w:r>
          </w:p>
          <w:p w:rsidR="00335133" w:rsidRPr="00CD0B1B" w:rsidRDefault="00335133" w:rsidP="00480963">
            <w:pPr>
              <w:jc w:val="both"/>
              <w:rPr>
                <w:rFonts w:eastAsia="Calibri"/>
                <w:sz w:val="20"/>
                <w:lang w:val="fr-CA"/>
              </w:rPr>
            </w:pPr>
            <w:r w:rsidRPr="00CD0B1B">
              <w:rPr>
                <w:rFonts w:eastAsia="Calibri"/>
                <w:sz w:val="20"/>
                <w:lang w:val="fr-CA"/>
              </w:rPr>
              <w:t>(Juges MacPherson, Watt et Pepall)</w:t>
            </w:r>
          </w:p>
          <w:p w:rsidR="00335133" w:rsidRPr="00CD0B1B" w:rsidRDefault="005E19D3" w:rsidP="00480963">
            <w:pPr>
              <w:jc w:val="both"/>
              <w:rPr>
                <w:rFonts w:eastAsia="Calibri"/>
                <w:sz w:val="20"/>
              </w:rPr>
            </w:pPr>
            <w:hyperlink r:id="rId34" w:history="1">
              <w:r w:rsidR="00335133" w:rsidRPr="00CD0B1B">
                <w:rPr>
                  <w:rFonts w:eastAsia="Calibri"/>
                  <w:color w:val="0000FF"/>
                  <w:sz w:val="20"/>
                  <w:u w:val="single"/>
                </w:rPr>
                <w:t>2013 ONCA 724</w:t>
              </w:r>
            </w:hyperlink>
            <w:r w:rsidR="00335133" w:rsidRPr="00CD0B1B">
              <w:rPr>
                <w:rFonts w:eastAsia="Calibri"/>
                <w:sz w:val="20"/>
              </w:rPr>
              <w:t>; C57026</w:t>
            </w:r>
          </w:p>
          <w:p w:rsidR="00335133" w:rsidRPr="00CD0B1B" w:rsidRDefault="00335133" w:rsidP="00480963">
            <w:pPr>
              <w:jc w:val="both"/>
              <w:rPr>
                <w:rFonts w:eastAsia="Calibri"/>
                <w:sz w:val="20"/>
              </w:rPr>
            </w:pPr>
          </w:p>
        </w:tc>
        <w:tc>
          <w:tcPr>
            <w:tcW w:w="194" w:type="pct"/>
          </w:tcPr>
          <w:p w:rsidR="00335133" w:rsidRPr="00CD0B1B" w:rsidRDefault="00335133" w:rsidP="00480963">
            <w:pPr>
              <w:jc w:val="both"/>
              <w:rPr>
                <w:rFonts w:eastAsia="Calibri"/>
                <w:sz w:val="20"/>
              </w:rPr>
            </w:pPr>
          </w:p>
        </w:tc>
        <w:tc>
          <w:tcPr>
            <w:tcW w:w="2427" w:type="pct"/>
          </w:tcPr>
          <w:p w:rsidR="00335133" w:rsidRPr="00CD0B1B" w:rsidRDefault="00335133" w:rsidP="00480963">
            <w:pPr>
              <w:jc w:val="both"/>
              <w:rPr>
                <w:sz w:val="20"/>
                <w:lang w:val="fr-CA" w:eastAsia="en-CA"/>
              </w:rPr>
            </w:pPr>
            <w:r w:rsidRPr="00CD0B1B">
              <w:rPr>
                <w:rFonts w:eastAsia="Calibri"/>
                <w:sz w:val="20"/>
                <w:lang w:val="fr-CA"/>
              </w:rPr>
              <w:t xml:space="preserve">Appel de la demanderesse contre les dépens attribués rejeté </w:t>
            </w:r>
          </w:p>
          <w:p w:rsidR="00335133" w:rsidRPr="00CD0B1B" w:rsidRDefault="00335133" w:rsidP="00480963">
            <w:pPr>
              <w:jc w:val="both"/>
              <w:rPr>
                <w:rFonts w:eastAsia="Calibri"/>
                <w:sz w:val="20"/>
                <w:lang w:val="fr-CA"/>
              </w:rPr>
            </w:pPr>
          </w:p>
        </w:tc>
      </w:tr>
      <w:tr w:rsidR="00335133" w:rsidRPr="00CD0B1B" w:rsidTr="008F453D">
        <w:trPr>
          <w:cantSplit/>
          <w:trHeight w:val="351"/>
        </w:trPr>
        <w:tc>
          <w:tcPr>
            <w:tcW w:w="2379" w:type="pct"/>
          </w:tcPr>
          <w:p w:rsidR="00335133" w:rsidRPr="00CD0B1B" w:rsidRDefault="00335133" w:rsidP="00480963">
            <w:pPr>
              <w:jc w:val="both"/>
              <w:rPr>
                <w:sz w:val="20"/>
                <w:lang w:val="fr-CA" w:eastAsia="en-CA"/>
              </w:rPr>
            </w:pPr>
            <w:r w:rsidRPr="00CD0B1B">
              <w:rPr>
                <w:rFonts w:eastAsia="Calibri"/>
                <w:sz w:val="20"/>
                <w:lang w:val="fr-CA"/>
              </w:rPr>
              <w:t>27 janvier 2014</w:t>
            </w:r>
          </w:p>
          <w:p w:rsidR="00335133" w:rsidRPr="00CD0B1B" w:rsidRDefault="00335133" w:rsidP="00480963">
            <w:pPr>
              <w:jc w:val="both"/>
              <w:rPr>
                <w:rFonts w:eastAsia="Calibri"/>
                <w:sz w:val="20"/>
                <w:lang w:val="fr-CA"/>
              </w:rPr>
            </w:pPr>
            <w:r w:rsidRPr="00CD0B1B">
              <w:rPr>
                <w:rFonts w:eastAsia="Calibri"/>
                <w:sz w:val="20"/>
                <w:lang w:val="fr-CA"/>
              </w:rPr>
              <w:t>Cour suprême du Canada</w:t>
            </w:r>
          </w:p>
        </w:tc>
        <w:tc>
          <w:tcPr>
            <w:tcW w:w="194" w:type="pct"/>
          </w:tcPr>
          <w:p w:rsidR="00335133" w:rsidRPr="00CD0B1B" w:rsidRDefault="00335133" w:rsidP="00480963">
            <w:pPr>
              <w:jc w:val="both"/>
              <w:rPr>
                <w:rFonts w:eastAsia="Calibri"/>
                <w:sz w:val="20"/>
                <w:lang w:val="fr-CA"/>
              </w:rPr>
            </w:pPr>
          </w:p>
        </w:tc>
        <w:tc>
          <w:tcPr>
            <w:tcW w:w="2427" w:type="pct"/>
          </w:tcPr>
          <w:p w:rsidR="00335133" w:rsidRPr="00CD0B1B" w:rsidRDefault="00335133" w:rsidP="00480963">
            <w:pPr>
              <w:jc w:val="both"/>
              <w:rPr>
                <w:rFonts w:eastAsia="Calibri"/>
                <w:sz w:val="20"/>
              </w:rPr>
            </w:pPr>
            <w:r w:rsidRPr="00CD0B1B">
              <w:rPr>
                <w:rFonts w:eastAsia="Calibri"/>
                <w:sz w:val="20"/>
                <w:lang w:val="fr-CA"/>
              </w:rPr>
              <w:t xml:space="preserve">Demande d’autorisation d’appel déposée </w:t>
            </w:r>
          </w:p>
        </w:tc>
      </w:tr>
    </w:tbl>
    <w:p w:rsidR="00D257B0" w:rsidRDefault="00D257B0" w:rsidP="000E2959">
      <w:pPr>
        <w:rPr>
          <w:sz w:val="20"/>
          <w:szCs w:val="20"/>
        </w:rPr>
      </w:pPr>
    </w:p>
    <w:p w:rsidR="00D257B0" w:rsidRDefault="005E19D3" w:rsidP="000E2959">
      <w:pPr>
        <w:rPr>
          <w:sz w:val="20"/>
          <w:szCs w:val="20"/>
          <w:lang w:val="fr-CA"/>
        </w:rPr>
      </w:pPr>
      <w:r>
        <w:rPr>
          <w:sz w:val="20"/>
          <w:szCs w:val="20"/>
          <w:lang w:val="fr-CA"/>
        </w:rPr>
        <w:pict>
          <v:rect id="_x0000_i1047" style="width:2in;height:1pt" o:hrpct="0" o:hralign="center" o:hrstd="t" o:hrnoshade="t" o:hr="t" fillcolor="black [3213]" stroked="f"/>
        </w:pict>
      </w:r>
    </w:p>
    <w:p w:rsidR="00D257B0" w:rsidRDefault="00D257B0" w:rsidP="000E2959">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F453D" w:rsidRPr="008F453D" w:rsidTr="00480963">
        <w:trPr>
          <w:cantSplit/>
        </w:trPr>
        <w:tc>
          <w:tcPr>
            <w:tcW w:w="1458" w:type="dxa"/>
          </w:tcPr>
          <w:p w:rsidR="008F453D" w:rsidRPr="008F453D" w:rsidRDefault="008F453D" w:rsidP="008F453D">
            <w:pPr>
              <w:rPr>
                <w:sz w:val="20"/>
                <w:szCs w:val="20"/>
              </w:rPr>
            </w:pPr>
            <w:r w:rsidRPr="008F453D">
              <w:rPr>
                <w:b/>
                <w:sz w:val="20"/>
                <w:lang w:val="fr-CA"/>
              </w:rPr>
              <w:t>35729</w:t>
            </w:r>
          </w:p>
          <w:p w:rsidR="008F453D" w:rsidRPr="008F453D" w:rsidRDefault="008F453D" w:rsidP="008F453D">
            <w:pPr>
              <w:rPr>
                <w:b/>
                <w:sz w:val="20"/>
                <w:szCs w:val="20"/>
                <w:lang w:val="fr-CA"/>
              </w:rPr>
            </w:pPr>
          </w:p>
        </w:tc>
        <w:tc>
          <w:tcPr>
            <w:tcW w:w="8118" w:type="dxa"/>
          </w:tcPr>
          <w:p w:rsidR="008F453D" w:rsidRPr="008F453D" w:rsidRDefault="008F453D" w:rsidP="008F453D">
            <w:pPr>
              <w:jc w:val="both"/>
              <w:rPr>
                <w:sz w:val="20"/>
                <w:szCs w:val="20"/>
              </w:rPr>
            </w:pPr>
            <w:r w:rsidRPr="008F453D">
              <w:rPr>
                <w:b/>
                <w:sz w:val="20"/>
                <w:u w:val="single"/>
              </w:rPr>
              <w:t>Potash Corporation of Saskatchewan Inc.</w:t>
            </w:r>
            <w:r>
              <w:rPr>
                <w:b/>
                <w:sz w:val="20"/>
                <w:u w:val="single"/>
              </w:rPr>
              <w:t xml:space="preserve"> and</w:t>
            </w:r>
            <w:r w:rsidRPr="008F453D">
              <w:rPr>
                <w:b/>
                <w:sz w:val="20"/>
                <w:u w:val="single"/>
              </w:rPr>
              <w:t xml:space="preserve"> Potash Corporation of Saskatchewan Sales Limited v. Keith Barton</w:t>
            </w:r>
            <w:r w:rsidRPr="008F453D">
              <w:rPr>
                <w:sz w:val="20"/>
                <w:szCs w:val="20"/>
              </w:rPr>
              <w:t xml:space="preserve"> (Sask.) (Civil) (By Leave)</w:t>
            </w:r>
          </w:p>
          <w:p w:rsidR="008F453D" w:rsidRPr="008F453D" w:rsidRDefault="008F453D" w:rsidP="008F453D">
            <w:pPr>
              <w:jc w:val="both"/>
              <w:rPr>
                <w:sz w:val="20"/>
                <w:szCs w:val="20"/>
              </w:rPr>
            </w:pPr>
          </w:p>
        </w:tc>
      </w:tr>
      <w:tr w:rsidR="008F453D" w:rsidRPr="008F453D" w:rsidTr="00480963">
        <w:trPr>
          <w:cantSplit/>
        </w:trPr>
        <w:tc>
          <w:tcPr>
            <w:tcW w:w="1458" w:type="dxa"/>
          </w:tcPr>
          <w:p w:rsidR="008F453D" w:rsidRPr="008F453D" w:rsidRDefault="008F453D" w:rsidP="008F453D">
            <w:pPr>
              <w:rPr>
                <w:sz w:val="20"/>
                <w:szCs w:val="20"/>
              </w:rPr>
            </w:pPr>
            <w:r w:rsidRPr="008F453D">
              <w:rPr>
                <w:sz w:val="20"/>
                <w:szCs w:val="20"/>
              </w:rPr>
              <w:t>Coram :</w:t>
            </w:r>
          </w:p>
        </w:tc>
        <w:tc>
          <w:tcPr>
            <w:tcW w:w="8118" w:type="dxa"/>
          </w:tcPr>
          <w:p w:rsidR="008F453D" w:rsidRPr="008F453D" w:rsidRDefault="008F453D" w:rsidP="008F453D">
            <w:pPr>
              <w:rPr>
                <w:sz w:val="20"/>
                <w:szCs w:val="20"/>
              </w:rPr>
            </w:pPr>
            <w:r w:rsidRPr="008F453D">
              <w:rPr>
                <w:sz w:val="20"/>
                <w:u w:val="single"/>
              </w:rPr>
              <w:t>Abella, Rothstein and Moldaver JJ.</w:t>
            </w:r>
          </w:p>
          <w:p w:rsidR="008F453D" w:rsidRPr="008F453D" w:rsidRDefault="008F453D" w:rsidP="008F453D">
            <w:pPr>
              <w:rPr>
                <w:sz w:val="20"/>
                <w:szCs w:val="20"/>
                <w:u w:val="single"/>
              </w:rPr>
            </w:pPr>
          </w:p>
        </w:tc>
      </w:tr>
      <w:tr w:rsidR="008F453D" w:rsidRPr="005E19D3" w:rsidTr="00480963">
        <w:trPr>
          <w:cantSplit/>
        </w:trPr>
        <w:tc>
          <w:tcPr>
            <w:tcW w:w="9576" w:type="dxa"/>
            <w:gridSpan w:val="2"/>
          </w:tcPr>
          <w:p w:rsidR="008F453D" w:rsidRPr="008F453D" w:rsidRDefault="008F453D" w:rsidP="008F453D">
            <w:pPr>
              <w:ind w:firstLine="720"/>
              <w:jc w:val="both"/>
              <w:rPr>
                <w:sz w:val="20"/>
                <w:szCs w:val="20"/>
              </w:rPr>
            </w:pPr>
            <w:r w:rsidRPr="008F453D">
              <w:rPr>
                <w:sz w:val="20"/>
                <w:szCs w:val="20"/>
              </w:rPr>
              <w:t>The application for leave to appeal and the application for leave to cross-appeal from the judgment of the Court of Appeal for Saskatchewan, Number CACV2213,  2013 SKCA 141, dated December 20, 2013, are dismissed with costs.</w:t>
            </w:r>
          </w:p>
          <w:p w:rsidR="008F453D" w:rsidRPr="008F453D" w:rsidRDefault="008F453D" w:rsidP="008F453D">
            <w:pPr>
              <w:jc w:val="both"/>
              <w:rPr>
                <w:sz w:val="20"/>
                <w:szCs w:val="20"/>
              </w:rPr>
            </w:pPr>
          </w:p>
          <w:p w:rsidR="008F453D" w:rsidRPr="008F453D" w:rsidRDefault="008F453D" w:rsidP="008F453D">
            <w:pPr>
              <w:ind w:firstLine="720"/>
              <w:jc w:val="both"/>
              <w:rPr>
                <w:sz w:val="20"/>
                <w:szCs w:val="20"/>
                <w:lang w:val="fr-CA"/>
              </w:rPr>
            </w:pPr>
            <w:r w:rsidRPr="008F453D">
              <w:rPr>
                <w:sz w:val="20"/>
                <w:szCs w:val="20"/>
                <w:lang w:val="fr-CA"/>
              </w:rPr>
              <w:t>La demande d’autorisation d’appel et la demande d’autorisation d’appel incident de l’arrêt de la Cour d’appel de la Saskatchewan, numéro CACV2213, 2013 SKCA 141, daté du 20 décembre 2013, sont rejetées avec dépens.</w:t>
            </w:r>
          </w:p>
        </w:tc>
      </w:tr>
    </w:tbl>
    <w:p w:rsidR="00D257B0" w:rsidRPr="008F453D" w:rsidRDefault="00D257B0" w:rsidP="00D257B0">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5133" w:rsidRPr="00CD0B1B" w:rsidTr="00480963">
        <w:tc>
          <w:tcPr>
            <w:tcW w:w="5000" w:type="pct"/>
            <w:gridSpan w:val="3"/>
          </w:tcPr>
          <w:p w:rsidR="00335133" w:rsidRPr="00CD0B1B" w:rsidRDefault="00335133" w:rsidP="00480963">
            <w:pPr>
              <w:jc w:val="both"/>
              <w:rPr>
                <w:rFonts w:eastAsia="Calibri"/>
                <w:sz w:val="20"/>
              </w:rPr>
            </w:pPr>
            <w:r w:rsidRPr="00CD0B1B">
              <w:rPr>
                <w:rFonts w:eastAsia="Calibri"/>
                <w:sz w:val="20"/>
              </w:rPr>
              <w:t>Damages – Compensatory damages – Loss of employment income and pension benefits – Mental distress – Quantum – Punitive damages – Solicitor-client costs – What is the proper test to be applied in assessing damages pursuant to an undertaking given in connection with an interlocutory injunction? – In what circumstances are damages for mental distress available in the context of a claim made pursuant to an undertaking? – Can legal costs be awarded as damages when remedies are sought under an undertaking? If so, what test must be satisfied before courts can award costs on a solicitor-client or full indemnity basis? – Must an independent actionable wrong be found in order to award punitive damages pursuant to an undertaking filed to obtain an interlocutory injunction? If so, can litigation misconduct which amounts to abuse of process but does not amount to the tort of abuse of process substitute for an actionable wrong and thus enable an award of punitive damages?</w:t>
            </w:r>
          </w:p>
        </w:tc>
      </w:tr>
      <w:tr w:rsidR="00335133" w:rsidRPr="00CD0B1B" w:rsidTr="00480963">
        <w:tc>
          <w:tcPr>
            <w:tcW w:w="5000" w:type="pct"/>
            <w:gridSpan w:val="3"/>
          </w:tcPr>
          <w:p w:rsidR="00335133" w:rsidRPr="00CD0B1B" w:rsidRDefault="00335133" w:rsidP="00480963">
            <w:pPr>
              <w:jc w:val="both"/>
              <w:rPr>
                <w:rFonts w:eastAsia="Calibri"/>
                <w:sz w:val="20"/>
              </w:rPr>
            </w:pPr>
          </w:p>
        </w:tc>
      </w:tr>
      <w:tr w:rsidR="00335133" w:rsidRPr="00CD0B1B" w:rsidTr="00480963">
        <w:tc>
          <w:tcPr>
            <w:tcW w:w="5000" w:type="pct"/>
            <w:gridSpan w:val="3"/>
          </w:tcPr>
          <w:p w:rsidR="00335133" w:rsidRPr="00CD0B1B" w:rsidRDefault="00335133" w:rsidP="00480963">
            <w:pPr>
              <w:jc w:val="both"/>
              <w:rPr>
                <w:rFonts w:eastAsia="Calibri"/>
                <w:sz w:val="20"/>
              </w:rPr>
            </w:pPr>
            <w:r w:rsidRPr="00CD0B1B">
              <w:rPr>
                <w:rFonts w:eastAsia="Calibri"/>
                <w:sz w:val="20"/>
              </w:rPr>
              <w:t>Mr. Barton, respondent, was employed by the applicant corporations (“PCS”) in various capacities, including as general counsel and vice-president.  He resigned in 1988, because he was concerned about PCS’ dealings with the price of potash which he believed violated antitrust laws.  After leaving PCS, Mr. Barton actively sought employment in large part based on his asserted knowledge of what he contended were illegal acts of price fixing by certain senior executives of PCS.  PCS became concerned with Mr. Barton’s activities and eventually sued him.  In the process, it obtained an interlocutory injunction against Mr. Barton which significantly affected his ability to earn a living.  In exchange for the injunction, PCS undertook to “abide by any order the court may make as to damages in case it is later shown that [Mr. Barton] has, by reason of the injunction granted in these proceedings, sustained any damages which [PCS] ought to pay”.  PCS eventually discontinued its action against Mr. Barton, and he subsequently sought an order assessing damages against PCS. Mr. Barton claimed damages for loss of income and pension benefits during the 10-year period of the injunction, damages for mental distress, reimbursement of solicitor-client costs, and punitive damages.  The chambers judge awarded Mr. Barton damages for mental distress as well as solicitor-client costs.  In a split decision, the Court of Appeal allowed Mr. Barton’s appeal in part, awarded him damages for loss of income and pension benefits and increased his award for mental distress.  Ottenbreit J.A., dissenting, would have dismissed Mr. Barton’s claim for loss of income and pension benefits on the basis that he failed to prove that the injunction caused the loss.</w:t>
            </w:r>
          </w:p>
          <w:p w:rsidR="00335133" w:rsidRPr="00CD0B1B" w:rsidRDefault="00335133" w:rsidP="00480963">
            <w:pPr>
              <w:jc w:val="both"/>
              <w:rPr>
                <w:rFonts w:eastAsia="Calibri"/>
                <w:sz w:val="20"/>
              </w:rPr>
            </w:pPr>
          </w:p>
        </w:tc>
      </w:tr>
      <w:tr w:rsidR="00335133" w:rsidRPr="00CD0B1B" w:rsidTr="00480963">
        <w:tc>
          <w:tcPr>
            <w:tcW w:w="2427" w:type="pct"/>
          </w:tcPr>
          <w:p w:rsidR="00335133" w:rsidRPr="00CD0B1B" w:rsidRDefault="00335133" w:rsidP="00480963">
            <w:pPr>
              <w:jc w:val="both"/>
              <w:rPr>
                <w:rFonts w:eastAsia="Calibri"/>
                <w:sz w:val="20"/>
              </w:rPr>
            </w:pPr>
            <w:r w:rsidRPr="00CD0B1B">
              <w:rPr>
                <w:rFonts w:eastAsia="Calibri"/>
                <w:sz w:val="20"/>
              </w:rPr>
              <w:lastRenderedPageBreak/>
              <w:t>December 19, 2011</w:t>
            </w:r>
          </w:p>
          <w:p w:rsidR="00335133" w:rsidRPr="00CD0B1B" w:rsidRDefault="00335133" w:rsidP="00480963">
            <w:pPr>
              <w:jc w:val="both"/>
              <w:rPr>
                <w:rFonts w:eastAsia="Calibri"/>
                <w:sz w:val="20"/>
              </w:rPr>
            </w:pPr>
            <w:r w:rsidRPr="00CD0B1B">
              <w:rPr>
                <w:rFonts w:eastAsia="Calibri"/>
                <w:sz w:val="20"/>
              </w:rPr>
              <w:t>Court of Queen’s Bench of Saskatchewan</w:t>
            </w:r>
          </w:p>
          <w:p w:rsidR="00335133" w:rsidRPr="00CD0B1B" w:rsidRDefault="00335133" w:rsidP="00480963">
            <w:pPr>
              <w:jc w:val="both"/>
              <w:rPr>
                <w:rFonts w:eastAsia="Calibri"/>
                <w:sz w:val="20"/>
              </w:rPr>
            </w:pPr>
            <w:r w:rsidRPr="00CD0B1B">
              <w:rPr>
                <w:rFonts w:eastAsia="Calibri"/>
                <w:sz w:val="20"/>
              </w:rPr>
              <w:t>(Keene J.)</w:t>
            </w:r>
          </w:p>
          <w:p w:rsidR="00335133" w:rsidRPr="00CD0B1B" w:rsidRDefault="005E19D3" w:rsidP="00480963">
            <w:pPr>
              <w:jc w:val="both"/>
              <w:rPr>
                <w:rFonts w:eastAsia="Calibri"/>
                <w:sz w:val="20"/>
              </w:rPr>
            </w:pPr>
            <w:hyperlink r:id="rId35" w:history="1">
              <w:r w:rsidR="00335133" w:rsidRPr="00CD0B1B">
                <w:rPr>
                  <w:rFonts w:eastAsia="Calibri"/>
                  <w:color w:val="0000FF"/>
                  <w:sz w:val="20"/>
                  <w:u w:val="single"/>
                </w:rPr>
                <w:t>2011 SKQB 477</w:t>
              </w:r>
            </w:hyperlink>
          </w:p>
          <w:p w:rsidR="00335133" w:rsidRPr="00CD0B1B" w:rsidRDefault="00335133" w:rsidP="00480963">
            <w:pPr>
              <w:jc w:val="both"/>
              <w:rPr>
                <w:rFonts w:eastAsia="Calibri"/>
                <w:sz w:val="20"/>
              </w:rPr>
            </w:pPr>
          </w:p>
        </w:tc>
        <w:tc>
          <w:tcPr>
            <w:tcW w:w="243" w:type="pct"/>
          </w:tcPr>
          <w:p w:rsidR="00335133" w:rsidRPr="00CD0B1B" w:rsidRDefault="00335133" w:rsidP="00480963">
            <w:pPr>
              <w:jc w:val="both"/>
              <w:rPr>
                <w:rFonts w:eastAsia="Calibri"/>
                <w:sz w:val="20"/>
              </w:rPr>
            </w:pPr>
          </w:p>
        </w:tc>
        <w:tc>
          <w:tcPr>
            <w:tcW w:w="2330" w:type="pct"/>
          </w:tcPr>
          <w:p w:rsidR="00335133" w:rsidRPr="00CD0B1B" w:rsidRDefault="00335133" w:rsidP="00480963">
            <w:pPr>
              <w:jc w:val="both"/>
              <w:rPr>
                <w:rFonts w:eastAsia="Calibri"/>
                <w:sz w:val="20"/>
              </w:rPr>
            </w:pPr>
            <w:r w:rsidRPr="00CD0B1B">
              <w:rPr>
                <w:rFonts w:eastAsia="Calibri"/>
                <w:sz w:val="20"/>
              </w:rPr>
              <w:t>Damages assessed against applicants; respondent awarded solicitor-client costs and damages for mental distress</w:t>
            </w:r>
          </w:p>
          <w:p w:rsidR="00335133" w:rsidRPr="00CD0B1B" w:rsidRDefault="00335133" w:rsidP="00480963">
            <w:pPr>
              <w:jc w:val="both"/>
              <w:rPr>
                <w:rFonts w:eastAsia="Calibri"/>
                <w:sz w:val="20"/>
              </w:rPr>
            </w:pPr>
          </w:p>
        </w:tc>
      </w:tr>
      <w:tr w:rsidR="00335133" w:rsidRPr="00CD0B1B" w:rsidTr="00480963">
        <w:tc>
          <w:tcPr>
            <w:tcW w:w="2427" w:type="pct"/>
          </w:tcPr>
          <w:p w:rsidR="00335133" w:rsidRPr="00CD0B1B" w:rsidRDefault="00335133" w:rsidP="00480963">
            <w:pPr>
              <w:jc w:val="both"/>
              <w:rPr>
                <w:rFonts w:eastAsia="Calibri"/>
                <w:sz w:val="20"/>
              </w:rPr>
            </w:pPr>
            <w:r w:rsidRPr="00CD0B1B">
              <w:rPr>
                <w:rFonts w:eastAsia="Calibri"/>
                <w:sz w:val="20"/>
              </w:rPr>
              <w:t>December 20, 2013</w:t>
            </w:r>
          </w:p>
          <w:p w:rsidR="00335133" w:rsidRPr="00CD0B1B" w:rsidRDefault="00335133" w:rsidP="00480963">
            <w:pPr>
              <w:jc w:val="both"/>
              <w:rPr>
                <w:rFonts w:eastAsia="Calibri"/>
                <w:sz w:val="20"/>
              </w:rPr>
            </w:pPr>
            <w:r w:rsidRPr="00CD0B1B">
              <w:rPr>
                <w:rFonts w:eastAsia="Calibri"/>
                <w:sz w:val="20"/>
              </w:rPr>
              <w:t>Court of Appeal for Saskatchewan</w:t>
            </w:r>
          </w:p>
          <w:p w:rsidR="00335133" w:rsidRPr="00CD0B1B" w:rsidRDefault="00335133" w:rsidP="00480963">
            <w:pPr>
              <w:jc w:val="both"/>
              <w:rPr>
                <w:rFonts w:eastAsia="Calibri"/>
                <w:sz w:val="20"/>
              </w:rPr>
            </w:pPr>
            <w:r w:rsidRPr="00CD0B1B">
              <w:rPr>
                <w:rFonts w:eastAsia="Calibri"/>
                <w:sz w:val="20"/>
              </w:rPr>
              <w:t xml:space="preserve">(Jackson, Klebuc and Ottenbreit [dissenting] </w:t>
            </w:r>
          </w:p>
          <w:p w:rsidR="00335133" w:rsidRPr="00CD0B1B" w:rsidRDefault="00335133" w:rsidP="00480963">
            <w:pPr>
              <w:jc w:val="both"/>
              <w:rPr>
                <w:rFonts w:eastAsia="Calibri"/>
                <w:sz w:val="20"/>
              </w:rPr>
            </w:pPr>
            <w:r w:rsidRPr="00CD0B1B">
              <w:rPr>
                <w:rFonts w:eastAsia="Calibri"/>
                <w:sz w:val="20"/>
              </w:rPr>
              <w:t>JJ.A.)</w:t>
            </w:r>
          </w:p>
          <w:p w:rsidR="00335133" w:rsidRPr="00CD0B1B" w:rsidRDefault="005E19D3" w:rsidP="00480963">
            <w:pPr>
              <w:jc w:val="both"/>
              <w:rPr>
                <w:rFonts w:eastAsia="Calibri"/>
                <w:sz w:val="20"/>
              </w:rPr>
            </w:pPr>
            <w:hyperlink r:id="rId36" w:history="1">
              <w:r w:rsidR="00335133" w:rsidRPr="00CD0B1B">
                <w:rPr>
                  <w:rFonts w:eastAsia="Calibri"/>
                  <w:color w:val="0000FF"/>
                  <w:sz w:val="20"/>
                  <w:u w:val="single"/>
                </w:rPr>
                <w:t>2013 SKCA 141</w:t>
              </w:r>
            </w:hyperlink>
          </w:p>
          <w:p w:rsidR="00335133" w:rsidRPr="00CD0B1B" w:rsidRDefault="00335133" w:rsidP="00480963">
            <w:pPr>
              <w:jc w:val="both"/>
              <w:rPr>
                <w:rFonts w:eastAsia="Calibri"/>
                <w:sz w:val="20"/>
              </w:rPr>
            </w:pPr>
          </w:p>
        </w:tc>
        <w:tc>
          <w:tcPr>
            <w:tcW w:w="243" w:type="pct"/>
          </w:tcPr>
          <w:p w:rsidR="00335133" w:rsidRPr="00CD0B1B" w:rsidRDefault="00335133" w:rsidP="00480963">
            <w:pPr>
              <w:jc w:val="both"/>
              <w:rPr>
                <w:rFonts w:eastAsia="Calibri"/>
                <w:sz w:val="20"/>
              </w:rPr>
            </w:pPr>
          </w:p>
        </w:tc>
        <w:tc>
          <w:tcPr>
            <w:tcW w:w="2330" w:type="pct"/>
          </w:tcPr>
          <w:p w:rsidR="00335133" w:rsidRPr="00CD0B1B" w:rsidRDefault="00335133" w:rsidP="00480963">
            <w:pPr>
              <w:jc w:val="both"/>
              <w:rPr>
                <w:rFonts w:eastAsia="Calibri"/>
                <w:sz w:val="20"/>
              </w:rPr>
            </w:pPr>
            <w:r w:rsidRPr="00CD0B1B">
              <w:rPr>
                <w:rFonts w:eastAsia="Calibri"/>
                <w:sz w:val="20"/>
              </w:rPr>
              <w:t>Appeal allowed in part; cross-appeal dismissed</w:t>
            </w:r>
          </w:p>
          <w:p w:rsidR="00335133" w:rsidRPr="00CD0B1B" w:rsidRDefault="00335133" w:rsidP="00480963">
            <w:pPr>
              <w:jc w:val="both"/>
              <w:rPr>
                <w:rFonts w:eastAsia="Calibri"/>
                <w:sz w:val="20"/>
              </w:rPr>
            </w:pPr>
          </w:p>
        </w:tc>
      </w:tr>
      <w:tr w:rsidR="00335133" w:rsidRPr="00CD0B1B" w:rsidTr="00480963">
        <w:tc>
          <w:tcPr>
            <w:tcW w:w="2427" w:type="pct"/>
          </w:tcPr>
          <w:p w:rsidR="00335133" w:rsidRPr="00CD0B1B" w:rsidRDefault="00335133" w:rsidP="00480963">
            <w:pPr>
              <w:jc w:val="both"/>
              <w:rPr>
                <w:rFonts w:eastAsia="Calibri"/>
                <w:sz w:val="20"/>
              </w:rPr>
            </w:pPr>
            <w:r w:rsidRPr="00CD0B1B">
              <w:rPr>
                <w:rFonts w:eastAsia="Calibri"/>
                <w:sz w:val="20"/>
              </w:rPr>
              <w:t>February 14, 2014</w:t>
            </w:r>
          </w:p>
          <w:p w:rsidR="00335133" w:rsidRPr="00CD0B1B" w:rsidRDefault="00335133" w:rsidP="00480963">
            <w:pPr>
              <w:jc w:val="both"/>
              <w:rPr>
                <w:rFonts w:eastAsia="Calibri"/>
                <w:sz w:val="20"/>
              </w:rPr>
            </w:pPr>
            <w:r w:rsidRPr="00CD0B1B">
              <w:rPr>
                <w:rFonts w:eastAsia="Calibri"/>
                <w:sz w:val="20"/>
              </w:rPr>
              <w:t>Supreme Court of Canada</w:t>
            </w:r>
          </w:p>
          <w:p w:rsidR="00335133" w:rsidRPr="00CD0B1B" w:rsidRDefault="00335133" w:rsidP="00480963">
            <w:pPr>
              <w:jc w:val="both"/>
              <w:rPr>
                <w:rFonts w:eastAsia="Calibri"/>
                <w:sz w:val="20"/>
              </w:rPr>
            </w:pPr>
          </w:p>
        </w:tc>
        <w:tc>
          <w:tcPr>
            <w:tcW w:w="243" w:type="pct"/>
          </w:tcPr>
          <w:p w:rsidR="00335133" w:rsidRPr="00CD0B1B" w:rsidRDefault="00335133" w:rsidP="00480963">
            <w:pPr>
              <w:jc w:val="both"/>
              <w:rPr>
                <w:rFonts w:eastAsia="Calibri"/>
                <w:sz w:val="20"/>
              </w:rPr>
            </w:pPr>
          </w:p>
        </w:tc>
        <w:tc>
          <w:tcPr>
            <w:tcW w:w="2330" w:type="pct"/>
          </w:tcPr>
          <w:p w:rsidR="00335133" w:rsidRPr="00CD0B1B" w:rsidRDefault="00335133" w:rsidP="00480963">
            <w:pPr>
              <w:jc w:val="both"/>
              <w:rPr>
                <w:rFonts w:eastAsia="Calibri"/>
                <w:sz w:val="20"/>
              </w:rPr>
            </w:pPr>
            <w:r w:rsidRPr="00CD0B1B">
              <w:rPr>
                <w:rFonts w:eastAsia="Calibri"/>
                <w:sz w:val="20"/>
              </w:rPr>
              <w:t>Application for leave to appeal filed</w:t>
            </w:r>
          </w:p>
          <w:p w:rsidR="00335133" w:rsidRPr="00CD0B1B" w:rsidRDefault="00335133" w:rsidP="00480963">
            <w:pPr>
              <w:jc w:val="both"/>
              <w:rPr>
                <w:rFonts w:eastAsia="Calibri"/>
                <w:sz w:val="20"/>
              </w:rPr>
            </w:pPr>
          </w:p>
        </w:tc>
      </w:tr>
      <w:tr w:rsidR="00335133" w:rsidRPr="00CD0B1B" w:rsidTr="00480963">
        <w:tc>
          <w:tcPr>
            <w:tcW w:w="2427" w:type="pct"/>
          </w:tcPr>
          <w:p w:rsidR="00335133" w:rsidRPr="00CD0B1B" w:rsidRDefault="00335133" w:rsidP="00480963">
            <w:pPr>
              <w:jc w:val="both"/>
              <w:rPr>
                <w:rFonts w:eastAsia="Calibri"/>
                <w:sz w:val="20"/>
              </w:rPr>
            </w:pPr>
            <w:r w:rsidRPr="00CD0B1B">
              <w:rPr>
                <w:rFonts w:eastAsia="Calibri"/>
                <w:sz w:val="20"/>
              </w:rPr>
              <w:t>March 13, 2014</w:t>
            </w:r>
          </w:p>
          <w:p w:rsidR="00335133" w:rsidRPr="00CD0B1B" w:rsidRDefault="00335133" w:rsidP="00480963">
            <w:pPr>
              <w:jc w:val="both"/>
              <w:rPr>
                <w:rFonts w:eastAsia="Calibri"/>
                <w:sz w:val="20"/>
              </w:rPr>
            </w:pPr>
            <w:r w:rsidRPr="00CD0B1B">
              <w:rPr>
                <w:rFonts w:eastAsia="Calibri"/>
                <w:sz w:val="20"/>
              </w:rPr>
              <w:t>Supreme Court of Canada</w:t>
            </w:r>
          </w:p>
        </w:tc>
        <w:tc>
          <w:tcPr>
            <w:tcW w:w="243" w:type="pct"/>
          </w:tcPr>
          <w:p w:rsidR="00335133" w:rsidRPr="00CD0B1B" w:rsidRDefault="00335133" w:rsidP="00480963">
            <w:pPr>
              <w:jc w:val="both"/>
              <w:rPr>
                <w:rFonts w:eastAsia="Calibri"/>
                <w:sz w:val="20"/>
              </w:rPr>
            </w:pPr>
          </w:p>
        </w:tc>
        <w:tc>
          <w:tcPr>
            <w:tcW w:w="2330" w:type="pct"/>
          </w:tcPr>
          <w:p w:rsidR="00335133" w:rsidRPr="00CD0B1B" w:rsidRDefault="00335133" w:rsidP="00480963">
            <w:pPr>
              <w:jc w:val="both"/>
              <w:rPr>
                <w:rFonts w:eastAsia="Calibri"/>
                <w:sz w:val="20"/>
              </w:rPr>
            </w:pPr>
            <w:r w:rsidRPr="00CD0B1B">
              <w:rPr>
                <w:rFonts w:eastAsia="Calibri"/>
                <w:sz w:val="20"/>
              </w:rPr>
              <w:t>Application for leave to cross-appeal filed</w:t>
            </w: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48"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5133" w:rsidRPr="005E19D3" w:rsidTr="00480963">
        <w:tc>
          <w:tcPr>
            <w:tcW w:w="5000" w:type="pct"/>
            <w:gridSpan w:val="3"/>
          </w:tcPr>
          <w:p w:rsidR="00335133" w:rsidRPr="00CD0B1B" w:rsidRDefault="00335133" w:rsidP="00480963">
            <w:pPr>
              <w:jc w:val="both"/>
              <w:rPr>
                <w:rFonts w:eastAsia="Calibri"/>
                <w:sz w:val="20"/>
                <w:lang w:val="fr-CA"/>
              </w:rPr>
            </w:pPr>
            <w:r w:rsidRPr="00CD0B1B">
              <w:rPr>
                <w:rFonts w:eastAsia="Calibri"/>
                <w:sz w:val="20"/>
                <w:lang w:val="fr-CA"/>
              </w:rPr>
              <w:t>Dommages-intérêts – Dommages-intérêts compensatoires – Perte de revenus d’emploi et de prestations de retraite – Souffrance morale – Quantum – Dommages-intérêts punitifs – Dépens procureur-client – Quel critère convient-il d’appliquer dans l’évaluation des dommages-intérêts en exécution d’un engagement donné en lien avec une injonction interlocutoire? – Dans quelles circonstances des dommages-intérêts pour souffrance morale peuvent-ils être accordés dans le contexte d’une demande faite en exécution d’un engagement? – Des dépens peuvent-ils être attribués à titre de dommages-intérêts lorsque des réparations sont demandées en exécution d’un engagement? Dans l’affirmative, quel critère doit être satisfait avant que les tribunaux puissent attribuer des dépens procureur-client ou des dépens sur la base d’une indemnisation totale? – Faut-il que le tribunal constate une faute donnant elle</w:t>
            </w:r>
            <w:r w:rsidRPr="00CD0B1B">
              <w:rPr>
                <w:rFonts w:eastAsia="Calibri"/>
                <w:sz w:val="20"/>
                <w:lang w:val="fr-CA"/>
              </w:rPr>
              <w:noBreakHyphen/>
              <w:t>même ouverture à un droit d’action pour pouvoir attribuer des dommages-intérêts punitifs en exécution d’un engagement déposé pour obtenir une injonction interlocutoire? Dans l’affirmative, une inconduite, dans le cadre du litige, qui équivaut à un abus de procédure, mais qui n’équivaut pas au délit d’abus de procédure peut-elle être substituée à une faute donnant elle-même ouverture à un droit d’action et ainsi permettre l’attribution de dommages-intérêts punitifs?</w:t>
            </w:r>
          </w:p>
        </w:tc>
      </w:tr>
      <w:tr w:rsidR="00335133" w:rsidRPr="005E19D3" w:rsidTr="00480963">
        <w:tc>
          <w:tcPr>
            <w:tcW w:w="5000" w:type="pct"/>
            <w:gridSpan w:val="3"/>
          </w:tcPr>
          <w:p w:rsidR="00335133" w:rsidRPr="00CD0B1B" w:rsidRDefault="00335133" w:rsidP="00480963">
            <w:pPr>
              <w:jc w:val="both"/>
              <w:rPr>
                <w:rFonts w:eastAsia="Calibri"/>
                <w:sz w:val="20"/>
                <w:lang w:val="fr-CA"/>
              </w:rPr>
            </w:pPr>
          </w:p>
        </w:tc>
      </w:tr>
      <w:tr w:rsidR="00335133" w:rsidRPr="005E19D3" w:rsidTr="00480963">
        <w:tc>
          <w:tcPr>
            <w:tcW w:w="5000" w:type="pct"/>
            <w:gridSpan w:val="3"/>
          </w:tcPr>
          <w:p w:rsidR="00335133" w:rsidRPr="00CD0B1B" w:rsidRDefault="00335133" w:rsidP="00480963">
            <w:pPr>
              <w:jc w:val="both"/>
              <w:rPr>
                <w:rFonts w:eastAsia="Calibri"/>
                <w:sz w:val="20"/>
                <w:lang w:val="fr-CA"/>
              </w:rPr>
            </w:pPr>
            <w:r w:rsidRPr="00CD0B1B">
              <w:rPr>
                <w:rFonts w:eastAsia="Calibri"/>
                <w:sz w:val="20"/>
                <w:lang w:val="fr-CA"/>
              </w:rPr>
              <w:t>Monsieur Barton, intimé, a occupé plusieurs postes au service des sociétés demanderesses (« PCS »), notamment ceux d’avocat général et de vice-président.  Il a démissionné en 1988, en raison d’inquiétudes qu’il avait au sujet des opérations de PCS à l’égard du prix de la potasse qui, selon lui, violaient les lois antitrust.  Après avoir quitté PCS, M. Barton a activement cherché de l’emploi, en se fondant en grande partie sur les connaissances qu’il disait avoir sur ce qu’il prétendait être des actes illégaux de fixation des prix par certains cadres supérieurs de PCS.  PCS a commencé à s’inquiéter des activités de M. Barton et a fini par le poursuivre.  Dans le cadre de cette poursuite, elle a obtenu une injonction interlocutoire contre M. Barton, ce qui a considérablement touché la capacité de ce dernier de gagner sa vie.  En contrepartie de l’injonction, PCS s’était engagée à [</w:t>
            </w:r>
            <w:r w:rsidRPr="00CD0B1B">
              <w:rPr>
                <w:rFonts w:eastAsia="Calibri"/>
                <w:smallCaps/>
                <w:sz w:val="20"/>
                <w:lang w:val="fr-CA"/>
              </w:rPr>
              <w:t>traduction</w:t>
            </w:r>
            <w:r w:rsidRPr="00CD0B1B">
              <w:rPr>
                <w:rFonts w:eastAsia="Calibri"/>
                <w:sz w:val="20"/>
                <w:lang w:val="fr-CA"/>
              </w:rPr>
              <w:t xml:space="preserve">] « respecter toute ordonnance que pouvait rendre la cour quant aux dommages-intérêts s’il était démontré ultérieurement que, en raison de l’injonction décernée en l’instance, [M. Barton] subissait un préjudice que devait indemniser [PCS] ».  PCS a fini par abandonner son action contre M. Barton et ce dernier a par la suite demandé une ordonnance d’évaluation des dommages-intérêts contre PCS.  Monsieur Barton a réclamé des dommages-intérêts pour perte de revenus et de prestations de retraite pendant la période de dix ans qu’a duré l’injonction, des dommages-intérêts pour souffrance morale, le remboursement des dépens procureur-client et des dommages-intérêts punitifs.  Le juge en son cabinet a accordé à M. Barton des dommages-intérêts pour souffrance morale et les dépens procureur-client.  Dans une décision partagée, la Cour d’appel a accueilli l’appel de M. Barton en partie, lui accordant des dommages-intérêts pour perte de revenus et de </w:t>
            </w:r>
            <w:r w:rsidRPr="00CD0B1B">
              <w:rPr>
                <w:rFonts w:eastAsia="Calibri"/>
                <w:sz w:val="20"/>
                <w:lang w:val="fr-CA"/>
              </w:rPr>
              <w:lastRenderedPageBreak/>
              <w:t>prestations de retraite et augmentant le montant accordé pour souffrance morale.  Le juge Ottenbreit, dissident, aurait rejeté la demande de M. Barton pour perte de revenus et de prestations de retraite car à son avis, M. Barton n’avait pas prouvé que l’injonction lui avait causé le préjudice.</w:t>
            </w:r>
          </w:p>
          <w:p w:rsidR="00335133" w:rsidRPr="00CD0B1B" w:rsidRDefault="00335133" w:rsidP="00480963">
            <w:pPr>
              <w:jc w:val="both"/>
              <w:rPr>
                <w:rFonts w:eastAsia="Calibri"/>
                <w:sz w:val="20"/>
                <w:lang w:val="fr-CA"/>
              </w:rPr>
            </w:pPr>
          </w:p>
        </w:tc>
      </w:tr>
      <w:tr w:rsidR="00335133" w:rsidRPr="005E19D3" w:rsidTr="00480963">
        <w:tc>
          <w:tcPr>
            <w:tcW w:w="2427" w:type="pct"/>
          </w:tcPr>
          <w:p w:rsidR="00335133" w:rsidRPr="00CD0B1B" w:rsidRDefault="00335133" w:rsidP="00480963">
            <w:pPr>
              <w:jc w:val="both"/>
              <w:rPr>
                <w:rFonts w:eastAsia="Calibri"/>
                <w:sz w:val="20"/>
                <w:lang w:val="fr-CA"/>
              </w:rPr>
            </w:pPr>
            <w:r w:rsidRPr="00CD0B1B">
              <w:rPr>
                <w:rFonts w:eastAsia="Calibri"/>
                <w:sz w:val="20"/>
                <w:lang w:val="fr-CA"/>
              </w:rPr>
              <w:lastRenderedPageBreak/>
              <w:t>19 décembre 2011</w:t>
            </w:r>
          </w:p>
          <w:p w:rsidR="00335133" w:rsidRPr="00CD0B1B" w:rsidRDefault="00335133" w:rsidP="00480963">
            <w:pPr>
              <w:jc w:val="both"/>
              <w:rPr>
                <w:rFonts w:eastAsia="Calibri"/>
                <w:sz w:val="20"/>
                <w:lang w:val="fr-CA"/>
              </w:rPr>
            </w:pPr>
            <w:r w:rsidRPr="00CD0B1B">
              <w:rPr>
                <w:rFonts w:eastAsia="Calibri"/>
                <w:sz w:val="20"/>
                <w:lang w:val="fr-CA"/>
              </w:rPr>
              <w:t>Cour du Banc de la Reine de la Saskatchewan</w:t>
            </w:r>
          </w:p>
          <w:p w:rsidR="00335133" w:rsidRPr="00CD0B1B" w:rsidRDefault="00335133" w:rsidP="00480963">
            <w:pPr>
              <w:jc w:val="both"/>
              <w:rPr>
                <w:rFonts w:eastAsia="Calibri"/>
                <w:sz w:val="20"/>
                <w:lang w:val="fr-CA"/>
              </w:rPr>
            </w:pPr>
            <w:r w:rsidRPr="00CD0B1B">
              <w:rPr>
                <w:rFonts w:eastAsia="Calibri"/>
                <w:sz w:val="20"/>
                <w:lang w:val="fr-CA"/>
              </w:rPr>
              <w:t>(Juge Keene)</w:t>
            </w:r>
          </w:p>
          <w:p w:rsidR="00335133" w:rsidRPr="00CD0B1B" w:rsidRDefault="005E19D3" w:rsidP="00480963">
            <w:pPr>
              <w:jc w:val="both"/>
              <w:rPr>
                <w:rFonts w:eastAsia="Calibri"/>
                <w:sz w:val="20"/>
                <w:lang w:val="fr-CA"/>
              </w:rPr>
            </w:pPr>
            <w:hyperlink r:id="rId37" w:history="1">
              <w:r w:rsidR="00335133" w:rsidRPr="00CD0B1B">
                <w:rPr>
                  <w:rFonts w:eastAsia="Calibri"/>
                  <w:color w:val="0000FF"/>
                  <w:sz w:val="20"/>
                  <w:u w:val="single"/>
                  <w:lang w:val="fr-CA"/>
                </w:rPr>
                <w:t>2011 SKQB 477</w:t>
              </w:r>
            </w:hyperlink>
          </w:p>
          <w:p w:rsidR="00335133" w:rsidRPr="00CD0B1B" w:rsidRDefault="00335133" w:rsidP="00480963">
            <w:pPr>
              <w:jc w:val="both"/>
              <w:rPr>
                <w:rFonts w:eastAsia="Calibri"/>
                <w:sz w:val="20"/>
                <w:lang w:val="fr-CA"/>
              </w:rPr>
            </w:pPr>
          </w:p>
        </w:tc>
        <w:tc>
          <w:tcPr>
            <w:tcW w:w="243" w:type="pct"/>
          </w:tcPr>
          <w:p w:rsidR="00335133" w:rsidRPr="00CD0B1B" w:rsidRDefault="00335133" w:rsidP="00480963">
            <w:pPr>
              <w:jc w:val="both"/>
              <w:rPr>
                <w:rFonts w:eastAsia="Calibri"/>
                <w:sz w:val="20"/>
                <w:lang w:val="fr-CA"/>
              </w:rPr>
            </w:pPr>
          </w:p>
        </w:tc>
        <w:tc>
          <w:tcPr>
            <w:tcW w:w="2330" w:type="pct"/>
          </w:tcPr>
          <w:p w:rsidR="00335133" w:rsidRPr="00CD0B1B" w:rsidRDefault="00335133" w:rsidP="00480963">
            <w:pPr>
              <w:jc w:val="both"/>
              <w:rPr>
                <w:rFonts w:eastAsia="Calibri"/>
                <w:sz w:val="20"/>
                <w:lang w:val="fr-CA"/>
              </w:rPr>
            </w:pPr>
            <w:r w:rsidRPr="00CD0B1B">
              <w:rPr>
                <w:rFonts w:eastAsia="Calibri"/>
                <w:sz w:val="20"/>
                <w:lang w:val="fr-CA"/>
              </w:rPr>
              <w:t>Demanderesses condamnées à des dommages-intérêts; l’intimé se voit attribuer les dépens procureur-client et des dommages-intérêts pour souffrance morale</w:t>
            </w:r>
          </w:p>
          <w:p w:rsidR="00335133" w:rsidRPr="00CD0B1B" w:rsidRDefault="00335133" w:rsidP="00480963">
            <w:pPr>
              <w:jc w:val="both"/>
              <w:rPr>
                <w:rFonts w:eastAsia="Calibri"/>
                <w:sz w:val="20"/>
                <w:lang w:val="fr-CA"/>
              </w:rPr>
            </w:pPr>
          </w:p>
        </w:tc>
      </w:tr>
      <w:tr w:rsidR="00335133" w:rsidRPr="005E19D3" w:rsidTr="00480963">
        <w:tc>
          <w:tcPr>
            <w:tcW w:w="2427" w:type="pct"/>
          </w:tcPr>
          <w:p w:rsidR="00335133" w:rsidRPr="00CD0B1B" w:rsidRDefault="00335133" w:rsidP="00480963">
            <w:pPr>
              <w:jc w:val="both"/>
              <w:rPr>
                <w:rFonts w:eastAsia="Calibri"/>
                <w:sz w:val="20"/>
                <w:lang w:val="fr-CA"/>
              </w:rPr>
            </w:pPr>
            <w:r w:rsidRPr="00CD0B1B">
              <w:rPr>
                <w:rFonts w:eastAsia="Calibri"/>
                <w:sz w:val="20"/>
                <w:lang w:val="fr-CA"/>
              </w:rPr>
              <w:t>20 décembre 2013</w:t>
            </w:r>
          </w:p>
          <w:p w:rsidR="00335133" w:rsidRPr="00CD0B1B" w:rsidRDefault="00335133" w:rsidP="00480963">
            <w:pPr>
              <w:jc w:val="both"/>
              <w:rPr>
                <w:rFonts w:eastAsia="Calibri"/>
                <w:sz w:val="20"/>
                <w:lang w:val="fr-CA"/>
              </w:rPr>
            </w:pPr>
            <w:r w:rsidRPr="00CD0B1B">
              <w:rPr>
                <w:rFonts w:eastAsia="Calibri"/>
                <w:sz w:val="20"/>
                <w:lang w:val="fr-CA"/>
              </w:rPr>
              <w:t>Cour d’appel de la Saskatchewan</w:t>
            </w:r>
          </w:p>
          <w:p w:rsidR="00335133" w:rsidRPr="00CD0B1B" w:rsidRDefault="00335133" w:rsidP="00480963">
            <w:pPr>
              <w:jc w:val="both"/>
              <w:rPr>
                <w:rFonts w:eastAsia="Calibri"/>
                <w:sz w:val="20"/>
                <w:lang w:val="fr-CA"/>
              </w:rPr>
            </w:pPr>
            <w:r w:rsidRPr="00CD0B1B">
              <w:rPr>
                <w:rFonts w:eastAsia="Calibri"/>
                <w:sz w:val="20"/>
                <w:lang w:val="fr-CA"/>
              </w:rPr>
              <w:t>(Juges Jackson, Klebuc et Ottenbreit [dissident])</w:t>
            </w:r>
          </w:p>
          <w:p w:rsidR="00335133" w:rsidRPr="00CD0B1B" w:rsidRDefault="005E19D3" w:rsidP="00480963">
            <w:pPr>
              <w:jc w:val="both"/>
              <w:rPr>
                <w:rFonts w:eastAsia="Calibri"/>
                <w:sz w:val="20"/>
                <w:lang w:val="fr-CA"/>
              </w:rPr>
            </w:pPr>
            <w:hyperlink r:id="rId38" w:history="1">
              <w:r w:rsidR="00335133" w:rsidRPr="00CD0B1B">
                <w:rPr>
                  <w:rFonts w:eastAsia="Calibri"/>
                  <w:color w:val="0000FF"/>
                  <w:sz w:val="20"/>
                  <w:u w:val="single"/>
                  <w:lang w:val="fr-CA"/>
                </w:rPr>
                <w:t>2013 SKCA 141</w:t>
              </w:r>
            </w:hyperlink>
          </w:p>
          <w:p w:rsidR="00335133" w:rsidRPr="00CD0B1B" w:rsidRDefault="00335133" w:rsidP="00480963">
            <w:pPr>
              <w:jc w:val="both"/>
              <w:rPr>
                <w:rFonts w:eastAsia="Calibri"/>
                <w:sz w:val="20"/>
                <w:lang w:val="fr-CA"/>
              </w:rPr>
            </w:pPr>
          </w:p>
        </w:tc>
        <w:tc>
          <w:tcPr>
            <w:tcW w:w="243" w:type="pct"/>
          </w:tcPr>
          <w:p w:rsidR="00335133" w:rsidRPr="00CD0B1B" w:rsidRDefault="00335133" w:rsidP="00480963">
            <w:pPr>
              <w:jc w:val="both"/>
              <w:rPr>
                <w:rFonts w:eastAsia="Calibri"/>
                <w:sz w:val="20"/>
                <w:lang w:val="fr-CA"/>
              </w:rPr>
            </w:pPr>
          </w:p>
        </w:tc>
        <w:tc>
          <w:tcPr>
            <w:tcW w:w="2330" w:type="pct"/>
          </w:tcPr>
          <w:p w:rsidR="00335133" w:rsidRPr="00CD0B1B" w:rsidRDefault="00335133" w:rsidP="00480963">
            <w:pPr>
              <w:jc w:val="both"/>
              <w:rPr>
                <w:rFonts w:eastAsia="Calibri"/>
                <w:sz w:val="20"/>
                <w:lang w:val="fr-CA"/>
              </w:rPr>
            </w:pPr>
            <w:r w:rsidRPr="00CD0B1B">
              <w:rPr>
                <w:rFonts w:eastAsia="Calibri"/>
                <w:sz w:val="20"/>
                <w:lang w:val="fr-CA"/>
              </w:rPr>
              <w:t>Appel accueilli en partie; appel incident, rejeté</w:t>
            </w:r>
          </w:p>
          <w:p w:rsidR="00335133" w:rsidRPr="00CD0B1B" w:rsidRDefault="00335133" w:rsidP="00480963">
            <w:pPr>
              <w:jc w:val="both"/>
              <w:rPr>
                <w:rFonts w:eastAsia="Calibri"/>
                <w:sz w:val="20"/>
                <w:lang w:val="fr-CA"/>
              </w:rPr>
            </w:pPr>
          </w:p>
        </w:tc>
      </w:tr>
      <w:tr w:rsidR="00335133" w:rsidRPr="00CD0B1B" w:rsidTr="00480963">
        <w:tc>
          <w:tcPr>
            <w:tcW w:w="2427" w:type="pct"/>
          </w:tcPr>
          <w:p w:rsidR="00335133" w:rsidRPr="00CD0B1B" w:rsidRDefault="00335133" w:rsidP="00480963">
            <w:pPr>
              <w:jc w:val="both"/>
              <w:rPr>
                <w:rFonts w:eastAsia="Calibri"/>
                <w:sz w:val="20"/>
                <w:lang w:val="fr-CA"/>
              </w:rPr>
            </w:pPr>
            <w:r w:rsidRPr="00CD0B1B">
              <w:rPr>
                <w:rFonts w:eastAsia="Calibri"/>
                <w:sz w:val="20"/>
                <w:lang w:val="fr-CA"/>
              </w:rPr>
              <w:t>14 février 2014</w:t>
            </w:r>
          </w:p>
          <w:p w:rsidR="00335133" w:rsidRPr="00CD0B1B" w:rsidRDefault="00335133" w:rsidP="00480963">
            <w:pPr>
              <w:jc w:val="both"/>
              <w:rPr>
                <w:rFonts w:eastAsia="Calibri"/>
                <w:sz w:val="20"/>
                <w:lang w:val="fr-CA"/>
              </w:rPr>
            </w:pPr>
            <w:r w:rsidRPr="00CD0B1B">
              <w:rPr>
                <w:rFonts w:eastAsia="Calibri"/>
                <w:sz w:val="20"/>
                <w:lang w:val="fr-CA"/>
              </w:rPr>
              <w:t>Cour suprême du Canada</w:t>
            </w:r>
          </w:p>
          <w:p w:rsidR="00335133" w:rsidRPr="00CD0B1B" w:rsidRDefault="00335133" w:rsidP="00480963">
            <w:pPr>
              <w:jc w:val="both"/>
              <w:rPr>
                <w:rFonts w:eastAsia="Calibri"/>
                <w:sz w:val="20"/>
                <w:lang w:val="fr-CA"/>
              </w:rPr>
            </w:pPr>
          </w:p>
        </w:tc>
        <w:tc>
          <w:tcPr>
            <w:tcW w:w="243" w:type="pct"/>
          </w:tcPr>
          <w:p w:rsidR="00335133" w:rsidRPr="00CD0B1B" w:rsidRDefault="00335133" w:rsidP="00480963">
            <w:pPr>
              <w:jc w:val="both"/>
              <w:rPr>
                <w:rFonts w:eastAsia="Calibri"/>
                <w:sz w:val="20"/>
                <w:lang w:val="fr-CA"/>
              </w:rPr>
            </w:pPr>
          </w:p>
        </w:tc>
        <w:tc>
          <w:tcPr>
            <w:tcW w:w="2330" w:type="pct"/>
          </w:tcPr>
          <w:p w:rsidR="00335133" w:rsidRPr="00CD0B1B" w:rsidRDefault="00335133" w:rsidP="00480963">
            <w:pPr>
              <w:jc w:val="both"/>
              <w:rPr>
                <w:rFonts w:eastAsia="Calibri"/>
                <w:sz w:val="20"/>
                <w:lang w:val="fr-CA"/>
              </w:rPr>
            </w:pPr>
            <w:r w:rsidRPr="00CD0B1B">
              <w:rPr>
                <w:rFonts w:eastAsia="Calibri"/>
                <w:sz w:val="20"/>
                <w:lang w:val="fr-CA"/>
              </w:rPr>
              <w:t>Demande d’autorisation d’appel, déposée</w:t>
            </w:r>
          </w:p>
          <w:p w:rsidR="00335133" w:rsidRPr="00CD0B1B" w:rsidRDefault="00335133" w:rsidP="00480963">
            <w:pPr>
              <w:jc w:val="both"/>
              <w:rPr>
                <w:rFonts w:eastAsia="Calibri"/>
                <w:sz w:val="20"/>
                <w:lang w:val="fr-CA"/>
              </w:rPr>
            </w:pPr>
          </w:p>
        </w:tc>
      </w:tr>
      <w:tr w:rsidR="00335133" w:rsidRPr="005E19D3" w:rsidTr="00480963">
        <w:tc>
          <w:tcPr>
            <w:tcW w:w="2427" w:type="pct"/>
          </w:tcPr>
          <w:p w:rsidR="00335133" w:rsidRPr="00CD0B1B" w:rsidRDefault="00335133" w:rsidP="00480963">
            <w:pPr>
              <w:jc w:val="both"/>
              <w:rPr>
                <w:rFonts w:eastAsia="Calibri"/>
                <w:sz w:val="20"/>
                <w:lang w:val="fr-CA"/>
              </w:rPr>
            </w:pPr>
            <w:r w:rsidRPr="00CD0B1B">
              <w:rPr>
                <w:rFonts w:eastAsia="Calibri"/>
                <w:sz w:val="20"/>
                <w:lang w:val="fr-CA"/>
              </w:rPr>
              <w:t>13 mars 2014</w:t>
            </w:r>
          </w:p>
          <w:p w:rsidR="00335133" w:rsidRPr="00CD0B1B" w:rsidRDefault="00335133" w:rsidP="00480963">
            <w:pPr>
              <w:jc w:val="both"/>
              <w:rPr>
                <w:rFonts w:eastAsia="Calibri"/>
                <w:sz w:val="20"/>
                <w:lang w:val="fr-CA"/>
              </w:rPr>
            </w:pPr>
            <w:r w:rsidRPr="00CD0B1B">
              <w:rPr>
                <w:rFonts w:eastAsia="Calibri"/>
                <w:sz w:val="20"/>
                <w:lang w:val="fr-CA"/>
              </w:rPr>
              <w:t>Cour suprême du Canada</w:t>
            </w:r>
          </w:p>
        </w:tc>
        <w:tc>
          <w:tcPr>
            <w:tcW w:w="243" w:type="pct"/>
          </w:tcPr>
          <w:p w:rsidR="00335133" w:rsidRPr="00CD0B1B" w:rsidRDefault="00335133" w:rsidP="00480963">
            <w:pPr>
              <w:jc w:val="both"/>
              <w:rPr>
                <w:rFonts w:eastAsia="Calibri"/>
                <w:sz w:val="20"/>
                <w:lang w:val="fr-CA"/>
              </w:rPr>
            </w:pPr>
          </w:p>
        </w:tc>
        <w:tc>
          <w:tcPr>
            <w:tcW w:w="2330" w:type="pct"/>
          </w:tcPr>
          <w:p w:rsidR="00335133" w:rsidRPr="00CD0B1B" w:rsidRDefault="00335133" w:rsidP="00480963">
            <w:pPr>
              <w:jc w:val="both"/>
              <w:rPr>
                <w:rFonts w:eastAsia="Calibri"/>
                <w:sz w:val="20"/>
                <w:lang w:val="fr-CA"/>
              </w:rPr>
            </w:pPr>
            <w:r w:rsidRPr="00CD0B1B">
              <w:rPr>
                <w:rFonts w:eastAsia="Calibri"/>
                <w:sz w:val="20"/>
                <w:lang w:val="fr-CA"/>
              </w:rPr>
              <w:t>Demande d’autorisation d’appel incident, déposée</w:t>
            </w:r>
          </w:p>
        </w:tc>
      </w:tr>
    </w:tbl>
    <w:p w:rsidR="00D257B0" w:rsidRPr="00335133" w:rsidRDefault="00D257B0" w:rsidP="00D257B0">
      <w:pPr>
        <w:rPr>
          <w:sz w:val="20"/>
          <w:szCs w:val="20"/>
          <w:lang w:val="fr-CA"/>
        </w:rPr>
      </w:pPr>
    </w:p>
    <w:p w:rsidR="00D257B0" w:rsidRDefault="005E19D3" w:rsidP="00D257B0">
      <w:pPr>
        <w:rPr>
          <w:sz w:val="20"/>
          <w:szCs w:val="20"/>
          <w:lang w:val="fr-CA"/>
        </w:rPr>
      </w:pPr>
      <w:r>
        <w:rPr>
          <w:sz w:val="20"/>
          <w:szCs w:val="20"/>
          <w:lang w:val="fr-CA"/>
        </w:rPr>
        <w:pict>
          <v:rect id="_x0000_i1049" style="width:2in;height:1pt" o:hrpct="0" o:hralign="center" o:hrstd="t" o:hrnoshade="t" o:hr="t" fillcolor="black [3213]" stroked="f"/>
        </w:pict>
      </w:r>
    </w:p>
    <w:p w:rsidR="00D257B0" w:rsidRDefault="00D257B0" w:rsidP="00D257B0">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A2202" w:rsidRPr="00CA2202" w:rsidTr="00480963">
        <w:trPr>
          <w:cantSplit/>
        </w:trPr>
        <w:tc>
          <w:tcPr>
            <w:tcW w:w="1458" w:type="dxa"/>
          </w:tcPr>
          <w:p w:rsidR="00CA2202" w:rsidRPr="00CA2202" w:rsidRDefault="00CA2202" w:rsidP="00CA2202">
            <w:pPr>
              <w:rPr>
                <w:sz w:val="20"/>
                <w:szCs w:val="20"/>
              </w:rPr>
            </w:pPr>
            <w:r w:rsidRPr="00CA2202">
              <w:rPr>
                <w:b/>
                <w:sz w:val="20"/>
                <w:lang w:val="fr-CA"/>
              </w:rPr>
              <w:t>35764</w:t>
            </w:r>
          </w:p>
          <w:p w:rsidR="00CA2202" w:rsidRPr="00CA2202" w:rsidRDefault="00CA2202" w:rsidP="00CA2202">
            <w:pPr>
              <w:rPr>
                <w:b/>
                <w:sz w:val="20"/>
                <w:szCs w:val="20"/>
                <w:lang w:val="fr-CA"/>
              </w:rPr>
            </w:pPr>
          </w:p>
        </w:tc>
        <w:tc>
          <w:tcPr>
            <w:tcW w:w="8118" w:type="dxa"/>
          </w:tcPr>
          <w:p w:rsidR="00CA2202" w:rsidRPr="00CA2202" w:rsidRDefault="00CA2202" w:rsidP="00CA2202">
            <w:pPr>
              <w:rPr>
                <w:sz w:val="20"/>
                <w:szCs w:val="20"/>
              </w:rPr>
            </w:pPr>
            <w:r w:rsidRPr="00CA2202">
              <w:rPr>
                <w:b/>
                <w:sz w:val="20"/>
                <w:u w:val="single"/>
              </w:rPr>
              <w:t>Appliance Recycling Centers of America v. Amtim Capital Inc.</w:t>
            </w:r>
            <w:r w:rsidRPr="00CA2202">
              <w:rPr>
                <w:sz w:val="20"/>
                <w:szCs w:val="20"/>
              </w:rPr>
              <w:t xml:space="preserve"> (Ont.) (Civil) (By Leave)</w:t>
            </w:r>
          </w:p>
          <w:p w:rsidR="00CA2202" w:rsidRPr="00CA2202" w:rsidRDefault="00CA2202" w:rsidP="00CA2202">
            <w:pPr>
              <w:rPr>
                <w:sz w:val="20"/>
                <w:szCs w:val="20"/>
              </w:rPr>
            </w:pPr>
          </w:p>
        </w:tc>
      </w:tr>
      <w:tr w:rsidR="00CA2202" w:rsidRPr="00CA2202" w:rsidTr="00480963">
        <w:trPr>
          <w:cantSplit/>
        </w:trPr>
        <w:tc>
          <w:tcPr>
            <w:tcW w:w="1458" w:type="dxa"/>
          </w:tcPr>
          <w:p w:rsidR="00CA2202" w:rsidRPr="00CA2202" w:rsidRDefault="00CA2202" w:rsidP="00CA2202">
            <w:pPr>
              <w:rPr>
                <w:sz w:val="20"/>
                <w:szCs w:val="20"/>
              </w:rPr>
            </w:pPr>
            <w:r w:rsidRPr="00CA2202">
              <w:rPr>
                <w:sz w:val="20"/>
                <w:szCs w:val="20"/>
              </w:rPr>
              <w:t>Coram :</w:t>
            </w:r>
          </w:p>
        </w:tc>
        <w:tc>
          <w:tcPr>
            <w:tcW w:w="8118" w:type="dxa"/>
          </w:tcPr>
          <w:p w:rsidR="00CA2202" w:rsidRPr="00CA2202" w:rsidRDefault="00CA2202" w:rsidP="00CA2202">
            <w:pPr>
              <w:rPr>
                <w:sz w:val="20"/>
                <w:szCs w:val="20"/>
              </w:rPr>
            </w:pPr>
            <w:r w:rsidRPr="00CA2202">
              <w:rPr>
                <w:sz w:val="20"/>
                <w:u w:val="single"/>
              </w:rPr>
              <w:t>Abella, Rothstein and Moldaver JJ.</w:t>
            </w:r>
          </w:p>
          <w:p w:rsidR="00CA2202" w:rsidRPr="00CA2202" w:rsidRDefault="00CA2202" w:rsidP="00CA2202">
            <w:pPr>
              <w:rPr>
                <w:sz w:val="20"/>
                <w:szCs w:val="20"/>
                <w:u w:val="single"/>
              </w:rPr>
            </w:pPr>
          </w:p>
        </w:tc>
      </w:tr>
      <w:tr w:rsidR="00CA2202" w:rsidRPr="005E19D3" w:rsidTr="00480963">
        <w:trPr>
          <w:cantSplit/>
        </w:trPr>
        <w:tc>
          <w:tcPr>
            <w:tcW w:w="9576" w:type="dxa"/>
            <w:gridSpan w:val="2"/>
          </w:tcPr>
          <w:p w:rsidR="00CA2202" w:rsidRPr="00CA2202" w:rsidRDefault="00CA2202" w:rsidP="00CA2202">
            <w:pPr>
              <w:ind w:firstLine="720"/>
              <w:jc w:val="both"/>
              <w:rPr>
                <w:sz w:val="20"/>
                <w:szCs w:val="20"/>
              </w:rPr>
            </w:pPr>
            <w:r w:rsidRPr="00CA2202">
              <w:rPr>
                <w:sz w:val="20"/>
                <w:szCs w:val="20"/>
              </w:rPr>
              <w:t>The application for leave to appeal from the judgment of the Court of Appeal for Ontario, Number C57509, 2014 ONCA 62, dated January 16, 2014, is dismissed with costs.</w:t>
            </w:r>
          </w:p>
          <w:p w:rsidR="00CA2202" w:rsidRPr="00CA2202" w:rsidRDefault="00CA2202" w:rsidP="00CA2202">
            <w:pPr>
              <w:jc w:val="both"/>
              <w:rPr>
                <w:sz w:val="20"/>
                <w:szCs w:val="20"/>
              </w:rPr>
            </w:pPr>
          </w:p>
          <w:p w:rsidR="00CA2202" w:rsidRPr="00CA2202" w:rsidRDefault="00CA2202" w:rsidP="00CA2202">
            <w:pPr>
              <w:ind w:firstLine="720"/>
              <w:jc w:val="both"/>
              <w:rPr>
                <w:sz w:val="20"/>
                <w:szCs w:val="20"/>
                <w:lang w:val="fr-CA"/>
              </w:rPr>
            </w:pPr>
            <w:r w:rsidRPr="00CA2202">
              <w:rPr>
                <w:sz w:val="20"/>
                <w:szCs w:val="20"/>
                <w:lang w:val="fr-CA"/>
              </w:rPr>
              <w:t>La demande d’autorisation d’appel de l’arrêt de la Cour d’appel de l’Ontario, numéro C57509, 2014 ONCA 62, daté du 16 janvier 2014, est rejetée avec dépens.</w:t>
            </w:r>
          </w:p>
        </w:tc>
      </w:tr>
    </w:tbl>
    <w:p w:rsidR="00D257B0" w:rsidRPr="00CA2202" w:rsidRDefault="00D257B0" w:rsidP="00D257B0">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CD0B1B" w:rsidTr="00480963">
        <w:tc>
          <w:tcPr>
            <w:tcW w:w="5000" w:type="pct"/>
            <w:gridSpan w:val="3"/>
          </w:tcPr>
          <w:p w:rsidR="00DD1807" w:rsidRPr="00CD0B1B" w:rsidRDefault="00DD1807" w:rsidP="00480963">
            <w:pPr>
              <w:jc w:val="both"/>
              <w:rPr>
                <w:rFonts w:eastAsia="Calibri"/>
                <w:color w:val="000000"/>
                <w:sz w:val="20"/>
              </w:rPr>
            </w:pPr>
            <w:r w:rsidRPr="00CD0B1B">
              <w:rPr>
                <w:rFonts w:eastAsia="Calibri"/>
                <w:iCs/>
                <w:color w:val="000000"/>
                <w:sz w:val="20"/>
              </w:rPr>
              <w:t xml:space="preserve">Private international law – Choice of forum – Foreign judgments – Recognition </w:t>
            </w:r>
            <w:r w:rsidRPr="00CD0B1B">
              <w:rPr>
                <w:rFonts w:eastAsia="Calibri"/>
                <w:sz w:val="20"/>
              </w:rPr>
              <w:t xml:space="preserve">– </w:t>
            </w:r>
            <w:r w:rsidRPr="00CD0B1B">
              <w:rPr>
                <w:rFonts w:eastAsia="Calibri"/>
                <w:iCs/>
                <w:color w:val="000000"/>
                <w:sz w:val="20"/>
              </w:rPr>
              <w:t xml:space="preserve">Applicant obtaining default judgment in Minnesota declaring it had complied with payment provisions of contract with respondent </w:t>
            </w:r>
            <w:r w:rsidRPr="00CD0B1B">
              <w:rPr>
                <w:rFonts w:eastAsia="Calibri"/>
                <w:sz w:val="20"/>
              </w:rPr>
              <w:t xml:space="preserve">– </w:t>
            </w:r>
            <w:r w:rsidRPr="00CD0B1B">
              <w:rPr>
                <w:rFonts w:eastAsia="Calibri"/>
                <w:iCs/>
                <w:color w:val="000000"/>
                <w:sz w:val="20"/>
              </w:rPr>
              <w:t xml:space="preserve">Canadian Court declining to stay respondent’s Ontario action on basis of issue estoppel or </w:t>
            </w:r>
            <w:r w:rsidRPr="00CD0B1B">
              <w:rPr>
                <w:rFonts w:eastAsia="Calibri"/>
                <w:i/>
                <w:iCs/>
                <w:color w:val="000000"/>
                <w:sz w:val="20"/>
              </w:rPr>
              <w:t>res judicata</w:t>
            </w:r>
            <w:r w:rsidRPr="00CD0B1B">
              <w:rPr>
                <w:rFonts w:eastAsia="Calibri"/>
                <w:color w:val="000000"/>
                <w:sz w:val="20"/>
              </w:rPr>
              <w:t xml:space="preserve"> – Whether </w:t>
            </w:r>
            <w:r w:rsidRPr="00CD0B1B">
              <w:rPr>
                <w:rFonts w:eastAsia="Calibri"/>
                <w:sz w:val="20"/>
              </w:rPr>
              <w:t>dismissal of appeal marked departure from the principles regarding recognition and effect of foreign judgments – Whether</w:t>
            </w:r>
            <w:r w:rsidRPr="00CD0B1B">
              <w:rPr>
                <w:rFonts w:eastAsia="Calibri"/>
                <w:color w:val="000000"/>
                <w:sz w:val="20"/>
              </w:rPr>
              <w:t xml:space="preserve"> </w:t>
            </w:r>
            <w:r w:rsidRPr="00CD0B1B">
              <w:rPr>
                <w:rFonts w:eastAsia="Calibri"/>
                <w:sz w:val="20"/>
              </w:rPr>
              <w:t xml:space="preserve">departure from these principles has adverse effect on all areas of private international law – </w:t>
            </w:r>
            <w:r w:rsidRPr="00CD0B1B">
              <w:rPr>
                <w:rFonts w:eastAsia="Calibri"/>
                <w:color w:val="000000"/>
                <w:sz w:val="20"/>
              </w:rPr>
              <w:t>Whether q</w:t>
            </w:r>
            <w:r w:rsidRPr="00CD0B1B">
              <w:rPr>
                <w:rFonts w:eastAsia="Calibri"/>
                <w:sz w:val="20"/>
              </w:rPr>
              <w:t xml:space="preserve">uestions concern impact of Canadian defendant’s choice to refuse to respond to foreign claims, even where both an Ontario court and the foreign court find that foreign jurisdiction has a real and substantial connection to litigation – Whether questions necessitate an investigation into current effect of decisions in </w:t>
            </w:r>
            <w:r w:rsidRPr="00CD0B1B">
              <w:rPr>
                <w:rFonts w:eastAsia="Calibri"/>
                <w:i/>
                <w:iCs/>
                <w:sz w:val="20"/>
              </w:rPr>
              <w:t>Amchem Products Incorporat</w:t>
            </w:r>
            <w:r w:rsidRPr="00CD0B1B">
              <w:rPr>
                <w:rFonts w:eastAsia="Calibri"/>
                <w:i/>
                <w:sz w:val="20"/>
              </w:rPr>
              <w:t>ed</w:t>
            </w:r>
            <w:r w:rsidRPr="00CD0B1B">
              <w:rPr>
                <w:rFonts w:eastAsia="Calibri"/>
                <w:sz w:val="20"/>
              </w:rPr>
              <w:t xml:space="preserve"> </w:t>
            </w:r>
            <w:r w:rsidRPr="00CD0B1B">
              <w:rPr>
                <w:rFonts w:eastAsia="Calibri"/>
                <w:i/>
                <w:sz w:val="20"/>
              </w:rPr>
              <w:t>v. British Columbia (Workers’ Compensation Board)</w:t>
            </w:r>
            <w:r w:rsidRPr="00CD0B1B">
              <w:rPr>
                <w:rFonts w:eastAsia="Calibri"/>
                <w:sz w:val="20"/>
              </w:rPr>
              <w:t xml:space="preserve">, [1993] 1 S.C.R. 897; </w:t>
            </w:r>
            <w:r w:rsidRPr="00CD0B1B">
              <w:rPr>
                <w:rFonts w:eastAsia="Calibri"/>
                <w:i/>
                <w:iCs/>
                <w:sz w:val="20"/>
              </w:rPr>
              <w:t>Beals v. Saldanha</w:t>
            </w:r>
            <w:r w:rsidRPr="00CD0B1B">
              <w:rPr>
                <w:rFonts w:eastAsia="Calibri"/>
                <w:iCs/>
                <w:sz w:val="20"/>
              </w:rPr>
              <w:t>,</w:t>
            </w:r>
            <w:r w:rsidRPr="00CD0B1B">
              <w:rPr>
                <w:rFonts w:eastAsia="Calibri"/>
                <w:i/>
                <w:iCs/>
                <w:sz w:val="20"/>
              </w:rPr>
              <w:t xml:space="preserve"> </w:t>
            </w:r>
            <w:r w:rsidRPr="00CD0B1B">
              <w:rPr>
                <w:rFonts w:eastAsia="Calibri"/>
                <w:iCs/>
                <w:sz w:val="20"/>
              </w:rPr>
              <w:t>2003 SCC 72</w:t>
            </w:r>
            <w:r w:rsidRPr="00CD0B1B">
              <w:rPr>
                <w:rFonts w:eastAsia="Calibri"/>
                <w:i/>
                <w:iCs/>
                <w:sz w:val="20"/>
              </w:rPr>
              <w:t xml:space="preserve"> </w:t>
            </w:r>
            <w:r w:rsidRPr="00CD0B1B">
              <w:rPr>
                <w:rFonts w:eastAsia="Calibri"/>
                <w:sz w:val="20"/>
              </w:rPr>
              <w:t xml:space="preserve">and </w:t>
            </w:r>
            <w:r w:rsidRPr="00CD0B1B">
              <w:rPr>
                <w:rFonts w:eastAsia="Calibri"/>
                <w:i/>
                <w:iCs/>
                <w:sz w:val="20"/>
              </w:rPr>
              <w:t>Teck Cominco Metals Ltd. v. Lloyd’s Underwriters</w:t>
            </w:r>
            <w:r w:rsidRPr="00CD0B1B">
              <w:rPr>
                <w:rFonts w:eastAsia="Calibri"/>
                <w:sz w:val="20"/>
              </w:rPr>
              <w:t>, 2009 SCC 11, concerning what would occur in case of parallel proceedings that have progressed to point where judgment has been rendered in one jurisdiction</w:t>
            </w:r>
          </w:p>
          <w:p w:rsidR="00DD1807" w:rsidRPr="00CD0B1B" w:rsidRDefault="00DD1807" w:rsidP="00480963">
            <w:pPr>
              <w:jc w:val="both"/>
              <w:rPr>
                <w:rFonts w:eastAsia="Calibri"/>
                <w:sz w:val="20"/>
              </w:rPr>
            </w:pPr>
          </w:p>
        </w:tc>
      </w:tr>
      <w:tr w:rsidR="00DD1807" w:rsidRPr="00CD0B1B" w:rsidTr="00480963">
        <w:trPr>
          <w:trHeight w:val="1872"/>
        </w:trPr>
        <w:tc>
          <w:tcPr>
            <w:tcW w:w="5000" w:type="pct"/>
            <w:gridSpan w:val="3"/>
          </w:tcPr>
          <w:p w:rsidR="00DD1807" w:rsidRPr="00CD0B1B" w:rsidRDefault="00DD1807" w:rsidP="00480963">
            <w:pPr>
              <w:jc w:val="both"/>
              <w:rPr>
                <w:rFonts w:eastAsia="Calibri"/>
                <w:color w:val="000000"/>
                <w:sz w:val="20"/>
              </w:rPr>
            </w:pPr>
            <w:r w:rsidRPr="00CD0B1B">
              <w:rPr>
                <w:rFonts w:eastAsia="Calibri"/>
                <w:color w:val="000000"/>
                <w:sz w:val="20"/>
              </w:rPr>
              <w:lastRenderedPageBreak/>
              <w:t xml:space="preserve">Appliance Recycling Centers of America (“ARCA”) is a Minnesota company that was in the business of providing recycling services.  Its Canadian subsidiary (“ARCA Canada”) entered into two contracts with an Ontario company, Amtim Capital Inc. (“Amtim”).  A dispute arose between the parties over the amount ARCA Canada owed Amtim under the terms of the contracts.  ARCA commenced an action in Minnesota for a declaration it owed nothing under the agreements.  Amtim subsequently commenced an action in Ontario for payment under the contracts of $1.6 million.  Amtim brought a motion to dismiss the Minnesota action on the basis of lack of jurisdiction or </w:t>
            </w:r>
            <w:r w:rsidRPr="00CD0B1B">
              <w:rPr>
                <w:rFonts w:eastAsia="Calibri"/>
                <w:i/>
                <w:color w:val="000000"/>
                <w:sz w:val="20"/>
              </w:rPr>
              <w:t>forum non conveniens.</w:t>
            </w:r>
            <w:r w:rsidRPr="00CD0B1B">
              <w:rPr>
                <w:rFonts w:eastAsia="Calibri"/>
                <w:color w:val="000000"/>
                <w:sz w:val="20"/>
              </w:rPr>
              <w:t xml:space="preserve">  The motion was dismissed and Amtim did not thereafter defend the Minnesota action.  The Minnesota court granted ARCA default judgment declaring that it had complied with the methodology for calculating payment and that nothing further was owing under the contracts.  ARCA unsuccessfully moved to stay the Ontario action on the basis of </w:t>
            </w:r>
            <w:r w:rsidRPr="00CD0B1B">
              <w:rPr>
                <w:rFonts w:eastAsia="Calibri"/>
                <w:i/>
                <w:color w:val="000000"/>
                <w:sz w:val="20"/>
              </w:rPr>
              <w:t>forum non conveniens</w:t>
            </w:r>
            <w:r w:rsidRPr="00CD0B1B">
              <w:rPr>
                <w:rFonts w:eastAsia="Calibri"/>
                <w:color w:val="000000"/>
                <w:sz w:val="20"/>
              </w:rPr>
              <w:t xml:space="preserve">.  Its appeal was dismissed.  ARCA then moved for a dismissal or stay of the Ontario proceedings on the basis of </w:t>
            </w:r>
            <w:r w:rsidRPr="00CD0B1B">
              <w:rPr>
                <w:rFonts w:eastAsia="Calibri"/>
                <w:i/>
                <w:color w:val="000000"/>
                <w:sz w:val="20"/>
              </w:rPr>
              <w:t>res judicata</w:t>
            </w:r>
            <w:r w:rsidRPr="00CD0B1B">
              <w:rPr>
                <w:rFonts w:eastAsia="Calibri"/>
                <w:color w:val="000000"/>
                <w:sz w:val="20"/>
              </w:rPr>
              <w:t xml:space="preserve"> or issue estoppel, submitting that the Ontario action was an impermissible collateral attack on the Minnesota judgment and that the issue of whether ARCA owed any money to Amtim was </w:t>
            </w:r>
            <w:r w:rsidRPr="00CD0B1B">
              <w:rPr>
                <w:rFonts w:eastAsia="Calibri"/>
                <w:i/>
                <w:color w:val="000000"/>
                <w:sz w:val="20"/>
              </w:rPr>
              <w:t>res judicata</w:t>
            </w:r>
            <w:r w:rsidRPr="00CD0B1B">
              <w:rPr>
                <w:rFonts w:eastAsia="Calibri"/>
                <w:color w:val="000000"/>
                <w:sz w:val="20"/>
              </w:rPr>
              <w:t xml:space="preserve">. </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July 19, 2013</w:t>
            </w:r>
          </w:p>
          <w:p w:rsidR="00DD1807" w:rsidRPr="00CD0B1B" w:rsidRDefault="00DD1807" w:rsidP="00480963">
            <w:pPr>
              <w:jc w:val="both"/>
              <w:rPr>
                <w:rFonts w:eastAsia="Calibri"/>
                <w:sz w:val="20"/>
              </w:rPr>
            </w:pPr>
            <w:r w:rsidRPr="00CD0B1B">
              <w:rPr>
                <w:rFonts w:eastAsia="Calibri"/>
                <w:sz w:val="20"/>
              </w:rPr>
              <w:t>Ontario Superior Court of Justice</w:t>
            </w:r>
          </w:p>
          <w:p w:rsidR="00DD1807" w:rsidRPr="00CD0B1B" w:rsidRDefault="00DD1807" w:rsidP="00480963">
            <w:pPr>
              <w:jc w:val="both"/>
              <w:rPr>
                <w:rFonts w:eastAsia="Calibri"/>
                <w:sz w:val="20"/>
              </w:rPr>
            </w:pPr>
            <w:r w:rsidRPr="00CD0B1B">
              <w:rPr>
                <w:rFonts w:eastAsia="Calibri"/>
                <w:sz w:val="20"/>
              </w:rPr>
              <w:t>(Lofchik J.)</w:t>
            </w:r>
          </w:p>
          <w:p w:rsidR="00DD1807" w:rsidRPr="00CD0B1B" w:rsidRDefault="005E19D3" w:rsidP="00480963">
            <w:pPr>
              <w:jc w:val="both"/>
              <w:rPr>
                <w:rFonts w:eastAsia="Calibri"/>
                <w:sz w:val="20"/>
              </w:rPr>
            </w:pPr>
            <w:hyperlink r:id="rId39" w:history="1">
              <w:r w:rsidR="00DD1807" w:rsidRPr="00CD0B1B">
                <w:rPr>
                  <w:rFonts w:eastAsia="Calibri"/>
                  <w:color w:val="004B91"/>
                  <w:sz w:val="20"/>
                </w:rPr>
                <w:t>2012 ONSC 4867</w:t>
              </w:r>
            </w:hyperlink>
            <w:r w:rsidR="00DD1807" w:rsidRPr="00CD0B1B">
              <w:rPr>
                <w:rFonts w:eastAsia="Calibri"/>
                <w:sz w:val="20"/>
              </w:rPr>
              <w:t xml:space="preserve"> </w:t>
            </w:r>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 xml:space="preserve">Applicant’s motion to dismiss or stay action on basis of </w:t>
            </w:r>
            <w:r w:rsidRPr="00CD0B1B">
              <w:rPr>
                <w:rFonts w:eastAsia="Calibri"/>
                <w:i/>
                <w:sz w:val="20"/>
              </w:rPr>
              <w:t>res judicata</w:t>
            </w:r>
            <w:r w:rsidRPr="00CD0B1B">
              <w:rPr>
                <w:rFonts w:eastAsia="Calibri"/>
                <w:sz w:val="20"/>
              </w:rPr>
              <w:t>, issue estoppel or abuse of process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January 16, 2014</w:t>
            </w:r>
          </w:p>
          <w:p w:rsidR="00DD1807" w:rsidRPr="00CD0B1B" w:rsidRDefault="00DD1807" w:rsidP="00480963">
            <w:pPr>
              <w:jc w:val="both"/>
              <w:rPr>
                <w:rFonts w:eastAsia="Calibri"/>
                <w:sz w:val="20"/>
              </w:rPr>
            </w:pPr>
            <w:r w:rsidRPr="00CD0B1B">
              <w:rPr>
                <w:rFonts w:eastAsia="Calibri"/>
                <w:sz w:val="20"/>
              </w:rPr>
              <w:t>Court of Appeal for Ontario</w:t>
            </w:r>
          </w:p>
          <w:p w:rsidR="00DD1807" w:rsidRPr="00CD0B1B" w:rsidRDefault="00DD1807" w:rsidP="00480963">
            <w:pPr>
              <w:jc w:val="both"/>
              <w:rPr>
                <w:rFonts w:eastAsia="Calibri"/>
                <w:sz w:val="20"/>
              </w:rPr>
            </w:pPr>
            <w:r w:rsidRPr="00CD0B1B">
              <w:rPr>
                <w:rFonts w:eastAsia="Calibri"/>
                <w:sz w:val="20"/>
              </w:rPr>
              <w:t>(Weiler, Rouleau and Strathy J. (</w:t>
            </w:r>
            <w:r w:rsidRPr="00CD0B1B">
              <w:rPr>
                <w:rFonts w:eastAsia="Calibri"/>
                <w:i/>
                <w:sz w:val="20"/>
              </w:rPr>
              <w:t>ad hoc</w:t>
            </w:r>
            <w:r w:rsidRPr="00CD0B1B">
              <w:rPr>
                <w:rFonts w:eastAsia="Calibri"/>
                <w:sz w:val="20"/>
              </w:rPr>
              <w:t xml:space="preserve">) </w:t>
            </w:r>
          </w:p>
          <w:p w:rsidR="00DD1807" w:rsidRPr="00CD0B1B" w:rsidRDefault="00DD1807" w:rsidP="00480963">
            <w:pPr>
              <w:jc w:val="both"/>
              <w:rPr>
                <w:rFonts w:eastAsia="Calibri"/>
                <w:sz w:val="20"/>
              </w:rPr>
            </w:pPr>
            <w:r w:rsidRPr="00CD0B1B">
              <w:rPr>
                <w:rFonts w:eastAsia="Calibri"/>
                <w:sz w:val="20"/>
              </w:rPr>
              <w:t>JJ.A.)</w:t>
            </w:r>
          </w:p>
          <w:p w:rsidR="00DD1807" w:rsidRPr="00CD0B1B" w:rsidRDefault="005E19D3" w:rsidP="00480963">
            <w:pPr>
              <w:jc w:val="both"/>
              <w:rPr>
                <w:rFonts w:eastAsia="Calibri"/>
                <w:sz w:val="20"/>
              </w:rPr>
            </w:pPr>
            <w:hyperlink r:id="rId40" w:history="1">
              <w:r w:rsidR="00DD1807" w:rsidRPr="00CD0B1B">
                <w:rPr>
                  <w:rFonts w:eastAsia="Calibri"/>
                  <w:color w:val="004B91"/>
                  <w:sz w:val="20"/>
                </w:rPr>
                <w:t>2014 ONCA 62</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Appeal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March 14, 2014</w:t>
            </w:r>
          </w:p>
          <w:p w:rsidR="00DD1807" w:rsidRPr="00CD0B1B" w:rsidRDefault="00DD1807" w:rsidP="00480963">
            <w:pPr>
              <w:jc w:val="both"/>
              <w:rPr>
                <w:rFonts w:eastAsia="Calibri"/>
                <w:sz w:val="20"/>
              </w:rPr>
            </w:pPr>
            <w:r w:rsidRPr="00CD0B1B">
              <w:rPr>
                <w:rFonts w:eastAsia="Calibri"/>
                <w:sz w:val="20"/>
              </w:rPr>
              <w:t>Supreme Court of Canada</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Application for leave to appeal filed</w:t>
            </w: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50"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5E19D3" w:rsidTr="00480963">
        <w:tc>
          <w:tcPr>
            <w:tcW w:w="5000" w:type="pct"/>
            <w:gridSpan w:val="3"/>
          </w:tcPr>
          <w:p w:rsidR="00DD1807" w:rsidRPr="00CD0B1B" w:rsidRDefault="00DD1807" w:rsidP="00480963">
            <w:pPr>
              <w:jc w:val="both"/>
              <w:rPr>
                <w:rFonts w:eastAsia="Calibri"/>
                <w:color w:val="000000"/>
                <w:sz w:val="20"/>
                <w:lang w:val="fr-CA"/>
              </w:rPr>
            </w:pPr>
            <w:r w:rsidRPr="00CD0B1B">
              <w:rPr>
                <w:rFonts w:eastAsia="Calibri"/>
                <w:iCs/>
                <w:color w:val="000000"/>
                <w:sz w:val="20"/>
                <w:lang w:val="fr-CA"/>
              </w:rPr>
              <w:t xml:space="preserve">Droit international privé – Choix du tribunal – Jugements étrangers – Reconnaissance </w:t>
            </w:r>
            <w:r w:rsidRPr="00CD0B1B">
              <w:rPr>
                <w:rFonts w:eastAsia="Calibri"/>
                <w:sz w:val="20"/>
                <w:lang w:val="fr-CA"/>
              </w:rPr>
              <w:t xml:space="preserve">– Demanderesse obtenant au Minnesota un jugement par défaut selon lequel elle s’était conformée aux modalités de paiement du contrat avec l’intimée – Refus du tribunal canadien de suspendre, sur le fondement de la préclusion découlant d’une question déjà tranchée ou de l’autorité de la chose jugée, l’action intentée par l’intimée en Ontario </w:t>
            </w:r>
            <w:r w:rsidRPr="00CD0B1B">
              <w:rPr>
                <w:rFonts w:eastAsia="Calibri"/>
                <w:color w:val="000000"/>
                <w:sz w:val="20"/>
                <w:lang w:val="fr-CA"/>
              </w:rPr>
              <w:t xml:space="preserve">– Le rejet de l’appel constitue-t-il une dérogation marquée aux principes concernant la reconnaissance et l’effet des jugements étrangers? </w:t>
            </w:r>
            <w:r w:rsidRPr="00CD0B1B">
              <w:rPr>
                <w:rFonts w:eastAsia="Calibri"/>
                <w:sz w:val="20"/>
                <w:lang w:val="fr-CA"/>
              </w:rPr>
              <w:t xml:space="preserve">– La dérogation à ces principes a-t-elle une incidence néfaste sur tous les aspects du droit international privé? – Les questions concernent-elles l’effet du refus par la défenderesse canadienne de répondre aux recours exercés contre elle à l’étranger même si un tribunal ontarien et le tribunal étranger estiment que ce dernier a un lien réel et substantiel avec le litige? – Les questions commandent-elles un examen de l’effet qu’ont actuellement les arrêts </w:t>
            </w:r>
            <w:r w:rsidRPr="00CD0B1B">
              <w:rPr>
                <w:rFonts w:eastAsia="Calibri"/>
                <w:i/>
                <w:iCs/>
                <w:sz w:val="20"/>
                <w:lang w:val="fr-CA"/>
              </w:rPr>
              <w:t>Amchem Products Incorporat</w:t>
            </w:r>
            <w:r w:rsidRPr="00CD0B1B">
              <w:rPr>
                <w:rFonts w:eastAsia="Calibri"/>
                <w:i/>
                <w:sz w:val="20"/>
                <w:lang w:val="fr-CA"/>
              </w:rPr>
              <w:t>ed</w:t>
            </w:r>
            <w:r w:rsidRPr="00CD0B1B">
              <w:rPr>
                <w:rFonts w:eastAsia="Calibri"/>
                <w:sz w:val="20"/>
                <w:lang w:val="fr-CA"/>
              </w:rPr>
              <w:t xml:space="preserve"> </w:t>
            </w:r>
            <w:r w:rsidRPr="00CD0B1B">
              <w:rPr>
                <w:rFonts w:eastAsia="Calibri"/>
                <w:i/>
                <w:sz w:val="20"/>
                <w:lang w:val="fr-CA"/>
              </w:rPr>
              <w:t>c. Colombie-Britannique (Workers’ Compensation Board)</w:t>
            </w:r>
            <w:r w:rsidRPr="00CD0B1B">
              <w:rPr>
                <w:rFonts w:eastAsia="Calibri"/>
                <w:sz w:val="20"/>
                <w:lang w:val="fr-CA"/>
              </w:rPr>
              <w:t xml:space="preserve">, [1993] 1 R.C.S. 897; </w:t>
            </w:r>
            <w:r w:rsidRPr="00CD0B1B">
              <w:rPr>
                <w:rFonts w:eastAsia="Calibri"/>
                <w:i/>
                <w:iCs/>
                <w:sz w:val="20"/>
                <w:lang w:val="fr-CA"/>
              </w:rPr>
              <w:t>Beals c. Saldanha</w:t>
            </w:r>
            <w:r w:rsidRPr="00CD0B1B">
              <w:rPr>
                <w:rFonts w:eastAsia="Calibri"/>
                <w:iCs/>
                <w:sz w:val="20"/>
                <w:lang w:val="fr-CA"/>
              </w:rPr>
              <w:t>,</w:t>
            </w:r>
            <w:r w:rsidRPr="00CD0B1B">
              <w:rPr>
                <w:rFonts w:eastAsia="Calibri"/>
                <w:i/>
                <w:iCs/>
                <w:sz w:val="20"/>
                <w:lang w:val="fr-CA"/>
              </w:rPr>
              <w:t xml:space="preserve"> </w:t>
            </w:r>
            <w:r w:rsidRPr="00CD0B1B">
              <w:rPr>
                <w:rFonts w:eastAsia="Calibri"/>
                <w:iCs/>
                <w:sz w:val="20"/>
                <w:lang w:val="fr-CA"/>
              </w:rPr>
              <w:t xml:space="preserve">2003 CSC 72, et </w:t>
            </w:r>
            <w:r w:rsidRPr="00CD0B1B">
              <w:rPr>
                <w:rFonts w:eastAsia="Calibri"/>
                <w:i/>
                <w:iCs/>
                <w:sz w:val="20"/>
                <w:lang w:val="fr-CA"/>
              </w:rPr>
              <w:t>Teck Cominco Metals Ltd. c. Lloyd’s Underwriters</w:t>
            </w:r>
            <w:r w:rsidRPr="00CD0B1B">
              <w:rPr>
                <w:rFonts w:eastAsia="Calibri"/>
                <w:sz w:val="20"/>
                <w:lang w:val="fr-CA"/>
              </w:rPr>
              <w:t xml:space="preserve">, 2009 CSC 11, sur ce qui se produirait si des instances parallèles ont suivi leur cours à un point tel qu’un tribunal a rendu son jugement? </w:t>
            </w:r>
          </w:p>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ind w:left="-12" w:firstLine="12"/>
              <w:jc w:val="both"/>
              <w:rPr>
                <w:rFonts w:eastAsia="Calibri"/>
                <w:color w:val="000000"/>
                <w:sz w:val="20"/>
                <w:lang w:val="fr-CA"/>
              </w:rPr>
            </w:pPr>
            <w:r w:rsidRPr="00CD0B1B">
              <w:rPr>
                <w:rFonts w:eastAsia="Calibri"/>
                <w:color w:val="000000"/>
                <w:sz w:val="20"/>
                <w:lang w:val="fr-CA"/>
              </w:rPr>
              <w:t xml:space="preserve">Appliance Recycling Centers of America (« ARCA ») est une société du Minnesota qui offrait des services de recyclage.  Sa filiale canadienne (« ARCA Canada ») a conclu deux contrats avec une société ontarienne, Amtim Capital Inc. (« Amtim »).  Un conflit est intervenu entre les parties à propos de la somme qu’ARCA Canada devait à Amtim aux termes des contrats. ARCA a intenté une action au Minnesota pour obtenir un jugement déclaratoire selon lequel elle ne devait rien aux termes des ententes.  Amtim a par la suite intenté un recours en Ontario pour recevoir 1,6 million de dollars au titre des contrats.  Elle a également présenté une motion en rejet de l’action intentée au Minnesota pour cause d’absence de compétence ou de </w:t>
            </w:r>
            <w:r w:rsidRPr="00CD0B1B">
              <w:rPr>
                <w:rFonts w:eastAsia="Calibri"/>
                <w:i/>
                <w:color w:val="000000"/>
                <w:sz w:val="20"/>
                <w:lang w:val="fr-CA"/>
              </w:rPr>
              <w:t>forum non conveniens.</w:t>
            </w:r>
            <w:r w:rsidRPr="00CD0B1B">
              <w:rPr>
                <w:rFonts w:eastAsia="Calibri"/>
                <w:color w:val="000000"/>
                <w:sz w:val="20"/>
                <w:lang w:val="fr-CA"/>
              </w:rPr>
              <w:t xml:space="preserve">  Cette motion a été rejetée et Amtim ne </w:t>
            </w:r>
            <w:r w:rsidRPr="00CD0B1B">
              <w:rPr>
                <w:rFonts w:eastAsia="Calibri"/>
                <w:color w:val="000000"/>
                <w:sz w:val="20"/>
                <w:lang w:val="fr-CA"/>
              </w:rPr>
              <w:lastRenderedPageBreak/>
              <w:t xml:space="preserve">s’est pas opposée par la suite à l’action intentée au Minnesota.  Le tribunal de cet État a rendu en faveur d’ARCA un jugement par défaut voulant qu’elle se soit conformée au mode de calcul des paiements et qu’elle ne devait plus rien aux termes des contrats.  ARCA a été déboutée de sa motion visant à faire suspendre l’action intentée en Ontario pour cause de </w:t>
            </w:r>
            <w:r w:rsidRPr="00CD0B1B">
              <w:rPr>
                <w:rFonts w:eastAsia="Calibri"/>
                <w:i/>
                <w:color w:val="000000"/>
                <w:sz w:val="20"/>
                <w:lang w:val="fr-CA"/>
              </w:rPr>
              <w:t>forum non conveniens</w:t>
            </w:r>
            <w:r w:rsidRPr="00CD0B1B">
              <w:rPr>
                <w:rFonts w:eastAsia="Calibri"/>
                <w:color w:val="000000"/>
                <w:sz w:val="20"/>
                <w:lang w:val="fr-CA"/>
              </w:rPr>
              <w:t xml:space="preserve">.  Son appel a été rejeté. Elle a ensuite demandé par motion le rejet ou la suspension de l’instance introduite en Ontario sur le fondement de l’autorité de la chose jugée ou de la préclusion découlant d’une question déjà tranchée, prétendant que l’action intentée en Ontario constituait une contestation indirecte inadmissible du jugement rendu au Minnesota et que la question de savoir si ARCA devait de l’argent à Amtim était chose jugée. </w:t>
            </w:r>
          </w:p>
          <w:p w:rsidR="00DD1807" w:rsidRPr="00CD0B1B" w:rsidRDefault="00DD1807" w:rsidP="00480963">
            <w:pPr>
              <w:jc w:val="both"/>
              <w:rPr>
                <w:rFonts w:eastAsia="Calibri"/>
                <w:sz w:val="20"/>
                <w:lang w:val="fr-CA"/>
              </w:rPr>
            </w:pPr>
          </w:p>
        </w:tc>
      </w:tr>
      <w:tr w:rsidR="00DD1807" w:rsidRPr="005E19D3"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lastRenderedPageBreak/>
              <w:t>19 juillet 2013</w:t>
            </w:r>
          </w:p>
          <w:p w:rsidR="00DD1807" w:rsidRPr="00CD0B1B" w:rsidRDefault="00DD1807" w:rsidP="00480963">
            <w:pPr>
              <w:jc w:val="both"/>
              <w:rPr>
                <w:rFonts w:eastAsia="Calibri"/>
                <w:sz w:val="20"/>
                <w:lang w:val="fr-CA"/>
              </w:rPr>
            </w:pPr>
            <w:r w:rsidRPr="00CD0B1B">
              <w:rPr>
                <w:rFonts w:eastAsia="Calibri"/>
                <w:sz w:val="20"/>
                <w:lang w:val="fr-CA"/>
              </w:rPr>
              <w:t xml:space="preserve">Cour supérieure de justice de l’Ontario </w:t>
            </w:r>
          </w:p>
          <w:p w:rsidR="00DD1807" w:rsidRPr="00CD0B1B" w:rsidRDefault="00DD1807" w:rsidP="00480963">
            <w:pPr>
              <w:jc w:val="both"/>
              <w:rPr>
                <w:rFonts w:eastAsia="Calibri"/>
                <w:sz w:val="20"/>
              </w:rPr>
            </w:pPr>
            <w:r w:rsidRPr="00CD0B1B">
              <w:rPr>
                <w:rFonts w:eastAsia="Calibri"/>
                <w:sz w:val="20"/>
              </w:rPr>
              <w:t>(Juge Lofchik)</w:t>
            </w:r>
          </w:p>
          <w:p w:rsidR="00DD1807" w:rsidRPr="00CD0B1B" w:rsidRDefault="005E19D3" w:rsidP="00480963">
            <w:pPr>
              <w:jc w:val="both"/>
              <w:rPr>
                <w:rFonts w:eastAsia="Calibri"/>
                <w:sz w:val="20"/>
              </w:rPr>
            </w:pPr>
            <w:hyperlink r:id="rId41" w:history="1">
              <w:r w:rsidR="00DD1807" w:rsidRPr="00CD0B1B">
                <w:rPr>
                  <w:rFonts w:eastAsia="Calibri"/>
                  <w:color w:val="004B91"/>
                  <w:sz w:val="20"/>
                </w:rPr>
                <w:t>2012 ONSC 4867</w:t>
              </w:r>
            </w:hyperlink>
            <w:r w:rsidR="00DD1807" w:rsidRPr="00CD0B1B">
              <w:rPr>
                <w:rFonts w:eastAsia="Calibri"/>
                <w:sz w:val="20"/>
              </w:rPr>
              <w:t xml:space="preserve"> </w:t>
            </w:r>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 xml:space="preserve">Motion de la demanderesse en rejet ou en suspension de l’action pour cause d’autorité de la chose jugée, de préclusion découlant d’une question déjà tranchée ou d’abus de procédure, rejetée </w:t>
            </w:r>
          </w:p>
          <w:p w:rsidR="00DD1807" w:rsidRPr="00CD0B1B" w:rsidRDefault="00DD1807" w:rsidP="00480963">
            <w:pPr>
              <w:jc w:val="both"/>
              <w:rPr>
                <w:rFonts w:eastAsia="Calibri"/>
                <w:sz w:val="20"/>
                <w:lang w:val="fr-CA"/>
              </w:rPr>
            </w:pPr>
          </w:p>
        </w:tc>
      </w:tr>
      <w:tr w:rsidR="00DD1807" w:rsidRPr="00CD0B1B"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16 janvier 2014</w:t>
            </w:r>
          </w:p>
          <w:p w:rsidR="00DD1807" w:rsidRPr="00CD0B1B" w:rsidRDefault="00DD1807" w:rsidP="00480963">
            <w:pPr>
              <w:jc w:val="both"/>
              <w:rPr>
                <w:rFonts w:eastAsia="Calibri"/>
                <w:sz w:val="20"/>
                <w:lang w:val="fr-CA"/>
              </w:rPr>
            </w:pPr>
            <w:r w:rsidRPr="00CD0B1B">
              <w:rPr>
                <w:rFonts w:eastAsia="Calibri"/>
                <w:sz w:val="20"/>
                <w:lang w:val="fr-CA"/>
              </w:rPr>
              <w:t>Cour d’appel de l’Ontario</w:t>
            </w:r>
          </w:p>
          <w:p w:rsidR="00DD1807" w:rsidRPr="00CD0B1B" w:rsidRDefault="00DD1807" w:rsidP="00480963">
            <w:pPr>
              <w:jc w:val="both"/>
              <w:rPr>
                <w:rFonts w:eastAsia="Calibri"/>
                <w:sz w:val="20"/>
                <w:lang w:val="fr-CA"/>
              </w:rPr>
            </w:pPr>
            <w:r w:rsidRPr="00CD0B1B">
              <w:rPr>
                <w:rFonts w:eastAsia="Calibri"/>
                <w:sz w:val="20"/>
                <w:lang w:val="fr-CA"/>
              </w:rPr>
              <w:t>(Juges Weiler, Rouleau et Strathy (</w:t>
            </w:r>
            <w:r w:rsidRPr="00CD0B1B">
              <w:rPr>
                <w:rFonts w:eastAsia="Calibri"/>
                <w:i/>
                <w:sz w:val="20"/>
                <w:lang w:val="fr-CA"/>
              </w:rPr>
              <w:t>ad hoc</w:t>
            </w:r>
            <w:r w:rsidRPr="00CD0B1B">
              <w:rPr>
                <w:rFonts w:eastAsia="Calibri"/>
                <w:sz w:val="20"/>
                <w:lang w:val="fr-CA"/>
              </w:rPr>
              <w:t>))</w:t>
            </w:r>
          </w:p>
          <w:p w:rsidR="00DD1807" w:rsidRPr="00CD0B1B" w:rsidRDefault="005E19D3" w:rsidP="00480963">
            <w:pPr>
              <w:jc w:val="both"/>
              <w:rPr>
                <w:rFonts w:eastAsia="Calibri"/>
                <w:sz w:val="20"/>
              </w:rPr>
            </w:pPr>
            <w:hyperlink r:id="rId42" w:history="1">
              <w:r w:rsidR="00DD1807" w:rsidRPr="00CD0B1B">
                <w:rPr>
                  <w:rFonts w:eastAsia="Calibri"/>
                  <w:color w:val="004B91"/>
                  <w:sz w:val="20"/>
                </w:rPr>
                <w:t>2014 ONCA 62</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Appel rejeté</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14 mars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rPr>
            </w:pPr>
            <w:r w:rsidRPr="00CD0B1B">
              <w:rPr>
                <w:rFonts w:eastAsia="Calibri"/>
                <w:sz w:val="20"/>
                <w:lang w:val="fr-CA"/>
              </w:rPr>
              <w:t xml:space="preserve">Demande d’autorisation d’appel déposée </w:t>
            </w:r>
          </w:p>
        </w:tc>
      </w:tr>
    </w:tbl>
    <w:p w:rsidR="00D257B0" w:rsidRDefault="00D257B0" w:rsidP="00D257B0">
      <w:pPr>
        <w:rPr>
          <w:sz w:val="20"/>
          <w:szCs w:val="20"/>
        </w:rPr>
      </w:pPr>
    </w:p>
    <w:p w:rsidR="00D257B0" w:rsidRDefault="005E19D3" w:rsidP="00D257B0">
      <w:pPr>
        <w:rPr>
          <w:sz w:val="20"/>
          <w:szCs w:val="20"/>
          <w:lang w:val="fr-CA"/>
        </w:rPr>
      </w:pPr>
      <w:r>
        <w:rPr>
          <w:sz w:val="20"/>
          <w:szCs w:val="20"/>
          <w:lang w:val="fr-CA"/>
        </w:rPr>
        <w:pict>
          <v:rect id="_x0000_i1051" style="width:2in;height:1pt" o:hrpct="0" o:hralign="center" o:hrstd="t" o:hrnoshade="t" o:hr="t" fillcolor="black [3213]" stroked="f"/>
        </w:pict>
      </w:r>
    </w:p>
    <w:p w:rsidR="00D257B0" w:rsidRDefault="00D257B0" w:rsidP="00D257B0">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A2202" w:rsidRPr="00CA2202" w:rsidTr="00480963">
        <w:trPr>
          <w:cantSplit/>
        </w:trPr>
        <w:tc>
          <w:tcPr>
            <w:tcW w:w="1458" w:type="dxa"/>
          </w:tcPr>
          <w:p w:rsidR="00CA2202" w:rsidRPr="00CA2202" w:rsidRDefault="00CA2202" w:rsidP="00CA2202">
            <w:pPr>
              <w:rPr>
                <w:sz w:val="20"/>
                <w:szCs w:val="20"/>
              </w:rPr>
            </w:pPr>
            <w:r w:rsidRPr="00CA2202">
              <w:rPr>
                <w:b/>
                <w:sz w:val="20"/>
                <w:lang w:val="fr-CA"/>
              </w:rPr>
              <w:t>35769</w:t>
            </w:r>
          </w:p>
          <w:p w:rsidR="00CA2202" w:rsidRPr="00CA2202" w:rsidRDefault="00CA2202" w:rsidP="00CA2202">
            <w:pPr>
              <w:rPr>
                <w:b/>
                <w:sz w:val="20"/>
                <w:szCs w:val="20"/>
                <w:lang w:val="fr-CA"/>
              </w:rPr>
            </w:pPr>
          </w:p>
        </w:tc>
        <w:tc>
          <w:tcPr>
            <w:tcW w:w="8118" w:type="dxa"/>
          </w:tcPr>
          <w:p w:rsidR="00CA2202" w:rsidRPr="00CA2202" w:rsidRDefault="00CA2202" w:rsidP="00CA2202">
            <w:pPr>
              <w:rPr>
                <w:sz w:val="20"/>
                <w:szCs w:val="20"/>
              </w:rPr>
            </w:pPr>
            <w:r w:rsidRPr="00CA2202">
              <w:rPr>
                <w:b/>
                <w:sz w:val="20"/>
                <w:u w:val="single"/>
              </w:rPr>
              <w:t>Cory Lawrence Bitternose v. Her Majesty the Queen</w:t>
            </w:r>
            <w:r w:rsidRPr="00CA2202">
              <w:rPr>
                <w:sz w:val="20"/>
                <w:szCs w:val="20"/>
              </w:rPr>
              <w:t xml:space="preserve"> (Alta.) (Criminal) (By Leave)</w:t>
            </w:r>
          </w:p>
          <w:p w:rsidR="00CA2202" w:rsidRPr="00CA2202" w:rsidRDefault="00CA2202" w:rsidP="00CA2202">
            <w:pPr>
              <w:rPr>
                <w:sz w:val="20"/>
                <w:szCs w:val="20"/>
              </w:rPr>
            </w:pPr>
          </w:p>
        </w:tc>
      </w:tr>
      <w:tr w:rsidR="00CA2202" w:rsidRPr="00CA2202" w:rsidTr="00480963">
        <w:trPr>
          <w:cantSplit/>
        </w:trPr>
        <w:tc>
          <w:tcPr>
            <w:tcW w:w="1458" w:type="dxa"/>
          </w:tcPr>
          <w:p w:rsidR="00CA2202" w:rsidRPr="00CA2202" w:rsidRDefault="00CA2202" w:rsidP="00CA2202">
            <w:pPr>
              <w:rPr>
                <w:sz w:val="20"/>
                <w:szCs w:val="20"/>
              </w:rPr>
            </w:pPr>
            <w:r w:rsidRPr="00CA2202">
              <w:rPr>
                <w:sz w:val="20"/>
                <w:szCs w:val="20"/>
              </w:rPr>
              <w:t>Coram :</w:t>
            </w:r>
          </w:p>
        </w:tc>
        <w:tc>
          <w:tcPr>
            <w:tcW w:w="8118" w:type="dxa"/>
          </w:tcPr>
          <w:p w:rsidR="00CA2202" w:rsidRPr="00CA2202" w:rsidRDefault="00CA2202" w:rsidP="00CA2202">
            <w:pPr>
              <w:rPr>
                <w:sz w:val="20"/>
                <w:szCs w:val="20"/>
              </w:rPr>
            </w:pPr>
            <w:r w:rsidRPr="00CA2202">
              <w:rPr>
                <w:sz w:val="20"/>
                <w:u w:val="single"/>
              </w:rPr>
              <w:t>Abella, Rothstein and Moldaver JJ.</w:t>
            </w:r>
          </w:p>
          <w:p w:rsidR="00CA2202" w:rsidRPr="00CA2202" w:rsidRDefault="00CA2202" w:rsidP="00CA2202">
            <w:pPr>
              <w:rPr>
                <w:sz w:val="20"/>
                <w:szCs w:val="20"/>
                <w:u w:val="single"/>
              </w:rPr>
            </w:pPr>
          </w:p>
        </w:tc>
      </w:tr>
      <w:tr w:rsidR="00CA2202" w:rsidRPr="005E19D3" w:rsidTr="00480963">
        <w:trPr>
          <w:cantSplit/>
        </w:trPr>
        <w:tc>
          <w:tcPr>
            <w:tcW w:w="9576" w:type="dxa"/>
            <w:gridSpan w:val="2"/>
          </w:tcPr>
          <w:p w:rsidR="00CA2202" w:rsidRPr="00CA2202" w:rsidRDefault="00CA2202" w:rsidP="00CA2202">
            <w:pPr>
              <w:ind w:firstLine="720"/>
              <w:jc w:val="both"/>
              <w:rPr>
                <w:sz w:val="20"/>
                <w:szCs w:val="20"/>
              </w:rPr>
            </w:pPr>
            <w:r w:rsidRPr="00CA2202">
              <w:rPr>
                <w:sz w:val="20"/>
                <w:szCs w:val="20"/>
              </w:rPr>
              <w:t>The motions for an extension of time to serve and file the application for leave to appeal and the response are granted. The application for leave to appeal from the judgment of the Court of Appeal of Alberta (Calgary), Number 1201-0198-A, 2013 ABCA 220, dated June 18, 2013, is dismissed without costs.</w:t>
            </w:r>
          </w:p>
          <w:p w:rsidR="00CA2202" w:rsidRPr="00CA2202" w:rsidRDefault="00CA2202" w:rsidP="00CA2202">
            <w:pPr>
              <w:jc w:val="both"/>
              <w:rPr>
                <w:sz w:val="20"/>
                <w:szCs w:val="20"/>
              </w:rPr>
            </w:pPr>
          </w:p>
          <w:p w:rsidR="00CA2202" w:rsidRPr="00CA2202" w:rsidRDefault="00CA2202" w:rsidP="00CA2202">
            <w:pPr>
              <w:ind w:firstLine="720"/>
              <w:jc w:val="both"/>
              <w:rPr>
                <w:sz w:val="20"/>
                <w:szCs w:val="20"/>
                <w:lang w:val="fr-CA"/>
              </w:rPr>
            </w:pPr>
            <w:r w:rsidRPr="00CA2202">
              <w:rPr>
                <w:sz w:val="20"/>
                <w:szCs w:val="20"/>
                <w:lang w:val="fr-CA"/>
              </w:rPr>
              <w:t>Les requêtes en prorogation du délai de signification et de dépôt de la demande d’autorisation et de la réponse sont accueillies. La demande d’autorisation d’appel de l’arrêt de la Cour d'appel de l’Alberta (Calgary), numéro 1201-0198-A, 2013 ABCA 220, daté du 18 juin 2013, est rejetée sans dépens.</w:t>
            </w:r>
          </w:p>
        </w:tc>
      </w:tr>
    </w:tbl>
    <w:p w:rsidR="00D257B0" w:rsidRPr="00CA2202" w:rsidRDefault="00D257B0" w:rsidP="00D257B0">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CD0B1B" w:rsidTr="00480963">
        <w:tc>
          <w:tcPr>
            <w:tcW w:w="5000" w:type="pct"/>
            <w:gridSpan w:val="3"/>
          </w:tcPr>
          <w:p w:rsidR="00DD1807" w:rsidRPr="00CD0B1B" w:rsidRDefault="00DD1807" w:rsidP="00480963">
            <w:pPr>
              <w:jc w:val="both"/>
              <w:rPr>
                <w:rFonts w:eastAsia="Calibri"/>
                <w:smallCaps/>
                <w:sz w:val="20"/>
              </w:rPr>
            </w:pPr>
            <w:r w:rsidRPr="00CD0B1B">
              <w:rPr>
                <w:rFonts w:eastAsia="Calibri"/>
                <w:smallCaps/>
                <w:sz w:val="20"/>
              </w:rPr>
              <w:t xml:space="preserve">(Publication </w:t>
            </w:r>
            <w:r>
              <w:rPr>
                <w:rFonts w:eastAsia="Calibri"/>
                <w:smallCaps/>
                <w:sz w:val="20"/>
              </w:rPr>
              <w:t>B</w:t>
            </w:r>
            <w:r w:rsidRPr="00CD0B1B">
              <w:rPr>
                <w:rFonts w:eastAsia="Calibri"/>
                <w:smallCaps/>
                <w:sz w:val="20"/>
              </w:rPr>
              <w:t xml:space="preserve">an in </w:t>
            </w:r>
            <w:r>
              <w:rPr>
                <w:rFonts w:eastAsia="Calibri"/>
                <w:smallCaps/>
                <w:sz w:val="20"/>
              </w:rPr>
              <w:t>C</w:t>
            </w:r>
            <w:r w:rsidRPr="00CD0B1B">
              <w:rPr>
                <w:rFonts w:eastAsia="Calibri"/>
                <w:smallCaps/>
                <w:sz w:val="20"/>
              </w:rPr>
              <w:t>ase)</w:t>
            </w:r>
          </w:p>
          <w:p w:rsidR="00DD1807" w:rsidRPr="00CD0B1B" w:rsidRDefault="00DD1807" w:rsidP="00480963">
            <w:pPr>
              <w:jc w:val="both"/>
              <w:rPr>
                <w:rFonts w:eastAsia="Calibri"/>
                <w:sz w:val="20"/>
              </w:rPr>
            </w:pPr>
          </w:p>
          <w:p w:rsidR="00DD1807" w:rsidRPr="00CD0B1B" w:rsidRDefault="00DD1807" w:rsidP="00480963">
            <w:pPr>
              <w:jc w:val="both"/>
              <w:rPr>
                <w:rFonts w:eastAsia="Calibri"/>
                <w:sz w:val="20"/>
              </w:rPr>
            </w:pPr>
            <w:r w:rsidRPr="00CD0B1B">
              <w:rPr>
                <w:rFonts w:eastAsia="Calibri"/>
                <w:sz w:val="20"/>
              </w:rPr>
              <w:t xml:space="preserve">Criminal law – Sentencing – Dangerous offender – Aboriginal – Whether the Court of Appeal erred in finding evidence of the existence of facilities to provide strict supervision at the time of the sentencing hearing is a condition precedent to a sentencing judge’s exercise of his or her discretion within s. 753(4.1) </w:t>
            </w:r>
            <w:r w:rsidRPr="00CD0B1B">
              <w:rPr>
                <w:rFonts w:eastAsia="Calibri"/>
                <w:i/>
                <w:sz w:val="20"/>
              </w:rPr>
              <w:t>Criminal Code</w:t>
            </w:r>
            <w:r w:rsidRPr="00CD0B1B">
              <w:rPr>
                <w:rFonts w:eastAsia="Calibri"/>
                <w:sz w:val="20"/>
              </w:rPr>
              <w:t xml:space="preserve"> to find a sentence less than an indeterminate sentence will adequately protect the public – Whether appellate intervention on an error of law alone, as prescribed in s. 759(2) of the </w:t>
            </w:r>
            <w:r w:rsidRPr="00CD0B1B">
              <w:rPr>
                <w:rFonts w:eastAsia="Calibri"/>
                <w:i/>
                <w:sz w:val="20"/>
              </w:rPr>
              <w:t>Code</w:t>
            </w:r>
            <w:r w:rsidRPr="00CD0B1B">
              <w:rPr>
                <w:rFonts w:eastAsia="Calibri"/>
                <w:sz w:val="20"/>
              </w:rPr>
              <w:t xml:space="preserve">, permits an appellate court to intervene by reassessing the evidence to satisfy the requirement of adequate protection of the public – Whether and how should the </w:t>
            </w:r>
            <w:r w:rsidRPr="00CD0B1B">
              <w:rPr>
                <w:rFonts w:eastAsia="Calibri"/>
                <w:i/>
                <w:sz w:val="20"/>
              </w:rPr>
              <w:t>Gladue</w:t>
            </w:r>
            <w:r w:rsidRPr="00CD0B1B">
              <w:rPr>
                <w:rFonts w:eastAsia="Calibri"/>
                <w:sz w:val="20"/>
              </w:rPr>
              <w:t xml:space="preserve"> principles be applied by a sentencing judge in determining whether to impose a determinate sentence under s. 753(4.1) of the </w:t>
            </w:r>
            <w:r w:rsidRPr="00CD0B1B">
              <w:rPr>
                <w:rFonts w:eastAsia="Calibri"/>
                <w:i/>
                <w:sz w:val="20"/>
              </w:rPr>
              <w:t>Code</w:t>
            </w:r>
            <w:r w:rsidRPr="00CD0B1B">
              <w:rPr>
                <w:rFonts w:eastAsia="Calibri"/>
                <w:sz w:val="20"/>
              </w:rPr>
              <w:t xml:space="preserve"> – Whether the Court of Appeal erred in finding the sentencing judge erred in law in relying on expert evidence without an evidentiary foundation.</w:t>
            </w:r>
          </w:p>
        </w:tc>
      </w:tr>
      <w:tr w:rsidR="00DD1807" w:rsidRPr="00CD0B1B" w:rsidTr="00480963">
        <w:tc>
          <w:tcPr>
            <w:tcW w:w="5000" w:type="pct"/>
            <w:gridSpan w:val="3"/>
          </w:tcPr>
          <w:p w:rsidR="00DD1807" w:rsidRPr="00CD0B1B" w:rsidRDefault="00DD1807" w:rsidP="00480963">
            <w:pPr>
              <w:jc w:val="both"/>
              <w:rPr>
                <w:rFonts w:eastAsia="Calibri"/>
                <w:sz w:val="20"/>
              </w:rPr>
            </w:pPr>
          </w:p>
        </w:tc>
      </w:tr>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sz w:val="20"/>
              </w:rPr>
              <w:t xml:space="preserve">At the time of sentencing, the applicant was 42 years of age. The applicant was declared a dangerous offender. His risk </w:t>
            </w:r>
            <w:r w:rsidRPr="00CD0B1B">
              <w:rPr>
                <w:rFonts w:eastAsia="Calibri"/>
                <w:sz w:val="20"/>
              </w:rPr>
              <w:lastRenderedPageBreak/>
              <w:t>for reoffending is moderate to high. The facts of the predicate offence were formally admitted. The applicant pleaded guilty to 19 criminal charges, including kidnapping, sexual assault causing bodily harm, assault causing bodily harm, uttering death threats, dangerous operation of a motor vehicle, numerous charges of breaking and entering and theft, and theft of a motor vehicle. The sentencing judge imposed a fixed-length sentence of 20 years less enhanced credit for pre-hearing custody, and a long-term supervision order for 10 years. The Court of Appeal allowed the Crown appeal. In place of the determinate sentence given, the Court of Appeal substituted a sentence of detention in a penitentiary for an indeterminate period. Therefore, no long-term supervision order was needed.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lastRenderedPageBreak/>
              <w:t>June 29, 2012</w:t>
            </w:r>
          </w:p>
          <w:p w:rsidR="00DD1807" w:rsidRPr="00CD0B1B" w:rsidRDefault="00DD1807" w:rsidP="00480963">
            <w:pPr>
              <w:jc w:val="both"/>
              <w:rPr>
                <w:rFonts w:eastAsia="Calibri"/>
                <w:sz w:val="20"/>
              </w:rPr>
            </w:pPr>
            <w:r w:rsidRPr="00CD0B1B">
              <w:rPr>
                <w:rFonts w:eastAsia="Calibri"/>
                <w:sz w:val="20"/>
              </w:rPr>
              <w:t>Provincial Court of Alberta</w:t>
            </w:r>
          </w:p>
          <w:p w:rsidR="00DD1807" w:rsidRPr="00CD0B1B" w:rsidRDefault="00DD1807" w:rsidP="00480963">
            <w:pPr>
              <w:jc w:val="both"/>
              <w:rPr>
                <w:rFonts w:eastAsia="Calibri"/>
                <w:sz w:val="20"/>
              </w:rPr>
            </w:pPr>
            <w:r w:rsidRPr="00CD0B1B">
              <w:rPr>
                <w:rFonts w:eastAsia="Calibri"/>
                <w:sz w:val="20"/>
              </w:rPr>
              <w:t>(Veldhuis J.)</w:t>
            </w:r>
          </w:p>
          <w:p w:rsidR="00DD1807" w:rsidRPr="00CD0B1B" w:rsidRDefault="00DD1807" w:rsidP="00480963">
            <w:pPr>
              <w:jc w:val="both"/>
              <w:rPr>
                <w:rFonts w:eastAsia="Calibri"/>
                <w:sz w:val="20"/>
              </w:rPr>
            </w:pPr>
            <w:r w:rsidRPr="00CD0B1B">
              <w:rPr>
                <w:rFonts w:eastAsia="Calibri"/>
                <w:sz w:val="20"/>
              </w:rPr>
              <w:t>2012 ABPC 321</w:t>
            </w:r>
          </w:p>
          <w:p w:rsidR="00DD1807" w:rsidRPr="00CD0B1B" w:rsidRDefault="005E19D3" w:rsidP="00480963">
            <w:pPr>
              <w:jc w:val="both"/>
              <w:rPr>
                <w:rFonts w:eastAsia="Calibri"/>
                <w:sz w:val="20"/>
              </w:rPr>
            </w:pPr>
            <w:hyperlink r:id="rId43" w:history="1">
              <w:r w:rsidR="00DD1807" w:rsidRPr="00CD0B1B">
                <w:rPr>
                  <w:rFonts w:eastAsia="Calibri"/>
                  <w:color w:val="0000FF"/>
                  <w:sz w:val="20"/>
                  <w:u w:val="single"/>
                </w:rPr>
                <w:t>http://canlii.ca/t/fv5h9</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Fixed-length sentence imposed: 20 years less enhanced credit for pre-hearing custody, long-term supervision order for 10 years</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June 18, 2013</w:t>
            </w:r>
          </w:p>
          <w:p w:rsidR="00DD1807" w:rsidRPr="00CD0B1B" w:rsidRDefault="00DD1807" w:rsidP="00480963">
            <w:pPr>
              <w:jc w:val="both"/>
              <w:rPr>
                <w:rFonts w:eastAsia="Calibri"/>
                <w:sz w:val="20"/>
              </w:rPr>
            </w:pPr>
            <w:r w:rsidRPr="00CD0B1B">
              <w:rPr>
                <w:rFonts w:eastAsia="Calibri"/>
                <w:sz w:val="20"/>
              </w:rPr>
              <w:t>Court of Appeal of Alberta (Calgary)</w:t>
            </w:r>
          </w:p>
          <w:p w:rsidR="00DD1807" w:rsidRPr="00CD0B1B" w:rsidRDefault="00DD1807" w:rsidP="00480963">
            <w:pPr>
              <w:jc w:val="both"/>
              <w:rPr>
                <w:rFonts w:eastAsia="Calibri"/>
                <w:sz w:val="20"/>
                <w:lang w:val="fr-FR"/>
              </w:rPr>
            </w:pPr>
            <w:r w:rsidRPr="00CD0B1B">
              <w:rPr>
                <w:rFonts w:eastAsia="Calibri"/>
                <w:sz w:val="20"/>
                <w:lang w:val="fr-FR"/>
              </w:rPr>
              <w:t>(Côté, Watson, O'Ferrall JJ.A.)</w:t>
            </w:r>
          </w:p>
          <w:p w:rsidR="00DD1807" w:rsidRPr="00CD0B1B" w:rsidRDefault="00DD1807" w:rsidP="00480963">
            <w:pPr>
              <w:jc w:val="both"/>
              <w:rPr>
                <w:rFonts w:eastAsia="Calibri"/>
                <w:sz w:val="20"/>
              </w:rPr>
            </w:pPr>
            <w:r w:rsidRPr="00CD0B1B">
              <w:rPr>
                <w:rFonts w:eastAsia="Calibri"/>
                <w:sz w:val="20"/>
              </w:rPr>
              <w:t>2013 ABCA 220</w:t>
            </w:r>
          </w:p>
          <w:p w:rsidR="00DD1807" w:rsidRPr="00CD0B1B" w:rsidRDefault="005E19D3" w:rsidP="00480963">
            <w:pPr>
              <w:jc w:val="both"/>
              <w:rPr>
                <w:rFonts w:eastAsia="Calibri"/>
                <w:sz w:val="20"/>
              </w:rPr>
            </w:pPr>
            <w:hyperlink r:id="rId44" w:history="1">
              <w:r w:rsidR="00DD1807" w:rsidRPr="00CD0B1B">
                <w:rPr>
                  <w:rFonts w:eastAsia="Calibri"/>
                  <w:color w:val="0000FF"/>
                  <w:sz w:val="20"/>
                  <w:u w:val="single"/>
                </w:rPr>
                <w:t>http://canlii.ca/t/fz779</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Crown sentence appeal allowed: sentence of detention for an indeterminate period imposed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 xml:space="preserve">March 17, 2014 </w:t>
            </w:r>
          </w:p>
          <w:p w:rsidR="00DD1807" w:rsidRPr="00CD0B1B" w:rsidRDefault="00DD1807" w:rsidP="00480963">
            <w:pPr>
              <w:jc w:val="both"/>
              <w:rPr>
                <w:rFonts w:eastAsia="Calibri"/>
                <w:sz w:val="20"/>
              </w:rPr>
            </w:pPr>
            <w:r w:rsidRPr="00CD0B1B">
              <w:rPr>
                <w:rFonts w:eastAsia="Calibri"/>
                <w:sz w:val="20"/>
              </w:rPr>
              <w:t>Supreme Court of Canada</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Motion for an extension of time to serve and file the application for leave to appeal and application for leave to appeal filed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May 2, 2014</w:t>
            </w:r>
          </w:p>
          <w:p w:rsidR="00DD1807" w:rsidRPr="00CD0B1B" w:rsidRDefault="00DD1807" w:rsidP="00480963">
            <w:pPr>
              <w:jc w:val="both"/>
              <w:rPr>
                <w:rFonts w:eastAsia="Calibri"/>
                <w:sz w:val="20"/>
              </w:rPr>
            </w:pPr>
            <w:r w:rsidRPr="00CD0B1B">
              <w:rPr>
                <w:rFonts w:eastAsia="Calibri"/>
                <w:sz w:val="20"/>
              </w:rPr>
              <w:t>Supreme Court of Canada</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Motion for an extension of time to serve and file the response</w:t>
            </w: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52"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5E19D3" w:rsidTr="00480963">
        <w:tc>
          <w:tcPr>
            <w:tcW w:w="5000" w:type="pct"/>
            <w:gridSpan w:val="3"/>
          </w:tcPr>
          <w:p w:rsidR="00DD1807" w:rsidRPr="00CD0B1B" w:rsidRDefault="00DD1807" w:rsidP="00480963">
            <w:pPr>
              <w:jc w:val="both"/>
              <w:rPr>
                <w:rFonts w:eastAsia="Calibri"/>
                <w:smallCaps/>
                <w:sz w:val="20"/>
                <w:lang w:val="fr-CA"/>
              </w:rPr>
            </w:pPr>
            <w:r w:rsidRPr="00CD0B1B">
              <w:rPr>
                <w:rFonts w:eastAsia="Calibri"/>
                <w:smallCaps/>
                <w:sz w:val="20"/>
                <w:lang w:val="fr-CA"/>
              </w:rPr>
              <w:t>(Ordonnance de non</w:t>
            </w:r>
            <w:r w:rsidRPr="00CD0B1B">
              <w:rPr>
                <w:rFonts w:eastAsia="Calibri"/>
                <w:smallCaps/>
                <w:sz w:val="20"/>
                <w:lang w:val="fr-CA"/>
              </w:rPr>
              <w:noBreakHyphen/>
              <w:t>publication dans le dossier)</w:t>
            </w:r>
          </w:p>
          <w:p w:rsidR="00DD1807" w:rsidRPr="00CD0B1B" w:rsidRDefault="00DD1807" w:rsidP="00480963">
            <w:pPr>
              <w:jc w:val="both"/>
              <w:rPr>
                <w:rFonts w:eastAsia="Calibri"/>
                <w:sz w:val="20"/>
                <w:lang w:val="fr-CA"/>
              </w:rPr>
            </w:pPr>
          </w:p>
          <w:p w:rsidR="00DD1807" w:rsidRPr="00CD0B1B" w:rsidRDefault="00DD1807" w:rsidP="00480963">
            <w:pPr>
              <w:jc w:val="both"/>
              <w:rPr>
                <w:rFonts w:eastAsia="Calibri"/>
                <w:sz w:val="20"/>
                <w:lang w:val="fr-CA"/>
              </w:rPr>
            </w:pPr>
            <w:r w:rsidRPr="00CD0B1B">
              <w:rPr>
                <w:rFonts w:eastAsia="Calibri"/>
                <w:sz w:val="20"/>
                <w:lang w:val="fr-CA"/>
              </w:rPr>
              <w:t>Droit criminel — Détermination de la peine — Délinquant dangereux — Autochtone — La Cour d’appel a</w:t>
            </w:r>
            <w:r w:rsidRPr="00CD0B1B">
              <w:rPr>
                <w:rFonts w:eastAsia="Calibri"/>
                <w:sz w:val="20"/>
                <w:lang w:val="fr-CA"/>
              </w:rPr>
              <w:noBreakHyphen/>
              <w:t>t</w:t>
            </w:r>
            <w:r w:rsidRPr="00CD0B1B">
              <w:rPr>
                <w:rFonts w:eastAsia="Calibri"/>
                <w:sz w:val="20"/>
                <w:lang w:val="fr-CA"/>
              </w:rPr>
              <w:noBreakHyphen/>
              <w:t>elle eu tort de conclure qu’il faut prouver l’existence d’une installation qui offre une supervision stricte au moment de l’audience de détermination de la peine avant que le juge qui prononce la peine puisse exercer son pouvoir discrétionnaire en application de l’article. 753(4.1) du</w:t>
            </w:r>
            <w:r w:rsidRPr="00CD0B1B">
              <w:rPr>
                <w:rFonts w:eastAsia="Calibri"/>
                <w:i/>
                <w:sz w:val="20"/>
                <w:lang w:val="fr-CA"/>
              </w:rPr>
              <w:t xml:space="preserve"> Code criminel</w:t>
            </w:r>
            <w:r w:rsidRPr="00CD0B1B">
              <w:rPr>
                <w:rFonts w:eastAsia="Calibri"/>
                <w:sz w:val="20"/>
                <w:lang w:val="fr-CA"/>
              </w:rPr>
              <w:t xml:space="preserve"> et conclure qu’une peine moindre qu’une peine de détention d’une durée indéterminée protégera de façon suffisante le public? — L’intervention d’une cour d’appel sur une erreur de droit seule, comme le prescrit le par. 759(2) du  </w:t>
            </w:r>
            <w:r w:rsidRPr="00CD0B1B">
              <w:rPr>
                <w:rFonts w:eastAsia="Calibri"/>
                <w:i/>
                <w:sz w:val="20"/>
                <w:lang w:val="fr-CA"/>
              </w:rPr>
              <w:t>Code</w:t>
            </w:r>
            <w:r w:rsidRPr="00CD0B1B">
              <w:rPr>
                <w:rFonts w:eastAsia="Calibri"/>
                <w:sz w:val="20"/>
                <w:lang w:val="fr-CA"/>
              </w:rPr>
              <w:t>, permet</w:t>
            </w:r>
            <w:r w:rsidRPr="00CD0B1B">
              <w:rPr>
                <w:rFonts w:eastAsia="Calibri"/>
                <w:sz w:val="20"/>
                <w:lang w:val="fr-CA"/>
              </w:rPr>
              <w:noBreakHyphen/>
              <w:t xml:space="preserve">elle à une cour d’appel d’intervenir en appréciant de nouveau la preuve pour satisfaire à l’exigence de la protection suffisante du public? — Les principes énoncés dans l’arrêt </w:t>
            </w:r>
            <w:r w:rsidRPr="00CD0B1B">
              <w:rPr>
                <w:rFonts w:eastAsia="Calibri"/>
                <w:i/>
                <w:sz w:val="20"/>
                <w:lang w:val="fr-CA"/>
              </w:rPr>
              <w:t>Gladue</w:t>
            </w:r>
            <w:r w:rsidRPr="00CD0B1B">
              <w:rPr>
                <w:rFonts w:eastAsia="Calibri"/>
                <w:sz w:val="20"/>
                <w:lang w:val="fr-CA"/>
              </w:rPr>
              <w:t xml:space="preserve"> doivent</w:t>
            </w:r>
            <w:r w:rsidRPr="00CD0B1B">
              <w:rPr>
                <w:rFonts w:eastAsia="Calibri"/>
                <w:sz w:val="20"/>
                <w:lang w:val="fr-CA"/>
              </w:rPr>
              <w:noBreakHyphen/>
              <w:t xml:space="preserve">ils être appliqués par le juge qui prononce la peine appelé à trancher la question de savoir s’il y a lieu d’imposer une peine de détention d’une durée déterminée en application du paragraphe s. 753(4.1) du </w:t>
            </w:r>
            <w:r w:rsidRPr="00CD0B1B">
              <w:rPr>
                <w:rFonts w:eastAsia="Calibri"/>
                <w:i/>
                <w:sz w:val="20"/>
                <w:lang w:val="fr-CA"/>
              </w:rPr>
              <w:t>Code</w:t>
            </w:r>
            <w:r w:rsidRPr="00CD0B1B">
              <w:rPr>
                <w:rFonts w:eastAsia="Calibri"/>
                <w:sz w:val="20"/>
                <w:lang w:val="fr-CA"/>
              </w:rPr>
              <w:t xml:space="preserve"> et, dans l’affirmative, comment faut</w:t>
            </w:r>
            <w:r w:rsidRPr="00CD0B1B">
              <w:rPr>
                <w:rFonts w:eastAsia="Calibri"/>
                <w:sz w:val="20"/>
                <w:lang w:val="fr-CA"/>
              </w:rPr>
              <w:noBreakHyphen/>
              <w:t>il appliquer ces principes? — La Cour d’appel a</w:t>
            </w:r>
            <w:r w:rsidRPr="00CD0B1B">
              <w:rPr>
                <w:rFonts w:eastAsia="Calibri"/>
                <w:sz w:val="20"/>
                <w:lang w:val="fr-CA"/>
              </w:rPr>
              <w:noBreakHyphen/>
              <w:t>t</w:t>
            </w:r>
            <w:r w:rsidRPr="00CD0B1B">
              <w:rPr>
                <w:rFonts w:eastAsia="Calibri"/>
                <w:sz w:val="20"/>
                <w:lang w:val="fr-CA"/>
              </w:rPr>
              <w:noBreakHyphen/>
              <w:t>elle eu tort de conclure que le juge qui prononce la peine a commis une erreur de droit en s’appuyant sur une preuve d’expert sans autre preuve pour étayer sa conclusion?</w:t>
            </w:r>
          </w:p>
        </w:tc>
      </w:tr>
      <w:tr w:rsidR="00DD1807" w:rsidRPr="005E19D3" w:rsidTr="00480963">
        <w:tc>
          <w:tcPr>
            <w:tcW w:w="5000" w:type="pct"/>
            <w:gridSpan w:val="3"/>
          </w:tcPr>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Au moment de la détermination de la peine, le demandeur était âgé de 42 ans.  Le demandeur a été déclaré délinquant dangereux.  Il présente un risque modéré à élevé de récidive.  Les faits de l’infraction sous</w:t>
            </w:r>
            <w:r w:rsidRPr="00CD0B1B">
              <w:rPr>
                <w:rFonts w:eastAsia="Calibri"/>
                <w:sz w:val="20"/>
                <w:lang w:val="fr-CA"/>
              </w:rPr>
              <w:noBreakHyphen/>
              <w:t>jacente ont été officiellement admis.  Le demandeur a plaidé coupable relativement à dix</w:t>
            </w:r>
            <w:r w:rsidRPr="00CD0B1B">
              <w:rPr>
                <w:rFonts w:eastAsia="Calibri"/>
                <w:sz w:val="20"/>
                <w:lang w:val="fr-CA"/>
              </w:rPr>
              <w:noBreakHyphen/>
              <w:t xml:space="preserve">neuf accusations au criminel, notamment des accusations d’enlèvement, d’agression sexuelle causant des lésions corporelles, de voies de fait causant des lésions corporelles, de menaces de mort, de conduite dangereuse et de nombreuses accusations d’introduction par effraction et </w:t>
            </w:r>
            <w:r w:rsidRPr="00CD0B1B">
              <w:rPr>
                <w:rFonts w:eastAsia="Calibri"/>
                <w:sz w:val="20"/>
                <w:lang w:val="fr-CA"/>
              </w:rPr>
              <w:lastRenderedPageBreak/>
              <w:t>de vol, et de vol d’un véhicule à moteur.  Le juge chargé d’imposer la peine a imposé une peine de détention d’une durée déterminée de vingt ans moins un crédit majoré pour la détention présentencielle, et une ordonnance de surveillance de longue durée, soit dix ans.  La Cour d’appel a accueilli l’appel du ministère public.  À la place de la peine de détention d’une durée déterminée imposée, la Cour d’appel a substitué une peine de détention d’une durée indéterminée dans un pénitencier.  Par conséquent, l’ordonnance de surveillance de longue durée n’était plus nécessaire.</w:t>
            </w:r>
          </w:p>
          <w:p w:rsidR="00DD1807" w:rsidRPr="00CD0B1B" w:rsidRDefault="00DD1807" w:rsidP="00480963">
            <w:pPr>
              <w:jc w:val="both"/>
              <w:rPr>
                <w:rFonts w:eastAsia="Calibri"/>
                <w:sz w:val="20"/>
                <w:lang w:val="fr-CA"/>
              </w:rPr>
            </w:pPr>
          </w:p>
        </w:tc>
      </w:tr>
      <w:tr w:rsidR="00DD1807" w:rsidRPr="005E19D3"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lastRenderedPageBreak/>
              <w:t>29 juin 2012</w:t>
            </w:r>
          </w:p>
          <w:p w:rsidR="00DD1807" w:rsidRPr="00CD0B1B" w:rsidRDefault="00DD1807" w:rsidP="00480963">
            <w:pPr>
              <w:jc w:val="both"/>
              <w:rPr>
                <w:rFonts w:eastAsia="Calibri"/>
                <w:sz w:val="20"/>
                <w:lang w:val="fr-CA"/>
              </w:rPr>
            </w:pPr>
            <w:r w:rsidRPr="00CD0B1B">
              <w:rPr>
                <w:rFonts w:eastAsia="Calibri"/>
                <w:sz w:val="20"/>
                <w:lang w:val="fr-CA"/>
              </w:rPr>
              <w:t xml:space="preserve">Cour provinciale de l’Alberta </w:t>
            </w:r>
          </w:p>
          <w:p w:rsidR="00DD1807" w:rsidRPr="00CD0B1B" w:rsidRDefault="00DD1807" w:rsidP="00480963">
            <w:pPr>
              <w:jc w:val="both"/>
              <w:rPr>
                <w:rFonts w:eastAsia="Calibri"/>
                <w:sz w:val="20"/>
                <w:lang w:val="fr-CA"/>
              </w:rPr>
            </w:pPr>
            <w:r w:rsidRPr="00CD0B1B">
              <w:rPr>
                <w:rFonts w:eastAsia="Calibri"/>
                <w:sz w:val="20"/>
                <w:lang w:val="fr-CA"/>
              </w:rPr>
              <w:t>(Juge Veldhuis)</w:t>
            </w:r>
          </w:p>
          <w:p w:rsidR="00DD1807" w:rsidRPr="00CD0B1B" w:rsidRDefault="00DD1807" w:rsidP="00480963">
            <w:pPr>
              <w:jc w:val="both"/>
              <w:rPr>
                <w:rFonts w:eastAsia="Calibri"/>
                <w:sz w:val="20"/>
              </w:rPr>
            </w:pPr>
            <w:r w:rsidRPr="00CD0B1B">
              <w:rPr>
                <w:rFonts w:eastAsia="Calibri"/>
                <w:sz w:val="20"/>
              </w:rPr>
              <w:t>2012 ABPC 321</w:t>
            </w:r>
          </w:p>
          <w:p w:rsidR="00DD1807" w:rsidRPr="00CD0B1B" w:rsidRDefault="005E19D3" w:rsidP="00480963">
            <w:pPr>
              <w:jc w:val="both"/>
              <w:rPr>
                <w:rFonts w:eastAsia="Calibri"/>
                <w:sz w:val="20"/>
              </w:rPr>
            </w:pPr>
            <w:hyperlink r:id="rId45" w:history="1">
              <w:r w:rsidR="00DD1807" w:rsidRPr="00CD0B1B">
                <w:rPr>
                  <w:rFonts w:eastAsia="Calibri"/>
                  <w:color w:val="0000FF"/>
                  <w:sz w:val="20"/>
                  <w:u w:val="single"/>
                </w:rPr>
                <w:t>http://canlii.ca/t/fv5h9</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Peine de détention d’une durée déterminée imposée : vingt ans moins un crédit majoré pour la détention présentencielle, ordonnance de surveillance de longue durée, soit dix ans</w:t>
            </w:r>
          </w:p>
          <w:p w:rsidR="00DD1807" w:rsidRPr="00CD0B1B" w:rsidRDefault="00DD1807" w:rsidP="00480963">
            <w:pPr>
              <w:jc w:val="both"/>
              <w:rPr>
                <w:rFonts w:eastAsia="Calibri"/>
                <w:sz w:val="20"/>
                <w:lang w:val="fr-CA"/>
              </w:rPr>
            </w:pPr>
          </w:p>
        </w:tc>
      </w:tr>
      <w:tr w:rsidR="00DD1807" w:rsidRPr="005E19D3"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18 juin 2013</w:t>
            </w:r>
          </w:p>
          <w:p w:rsidR="00DD1807" w:rsidRPr="00CD0B1B" w:rsidRDefault="00DD1807" w:rsidP="00480963">
            <w:pPr>
              <w:jc w:val="both"/>
              <w:rPr>
                <w:rFonts w:eastAsia="Calibri"/>
                <w:sz w:val="20"/>
                <w:lang w:val="fr-CA"/>
              </w:rPr>
            </w:pPr>
            <w:r w:rsidRPr="00CD0B1B">
              <w:rPr>
                <w:rFonts w:eastAsia="Calibri"/>
                <w:sz w:val="20"/>
                <w:lang w:val="fr-CA"/>
              </w:rPr>
              <w:t>Cour d’appel de l’Alberta (Calgary)</w:t>
            </w:r>
          </w:p>
          <w:p w:rsidR="00DD1807" w:rsidRPr="00CD0B1B" w:rsidRDefault="00DD1807" w:rsidP="00480963">
            <w:pPr>
              <w:jc w:val="both"/>
              <w:rPr>
                <w:rFonts w:eastAsia="Calibri"/>
                <w:sz w:val="20"/>
                <w:lang w:val="fr-CA"/>
              </w:rPr>
            </w:pPr>
            <w:r w:rsidRPr="00CD0B1B">
              <w:rPr>
                <w:rFonts w:eastAsia="Calibri"/>
                <w:sz w:val="20"/>
                <w:lang w:val="fr-CA"/>
              </w:rPr>
              <w:t>(Juges Côté, Watson et O'Ferrall)</w:t>
            </w:r>
          </w:p>
          <w:p w:rsidR="00DD1807" w:rsidRPr="00CD0B1B" w:rsidRDefault="00DD1807" w:rsidP="00480963">
            <w:pPr>
              <w:jc w:val="both"/>
              <w:rPr>
                <w:rFonts w:eastAsia="Calibri"/>
                <w:sz w:val="20"/>
              </w:rPr>
            </w:pPr>
            <w:r w:rsidRPr="00CD0B1B">
              <w:rPr>
                <w:rFonts w:eastAsia="Calibri"/>
                <w:sz w:val="20"/>
              </w:rPr>
              <w:t>2013 ABCA 220</w:t>
            </w:r>
          </w:p>
          <w:p w:rsidR="00DD1807" w:rsidRPr="00CD0B1B" w:rsidRDefault="005E19D3" w:rsidP="00480963">
            <w:pPr>
              <w:jc w:val="both"/>
              <w:rPr>
                <w:rFonts w:eastAsia="Calibri"/>
                <w:sz w:val="20"/>
              </w:rPr>
            </w:pPr>
            <w:hyperlink r:id="rId46" w:history="1">
              <w:r w:rsidR="00DD1807" w:rsidRPr="00CD0B1B">
                <w:rPr>
                  <w:rFonts w:eastAsia="Calibri"/>
                  <w:color w:val="0000FF"/>
                  <w:sz w:val="20"/>
                  <w:u w:val="single"/>
                </w:rPr>
                <w:t>http://canlii.ca/t/fz779</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Appel de la peine interjetée par le ministère public, accueilli : peine de détention d’une durée indéterminée imposée</w:t>
            </w:r>
          </w:p>
          <w:p w:rsidR="00DD1807" w:rsidRPr="00CD0B1B" w:rsidRDefault="00DD1807" w:rsidP="00480963">
            <w:pPr>
              <w:jc w:val="both"/>
              <w:rPr>
                <w:rFonts w:eastAsia="Calibri"/>
                <w:sz w:val="20"/>
                <w:lang w:val="fr-CA"/>
              </w:rPr>
            </w:pPr>
          </w:p>
        </w:tc>
      </w:tr>
      <w:tr w:rsidR="00DD1807" w:rsidRPr="005E19D3"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17 mars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Requête en prorogation du délai de signification et de dépôt de la demande d’autorisation d’appel et demande d’autorisation d’appel, déposées</w:t>
            </w:r>
          </w:p>
          <w:p w:rsidR="00DD1807" w:rsidRPr="00CD0B1B" w:rsidRDefault="00DD1807" w:rsidP="00480963">
            <w:pPr>
              <w:jc w:val="both"/>
              <w:rPr>
                <w:rFonts w:eastAsia="Calibri"/>
                <w:sz w:val="20"/>
                <w:lang w:val="fr-CA"/>
              </w:rPr>
            </w:pPr>
          </w:p>
        </w:tc>
      </w:tr>
      <w:tr w:rsidR="00DD1807" w:rsidRPr="005E19D3"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2 mai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Requête en prorogation du délai de signification et de dépôt de la réponse</w:t>
            </w:r>
          </w:p>
        </w:tc>
      </w:tr>
    </w:tbl>
    <w:p w:rsidR="00DD1807" w:rsidRPr="00DD1807" w:rsidRDefault="00DD1807" w:rsidP="00D257B0">
      <w:pPr>
        <w:rPr>
          <w:sz w:val="20"/>
          <w:szCs w:val="20"/>
          <w:lang w:val="fr-CA"/>
        </w:rPr>
      </w:pPr>
    </w:p>
    <w:p w:rsidR="00D257B0" w:rsidRDefault="005E19D3" w:rsidP="00D257B0">
      <w:pPr>
        <w:rPr>
          <w:sz w:val="20"/>
          <w:szCs w:val="20"/>
          <w:lang w:val="fr-CA"/>
        </w:rPr>
      </w:pPr>
      <w:r>
        <w:rPr>
          <w:sz w:val="20"/>
          <w:szCs w:val="20"/>
          <w:lang w:val="fr-CA"/>
        </w:rPr>
        <w:pict>
          <v:rect id="_x0000_i1053" style="width:2in;height:1pt" o:hrpct="0" o:hralign="center" o:hrstd="t" o:hrnoshade="t" o:hr="t" fillcolor="black [3213]" stroked="f"/>
        </w:pict>
      </w:r>
    </w:p>
    <w:p w:rsidR="00D257B0" w:rsidRDefault="00D257B0" w:rsidP="00D257B0">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A2202" w:rsidRPr="00CA2202" w:rsidTr="00480963">
        <w:trPr>
          <w:cantSplit/>
        </w:trPr>
        <w:tc>
          <w:tcPr>
            <w:tcW w:w="1458" w:type="dxa"/>
          </w:tcPr>
          <w:p w:rsidR="00CA2202" w:rsidRPr="00CA2202" w:rsidRDefault="00CA2202" w:rsidP="00CA2202">
            <w:pPr>
              <w:rPr>
                <w:sz w:val="20"/>
                <w:szCs w:val="20"/>
              </w:rPr>
            </w:pPr>
            <w:r w:rsidRPr="00CA2202">
              <w:rPr>
                <w:b/>
                <w:sz w:val="20"/>
                <w:lang w:val="fr-CA"/>
              </w:rPr>
              <w:t>35772</w:t>
            </w:r>
          </w:p>
          <w:p w:rsidR="00CA2202" w:rsidRPr="00CA2202" w:rsidRDefault="00CA2202" w:rsidP="00CA2202">
            <w:pPr>
              <w:rPr>
                <w:b/>
                <w:sz w:val="20"/>
                <w:szCs w:val="20"/>
                <w:lang w:val="fr-CA"/>
              </w:rPr>
            </w:pPr>
          </w:p>
        </w:tc>
        <w:tc>
          <w:tcPr>
            <w:tcW w:w="8118" w:type="dxa"/>
          </w:tcPr>
          <w:p w:rsidR="00CA2202" w:rsidRPr="00CA2202" w:rsidRDefault="00CA2202" w:rsidP="00CA2202">
            <w:pPr>
              <w:jc w:val="both"/>
              <w:rPr>
                <w:sz w:val="20"/>
                <w:szCs w:val="20"/>
              </w:rPr>
            </w:pPr>
            <w:r w:rsidRPr="00CA2202">
              <w:rPr>
                <w:b/>
                <w:sz w:val="20"/>
                <w:u w:val="single"/>
              </w:rPr>
              <w:t>Ita Robbins</w:t>
            </w:r>
            <w:r w:rsidR="00E25FFE">
              <w:rPr>
                <w:b/>
                <w:sz w:val="20"/>
                <w:u w:val="single"/>
              </w:rPr>
              <w:t xml:space="preserve"> and</w:t>
            </w:r>
            <w:r w:rsidRPr="00CA2202">
              <w:rPr>
                <w:b/>
                <w:sz w:val="20"/>
                <w:u w:val="single"/>
              </w:rPr>
              <w:t xml:space="preserve"> Frana Matich v. Cambridge Mortgage Investment Corporation</w:t>
            </w:r>
            <w:r w:rsidRPr="00CA2202">
              <w:rPr>
                <w:sz w:val="20"/>
                <w:szCs w:val="20"/>
              </w:rPr>
              <w:t xml:space="preserve"> (B.C.) (Civil) (By Leave)</w:t>
            </w:r>
          </w:p>
          <w:p w:rsidR="00CA2202" w:rsidRPr="00CA2202" w:rsidRDefault="00CA2202" w:rsidP="00CA2202">
            <w:pPr>
              <w:jc w:val="both"/>
              <w:rPr>
                <w:sz w:val="20"/>
                <w:szCs w:val="20"/>
              </w:rPr>
            </w:pPr>
          </w:p>
        </w:tc>
      </w:tr>
      <w:tr w:rsidR="00CA2202" w:rsidRPr="00CA2202" w:rsidTr="00480963">
        <w:trPr>
          <w:cantSplit/>
        </w:trPr>
        <w:tc>
          <w:tcPr>
            <w:tcW w:w="1458" w:type="dxa"/>
          </w:tcPr>
          <w:p w:rsidR="00CA2202" w:rsidRPr="00CA2202" w:rsidRDefault="00CA2202" w:rsidP="00CA2202">
            <w:pPr>
              <w:rPr>
                <w:sz w:val="20"/>
                <w:szCs w:val="20"/>
              </w:rPr>
            </w:pPr>
            <w:r w:rsidRPr="00CA2202">
              <w:rPr>
                <w:sz w:val="20"/>
                <w:szCs w:val="20"/>
              </w:rPr>
              <w:t>Coram :</w:t>
            </w:r>
          </w:p>
        </w:tc>
        <w:tc>
          <w:tcPr>
            <w:tcW w:w="8118" w:type="dxa"/>
          </w:tcPr>
          <w:p w:rsidR="00CA2202" w:rsidRPr="00CA2202" w:rsidRDefault="00CA2202" w:rsidP="00CA2202">
            <w:pPr>
              <w:rPr>
                <w:sz w:val="20"/>
                <w:szCs w:val="20"/>
              </w:rPr>
            </w:pPr>
            <w:r w:rsidRPr="00CA2202">
              <w:rPr>
                <w:sz w:val="20"/>
                <w:u w:val="single"/>
              </w:rPr>
              <w:t>Abella, Rothstein and Moldaver JJ.</w:t>
            </w:r>
          </w:p>
          <w:p w:rsidR="00CA2202" w:rsidRPr="00CA2202" w:rsidRDefault="00CA2202" w:rsidP="00CA2202">
            <w:pPr>
              <w:rPr>
                <w:sz w:val="20"/>
                <w:szCs w:val="20"/>
                <w:u w:val="single"/>
              </w:rPr>
            </w:pPr>
          </w:p>
        </w:tc>
      </w:tr>
      <w:tr w:rsidR="00CA2202" w:rsidRPr="005E19D3" w:rsidTr="00480963">
        <w:trPr>
          <w:cantSplit/>
        </w:trPr>
        <w:tc>
          <w:tcPr>
            <w:tcW w:w="9576" w:type="dxa"/>
            <w:gridSpan w:val="2"/>
          </w:tcPr>
          <w:p w:rsidR="00CA2202" w:rsidRPr="00CA2202" w:rsidRDefault="00CA2202" w:rsidP="00CA2202">
            <w:pPr>
              <w:ind w:firstLine="720"/>
              <w:jc w:val="both"/>
              <w:rPr>
                <w:sz w:val="20"/>
                <w:szCs w:val="20"/>
              </w:rPr>
            </w:pPr>
            <w:r w:rsidRPr="00CA2202">
              <w:rPr>
                <w:sz w:val="20"/>
                <w:szCs w:val="20"/>
              </w:rPr>
              <w:t>The motion for a stay of execution is dismissed. The application for leave to appeal from the judgment of the Court of Appeal for British Columbia (Vancouver), Number CA040954, dated January 28, 2014, is dismissed with costs.</w:t>
            </w:r>
          </w:p>
          <w:p w:rsidR="00CA2202" w:rsidRPr="00CA2202" w:rsidRDefault="00CA2202" w:rsidP="00CA2202">
            <w:pPr>
              <w:jc w:val="both"/>
              <w:rPr>
                <w:sz w:val="20"/>
                <w:szCs w:val="20"/>
              </w:rPr>
            </w:pPr>
          </w:p>
          <w:p w:rsidR="00CA2202" w:rsidRPr="00CA2202" w:rsidRDefault="00CA2202" w:rsidP="00CA2202">
            <w:pPr>
              <w:ind w:firstLine="720"/>
              <w:jc w:val="both"/>
              <w:rPr>
                <w:sz w:val="20"/>
                <w:szCs w:val="20"/>
                <w:lang w:val="fr-CA"/>
              </w:rPr>
            </w:pPr>
            <w:r w:rsidRPr="00CA2202">
              <w:rPr>
                <w:sz w:val="20"/>
                <w:szCs w:val="20"/>
                <w:lang w:val="fr-CA"/>
              </w:rPr>
              <w:t>La requête en sursis d’exécution est rejetée.  La demande d’autorisation d’appel de l’arrêt de la Cour d’appel de la Colombie-Britannique (Vancouver), numéro CA040954, daté du 28 janvier 2014, est rejetée avec dépens.</w:t>
            </w:r>
          </w:p>
        </w:tc>
      </w:tr>
    </w:tbl>
    <w:p w:rsidR="00D257B0" w:rsidRPr="00CA2202" w:rsidRDefault="00D257B0" w:rsidP="00D257B0">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sz w:val="20"/>
              </w:rPr>
              <w:t>Mortgages — Real property — Foreclosure — Court of Appeal denying applicants an extension of time to file an application for leave to appeal foreclosure order — Whether Court of Appeal committed an error of law</w:t>
            </w:r>
          </w:p>
        </w:tc>
      </w:tr>
      <w:tr w:rsidR="00DD1807" w:rsidRPr="00CD0B1B" w:rsidTr="00480963">
        <w:tc>
          <w:tcPr>
            <w:tcW w:w="5000" w:type="pct"/>
            <w:gridSpan w:val="3"/>
          </w:tcPr>
          <w:p w:rsidR="00DD1807" w:rsidRPr="00CD0B1B" w:rsidRDefault="00DD1807" w:rsidP="00480963">
            <w:pPr>
              <w:jc w:val="both"/>
              <w:rPr>
                <w:rFonts w:eastAsia="Calibri"/>
                <w:sz w:val="20"/>
              </w:rPr>
            </w:pPr>
          </w:p>
        </w:tc>
      </w:tr>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sz w:val="20"/>
              </w:rPr>
              <w:t xml:space="preserve">The applicants are the registered owners of a property located in Coquitlam, British Columbia. That property is subject to a mortgage.  The applicants are the mortgagors while the respondent Cambridge Mortgage Investment Corporation is the mortgagee. </w:t>
            </w:r>
          </w:p>
          <w:p w:rsidR="00DD1807" w:rsidRPr="00CD0B1B" w:rsidRDefault="00DD1807" w:rsidP="00480963">
            <w:pPr>
              <w:jc w:val="both"/>
              <w:rPr>
                <w:rFonts w:eastAsia="Calibri"/>
                <w:sz w:val="20"/>
              </w:rPr>
            </w:pPr>
          </w:p>
          <w:p w:rsidR="00DD1807" w:rsidRPr="00CD0B1B" w:rsidRDefault="00DD1807" w:rsidP="00480963">
            <w:pPr>
              <w:jc w:val="both"/>
              <w:rPr>
                <w:rFonts w:eastAsia="Calibri"/>
                <w:sz w:val="20"/>
              </w:rPr>
            </w:pPr>
            <w:r w:rsidRPr="00CD0B1B">
              <w:rPr>
                <w:rFonts w:eastAsia="Calibri"/>
                <w:sz w:val="20"/>
              </w:rPr>
              <w:lastRenderedPageBreak/>
              <w:t>The mortgage being in default as of January 2013, foreclosure proceedings were commenced against the applicants in March of 2013. A foreclosure order was granted and the applicants were granted a six month redemption period during which they could pay the sums outstanding under the mortgage in order to avoid foreclosure.  They did not repay the outstanding sums.  An order was granted, authorizing the respondent to proceed with the sale of the property.</w:t>
            </w:r>
          </w:p>
          <w:p w:rsidR="00DD1807" w:rsidRPr="00CD0B1B" w:rsidRDefault="00DD1807" w:rsidP="00480963">
            <w:pPr>
              <w:jc w:val="both"/>
              <w:rPr>
                <w:rFonts w:eastAsia="Calibri"/>
                <w:sz w:val="20"/>
              </w:rPr>
            </w:pPr>
          </w:p>
          <w:p w:rsidR="00DD1807" w:rsidRPr="00CD0B1B" w:rsidRDefault="00DD1807" w:rsidP="00480963">
            <w:pPr>
              <w:jc w:val="both"/>
              <w:rPr>
                <w:rFonts w:eastAsia="Calibri"/>
                <w:sz w:val="20"/>
              </w:rPr>
            </w:pPr>
            <w:r w:rsidRPr="00CD0B1B">
              <w:rPr>
                <w:rFonts w:eastAsia="Calibri"/>
                <w:sz w:val="20"/>
              </w:rPr>
              <w:t xml:space="preserve">The applicants filed an application for an extension of time to file an application for leave to appeal the foreclosure order. </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lastRenderedPageBreak/>
              <w:t>Supreme Court of British Columbia</w:t>
            </w:r>
          </w:p>
          <w:p w:rsidR="00DD1807" w:rsidRPr="00CD0B1B" w:rsidRDefault="00DD1807" w:rsidP="00480963">
            <w:pPr>
              <w:jc w:val="both"/>
              <w:rPr>
                <w:rFonts w:eastAsia="Calibri"/>
                <w:sz w:val="20"/>
              </w:rPr>
            </w:pPr>
            <w:r w:rsidRPr="00CD0B1B">
              <w:rPr>
                <w:rFonts w:eastAsia="Calibri"/>
                <w:sz w:val="20"/>
              </w:rPr>
              <w:t>May 9, 2013</w:t>
            </w:r>
          </w:p>
          <w:p w:rsidR="00DD1807" w:rsidRPr="00CD0B1B" w:rsidRDefault="00DD1807" w:rsidP="00480963">
            <w:pPr>
              <w:jc w:val="both"/>
              <w:rPr>
                <w:rFonts w:eastAsia="Calibri"/>
                <w:sz w:val="20"/>
              </w:rPr>
            </w:pPr>
            <w:r w:rsidRPr="00CD0B1B">
              <w:rPr>
                <w:rFonts w:eastAsia="Calibri"/>
                <w:sz w:val="20"/>
              </w:rPr>
              <w:t>(Fenlon J.)</w:t>
            </w:r>
          </w:p>
          <w:p w:rsidR="00DD1807" w:rsidRPr="00CD0B1B" w:rsidRDefault="00DD1807" w:rsidP="00480963">
            <w:pPr>
              <w:jc w:val="both"/>
              <w:rPr>
                <w:rFonts w:eastAsia="Calibri"/>
                <w:sz w:val="20"/>
              </w:rPr>
            </w:pPr>
            <w:r w:rsidRPr="00CD0B1B">
              <w:rPr>
                <w:rFonts w:eastAsia="Calibri"/>
                <w:sz w:val="20"/>
              </w:rPr>
              <w:t>Docket No. VLC-S-H-130330</w:t>
            </w:r>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 xml:space="preserve">Foreclosure order granted, subject to a 6 month redemption period </w:t>
            </w: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Supreme Court of British Columbia</w:t>
            </w:r>
          </w:p>
          <w:p w:rsidR="00DD1807" w:rsidRPr="00CD0B1B" w:rsidRDefault="00DD1807" w:rsidP="00480963">
            <w:pPr>
              <w:jc w:val="both"/>
              <w:rPr>
                <w:rFonts w:eastAsia="Calibri"/>
                <w:sz w:val="20"/>
              </w:rPr>
            </w:pPr>
            <w:r w:rsidRPr="00CD0B1B">
              <w:rPr>
                <w:rFonts w:eastAsia="Calibri"/>
                <w:sz w:val="20"/>
              </w:rPr>
              <w:t>December 9, 2013</w:t>
            </w:r>
          </w:p>
          <w:p w:rsidR="00DD1807" w:rsidRPr="00CD0B1B" w:rsidRDefault="00DD1807" w:rsidP="00480963">
            <w:pPr>
              <w:jc w:val="both"/>
              <w:rPr>
                <w:rFonts w:eastAsia="Calibri"/>
                <w:sz w:val="20"/>
              </w:rPr>
            </w:pPr>
            <w:r w:rsidRPr="00CD0B1B">
              <w:rPr>
                <w:rFonts w:eastAsia="Calibri"/>
                <w:sz w:val="20"/>
              </w:rPr>
              <w:t>(Master Tokarek)</w:t>
            </w:r>
          </w:p>
          <w:p w:rsidR="00DD1807" w:rsidRPr="00CD0B1B" w:rsidRDefault="00DD1807" w:rsidP="00480963">
            <w:pPr>
              <w:jc w:val="both"/>
              <w:rPr>
                <w:rFonts w:eastAsia="Calibri"/>
                <w:sz w:val="20"/>
              </w:rPr>
            </w:pPr>
            <w:r w:rsidRPr="00CD0B1B">
              <w:rPr>
                <w:rFonts w:eastAsia="Calibri"/>
                <w:sz w:val="20"/>
              </w:rPr>
              <w:t>Docket No. VLC-S-H-130330</w:t>
            </w:r>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Order for conduct of sale of the subject property, granted</w:t>
            </w: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January 28, 2014</w:t>
            </w:r>
          </w:p>
          <w:p w:rsidR="00DD1807" w:rsidRPr="00CD0B1B" w:rsidRDefault="00DD1807" w:rsidP="00480963">
            <w:pPr>
              <w:jc w:val="both"/>
              <w:rPr>
                <w:rFonts w:eastAsia="Calibri"/>
                <w:sz w:val="20"/>
              </w:rPr>
            </w:pPr>
            <w:r w:rsidRPr="00CD0B1B">
              <w:rPr>
                <w:rFonts w:eastAsia="Calibri"/>
                <w:sz w:val="20"/>
              </w:rPr>
              <w:t xml:space="preserve">Court of Appeal for British Columbia </w:t>
            </w:r>
          </w:p>
          <w:p w:rsidR="00DD1807" w:rsidRPr="00CD0B1B" w:rsidRDefault="00DD1807" w:rsidP="00480963">
            <w:pPr>
              <w:jc w:val="both"/>
              <w:rPr>
                <w:rFonts w:eastAsia="Calibri"/>
                <w:sz w:val="20"/>
              </w:rPr>
            </w:pPr>
            <w:r w:rsidRPr="00CD0B1B">
              <w:rPr>
                <w:rFonts w:eastAsia="Calibri"/>
                <w:sz w:val="20"/>
              </w:rPr>
              <w:t>(Vancouver)</w:t>
            </w:r>
          </w:p>
          <w:p w:rsidR="00DD1807" w:rsidRPr="00CD0B1B" w:rsidRDefault="00DD1807" w:rsidP="00480963">
            <w:pPr>
              <w:jc w:val="both"/>
              <w:rPr>
                <w:rFonts w:eastAsia="Calibri"/>
                <w:sz w:val="20"/>
              </w:rPr>
            </w:pPr>
            <w:r w:rsidRPr="00CD0B1B">
              <w:rPr>
                <w:rFonts w:eastAsia="Calibri"/>
                <w:sz w:val="20"/>
              </w:rPr>
              <w:t>(Saunders J.)</w:t>
            </w:r>
          </w:p>
          <w:p w:rsidR="00DD1807" w:rsidRPr="00CD0B1B" w:rsidRDefault="00DD1807" w:rsidP="00480963">
            <w:pPr>
              <w:jc w:val="both"/>
              <w:rPr>
                <w:rFonts w:eastAsia="Calibri"/>
                <w:sz w:val="20"/>
              </w:rPr>
            </w:pPr>
            <w:r w:rsidRPr="00CD0B1B">
              <w:rPr>
                <w:rFonts w:eastAsia="Calibri"/>
                <w:sz w:val="20"/>
              </w:rPr>
              <w:t>File No. CA040954</w:t>
            </w:r>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Application for an extension of time to file an application for leave to appeal from foreclosure order,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February 12, 2014</w:t>
            </w:r>
          </w:p>
          <w:p w:rsidR="00DD1807" w:rsidRPr="00CD0B1B" w:rsidRDefault="00DD1807" w:rsidP="00480963">
            <w:pPr>
              <w:jc w:val="both"/>
              <w:rPr>
                <w:rFonts w:eastAsia="Calibri"/>
                <w:sz w:val="20"/>
              </w:rPr>
            </w:pPr>
            <w:r w:rsidRPr="00CD0B1B">
              <w:rPr>
                <w:rFonts w:eastAsia="Calibri"/>
                <w:sz w:val="20"/>
              </w:rPr>
              <w:t>Supreme Court of Canada</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Application for leave to appeal filed</w:t>
            </w:r>
          </w:p>
          <w:p w:rsidR="00DD1807" w:rsidRPr="00CD0B1B" w:rsidRDefault="00DD1807" w:rsidP="00480963">
            <w:pPr>
              <w:jc w:val="both"/>
              <w:rPr>
                <w:rFonts w:eastAsia="Calibri"/>
                <w:sz w:val="20"/>
              </w:rPr>
            </w:pP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54"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 xml:space="preserve">Hypothèques — Bien immeuble — Forclusion — Refus de la Cour d’appel d’accorder aux demanderesses une prorogation du délai pour déposer une demande d’autorisation d’appel contre une ordonnance de forclusion — La Cour d’appel a-t-elle commis une erreur de droit? </w:t>
            </w:r>
          </w:p>
        </w:tc>
      </w:tr>
      <w:tr w:rsidR="00DD1807" w:rsidRPr="005E19D3" w:rsidTr="00480963">
        <w:tc>
          <w:tcPr>
            <w:tcW w:w="5000" w:type="pct"/>
            <w:gridSpan w:val="3"/>
          </w:tcPr>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Les demanderesses sont les propriétaires enregistrées d’un bien-fonds de Coquitlam (Colombie</w:t>
            </w:r>
            <w:r w:rsidRPr="00CD0B1B">
              <w:rPr>
                <w:rFonts w:eastAsia="Calibri"/>
                <w:sz w:val="20"/>
                <w:lang w:val="fr-CA"/>
              </w:rPr>
              <w:noBreakHyphen/>
              <w:t xml:space="preserve">Britannique) qui est grevé d’une hypothèque.  Elles sont les débitrices hypothécaires tandis que l’intimée, Cambridge Mortgage Investment Corporation, est la créancière hypothécaire.  </w:t>
            </w:r>
          </w:p>
          <w:p w:rsidR="00DD1807" w:rsidRPr="00CD0B1B" w:rsidRDefault="00DD1807" w:rsidP="00480963">
            <w:pPr>
              <w:jc w:val="both"/>
              <w:rPr>
                <w:rFonts w:eastAsia="Calibri"/>
                <w:sz w:val="20"/>
                <w:lang w:val="fr-CA"/>
              </w:rPr>
            </w:pPr>
          </w:p>
          <w:p w:rsidR="00DD1807" w:rsidRPr="00CD0B1B" w:rsidRDefault="00DD1807" w:rsidP="00480963">
            <w:pPr>
              <w:jc w:val="both"/>
              <w:rPr>
                <w:rFonts w:eastAsia="Calibri"/>
                <w:sz w:val="20"/>
                <w:lang w:val="fr-CA"/>
              </w:rPr>
            </w:pPr>
            <w:r w:rsidRPr="00CD0B1B">
              <w:rPr>
                <w:rFonts w:eastAsia="Calibri"/>
                <w:sz w:val="20"/>
                <w:lang w:val="fr-CA"/>
              </w:rPr>
              <w:t xml:space="preserve">Les débitrices hypothécaires étant en défaut depuis janvier 2013, l’intimée a engagée contre elles une procédure de forclusion deux mois plus tard.  La Cour suprême de la Colombie-Britannique a rendu une ordonnance de forclusion et accordé aux demanderesses un délai de rachat de six mois au cours duquel elles pourraient acquitter les sommes impayées sur l’hypothèque pour éviter la forclusion.  Elles ne l’ont pas fait.  La Cour suprême de la Colombie-Britannique a ensuite prononcé une ordonnance autorisant l’intimée à procéder à la vente de la propriété. </w:t>
            </w:r>
          </w:p>
          <w:p w:rsidR="00DD1807" w:rsidRPr="00CD0B1B" w:rsidRDefault="00DD1807" w:rsidP="00480963">
            <w:pPr>
              <w:jc w:val="both"/>
              <w:rPr>
                <w:rFonts w:eastAsia="Calibri"/>
                <w:sz w:val="20"/>
                <w:lang w:val="fr-CA"/>
              </w:rPr>
            </w:pPr>
          </w:p>
          <w:p w:rsidR="00DD1807" w:rsidRPr="00CD0B1B" w:rsidRDefault="00DD1807" w:rsidP="00480963">
            <w:pPr>
              <w:jc w:val="both"/>
              <w:rPr>
                <w:rFonts w:eastAsia="Calibri"/>
                <w:sz w:val="20"/>
                <w:lang w:val="fr-CA"/>
              </w:rPr>
            </w:pPr>
            <w:r w:rsidRPr="00CD0B1B">
              <w:rPr>
                <w:rFonts w:eastAsia="Calibri"/>
                <w:sz w:val="20"/>
                <w:lang w:val="fr-CA"/>
              </w:rPr>
              <w:t xml:space="preserve">Les demanderesses ont sollicité une prorogation du délai pour déposer une demande d’autorisation d’appel contre l’ordonnance de forclusion. </w:t>
            </w:r>
          </w:p>
          <w:p w:rsidR="00DD1807" w:rsidRPr="00CD0B1B" w:rsidRDefault="00DD1807" w:rsidP="00480963">
            <w:pPr>
              <w:jc w:val="both"/>
              <w:rPr>
                <w:rFonts w:eastAsia="Calibri"/>
                <w:sz w:val="20"/>
                <w:lang w:val="fr-CA"/>
              </w:rPr>
            </w:pPr>
          </w:p>
        </w:tc>
      </w:tr>
      <w:tr w:rsidR="00DD1807" w:rsidRPr="005E19D3" w:rsidTr="00E25FFE">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lastRenderedPageBreak/>
              <w:t xml:space="preserve">Cour suprême de la Colombie-Britannique </w:t>
            </w:r>
          </w:p>
          <w:p w:rsidR="00DD1807" w:rsidRPr="00CD0B1B" w:rsidRDefault="00DD1807" w:rsidP="00480963">
            <w:pPr>
              <w:jc w:val="both"/>
              <w:rPr>
                <w:rFonts w:eastAsia="Calibri"/>
                <w:sz w:val="20"/>
                <w:lang w:val="fr-CA"/>
              </w:rPr>
            </w:pPr>
            <w:r w:rsidRPr="00CD0B1B">
              <w:rPr>
                <w:rFonts w:eastAsia="Calibri"/>
                <w:sz w:val="20"/>
                <w:lang w:val="fr-CA"/>
              </w:rPr>
              <w:t>9 mai 2013</w:t>
            </w:r>
          </w:p>
          <w:p w:rsidR="00DD1807" w:rsidRPr="00CD0B1B" w:rsidRDefault="00DD1807" w:rsidP="00480963">
            <w:pPr>
              <w:jc w:val="both"/>
              <w:rPr>
                <w:rFonts w:eastAsia="Calibri"/>
                <w:sz w:val="20"/>
                <w:lang w:val="fr-CA"/>
              </w:rPr>
            </w:pPr>
            <w:r w:rsidRPr="00CD0B1B">
              <w:rPr>
                <w:rFonts w:eastAsia="Calibri"/>
                <w:sz w:val="20"/>
                <w:lang w:val="fr-CA"/>
              </w:rPr>
              <w:t>(Juge Fenlon)</w:t>
            </w:r>
          </w:p>
          <w:p w:rsidR="00DD1807" w:rsidRPr="00CD0B1B" w:rsidRDefault="00DD1807" w:rsidP="00480963">
            <w:pPr>
              <w:jc w:val="both"/>
              <w:rPr>
                <w:rFonts w:eastAsia="Calibri"/>
                <w:sz w:val="20"/>
                <w:lang w:val="fr-CA"/>
              </w:rPr>
            </w:pPr>
            <w:r w:rsidRPr="00CD0B1B">
              <w:rPr>
                <w:rFonts w:eastAsia="Calibri"/>
                <w:sz w:val="20"/>
                <w:lang w:val="fr-CA"/>
              </w:rPr>
              <w:t>Dossier n</w:t>
            </w:r>
            <w:r w:rsidRPr="00CD0B1B">
              <w:rPr>
                <w:rFonts w:eastAsia="Calibri"/>
                <w:sz w:val="20"/>
                <w:vertAlign w:val="superscript"/>
                <w:lang w:val="fr-CA"/>
              </w:rPr>
              <w:t>o</w:t>
            </w:r>
            <w:r w:rsidRPr="00CD0B1B">
              <w:rPr>
                <w:rFonts w:eastAsia="Calibri"/>
                <w:sz w:val="20"/>
                <w:lang w:val="fr-CA"/>
              </w:rPr>
              <w:t xml:space="preserve"> VLC-S-H-130330</w:t>
            </w:r>
          </w:p>
          <w:p w:rsidR="00DD1807" w:rsidRPr="00CD0B1B" w:rsidRDefault="00DD1807" w:rsidP="00480963">
            <w:pPr>
              <w:jc w:val="both"/>
              <w:rPr>
                <w:rFonts w:eastAsia="Calibri"/>
                <w:sz w:val="20"/>
                <w:lang w:val="fr-CA"/>
              </w:rPr>
            </w:pP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 xml:space="preserve">Ordonnance de forclusion accordée, sous réserve d’un délai de rachat de 6 mois  </w:t>
            </w:r>
          </w:p>
        </w:tc>
      </w:tr>
      <w:tr w:rsidR="00DD1807" w:rsidRPr="005E19D3" w:rsidTr="00E25FFE">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t xml:space="preserve">Cour suprême de la Colombie-Britannique </w:t>
            </w:r>
          </w:p>
          <w:p w:rsidR="00DD1807" w:rsidRPr="00CD0B1B" w:rsidRDefault="00DD1807" w:rsidP="00480963">
            <w:pPr>
              <w:jc w:val="both"/>
              <w:rPr>
                <w:rFonts w:eastAsia="Calibri"/>
                <w:sz w:val="20"/>
                <w:lang w:val="fr-CA"/>
              </w:rPr>
            </w:pPr>
            <w:r w:rsidRPr="00CD0B1B">
              <w:rPr>
                <w:rFonts w:eastAsia="Calibri"/>
                <w:sz w:val="20"/>
                <w:lang w:val="fr-CA"/>
              </w:rPr>
              <w:t>9 décembre 2013</w:t>
            </w:r>
          </w:p>
          <w:p w:rsidR="00DD1807" w:rsidRPr="00CD0B1B" w:rsidRDefault="00DD1807" w:rsidP="00480963">
            <w:pPr>
              <w:jc w:val="both"/>
              <w:rPr>
                <w:rFonts w:eastAsia="Calibri"/>
                <w:sz w:val="20"/>
                <w:lang w:val="fr-CA"/>
              </w:rPr>
            </w:pPr>
            <w:r w:rsidRPr="00CD0B1B">
              <w:rPr>
                <w:rFonts w:eastAsia="Calibri"/>
                <w:sz w:val="20"/>
                <w:lang w:val="fr-CA"/>
              </w:rPr>
              <w:t>(Protonotaire Tokarek)</w:t>
            </w:r>
          </w:p>
          <w:p w:rsidR="00DD1807" w:rsidRPr="00CD0B1B" w:rsidRDefault="00DD1807" w:rsidP="00480963">
            <w:pPr>
              <w:jc w:val="both"/>
              <w:rPr>
                <w:rFonts w:eastAsia="Calibri"/>
                <w:sz w:val="20"/>
                <w:lang w:val="fr-CA"/>
              </w:rPr>
            </w:pPr>
            <w:r w:rsidRPr="00CD0B1B">
              <w:rPr>
                <w:rFonts w:eastAsia="Calibri"/>
                <w:sz w:val="20"/>
                <w:lang w:val="fr-CA"/>
              </w:rPr>
              <w:t>Dossier n</w:t>
            </w:r>
            <w:r w:rsidRPr="00CD0B1B">
              <w:rPr>
                <w:rFonts w:eastAsia="Calibri"/>
                <w:sz w:val="20"/>
                <w:vertAlign w:val="superscript"/>
                <w:lang w:val="fr-CA"/>
              </w:rPr>
              <w:t>o</w:t>
            </w:r>
            <w:r w:rsidRPr="00CD0B1B">
              <w:rPr>
                <w:rFonts w:eastAsia="Calibri"/>
                <w:sz w:val="20"/>
                <w:lang w:val="fr-CA"/>
              </w:rPr>
              <w:t xml:space="preserve"> VLC-S-H-130330</w:t>
            </w:r>
          </w:p>
          <w:p w:rsidR="00DD1807" w:rsidRPr="00CD0B1B" w:rsidRDefault="00DD1807" w:rsidP="00480963">
            <w:pPr>
              <w:jc w:val="both"/>
              <w:rPr>
                <w:rFonts w:eastAsia="Calibri"/>
                <w:sz w:val="20"/>
                <w:lang w:val="fr-CA"/>
              </w:rPr>
            </w:pP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Ordonnance de vente de la propriété en question, accordée</w:t>
            </w:r>
          </w:p>
        </w:tc>
      </w:tr>
      <w:tr w:rsidR="00DD1807" w:rsidRPr="005E19D3" w:rsidTr="00E25FFE">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t>28 janvier 2014</w:t>
            </w:r>
          </w:p>
          <w:p w:rsidR="00DD1807" w:rsidRPr="00CD0B1B" w:rsidRDefault="00DD1807" w:rsidP="00480963">
            <w:pPr>
              <w:jc w:val="both"/>
              <w:rPr>
                <w:rFonts w:eastAsia="Calibri"/>
                <w:sz w:val="20"/>
                <w:lang w:val="fr-CA"/>
              </w:rPr>
            </w:pPr>
            <w:r w:rsidRPr="00CD0B1B">
              <w:rPr>
                <w:rFonts w:eastAsia="Calibri"/>
                <w:sz w:val="20"/>
                <w:lang w:val="fr-CA"/>
              </w:rPr>
              <w:t xml:space="preserve">Cour d’appel de la Colombie-Britannique  </w:t>
            </w:r>
          </w:p>
          <w:p w:rsidR="00DD1807" w:rsidRPr="00CD0B1B" w:rsidRDefault="00DD1807" w:rsidP="00480963">
            <w:pPr>
              <w:jc w:val="both"/>
              <w:rPr>
                <w:rFonts w:eastAsia="Calibri"/>
                <w:sz w:val="20"/>
                <w:lang w:val="fr-CA"/>
              </w:rPr>
            </w:pPr>
            <w:r w:rsidRPr="00CD0B1B">
              <w:rPr>
                <w:rFonts w:eastAsia="Calibri"/>
                <w:sz w:val="20"/>
                <w:lang w:val="fr-CA"/>
              </w:rPr>
              <w:t>(Vancouver)</w:t>
            </w:r>
          </w:p>
          <w:p w:rsidR="00DD1807" w:rsidRPr="00CD0B1B" w:rsidRDefault="00DD1807" w:rsidP="00480963">
            <w:pPr>
              <w:jc w:val="both"/>
              <w:rPr>
                <w:rFonts w:eastAsia="Calibri"/>
                <w:sz w:val="20"/>
                <w:lang w:val="fr-CA"/>
              </w:rPr>
            </w:pPr>
            <w:r w:rsidRPr="00CD0B1B">
              <w:rPr>
                <w:rFonts w:eastAsia="Calibri"/>
                <w:sz w:val="20"/>
                <w:lang w:val="fr-CA"/>
              </w:rPr>
              <w:t>(Juge Saunders)</w:t>
            </w:r>
          </w:p>
          <w:p w:rsidR="00DD1807" w:rsidRPr="00CD0B1B" w:rsidRDefault="00DD1807" w:rsidP="00480963">
            <w:pPr>
              <w:jc w:val="both"/>
              <w:rPr>
                <w:rFonts w:eastAsia="Calibri"/>
                <w:sz w:val="20"/>
                <w:lang w:val="fr-CA"/>
              </w:rPr>
            </w:pPr>
            <w:r w:rsidRPr="00CD0B1B">
              <w:rPr>
                <w:rFonts w:eastAsia="Calibri"/>
                <w:sz w:val="20"/>
                <w:lang w:val="fr-CA"/>
              </w:rPr>
              <w:t>N</w:t>
            </w:r>
            <w:r w:rsidRPr="00CD0B1B">
              <w:rPr>
                <w:rFonts w:eastAsia="Calibri"/>
                <w:sz w:val="20"/>
                <w:vertAlign w:val="superscript"/>
                <w:lang w:val="fr-CA"/>
              </w:rPr>
              <w:t>o</w:t>
            </w:r>
            <w:r w:rsidRPr="00CD0B1B">
              <w:rPr>
                <w:rFonts w:eastAsia="Calibri"/>
                <w:sz w:val="20"/>
                <w:lang w:val="fr-CA"/>
              </w:rPr>
              <w:t xml:space="preserve"> du greffe CA040954</w:t>
            </w:r>
          </w:p>
          <w:p w:rsidR="00DD1807" w:rsidRPr="00CD0B1B" w:rsidRDefault="00DD1807" w:rsidP="00480963">
            <w:pPr>
              <w:jc w:val="both"/>
              <w:rPr>
                <w:rFonts w:eastAsia="Calibri"/>
                <w:sz w:val="20"/>
                <w:lang w:val="fr-CA"/>
              </w:rPr>
            </w:pP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 xml:space="preserve">Demande de prorogation du délai pour déposer une demande d’autorisation d’appel contre l’ordonnance de forclusion, rejetée </w:t>
            </w:r>
          </w:p>
          <w:p w:rsidR="00DD1807" w:rsidRPr="00CD0B1B" w:rsidRDefault="00DD1807" w:rsidP="00480963">
            <w:pPr>
              <w:jc w:val="both"/>
              <w:rPr>
                <w:rFonts w:eastAsia="Calibri"/>
                <w:sz w:val="20"/>
                <w:lang w:val="fr-CA"/>
              </w:rPr>
            </w:pPr>
          </w:p>
        </w:tc>
      </w:tr>
      <w:tr w:rsidR="00DD1807" w:rsidRPr="00CD0B1B" w:rsidTr="00E25FFE">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t>12 février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rPr>
            </w:pPr>
            <w:r w:rsidRPr="00CD0B1B">
              <w:rPr>
                <w:rFonts w:eastAsia="Calibri"/>
                <w:sz w:val="20"/>
              </w:rPr>
              <w:t xml:space="preserve">Demande d’autorisation d’appel déposée </w:t>
            </w:r>
          </w:p>
          <w:p w:rsidR="00DD1807" w:rsidRPr="00CD0B1B" w:rsidRDefault="00DD1807" w:rsidP="00480963">
            <w:pPr>
              <w:jc w:val="both"/>
              <w:rPr>
                <w:rFonts w:eastAsia="Calibri"/>
                <w:sz w:val="20"/>
              </w:rPr>
            </w:pPr>
          </w:p>
        </w:tc>
      </w:tr>
    </w:tbl>
    <w:p w:rsidR="00D257B0" w:rsidRDefault="00D257B0" w:rsidP="00D257B0">
      <w:pPr>
        <w:rPr>
          <w:sz w:val="20"/>
          <w:szCs w:val="20"/>
        </w:rPr>
      </w:pPr>
    </w:p>
    <w:p w:rsidR="00D257B0" w:rsidRDefault="005E19D3" w:rsidP="00D257B0">
      <w:pPr>
        <w:rPr>
          <w:sz w:val="20"/>
          <w:szCs w:val="20"/>
          <w:lang w:val="fr-CA"/>
        </w:rPr>
      </w:pPr>
      <w:r>
        <w:rPr>
          <w:sz w:val="20"/>
          <w:szCs w:val="20"/>
          <w:lang w:val="fr-CA"/>
        </w:rPr>
        <w:pict>
          <v:rect id="_x0000_i1055" style="width:2in;height:1pt" o:hrpct="0" o:hralign="center" o:hrstd="t" o:hrnoshade="t" o:hr="t" fillcolor="black [3213]" stroked="f"/>
        </w:pict>
      </w:r>
    </w:p>
    <w:p w:rsidR="00D257B0" w:rsidRDefault="00D257B0" w:rsidP="00D257B0">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25FFE" w:rsidRPr="00E25FFE" w:rsidTr="00480963">
        <w:trPr>
          <w:cantSplit/>
        </w:trPr>
        <w:tc>
          <w:tcPr>
            <w:tcW w:w="1458" w:type="dxa"/>
          </w:tcPr>
          <w:p w:rsidR="00E25FFE" w:rsidRPr="00E25FFE" w:rsidRDefault="00E25FFE" w:rsidP="00E25FFE">
            <w:pPr>
              <w:rPr>
                <w:sz w:val="20"/>
                <w:szCs w:val="20"/>
              </w:rPr>
            </w:pPr>
            <w:r w:rsidRPr="00E25FFE">
              <w:rPr>
                <w:b/>
                <w:sz w:val="20"/>
                <w:lang w:val="fr-CA"/>
              </w:rPr>
              <w:t>35776</w:t>
            </w:r>
          </w:p>
          <w:p w:rsidR="00E25FFE" w:rsidRPr="00E25FFE" w:rsidRDefault="00E25FFE" w:rsidP="00E25FFE">
            <w:pPr>
              <w:rPr>
                <w:b/>
                <w:sz w:val="20"/>
                <w:szCs w:val="20"/>
                <w:lang w:val="fr-CA"/>
              </w:rPr>
            </w:pPr>
          </w:p>
        </w:tc>
        <w:tc>
          <w:tcPr>
            <w:tcW w:w="8118" w:type="dxa"/>
          </w:tcPr>
          <w:p w:rsidR="00E25FFE" w:rsidRPr="00E25FFE" w:rsidRDefault="00E25FFE" w:rsidP="00E25FFE">
            <w:pPr>
              <w:jc w:val="both"/>
              <w:rPr>
                <w:sz w:val="20"/>
                <w:szCs w:val="20"/>
              </w:rPr>
            </w:pPr>
            <w:r w:rsidRPr="00E25FFE">
              <w:rPr>
                <w:b/>
                <w:sz w:val="20"/>
                <w:u w:val="single"/>
              </w:rPr>
              <w:t>Monica Loughlin v. Abigail Gordon, Colleen McLeod</w:t>
            </w:r>
            <w:r>
              <w:rPr>
                <w:b/>
                <w:sz w:val="20"/>
                <w:u w:val="single"/>
              </w:rPr>
              <w:t xml:space="preserve"> and</w:t>
            </w:r>
            <w:r w:rsidRPr="00E25FFE">
              <w:rPr>
                <w:b/>
                <w:sz w:val="20"/>
                <w:u w:val="single"/>
              </w:rPr>
              <w:t xml:space="preserve"> Trademark Condominium Corporation 1024834</w:t>
            </w:r>
            <w:r w:rsidRPr="00E25FFE">
              <w:rPr>
                <w:sz w:val="20"/>
                <w:szCs w:val="20"/>
              </w:rPr>
              <w:t xml:space="preserve"> (Alta.) (Civil) (By Leave)</w:t>
            </w:r>
          </w:p>
          <w:p w:rsidR="00E25FFE" w:rsidRPr="00E25FFE" w:rsidRDefault="00E25FFE" w:rsidP="00E25FFE">
            <w:pPr>
              <w:jc w:val="both"/>
              <w:rPr>
                <w:sz w:val="20"/>
                <w:szCs w:val="20"/>
              </w:rPr>
            </w:pPr>
          </w:p>
        </w:tc>
      </w:tr>
      <w:tr w:rsidR="00E25FFE" w:rsidRPr="00E25FFE" w:rsidTr="00480963">
        <w:trPr>
          <w:cantSplit/>
        </w:trPr>
        <w:tc>
          <w:tcPr>
            <w:tcW w:w="1458" w:type="dxa"/>
          </w:tcPr>
          <w:p w:rsidR="00E25FFE" w:rsidRPr="00E25FFE" w:rsidRDefault="00E25FFE" w:rsidP="00E25FFE">
            <w:pPr>
              <w:rPr>
                <w:sz w:val="20"/>
                <w:szCs w:val="20"/>
              </w:rPr>
            </w:pPr>
            <w:r w:rsidRPr="00E25FFE">
              <w:rPr>
                <w:sz w:val="20"/>
                <w:szCs w:val="20"/>
              </w:rPr>
              <w:t>Coram :</w:t>
            </w:r>
          </w:p>
        </w:tc>
        <w:tc>
          <w:tcPr>
            <w:tcW w:w="8118" w:type="dxa"/>
          </w:tcPr>
          <w:p w:rsidR="00E25FFE" w:rsidRPr="00E25FFE" w:rsidRDefault="00E25FFE" w:rsidP="00E25FFE">
            <w:pPr>
              <w:rPr>
                <w:sz w:val="20"/>
                <w:szCs w:val="20"/>
              </w:rPr>
            </w:pPr>
            <w:r w:rsidRPr="00E25FFE">
              <w:rPr>
                <w:sz w:val="20"/>
                <w:u w:val="single"/>
              </w:rPr>
              <w:t>Abella, Rothstein and Moldaver JJ.</w:t>
            </w:r>
          </w:p>
          <w:p w:rsidR="00E25FFE" w:rsidRPr="00E25FFE" w:rsidRDefault="00E25FFE" w:rsidP="00E25FFE">
            <w:pPr>
              <w:rPr>
                <w:sz w:val="20"/>
                <w:szCs w:val="20"/>
                <w:u w:val="single"/>
              </w:rPr>
            </w:pPr>
          </w:p>
        </w:tc>
      </w:tr>
      <w:tr w:rsidR="00E25FFE" w:rsidRPr="005E19D3" w:rsidTr="00480963">
        <w:trPr>
          <w:cantSplit/>
        </w:trPr>
        <w:tc>
          <w:tcPr>
            <w:tcW w:w="9576" w:type="dxa"/>
            <w:gridSpan w:val="2"/>
          </w:tcPr>
          <w:p w:rsidR="00E25FFE" w:rsidRPr="00E25FFE" w:rsidRDefault="00E25FFE" w:rsidP="00E25FFE">
            <w:pPr>
              <w:ind w:firstLine="720"/>
              <w:jc w:val="both"/>
              <w:rPr>
                <w:sz w:val="20"/>
                <w:szCs w:val="20"/>
              </w:rPr>
            </w:pPr>
            <w:r w:rsidRPr="00E25FFE">
              <w:rPr>
                <w:sz w:val="20"/>
                <w:szCs w:val="20"/>
              </w:rPr>
              <w:t>The motion for an extension of time to serve and file the application for leave to appeal is granted. The application for leave to appeal from the judgment of the Court of Appeal of Alberta (Edmonton), Number 1203-0205-AC, 2013 ABCA 362, dated November 1, 2013, is dismissed with costs to the respondent, Colleen McLeod.</w:t>
            </w:r>
          </w:p>
          <w:p w:rsidR="00E25FFE" w:rsidRPr="00E25FFE" w:rsidRDefault="00E25FFE" w:rsidP="00E25FFE">
            <w:pPr>
              <w:jc w:val="both"/>
              <w:rPr>
                <w:sz w:val="20"/>
                <w:szCs w:val="20"/>
              </w:rPr>
            </w:pPr>
          </w:p>
          <w:p w:rsidR="00E25FFE" w:rsidRPr="00E25FFE" w:rsidRDefault="00E25FFE" w:rsidP="00E25FFE">
            <w:pPr>
              <w:ind w:firstLine="720"/>
              <w:jc w:val="both"/>
              <w:rPr>
                <w:sz w:val="20"/>
                <w:szCs w:val="20"/>
                <w:lang w:val="fr-CA"/>
              </w:rPr>
            </w:pPr>
            <w:r w:rsidRPr="00E25FFE">
              <w:rPr>
                <w:sz w:val="20"/>
                <w:szCs w:val="20"/>
                <w:lang w:val="fr-CA"/>
              </w:rPr>
              <w:t>La requête en prorogation du délai de signification et de dépôt de la demande d’autorisation d’appel est accueillie. La demande d’autorisation d’appel de l’arrêt de la Cour d'appel de l’Alberta (Edmonton), numéro 1203-0205-AC, 2013 ABCA 362, daté du 1</w:t>
            </w:r>
            <w:r w:rsidRPr="00E25FFE">
              <w:rPr>
                <w:sz w:val="20"/>
                <w:szCs w:val="20"/>
                <w:vertAlign w:val="superscript"/>
                <w:lang w:val="fr-CA"/>
              </w:rPr>
              <w:t>er</w:t>
            </w:r>
            <w:r w:rsidRPr="00E25FFE">
              <w:rPr>
                <w:sz w:val="20"/>
                <w:szCs w:val="20"/>
                <w:lang w:val="fr-CA"/>
              </w:rPr>
              <w:t xml:space="preserve"> novembre 2013, est rejetée avec dépens en faveur de l’intimée, Colleen McLeod.</w:t>
            </w:r>
          </w:p>
        </w:tc>
      </w:tr>
    </w:tbl>
    <w:p w:rsidR="00D257B0" w:rsidRPr="00E25FFE" w:rsidRDefault="00D257B0" w:rsidP="00D257B0">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i/>
                <w:sz w:val="20"/>
              </w:rPr>
              <w:t>Charter of Rights</w:t>
            </w:r>
            <w:r w:rsidRPr="00CD0B1B">
              <w:rPr>
                <w:rFonts w:eastAsia="Calibri"/>
                <w:sz w:val="20"/>
              </w:rPr>
              <w:t xml:space="preserve"> — Fundamental justice — Mobility rights — Educational rights — Land — Property — Condominiums — Whether respondents acted within legal guidelines for real estate profession — Whether there was professional negligence that put consumers at risk — Whether defendants governed themselves according to legal standards of a reasonable and prudent renter, realtor and property manager.</w:t>
            </w:r>
          </w:p>
        </w:tc>
      </w:tr>
      <w:tr w:rsidR="00DD1807" w:rsidRPr="00CD0B1B" w:rsidTr="00480963">
        <w:tc>
          <w:tcPr>
            <w:tcW w:w="5000" w:type="pct"/>
            <w:gridSpan w:val="3"/>
          </w:tcPr>
          <w:p w:rsidR="00DD1807" w:rsidRPr="00CD0B1B" w:rsidRDefault="00DD1807" w:rsidP="00480963">
            <w:pPr>
              <w:jc w:val="both"/>
              <w:rPr>
                <w:rFonts w:eastAsia="Calibri"/>
                <w:sz w:val="20"/>
              </w:rPr>
            </w:pPr>
          </w:p>
        </w:tc>
      </w:tr>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sz w:val="20"/>
              </w:rPr>
              <w:t>In 2011, Ms. Loughlin purchased a condominium unit in Edmonton.  Ms. McLeod acted as her realtor for the purchase at a time when Ms. Loughlin was living in Jasper.  Ms. Loughlin then moved to New Brunswick to attend law school. She decided to rent out her condominium and in August, 2011, she signed a tenancy agreement with Ms. Gordon.  Ms. Gordon defaulted on her rent and committed by</w:t>
            </w:r>
            <w:r w:rsidRPr="00CD0B1B">
              <w:rPr>
                <w:rFonts w:eastAsia="Calibri"/>
                <w:sz w:val="20"/>
              </w:rPr>
              <w:noBreakHyphen/>
              <w:t xml:space="preserve">law infractions.  She eventually moved out during the fall of 2011. Ms. McLeod assisted Ms. Loughlin during the spring and fall of 2011 with tenancy concerns but did not enter into any agreement to act as Ms. Loughlin’s property manager.  In 2012, after foreclosure proceedings were commenced, Ms. Loughlin sold her condominium.  She filed a statement of claim against her former tenant, Ms. McLeod and the condominium corporation alleging misrepresentation of fact, professional conduct and undue </w:t>
            </w:r>
            <w:r w:rsidRPr="00CD0B1B">
              <w:rPr>
                <w:rFonts w:eastAsia="Calibri"/>
                <w:sz w:val="20"/>
              </w:rPr>
              <w:lastRenderedPageBreak/>
              <w:t>influence.  Ms. Loughlin applied for summary judgment and Ms. McLeod and the condominium corporation cross</w:t>
            </w:r>
            <w:r w:rsidRPr="00CD0B1B">
              <w:rPr>
                <w:rFonts w:eastAsia="Calibri"/>
                <w:sz w:val="20"/>
              </w:rPr>
              <w:noBreakHyphen/>
              <w:t>applied for summary judgment to dismiss the claim.</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lastRenderedPageBreak/>
              <w:t>September 5, 2012</w:t>
            </w:r>
          </w:p>
          <w:p w:rsidR="00DD1807" w:rsidRPr="00CD0B1B" w:rsidRDefault="00DD1807" w:rsidP="00480963">
            <w:pPr>
              <w:jc w:val="both"/>
              <w:rPr>
                <w:rFonts w:eastAsia="Calibri"/>
                <w:sz w:val="20"/>
              </w:rPr>
            </w:pPr>
            <w:r w:rsidRPr="00CD0B1B">
              <w:rPr>
                <w:rFonts w:eastAsia="Calibri"/>
                <w:sz w:val="20"/>
              </w:rPr>
              <w:t>Court of Queen’s Bench of Alberta</w:t>
            </w:r>
          </w:p>
          <w:p w:rsidR="00DD1807" w:rsidRPr="00CD0B1B" w:rsidRDefault="00DD1807" w:rsidP="00480963">
            <w:pPr>
              <w:jc w:val="both"/>
              <w:rPr>
                <w:rFonts w:eastAsia="Calibri"/>
                <w:sz w:val="20"/>
              </w:rPr>
            </w:pPr>
            <w:r w:rsidRPr="00CD0B1B">
              <w:rPr>
                <w:rFonts w:eastAsia="Calibri"/>
                <w:sz w:val="20"/>
              </w:rPr>
              <w:t>(Germain J.)</w:t>
            </w:r>
          </w:p>
          <w:p w:rsidR="00DD1807" w:rsidRPr="00CD0B1B" w:rsidRDefault="00DD1807" w:rsidP="00480963">
            <w:pPr>
              <w:jc w:val="both"/>
              <w:rPr>
                <w:rFonts w:eastAsia="Calibri"/>
                <w:sz w:val="20"/>
              </w:rPr>
            </w:pPr>
            <w:r w:rsidRPr="00CD0B1B">
              <w:rPr>
                <w:rFonts w:eastAsia="Calibri"/>
                <w:sz w:val="20"/>
              </w:rPr>
              <w:t>Unreported</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Applicant’s motion for summary judgment dismissed; Respondents Ms. McLeod and Condominium corporation’s motion for summary judgment granted.  Applicant’s action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November 1, 2013</w:t>
            </w:r>
          </w:p>
          <w:p w:rsidR="00DD1807" w:rsidRPr="00CD0B1B" w:rsidRDefault="00DD1807" w:rsidP="00480963">
            <w:pPr>
              <w:jc w:val="both"/>
              <w:rPr>
                <w:rFonts w:eastAsia="Calibri"/>
                <w:sz w:val="20"/>
              </w:rPr>
            </w:pPr>
            <w:r w:rsidRPr="00CD0B1B">
              <w:rPr>
                <w:rFonts w:eastAsia="Calibri"/>
                <w:sz w:val="20"/>
              </w:rPr>
              <w:t>Court of Appeal of Alberta (Edmonton)</w:t>
            </w:r>
          </w:p>
          <w:p w:rsidR="00DD1807" w:rsidRPr="00CD0B1B" w:rsidRDefault="00DD1807" w:rsidP="00480963">
            <w:pPr>
              <w:jc w:val="both"/>
              <w:rPr>
                <w:rFonts w:eastAsia="Calibri"/>
                <w:sz w:val="20"/>
              </w:rPr>
            </w:pPr>
            <w:r w:rsidRPr="00CD0B1B">
              <w:rPr>
                <w:rFonts w:eastAsia="Calibri"/>
                <w:sz w:val="20"/>
              </w:rPr>
              <w:t>(Berger, Slatter and McDonald JJ.A.)</w:t>
            </w:r>
          </w:p>
          <w:p w:rsidR="00DD1807" w:rsidRPr="00CD0B1B" w:rsidRDefault="005E19D3" w:rsidP="00480963">
            <w:pPr>
              <w:jc w:val="both"/>
              <w:rPr>
                <w:rFonts w:eastAsia="Calibri"/>
                <w:sz w:val="20"/>
              </w:rPr>
            </w:pPr>
            <w:hyperlink r:id="rId47" w:history="1">
              <w:r w:rsidR="00DD1807" w:rsidRPr="00CD0B1B">
                <w:rPr>
                  <w:rFonts w:eastAsia="Calibri"/>
                  <w:color w:val="0000FF"/>
                  <w:sz w:val="20"/>
                  <w:u w:val="single"/>
                </w:rPr>
                <w:t>2013 ABCA 362</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Appeal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January 13, 2014</w:t>
            </w:r>
          </w:p>
          <w:p w:rsidR="00DD1807" w:rsidRPr="00CD0B1B" w:rsidRDefault="00DD1807" w:rsidP="00480963">
            <w:pPr>
              <w:jc w:val="both"/>
              <w:rPr>
                <w:rFonts w:eastAsia="Calibri"/>
                <w:sz w:val="20"/>
              </w:rPr>
            </w:pPr>
            <w:r w:rsidRPr="00CD0B1B">
              <w:rPr>
                <w:rFonts w:eastAsia="Calibri"/>
                <w:sz w:val="20"/>
              </w:rPr>
              <w:t>Supreme Court of Canada</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Motion for extension of time to serve and file application for leave to appeal and application for leave to appeal filed</w:t>
            </w: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56"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i/>
                <w:sz w:val="20"/>
                <w:lang w:val="fr-CA"/>
              </w:rPr>
              <w:t xml:space="preserve">Charte des droits </w:t>
            </w:r>
            <w:r w:rsidRPr="00CD0B1B">
              <w:rPr>
                <w:rFonts w:eastAsia="Calibri"/>
                <w:sz w:val="20"/>
                <w:lang w:val="fr-CA"/>
              </w:rPr>
              <w:t>— Justice fondamentale — Liberté de circulation et d’établissement — Garanties relatives à l’éducation — Territoire — Biens — Condominiums — Les intimées ont-elles agi dans le cadre de lignes directrices juridiques régissant la profession immobilière? — Y a-t-il eu négligence professionnelle qui a mis les consommateurs à risque? — Les défenderesses ont-elles agi conformément aux normes juridiques relatives aux locateurs, aux courtiers en immeubles et aux gestionnaires immobiliers prudents?</w:t>
            </w:r>
          </w:p>
        </w:tc>
      </w:tr>
      <w:tr w:rsidR="00DD1807" w:rsidRPr="005E19D3" w:rsidTr="00480963">
        <w:tc>
          <w:tcPr>
            <w:tcW w:w="5000" w:type="pct"/>
            <w:gridSpan w:val="3"/>
          </w:tcPr>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En 2011, Mme Loughlin a acheté une unité condominiale à Edmonton.  Pour cet achat, Mme McLeod a agi comme courtière en immeubles de Mme Loughlin alors que cette dernière vivait à Jasper.  Madame Loughlin a ensuite déménagé au Nouveau-Brunswick pour fréquenter une école de droit.  Elle a décidé de louer son condominium et, en août 2011, elle a conclu un bail avec Mme Gordon.  Madame Gordon n’a pas payé son loyer et a commis des infractions au règlement de l’immeuble.  Elle a fini par quitter les lieux à l’automne 2011.  Madame McLeod a aidé Mme Loughlin au cours du printemps et de l’automne 2011 relativement aux problèmes de location, mais elle n’a conclu aucun accord pour agir comme gestionnaire immobilière de Mme Loughlin.  En 2012, après l’introduction de mesures de forclusion, Mme Loughlin a vendu son condominium.  Elle a déposé une déclaration contre son ancienne locataire, Mme McLeod et la société condominiale, alléguant des assertions factuelles inexactes, des fautes professionnelles et de l’influence indue.  Madame Loughlin a fait une demande de jugement sommaire et Mme McLeod et la société condominiale ont déposé une demande reconventionnelle de jugement sommaire en rejet de la demande principale.</w:t>
            </w:r>
          </w:p>
          <w:p w:rsidR="00DD1807" w:rsidRPr="00CD0B1B" w:rsidRDefault="00DD1807" w:rsidP="00480963">
            <w:pPr>
              <w:jc w:val="both"/>
              <w:rPr>
                <w:rFonts w:eastAsia="Calibri"/>
                <w:sz w:val="20"/>
                <w:lang w:val="fr-CA"/>
              </w:rPr>
            </w:pPr>
          </w:p>
        </w:tc>
      </w:tr>
      <w:tr w:rsidR="00DD1807" w:rsidRPr="00CD0B1B"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5 septembre 2012</w:t>
            </w:r>
          </w:p>
          <w:p w:rsidR="00DD1807" w:rsidRPr="00CD0B1B" w:rsidRDefault="00DD1807" w:rsidP="00480963">
            <w:pPr>
              <w:jc w:val="both"/>
              <w:rPr>
                <w:rFonts w:eastAsia="Calibri"/>
                <w:sz w:val="20"/>
                <w:lang w:val="fr-CA"/>
              </w:rPr>
            </w:pPr>
            <w:r w:rsidRPr="00CD0B1B">
              <w:rPr>
                <w:rFonts w:eastAsia="Calibri"/>
                <w:sz w:val="20"/>
                <w:lang w:val="fr-CA"/>
              </w:rPr>
              <w:t>Cour du Banc de la Reine de l’Alberta</w:t>
            </w:r>
          </w:p>
          <w:p w:rsidR="00DD1807" w:rsidRPr="00CD0B1B" w:rsidRDefault="00DD1807" w:rsidP="00480963">
            <w:pPr>
              <w:jc w:val="both"/>
              <w:rPr>
                <w:rFonts w:eastAsia="Calibri"/>
                <w:sz w:val="20"/>
                <w:lang w:val="fr-CA"/>
              </w:rPr>
            </w:pPr>
            <w:r w:rsidRPr="00CD0B1B">
              <w:rPr>
                <w:rFonts w:eastAsia="Calibri"/>
                <w:sz w:val="20"/>
                <w:lang w:val="fr-CA"/>
              </w:rPr>
              <w:t>(Juge Germain)</w:t>
            </w:r>
          </w:p>
          <w:p w:rsidR="00DD1807" w:rsidRPr="00CD0B1B" w:rsidRDefault="00DD1807" w:rsidP="00480963">
            <w:pPr>
              <w:jc w:val="both"/>
              <w:rPr>
                <w:rFonts w:eastAsia="Calibri"/>
                <w:sz w:val="20"/>
                <w:lang w:val="fr-CA"/>
              </w:rPr>
            </w:pPr>
            <w:r w:rsidRPr="00CD0B1B">
              <w:rPr>
                <w:rFonts w:eastAsia="Calibri"/>
                <w:sz w:val="20"/>
                <w:lang w:val="fr-CA"/>
              </w:rPr>
              <w:t>Non publié</w:t>
            </w: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Requête de la demanderesse en jugement sommaire, rejetée; requête des intimées, Mme McLeod et la société condominiale, en jugement sommaire, accueillie. Action de la demanderesse, rejetée</w:t>
            </w:r>
          </w:p>
          <w:p w:rsidR="00DD1807" w:rsidRPr="00CD0B1B" w:rsidRDefault="00DD1807" w:rsidP="00480963">
            <w:pPr>
              <w:jc w:val="both"/>
              <w:rPr>
                <w:rFonts w:eastAsia="Calibri"/>
                <w:sz w:val="20"/>
                <w:lang w:val="fr-CA"/>
              </w:rPr>
            </w:pPr>
          </w:p>
        </w:tc>
      </w:tr>
      <w:tr w:rsidR="00DD1807" w:rsidRPr="00CD0B1B"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1</w:t>
            </w:r>
            <w:r w:rsidRPr="00CD0B1B">
              <w:rPr>
                <w:rFonts w:eastAsia="Calibri"/>
                <w:sz w:val="20"/>
                <w:vertAlign w:val="superscript"/>
                <w:lang w:val="fr-CA"/>
              </w:rPr>
              <w:t>er</w:t>
            </w:r>
            <w:r w:rsidRPr="00CD0B1B">
              <w:rPr>
                <w:rFonts w:eastAsia="Calibri"/>
                <w:sz w:val="20"/>
                <w:lang w:val="fr-CA"/>
              </w:rPr>
              <w:t xml:space="preserve"> novembre 2013</w:t>
            </w:r>
          </w:p>
          <w:p w:rsidR="00DD1807" w:rsidRPr="00CD0B1B" w:rsidRDefault="00DD1807" w:rsidP="00480963">
            <w:pPr>
              <w:jc w:val="both"/>
              <w:rPr>
                <w:rFonts w:eastAsia="Calibri"/>
                <w:sz w:val="20"/>
                <w:lang w:val="fr-CA"/>
              </w:rPr>
            </w:pPr>
            <w:r w:rsidRPr="00CD0B1B">
              <w:rPr>
                <w:rFonts w:eastAsia="Calibri"/>
                <w:sz w:val="20"/>
                <w:lang w:val="fr-CA"/>
              </w:rPr>
              <w:t>Cour d’appel de l’Alberta (Edmonton)</w:t>
            </w:r>
          </w:p>
          <w:p w:rsidR="00DD1807" w:rsidRPr="00CD0B1B" w:rsidRDefault="00DD1807" w:rsidP="00480963">
            <w:pPr>
              <w:jc w:val="both"/>
              <w:rPr>
                <w:rFonts w:eastAsia="Calibri"/>
                <w:sz w:val="20"/>
                <w:lang w:val="fr-CA"/>
              </w:rPr>
            </w:pPr>
            <w:r w:rsidRPr="00CD0B1B">
              <w:rPr>
                <w:rFonts w:eastAsia="Calibri"/>
                <w:sz w:val="20"/>
                <w:lang w:val="fr-CA"/>
              </w:rPr>
              <w:t>(Juges Berger, Slatter et McDonald)</w:t>
            </w:r>
          </w:p>
          <w:p w:rsidR="00DD1807" w:rsidRPr="00CD0B1B" w:rsidRDefault="005E19D3" w:rsidP="00480963">
            <w:pPr>
              <w:jc w:val="both"/>
              <w:rPr>
                <w:rFonts w:eastAsia="Calibri"/>
                <w:sz w:val="20"/>
                <w:lang w:val="fr-CA"/>
              </w:rPr>
            </w:pPr>
            <w:hyperlink r:id="rId48" w:history="1">
              <w:r w:rsidR="00DD1807" w:rsidRPr="00CD0B1B">
                <w:rPr>
                  <w:rFonts w:eastAsia="Calibri"/>
                  <w:color w:val="0000FF"/>
                  <w:sz w:val="20"/>
                  <w:u w:val="single"/>
                  <w:lang w:val="fr-CA"/>
                </w:rPr>
                <w:t>2013 ABCA 362</w:t>
              </w:r>
            </w:hyperlink>
          </w:p>
          <w:p w:rsidR="00DD1807" w:rsidRPr="00CD0B1B" w:rsidRDefault="00DD1807" w:rsidP="00480963">
            <w:pPr>
              <w:jc w:val="both"/>
              <w:rPr>
                <w:rFonts w:eastAsia="Calibri"/>
                <w:sz w:val="20"/>
                <w:lang w:val="fr-CA"/>
              </w:rPr>
            </w:pP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Appel rejeté</w:t>
            </w:r>
          </w:p>
          <w:p w:rsidR="00DD1807" w:rsidRPr="00CD0B1B" w:rsidRDefault="00DD1807" w:rsidP="00480963">
            <w:pPr>
              <w:jc w:val="both"/>
              <w:rPr>
                <w:rFonts w:eastAsia="Calibri"/>
                <w:sz w:val="20"/>
                <w:lang w:val="fr-CA"/>
              </w:rPr>
            </w:pPr>
          </w:p>
        </w:tc>
      </w:tr>
      <w:tr w:rsidR="00DD1807" w:rsidRPr="005E19D3"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lastRenderedPageBreak/>
              <w:t>13 janvier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43" w:type="pct"/>
          </w:tcPr>
          <w:p w:rsidR="00DD1807" w:rsidRPr="00CD0B1B" w:rsidRDefault="00DD1807" w:rsidP="00480963">
            <w:pPr>
              <w:jc w:val="both"/>
              <w:rPr>
                <w:rFonts w:eastAsia="Calibri"/>
                <w:sz w:val="20"/>
                <w:lang w:val="fr-CA"/>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Requête en prorogation du délai de signification et de dépôt de la demande d’autorisation d’appel et demande autorisation d’appel, déposées</w:t>
            </w:r>
          </w:p>
        </w:tc>
      </w:tr>
    </w:tbl>
    <w:p w:rsidR="00D257B0" w:rsidRPr="00DD1807" w:rsidRDefault="00D257B0" w:rsidP="00D257B0">
      <w:pPr>
        <w:rPr>
          <w:sz w:val="20"/>
          <w:szCs w:val="20"/>
          <w:lang w:val="fr-CA"/>
        </w:rPr>
      </w:pPr>
    </w:p>
    <w:p w:rsidR="00D257B0" w:rsidRDefault="005E19D3" w:rsidP="00D257B0">
      <w:pPr>
        <w:rPr>
          <w:sz w:val="20"/>
          <w:szCs w:val="20"/>
          <w:lang w:val="fr-CA"/>
        </w:rPr>
      </w:pPr>
      <w:r>
        <w:rPr>
          <w:sz w:val="20"/>
          <w:szCs w:val="20"/>
          <w:lang w:val="fr-CA"/>
        </w:rPr>
        <w:pict>
          <v:rect id="_x0000_i1057" style="width:2in;height:1pt" o:hrpct="0" o:hralign="center" o:hrstd="t" o:hrnoshade="t" o:hr="t" fillcolor="black [3213]" stroked="f"/>
        </w:pict>
      </w:r>
    </w:p>
    <w:p w:rsidR="00D257B0" w:rsidRDefault="00D257B0" w:rsidP="00D257B0">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30F30" w:rsidRPr="00130F30" w:rsidTr="00480963">
        <w:trPr>
          <w:cantSplit/>
        </w:trPr>
        <w:tc>
          <w:tcPr>
            <w:tcW w:w="1458" w:type="dxa"/>
          </w:tcPr>
          <w:p w:rsidR="00130F30" w:rsidRPr="00130F30" w:rsidRDefault="00130F30" w:rsidP="00130F30">
            <w:pPr>
              <w:rPr>
                <w:sz w:val="20"/>
                <w:szCs w:val="20"/>
              </w:rPr>
            </w:pPr>
            <w:r w:rsidRPr="00130F30">
              <w:rPr>
                <w:b/>
                <w:sz w:val="20"/>
                <w:lang w:val="fr-CA"/>
              </w:rPr>
              <w:t>35780</w:t>
            </w:r>
          </w:p>
          <w:p w:rsidR="00130F30" w:rsidRPr="00130F30" w:rsidRDefault="00130F30" w:rsidP="00130F30">
            <w:pPr>
              <w:rPr>
                <w:b/>
                <w:sz w:val="20"/>
                <w:szCs w:val="20"/>
                <w:lang w:val="fr-CA"/>
              </w:rPr>
            </w:pPr>
          </w:p>
        </w:tc>
        <w:tc>
          <w:tcPr>
            <w:tcW w:w="8118" w:type="dxa"/>
          </w:tcPr>
          <w:p w:rsidR="00130F30" w:rsidRPr="00130F30" w:rsidRDefault="00130F30" w:rsidP="00130F30">
            <w:pPr>
              <w:jc w:val="both"/>
              <w:rPr>
                <w:sz w:val="20"/>
                <w:szCs w:val="20"/>
              </w:rPr>
            </w:pPr>
            <w:r w:rsidRPr="00130F30">
              <w:rPr>
                <w:b/>
                <w:sz w:val="20"/>
                <w:u w:val="single"/>
              </w:rPr>
              <w:t>Gurdev Singh Mann v. Gurpal Singh Saini, Joseph Stanford</w:t>
            </w:r>
            <w:r>
              <w:rPr>
                <w:b/>
                <w:sz w:val="20"/>
                <w:u w:val="single"/>
              </w:rPr>
              <w:t xml:space="preserve"> and</w:t>
            </w:r>
            <w:r w:rsidRPr="00130F30">
              <w:rPr>
                <w:b/>
                <w:sz w:val="20"/>
                <w:u w:val="single"/>
              </w:rPr>
              <w:t xml:space="preserve"> Karl Stanford</w:t>
            </w:r>
            <w:r w:rsidRPr="00130F30">
              <w:rPr>
                <w:sz w:val="20"/>
                <w:szCs w:val="20"/>
              </w:rPr>
              <w:t xml:space="preserve"> (Ont.) (Civil) (By Leave)</w:t>
            </w:r>
          </w:p>
          <w:p w:rsidR="00130F30" w:rsidRPr="00130F30" w:rsidRDefault="00130F30" w:rsidP="00130F30">
            <w:pPr>
              <w:jc w:val="both"/>
              <w:rPr>
                <w:sz w:val="20"/>
                <w:szCs w:val="20"/>
              </w:rPr>
            </w:pPr>
          </w:p>
        </w:tc>
      </w:tr>
      <w:tr w:rsidR="00130F30" w:rsidRPr="00130F30" w:rsidTr="00480963">
        <w:trPr>
          <w:cantSplit/>
        </w:trPr>
        <w:tc>
          <w:tcPr>
            <w:tcW w:w="1458" w:type="dxa"/>
          </w:tcPr>
          <w:p w:rsidR="00130F30" w:rsidRPr="00130F30" w:rsidRDefault="00130F30" w:rsidP="00130F30">
            <w:pPr>
              <w:rPr>
                <w:sz w:val="20"/>
                <w:szCs w:val="20"/>
              </w:rPr>
            </w:pPr>
            <w:r w:rsidRPr="00130F30">
              <w:rPr>
                <w:sz w:val="20"/>
                <w:szCs w:val="20"/>
              </w:rPr>
              <w:t>Coram :</w:t>
            </w:r>
          </w:p>
        </w:tc>
        <w:tc>
          <w:tcPr>
            <w:tcW w:w="8118" w:type="dxa"/>
          </w:tcPr>
          <w:p w:rsidR="00130F30" w:rsidRPr="00130F30" w:rsidRDefault="00130F30" w:rsidP="00130F30">
            <w:pPr>
              <w:rPr>
                <w:sz w:val="20"/>
                <w:szCs w:val="20"/>
              </w:rPr>
            </w:pPr>
            <w:r w:rsidRPr="00130F30">
              <w:rPr>
                <w:sz w:val="20"/>
                <w:u w:val="single"/>
              </w:rPr>
              <w:t>McLachlin C.J. and Cromwell and Wagner JJ.</w:t>
            </w:r>
          </w:p>
          <w:p w:rsidR="00130F30" w:rsidRPr="00130F30" w:rsidRDefault="00130F30" w:rsidP="00130F30">
            <w:pPr>
              <w:rPr>
                <w:sz w:val="20"/>
                <w:szCs w:val="20"/>
                <w:u w:val="single"/>
              </w:rPr>
            </w:pPr>
          </w:p>
        </w:tc>
      </w:tr>
      <w:tr w:rsidR="00130F30" w:rsidRPr="005E19D3" w:rsidTr="00480963">
        <w:trPr>
          <w:cantSplit/>
        </w:trPr>
        <w:tc>
          <w:tcPr>
            <w:tcW w:w="9576" w:type="dxa"/>
            <w:gridSpan w:val="2"/>
          </w:tcPr>
          <w:p w:rsidR="00130F30" w:rsidRPr="00130F30" w:rsidRDefault="00130F30" w:rsidP="00130F30">
            <w:pPr>
              <w:ind w:firstLine="720"/>
              <w:jc w:val="both"/>
              <w:rPr>
                <w:sz w:val="20"/>
                <w:szCs w:val="20"/>
              </w:rPr>
            </w:pPr>
            <w:r w:rsidRPr="00130F30">
              <w:rPr>
                <w:sz w:val="20"/>
                <w:szCs w:val="20"/>
              </w:rPr>
              <w:t>The application for leave to appeal from the judgment of the Court of Appeal for Ontario, Number C55761, 2014 ONCA 27,  dated January 14, 2014, is dismissed with costs.</w:t>
            </w:r>
          </w:p>
          <w:p w:rsidR="00130F30" w:rsidRPr="00130F30" w:rsidRDefault="00130F30" w:rsidP="00130F30">
            <w:pPr>
              <w:jc w:val="both"/>
              <w:rPr>
                <w:sz w:val="20"/>
                <w:szCs w:val="20"/>
              </w:rPr>
            </w:pPr>
          </w:p>
          <w:p w:rsidR="00130F30" w:rsidRPr="00130F30" w:rsidRDefault="00130F30" w:rsidP="00130F30">
            <w:pPr>
              <w:ind w:firstLine="720"/>
              <w:jc w:val="both"/>
              <w:rPr>
                <w:sz w:val="20"/>
                <w:szCs w:val="20"/>
                <w:lang w:val="fr-CA"/>
              </w:rPr>
            </w:pPr>
            <w:r w:rsidRPr="00130F30">
              <w:rPr>
                <w:sz w:val="20"/>
                <w:szCs w:val="20"/>
                <w:lang w:val="fr-CA"/>
              </w:rPr>
              <w:t>La demande d’autorisation d’appel de l’arrêt de la Cour d’appel de l’Ontario, numéro C55761, 2014 ONCA 27, daté du 14 janvier 2014, est rejetée avec dépens.</w:t>
            </w:r>
          </w:p>
        </w:tc>
      </w:tr>
    </w:tbl>
    <w:p w:rsidR="00D257B0" w:rsidRPr="00130F30" w:rsidRDefault="00D257B0" w:rsidP="00D257B0">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iCs/>
                <w:color w:val="000000"/>
                <w:sz w:val="20"/>
              </w:rPr>
              <w:t>Contracts — Breach of contract — Applicant’s action for damages for false representations dismissed, counterclaims allowed in part — Whether Court of Appeal</w:t>
            </w:r>
            <w:r w:rsidRPr="00CD0B1B">
              <w:rPr>
                <w:rFonts w:eastAsia="Calibri"/>
                <w:sz w:val="20"/>
              </w:rPr>
              <w:t xml:space="preserve"> erred in law by exercising its power to  amend a contract where terms of a contract were clear and unambiguous, and by creating a contract between parties where parties have made no contract </w:t>
            </w:r>
            <w:r w:rsidRPr="00CD0B1B">
              <w:rPr>
                <w:rFonts w:eastAsia="Calibri"/>
                <w:iCs/>
                <w:color w:val="000000"/>
                <w:sz w:val="20"/>
              </w:rPr>
              <w:t xml:space="preserve">— </w:t>
            </w:r>
            <w:r w:rsidRPr="00CD0B1B">
              <w:rPr>
                <w:rFonts w:eastAsia="Calibri"/>
                <w:sz w:val="20"/>
              </w:rPr>
              <w:t>Whether Court of Appeal erred in law by giving judgment for a claim that was not made in the pleadings and in failing to appreciate that contract was not enforceable.</w:t>
            </w:r>
          </w:p>
          <w:p w:rsidR="00DD1807" w:rsidRPr="00CD0B1B" w:rsidRDefault="00DD1807" w:rsidP="00480963">
            <w:pPr>
              <w:jc w:val="both"/>
              <w:rPr>
                <w:rFonts w:eastAsia="Calibri"/>
                <w:sz w:val="20"/>
              </w:rPr>
            </w:pPr>
          </w:p>
        </w:tc>
      </w:tr>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color w:val="000000"/>
                <w:sz w:val="20"/>
              </w:rPr>
              <w:t>In 2003, Mr. Saini and Mr. Joseph Stanford (“Mr. Stanford”) entered into a business arrangement with respect to Crossroads Airline Services Inc. (“CASI”), a company that provided inter-terminal luggage services.  Karl Stanford was Joseph Stanford's son and he held his father’s shares in trust for him. Mr. Saini and Mr. Stanford approached Mr. Mann, to invest in their two businesses.  In January 2004, the parties incorporated Crossroads Courier Services Inc. (“CCSI”), that couriered misdirected airline baggage to the owners. Mr. Mann became a partner and shareholder in the businesses, investing $35,000 for a 35 per cent interest. Mr. Saini and Karl Stanford each retained a 32.5 per cent interest.  From March 2004 onwards Mr. Mann operated the businesses himself.  By July 2004, Mr. Stanford resigned from the businesses and Mr. Mann and Mr. Saini then operated as if they each had a 50 per cent interest.  Mr. Mann later purchased Mr. Saini's interest in the two businesses for $100,000 but actually only paid half of that amount.  By December 2004, CCSI was in financial difficulty but CASI continued to be viable through 2009.  Mr. Mann brought an action against the respondents, seeking damages of $400,000 for false misrepresentations allegedly made by the respondents that he relied on in investing in and purchasing the businesses.  The respondents denied the allegations and alleged that Mr. Mann was fully apprised of the financial circumstances of the companies before making his investment.  Mr. Saini counterclaimed against Mr. Mann for damages in the amount of $50,000 allegedly owing under the share purchase agreement.  Mr. Stanford counterclaimed for damages of $934,702 for lost profits and loss of future opportunities due to the mismanagement of CASI by Mr. Mann, harassment, intentional infliction of emotional stress, intentional interference with contractual relations between Stanford, CCSI and CASI, and punitive damages.</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June 13, 2013</w:t>
            </w:r>
          </w:p>
          <w:p w:rsidR="00DD1807" w:rsidRPr="00CD0B1B" w:rsidRDefault="00DD1807" w:rsidP="00480963">
            <w:pPr>
              <w:jc w:val="both"/>
              <w:rPr>
                <w:rFonts w:eastAsia="Calibri"/>
                <w:sz w:val="20"/>
              </w:rPr>
            </w:pPr>
            <w:r w:rsidRPr="00CD0B1B">
              <w:rPr>
                <w:rFonts w:eastAsia="Calibri"/>
                <w:sz w:val="20"/>
              </w:rPr>
              <w:t>Ontario Superior Court of Justice</w:t>
            </w:r>
          </w:p>
          <w:p w:rsidR="00DD1807" w:rsidRPr="00CD0B1B" w:rsidRDefault="00DD1807" w:rsidP="00480963">
            <w:pPr>
              <w:jc w:val="both"/>
              <w:rPr>
                <w:rFonts w:eastAsia="Calibri"/>
                <w:sz w:val="20"/>
              </w:rPr>
            </w:pPr>
            <w:r w:rsidRPr="00CD0B1B">
              <w:rPr>
                <w:rFonts w:eastAsia="Calibri"/>
                <w:sz w:val="20"/>
              </w:rPr>
              <w:t>(Brown J.)</w:t>
            </w:r>
          </w:p>
          <w:p w:rsidR="00DD1807" w:rsidRPr="00CD0B1B" w:rsidRDefault="00DD1807" w:rsidP="00480963">
            <w:pPr>
              <w:jc w:val="both"/>
              <w:rPr>
                <w:rFonts w:eastAsia="Calibri"/>
                <w:sz w:val="20"/>
              </w:rPr>
            </w:pPr>
            <w:r w:rsidRPr="00CD0B1B">
              <w:rPr>
                <w:rFonts w:eastAsia="Calibri"/>
                <w:sz w:val="20"/>
              </w:rPr>
              <w:t>2012 ONSC 2200</w:t>
            </w:r>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Applicant’s claim for damages dismissed.  Respondent, Mr. Saini’s counterclaim for balance of monies owing under Share Purchase Agreement allowed in the amount of $50,000;  Respondent, Mr. Karl Stanford’s counterclaim allowed in part in the amount of $50,000.</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lastRenderedPageBreak/>
              <w:t>January 14, 2014</w:t>
            </w:r>
          </w:p>
          <w:p w:rsidR="00DD1807" w:rsidRPr="00CD0B1B" w:rsidRDefault="00DD1807" w:rsidP="00480963">
            <w:pPr>
              <w:jc w:val="both"/>
              <w:rPr>
                <w:rFonts w:eastAsia="Calibri"/>
                <w:sz w:val="20"/>
              </w:rPr>
            </w:pPr>
            <w:r w:rsidRPr="00CD0B1B">
              <w:rPr>
                <w:rFonts w:eastAsia="Calibri"/>
                <w:sz w:val="20"/>
              </w:rPr>
              <w:t>Court of Appeal for Ontario</w:t>
            </w:r>
          </w:p>
          <w:p w:rsidR="00DD1807" w:rsidRPr="00CD0B1B" w:rsidRDefault="00DD1807" w:rsidP="00480963">
            <w:pPr>
              <w:jc w:val="both"/>
              <w:rPr>
                <w:rFonts w:eastAsia="Calibri"/>
                <w:sz w:val="20"/>
              </w:rPr>
            </w:pPr>
            <w:r w:rsidRPr="00CD0B1B">
              <w:rPr>
                <w:rFonts w:eastAsia="Calibri"/>
                <w:sz w:val="20"/>
              </w:rPr>
              <w:t>(Rouleau, van Rensburg and Benotto JJ.A.)</w:t>
            </w:r>
          </w:p>
          <w:p w:rsidR="00DD1807" w:rsidRPr="00CD0B1B" w:rsidRDefault="00DD1807" w:rsidP="00480963">
            <w:pPr>
              <w:jc w:val="both"/>
              <w:rPr>
                <w:rFonts w:eastAsia="Calibri"/>
                <w:sz w:val="20"/>
              </w:rPr>
            </w:pPr>
            <w:r w:rsidRPr="00CD0B1B">
              <w:rPr>
                <w:rFonts w:eastAsia="Calibri"/>
                <w:sz w:val="20"/>
              </w:rPr>
              <w:t>2014 ONCA 27</w:t>
            </w:r>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Appeal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March 12, 2014</w:t>
            </w:r>
          </w:p>
          <w:p w:rsidR="00DD1807" w:rsidRPr="00CD0B1B" w:rsidRDefault="00DD1807" w:rsidP="00480963">
            <w:pPr>
              <w:jc w:val="both"/>
              <w:rPr>
                <w:rFonts w:eastAsia="Calibri"/>
                <w:sz w:val="20"/>
              </w:rPr>
            </w:pPr>
            <w:r w:rsidRPr="00CD0B1B">
              <w:rPr>
                <w:rFonts w:eastAsia="Calibri"/>
                <w:sz w:val="20"/>
              </w:rPr>
              <w:t>Supreme Court of Canada</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Application for leave to appeal filed.</w:t>
            </w:r>
          </w:p>
          <w:p w:rsidR="00DD1807" w:rsidRPr="00CD0B1B" w:rsidRDefault="00DD1807" w:rsidP="00480963">
            <w:pPr>
              <w:jc w:val="both"/>
              <w:rPr>
                <w:rFonts w:eastAsia="Calibri"/>
                <w:sz w:val="20"/>
              </w:rPr>
            </w:pP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58"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iCs/>
                <w:color w:val="000000"/>
                <w:sz w:val="20"/>
                <w:lang w:val="fr-CA"/>
              </w:rPr>
              <w:t>Contrats — Violation de contrat — Action du demandeur en dommages-intérêts pour fausses déclarations rejetée, demandes reconventionnelles accueillies en partie — La Cour d’appel a-t-elle commis une erreur de droit en exerçant son pouvoir de modifier un contrat alors que les termes du contrat étaient clairs et exempts d’ambiguïté et en créant un contrat entre les parties alors que les parties n’en ont conclu aucun? —</w:t>
            </w:r>
            <w:r w:rsidRPr="00CD0B1B">
              <w:rPr>
                <w:rFonts w:eastAsia="Calibri"/>
                <w:sz w:val="20"/>
                <w:lang w:val="fr-CA"/>
              </w:rPr>
              <w:t xml:space="preserve"> La Cour d’appel a-t-elle commis une erreur de droit en rendant un jugement relativement à une allégation qui n’avait pas été faite dans les actes de procédure et en omettant d’apprécier le fait que le contrat n’était pas exécutoire?</w:t>
            </w:r>
          </w:p>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color w:val="000000"/>
                <w:sz w:val="20"/>
                <w:lang w:val="fr-CA"/>
              </w:rPr>
              <w:t>En 2003, M. Saini et M. Joseph Stanford (« M. Stanford ») ont conclu un contrat commercial à l’égard de Crossroads Airline Services Inc. (« CASI »), une entreprise qui fournissait des services de transport de bagages entre aérogares.  Karl Stanford était le fils de Joseph Stanford et il détenait les actions de son père en fiducie.  Messieurs Saini et Stanford ont invité M. Mann à investir dans leurs deux entreprises. En janvier 2004, les parties ont fait constituer en personne morale Crossroads Courier Services Inc. (« CCSI »), dont l’activité consistait à envoyer par messagerie à leurs propriétaires les bagages mal acheminés par les transporteurs aériens.  Monsieur Mann est devenu associé et actionnaire des entreprises, investissant 35 000 $ pour une participation de 35 %.  Monsieur Saini et Karl Stanford ont chacun conservé une participation de 32,5 %.  À partir de mars 2004, M. Mann a exploité les entreprises lui-même.  En juillet 2004, M. Stanford a démissionné de ses fonctions dans les entreprises et MM. Mann et Saini ont ensuite agi comme s’ils possédaient chacun une participation de 50 %.  Plus tard, M. Mann a acheté la participation de M. Saini dans les deux entreprises pour la somme de 100 000 $, alors qu’en réalité, il n’a payé que la moitié de ce montant.  En décembre 2004, CCSI se trouvait en difficulté financière, mais CASI a continué d’être viable jusqu’en 2009.  Monsieur Mann a intenté une action en dommages-intérêts de 400 000 $ contre les intimés, alléguant que ces derniers auraient fait de fausses déclarations sur lesquelles il s’était appuyé quand il a investi dans les entreprises et les a achetées.  Les intimées ont nié les allégations et ont prétendu que M. Mann était parfaitement au courant de la situation financière des entreprises avant de faire son investissement.  Monsieur Saini a introduit une demande reconventionnelle en dommages-intérêts de 50 000 $ contre M. Mann, une somme que ce dernier lui devait censément en vertu du contrat d’achat d’actions.  Monsieur Stanford a introduit une demande reconventionnelle en dommages-intérêts de 934 702 $ pour manque à gagner et perte de capacités de gain ultérieures en raison de la mauvaise gestion de CASI par M. Mann, harcèlement, infliction intentionnelle de stress émotionnel, entrave intentionnelle aux relations contractuelles entre Stanford, CCSI et CASI, et pour dommages-intérêts punitifs.</w:t>
            </w:r>
          </w:p>
          <w:p w:rsidR="00DD1807" w:rsidRPr="00CD0B1B" w:rsidRDefault="00DD1807" w:rsidP="00480963">
            <w:pPr>
              <w:jc w:val="both"/>
              <w:rPr>
                <w:rFonts w:eastAsia="Calibri"/>
                <w:sz w:val="20"/>
                <w:lang w:val="fr-CA"/>
              </w:rPr>
            </w:pPr>
          </w:p>
        </w:tc>
      </w:tr>
      <w:tr w:rsidR="00DD1807" w:rsidRPr="005E19D3"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13 juin 2013</w:t>
            </w:r>
          </w:p>
          <w:p w:rsidR="00DD1807" w:rsidRPr="00CD0B1B" w:rsidRDefault="00DD1807" w:rsidP="00480963">
            <w:pPr>
              <w:jc w:val="both"/>
              <w:rPr>
                <w:rFonts w:eastAsia="Calibri"/>
                <w:sz w:val="20"/>
                <w:lang w:val="fr-CA"/>
              </w:rPr>
            </w:pPr>
            <w:r w:rsidRPr="00CD0B1B">
              <w:rPr>
                <w:rFonts w:eastAsia="Calibri"/>
                <w:sz w:val="20"/>
                <w:lang w:val="fr-CA"/>
              </w:rPr>
              <w:t>Cour supérieure de justice de l’Ontario</w:t>
            </w:r>
          </w:p>
          <w:p w:rsidR="00DD1807" w:rsidRPr="00CD0B1B" w:rsidRDefault="00DD1807" w:rsidP="00480963">
            <w:pPr>
              <w:jc w:val="both"/>
              <w:rPr>
                <w:rFonts w:eastAsia="Calibri"/>
                <w:sz w:val="20"/>
                <w:lang w:val="fr-CA"/>
              </w:rPr>
            </w:pPr>
            <w:r w:rsidRPr="00CD0B1B">
              <w:rPr>
                <w:rFonts w:eastAsia="Calibri"/>
                <w:sz w:val="20"/>
                <w:lang w:val="fr-CA"/>
              </w:rPr>
              <w:t>(Juge Brown)</w:t>
            </w:r>
          </w:p>
          <w:p w:rsidR="00DD1807" w:rsidRPr="00CD0B1B" w:rsidRDefault="00DD1807" w:rsidP="00480963">
            <w:pPr>
              <w:jc w:val="both"/>
              <w:rPr>
                <w:rFonts w:eastAsia="Calibri"/>
                <w:sz w:val="20"/>
                <w:lang w:val="fr-CA"/>
              </w:rPr>
            </w:pPr>
            <w:r w:rsidRPr="00CD0B1B">
              <w:rPr>
                <w:rFonts w:eastAsia="Calibri"/>
                <w:sz w:val="20"/>
                <w:lang w:val="fr-CA"/>
              </w:rPr>
              <w:t>2012 ONSC 2200</w:t>
            </w:r>
          </w:p>
          <w:p w:rsidR="00DD1807" w:rsidRPr="00CD0B1B" w:rsidRDefault="00DD1807" w:rsidP="00480963">
            <w:pPr>
              <w:jc w:val="both"/>
              <w:rPr>
                <w:rFonts w:eastAsia="Calibri"/>
                <w:sz w:val="20"/>
                <w:lang w:val="fr-CA"/>
              </w:rPr>
            </w:pPr>
          </w:p>
        </w:tc>
        <w:tc>
          <w:tcPr>
            <w:tcW w:w="250" w:type="pct"/>
          </w:tcPr>
          <w:p w:rsidR="00DD1807" w:rsidRPr="00CD0B1B" w:rsidRDefault="00DD1807" w:rsidP="00480963">
            <w:pPr>
              <w:jc w:val="both"/>
              <w:rPr>
                <w:rFonts w:eastAsia="Calibri"/>
                <w:sz w:val="20"/>
                <w:lang w:val="fr-CA"/>
              </w:rPr>
            </w:pPr>
          </w:p>
        </w:tc>
        <w:tc>
          <w:tcPr>
            <w:tcW w:w="2323" w:type="pct"/>
          </w:tcPr>
          <w:p w:rsidR="00DD1807" w:rsidRPr="00CD0B1B" w:rsidRDefault="00DD1807" w:rsidP="00480963">
            <w:pPr>
              <w:jc w:val="both"/>
              <w:rPr>
                <w:rFonts w:eastAsia="Calibri"/>
                <w:sz w:val="20"/>
                <w:lang w:val="fr-CA"/>
              </w:rPr>
            </w:pPr>
            <w:r w:rsidRPr="00CD0B1B">
              <w:rPr>
                <w:rFonts w:eastAsia="Calibri"/>
                <w:sz w:val="20"/>
                <w:lang w:val="fr-CA"/>
              </w:rPr>
              <w:t>Action en dommages-intérêts du demandeur, rejetée.  Demande reconventionnelle de l’intimé M. Saini pour le solde des sommes d’argent dus en exécution du contrat d’achat d’actions, accueillie pour le montant de 50 000 $; demande reconventionnelle de l’intimé M. Karl Stanford, accueillie en partie pour le montant de 50 000 $.</w:t>
            </w:r>
          </w:p>
          <w:p w:rsidR="00DD1807" w:rsidRPr="00CD0B1B" w:rsidRDefault="00DD1807" w:rsidP="00480963">
            <w:pPr>
              <w:jc w:val="both"/>
              <w:rPr>
                <w:rFonts w:eastAsia="Calibri"/>
                <w:sz w:val="20"/>
                <w:lang w:val="fr-CA"/>
              </w:rPr>
            </w:pPr>
          </w:p>
        </w:tc>
      </w:tr>
      <w:tr w:rsidR="00DD1807" w:rsidRPr="00CD0B1B" w:rsidTr="000C551F">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lastRenderedPageBreak/>
              <w:t>14 janvier 2014</w:t>
            </w:r>
          </w:p>
          <w:p w:rsidR="00DD1807" w:rsidRPr="00CD0B1B" w:rsidRDefault="00DD1807" w:rsidP="00480963">
            <w:pPr>
              <w:jc w:val="both"/>
              <w:rPr>
                <w:rFonts w:eastAsia="Calibri"/>
                <w:sz w:val="20"/>
                <w:lang w:val="fr-CA"/>
              </w:rPr>
            </w:pPr>
            <w:r w:rsidRPr="00CD0B1B">
              <w:rPr>
                <w:rFonts w:eastAsia="Calibri"/>
                <w:sz w:val="20"/>
                <w:lang w:val="fr-CA"/>
              </w:rPr>
              <w:t>Cour d’appel de l’Ontario</w:t>
            </w:r>
          </w:p>
          <w:p w:rsidR="00DD1807" w:rsidRPr="00CD0B1B" w:rsidRDefault="00DD1807" w:rsidP="00480963">
            <w:pPr>
              <w:jc w:val="both"/>
              <w:rPr>
                <w:rFonts w:eastAsia="Calibri"/>
                <w:sz w:val="20"/>
                <w:lang w:val="fr-CA"/>
              </w:rPr>
            </w:pPr>
            <w:r w:rsidRPr="00CD0B1B">
              <w:rPr>
                <w:rFonts w:eastAsia="Calibri"/>
                <w:sz w:val="20"/>
                <w:lang w:val="fr-CA"/>
              </w:rPr>
              <w:t>(Juges Rouleau, van Rensburg et Benotto)</w:t>
            </w:r>
          </w:p>
          <w:p w:rsidR="00DD1807" w:rsidRPr="00CD0B1B" w:rsidRDefault="00DD1807" w:rsidP="00480963">
            <w:pPr>
              <w:jc w:val="both"/>
              <w:rPr>
                <w:rFonts w:eastAsia="Calibri"/>
                <w:sz w:val="20"/>
                <w:lang w:val="fr-CA"/>
              </w:rPr>
            </w:pPr>
            <w:r w:rsidRPr="00CD0B1B">
              <w:rPr>
                <w:rFonts w:eastAsia="Calibri"/>
                <w:sz w:val="20"/>
                <w:lang w:val="fr-CA"/>
              </w:rPr>
              <w:t>2014 ONCA 27</w:t>
            </w:r>
          </w:p>
          <w:p w:rsidR="00DD1807" w:rsidRPr="00CD0B1B" w:rsidRDefault="00DD1807" w:rsidP="00480963">
            <w:pPr>
              <w:jc w:val="both"/>
              <w:rPr>
                <w:rFonts w:eastAsia="Calibri"/>
                <w:sz w:val="20"/>
                <w:lang w:val="fr-CA"/>
              </w:rPr>
            </w:pPr>
          </w:p>
        </w:tc>
        <w:tc>
          <w:tcPr>
            <w:tcW w:w="250" w:type="pct"/>
          </w:tcPr>
          <w:p w:rsidR="00DD1807" w:rsidRPr="00CD0B1B" w:rsidRDefault="00DD1807" w:rsidP="00480963">
            <w:pPr>
              <w:jc w:val="both"/>
              <w:rPr>
                <w:rFonts w:eastAsia="Calibri"/>
                <w:sz w:val="20"/>
                <w:lang w:val="fr-CA"/>
              </w:rPr>
            </w:pPr>
          </w:p>
        </w:tc>
        <w:tc>
          <w:tcPr>
            <w:tcW w:w="2323" w:type="pct"/>
          </w:tcPr>
          <w:p w:rsidR="00DD1807" w:rsidRPr="00CD0B1B" w:rsidRDefault="00DD1807" w:rsidP="00480963">
            <w:pPr>
              <w:jc w:val="both"/>
              <w:rPr>
                <w:rFonts w:eastAsia="Calibri"/>
                <w:sz w:val="20"/>
                <w:lang w:val="fr-CA"/>
              </w:rPr>
            </w:pPr>
            <w:r w:rsidRPr="00CD0B1B">
              <w:rPr>
                <w:rFonts w:eastAsia="Calibri"/>
                <w:sz w:val="20"/>
                <w:lang w:val="fr-CA"/>
              </w:rPr>
              <w:t>Appel rejeté.</w:t>
            </w:r>
          </w:p>
          <w:p w:rsidR="00DD1807" w:rsidRPr="00CD0B1B" w:rsidRDefault="00DD1807" w:rsidP="00480963">
            <w:pPr>
              <w:jc w:val="both"/>
              <w:rPr>
                <w:rFonts w:eastAsia="Calibri"/>
                <w:sz w:val="20"/>
                <w:lang w:val="fr-CA"/>
              </w:rPr>
            </w:pPr>
          </w:p>
        </w:tc>
      </w:tr>
      <w:tr w:rsidR="00DD1807" w:rsidRPr="00CD0B1B" w:rsidTr="000C551F">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t>12 mars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50" w:type="pct"/>
          </w:tcPr>
          <w:p w:rsidR="00DD1807" w:rsidRPr="00CD0B1B" w:rsidRDefault="00DD1807" w:rsidP="00480963">
            <w:pPr>
              <w:jc w:val="both"/>
              <w:rPr>
                <w:rFonts w:eastAsia="Calibri"/>
                <w:sz w:val="20"/>
                <w:lang w:val="fr-CA"/>
              </w:rPr>
            </w:pPr>
          </w:p>
        </w:tc>
        <w:tc>
          <w:tcPr>
            <w:tcW w:w="2323" w:type="pct"/>
          </w:tcPr>
          <w:p w:rsidR="00DD1807" w:rsidRPr="00CD0B1B" w:rsidRDefault="00DD1807" w:rsidP="00480963">
            <w:pPr>
              <w:jc w:val="both"/>
              <w:rPr>
                <w:rFonts w:eastAsia="Calibri"/>
                <w:sz w:val="20"/>
                <w:lang w:val="fr-CA"/>
              </w:rPr>
            </w:pPr>
            <w:r w:rsidRPr="00CD0B1B">
              <w:rPr>
                <w:rFonts w:eastAsia="Calibri"/>
                <w:sz w:val="20"/>
                <w:lang w:val="fr-CA"/>
              </w:rPr>
              <w:t>Demande d’autorisation d’appel, déposée.</w:t>
            </w:r>
          </w:p>
          <w:p w:rsidR="00DD1807" w:rsidRPr="00CD0B1B" w:rsidRDefault="00DD1807" w:rsidP="00480963">
            <w:pPr>
              <w:jc w:val="both"/>
              <w:rPr>
                <w:rFonts w:eastAsia="Calibri"/>
                <w:sz w:val="20"/>
                <w:lang w:val="fr-CA"/>
              </w:rPr>
            </w:pPr>
          </w:p>
        </w:tc>
      </w:tr>
    </w:tbl>
    <w:p w:rsidR="00D257B0" w:rsidRDefault="00D257B0" w:rsidP="00D257B0">
      <w:pPr>
        <w:rPr>
          <w:sz w:val="20"/>
          <w:szCs w:val="20"/>
        </w:rPr>
      </w:pPr>
    </w:p>
    <w:p w:rsidR="00D257B0" w:rsidRDefault="005E19D3" w:rsidP="00D257B0">
      <w:pPr>
        <w:rPr>
          <w:sz w:val="20"/>
          <w:szCs w:val="20"/>
          <w:lang w:val="fr-CA"/>
        </w:rPr>
      </w:pPr>
      <w:r>
        <w:rPr>
          <w:sz w:val="20"/>
          <w:szCs w:val="20"/>
          <w:lang w:val="fr-CA"/>
        </w:rPr>
        <w:pict>
          <v:rect id="_x0000_i1059" style="width:2in;height:1pt" o:hrpct="0" o:hralign="center" o:hrstd="t" o:hrnoshade="t" o:hr="t" fillcolor="black [3213]" stroked="f"/>
        </w:pict>
      </w:r>
    </w:p>
    <w:p w:rsidR="00D257B0" w:rsidRDefault="00D257B0" w:rsidP="00D257B0">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C551F" w:rsidRPr="005E19D3" w:rsidTr="00480963">
        <w:trPr>
          <w:cantSplit/>
        </w:trPr>
        <w:tc>
          <w:tcPr>
            <w:tcW w:w="1458" w:type="dxa"/>
          </w:tcPr>
          <w:p w:rsidR="000C551F" w:rsidRPr="000C551F" w:rsidRDefault="000C551F" w:rsidP="000C551F">
            <w:pPr>
              <w:rPr>
                <w:sz w:val="20"/>
                <w:szCs w:val="20"/>
              </w:rPr>
            </w:pPr>
            <w:r w:rsidRPr="000C551F">
              <w:rPr>
                <w:b/>
                <w:sz w:val="20"/>
                <w:lang w:val="fr-CA"/>
              </w:rPr>
              <w:t>35781</w:t>
            </w:r>
          </w:p>
          <w:p w:rsidR="000C551F" w:rsidRPr="000C551F" w:rsidRDefault="000C551F" w:rsidP="000C551F">
            <w:pPr>
              <w:rPr>
                <w:b/>
                <w:sz w:val="20"/>
                <w:szCs w:val="20"/>
                <w:lang w:val="fr-CA"/>
              </w:rPr>
            </w:pPr>
          </w:p>
        </w:tc>
        <w:tc>
          <w:tcPr>
            <w:tcW w:w="8118" w:type="dxa"/>
          </w:tcPr>
          <w:p w:rsidR="000C551F" w:rsidRPr="000C551F" w:rsidRDefault="000C551F" w:rsidP="000C551F">
            <w:pPr>
              <w:jc w:val="both"/>
              <w:rPr>
                <w:sz w:val="20"/>
                <w:szCs w:val="20"/>
                <w:lang w:val="fr-CA"/>
              </w:rPr>
            </w:pPr>
            <w:r w:rsidRPr="000C551F">
              <w:rPr>
                <w:b/>
                <w:sz w:val="20"/>
                <w:u w:val="single"/>
                <w:lang w:val="fr-CA"/>
              </w:rPr>
              <w:t>Recherche NeuroRX inc. c. Elias Gedamu, Université McGill, Douglas Arnold et Louis Collins</w:t>
            </w:r>
            <w:r w:rsidRPr="000C551F">
              <w:rPr>
                <w:sz w:val="20"/>
                <w:szCs w:val="20"/>
                <w:lang w:val="fr-CA"/>
              </w:rPr>
              <w:t xml:space="preserve"> (Qc) (Civile) (Autorisation)</w:t>
            </w:r>
          </w:p>
          <w:p w:rsidR="000C551F" w:rsidRPr="000C551F" w:rsidRDefault="000C551F" w:rsidP="000C551F">
            <w:pPr>
              <w:jc w:val="both"/>
              <w:rPr>
                <w:sz w:val="20"/>
                <w:szCs w:val="20"/>
                <w:lang w:val="fr-CA"/>
              </w:rPr>
            </w:pPr>
          </w:p>
        </w:tc>
      </w:tr>
      <w:tr w:rsidR="000C551F" w:rsidRPr="005E19D3" w:rsidTr="00480963">
        <w:trPr>
          <w:cantSplit/>
        </w:trPr>
        <w:tc>
          <w:tcPr>
            <w:tcW w:w="1458" w:type="dxa"/>
          </w:tcPr>
          <w:p w:rsidR="000C551F" w:rsidRPr="000C551F" w:rsidRDefault="000C551F" w:rsidP="000C551F">
            <w:pPr>
              <w:rPr>
                <w:sz w:val="20"/>
                <w:szCs w:val="20"/>
              </w:rPr>
            </w:pPr>
            <w:r w:rsidRPr="000C551F">
              <w:rPr>
                <w:sz w:val="20"/>
                <w:szCs w:val="20"/>
              </w:rPr>
              <w:t>Coram :</w:t>
            </w:r>
          </w:p>
        </w:tc>
        <w:tc>
          <w:tcPr>
            <w:tcW w:w="8118" w:type="dxa"/>
          </w:tcPr>
          <w:p w:rsidR="000C551F" w:rsidRPr="000C551F" w:rsidRDefault="000C551F" w:rsidP="000C551F">
            <w:pPr>
              <w:rPr>
                <w:sz w:val="20"/>
                <w:szCs w:val="20"/>
                <w:lang w:val="fr-CA"/>
              </w:rPr>
            </w:pPr>
            <w:r w:rsidRPr="000C551F">
              <w:rPr>
                <w:sz w:val="20"/>
                <w:u w:val="single"/>
                <w:lang w:val="fr-CA"/>
              </w:rPr>
              <w:t>La juge en chef McLachlin et les juges Cromwell et Wagner</w:t>
            </w:r>
          </w:p>
          <w:p w:rsidR="000C551F" w:rsidRPr="000C551F" w:rsidRDefault="000C551F" w:rsidP="000C551F">
            <w:pPr>
              <w:rPr>
                <w:sz w:val="20"/>
                <w:szCs w:val="20"/>
                <w:u w:val="single"/>
                <w:lang w:val="fr-CA"/>
              </w:rPr>
            </w:pPr>
          </w:p>
        </w:tc>
      </w:tr>
      <w:tr w:rsidR="000C551F" w:rsidRPr="000C551F" w:rsidTr="00480963">
        <w:trPr>
          <w:cantSplit/>
        </w:trPr>
        <w:tc>
          <w:tcPr>
            <w:tcW w:w="9576" w:type="dxa"/>
            <w:gridSpan w:val="2"/>
          </w:tcPr>
          <w:p w:rsidR="000C551F" w:rsidRPr="000C551F" w:rsidRDefault="000C551F" w:rsidP="000C551F">
            <w:pPr>
              <w:ind w:firstLine="720"/>
              <w:jc w:val="both"/>
              <w:rPr>
                <w:sz w:val="20"/>
                <w:szCs w:val="20"/>
                <w:lang w:val="fr-CA"/>
              </w:rPr>
            </w:pPr>
            <w:r w:rsidRPr="000C551F">
              <w:rPr>
                <w:sz w:val="20"/>
                <w:szCs w:val="20"/>
                <w:lang w:val="fr-CA"/>
              </w:rPr>
              <w:t>La demande d’autorisation d’appel de l’arrêt de la Cour d’appel du Québec (Montréal), numéro 500-09-024234-148, 2014 QCCA 422, daté du 26 février 2014, est rejetée avec dépens en faveur de l’intimé Elias Gedamu.</w:t>
            </w:r>
          </w:p>
          <w:p w:rsidR="000C551F" w:rsidRPr="000C551F" w:rsidRDefault="000C551F" w:rsidP="000C551F">
            <w:pPr>
              <w:jc w:val="both"/>
              <w:rPr>
                <w:sz w:val="20"/>
                <w:szCs w:val="20"/>
                <w:lang w:val="fr-CA"/>
              </w:rPr>
            </w:pPr>
          </w:p>
          <w:p w:rsidR="000C551F" w:rsidRPr="000C551F" w:rsidRDefault="000C551F" w:rsidP="000C551F">
            <w:pPr>
              <w:ind w:firstLine="720"/>
              <w:jc w:val="both"/>
              <w:rPr>
                <w:sz w:val="20"/>
                <w:szCs w:val="20"/>
              </w:rPr>
            </w:pPr>
            <w:r w:rsidRPr="000C551F">
              <w:rPr>
                <w:sz w:val="20"/>
                <w:szCs w:val="20"/>
              </w:rPr>
              <w:t>The application for leave to appeal from the judgment of the Court of Appeal of Quebec (Montréal), Number 500-09-024234-148, 2014 QCCA 422, dated February 26, 2014, is dismissed with costs to the respondent Elias Gedamu.</w:t>
            </w:r>
          </w:p>
        </w:tc>
      </w:tr>
    </w:tbl>
    <w:p w:rsidR="00D257B0" w:rsidRDefault="00D257B0" w:rsidP="00D257B0">
      <w:pPr>
        <w:rPr>
          <w:sz w:val="20"/>
          <w:szCs w:val="20"/>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sz w:val="20"/>
              </w:rPr>
              <w:t>Law of professions – Barristers and solicitors – Conflict of interest – Party’s representative giving confidential information about party to law firm representing opposite party – Motion for disqualification of law firm dismissed – Whether situation damaging to integrity of judicial system – Whether Court of Appeal should have granted leave to appeal.</w:t>
            </w:r>
          </w:p>
        </w:tc>
      </w:tr>
      <w:tr w:rsidR="00DD1807" w:rsidRPr="00CD0B1B" w:rsidTr="00480963">
        <w:tc>
          <w:tcPr>
            <w:tcW w:w="5000" w:type="pct"/>
            <w:gridSpan w:val="3"/>
          </w:tcPr>
          <w:p w:rsidR="00DD1807" w:rsidRPr="00CD0B1B" w:rsidRDefault="00DD1807" w:rsidP="00480963">
            <w:pPr>
              <w:jc w:val="both"/>
              <w:rPr>
                <w:rFonts w:eastAsia="Calibri"/>
                <w:sz w:val="20"/>
              </w:rPr>
            </w:pPr>
          </w:p>
        </w:tc>
      </w:tr>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sz w:val="20"/>
              </w:rPr>
              <w:t>Mr. Collins and Mr. Arnold were the thesis supervisors of Mr. Gedamu, who was studying at McGill University and who worked with Mr. Collins at the applicant NeuroRX, a company owned by Mr. Arnold.  Following a disagreement, NeuroRX ended Mr. Gedamu’s research, which meant that he could not finish his doctoral studies.</w:t>
            </w:r>
          </w:p>
          <w:p w:rsidR="00DD1807" w:rsidRPr="00CD0B1B" w:rsidRDefault="00DD1807" w:rsidP="00480963">
            <w:pPr>
              <w:jc w:val="both"/>
              <w:rPr>
                <w:rFonts w:eastAsia="Calibri"/>
                <w:sz w:val="20"/>
              </w:rPr>
            </w:pPr>
          </w:p>
          <w:p w:rsidR="00DD1807" w:rsidRPr="00CD0B1B" w:rsidRDefault="00DD1807" w:rsidP="00480963">
            <w:pPr>
              <w:jc w:val="both"/>
              <w:rPr>
                <w:rFonts w:eastAsia="Calibri"/>
                <w:sz w:val="20"/>
              </w:rPr>
            </w:pPr>
            <w:r w:rsidRPr="00CD0B1B">
              <w:rPr>
                <w:rFonts w:eastAsia="Calibri"/>
                <w:sz w:val="20"/>
              </w:rPr>
              <w:t>In February 2012, Julius Grey of the law firm Grey Casgrain served NeuroRX, McGill University, Mr. Arnold and Mr. Collins with a demand letter on Mr. Gedamu’s behalf.  Mr. Collins then contacted Ms. Goodman of Grey Casgrain, who was a good friend of his, and asked her to explain the demand letter, seeking to understand what he could do to prevent Grey Casgrain from representing Mr. Gedamu in the action brought against him and from acting on the demand letter.  Following the conversation, Ms. Goodwin tried to convince Mr. Grey to cease representing Mr. Gedamu but was unable to do so, which she told Mr. Collins.  Counsel for the University, Mr. Collins and Mr. Arnold subsequently replied to the demand letter.  On Mr. Gedamu’s behalf, Mr. Grey then served a motion to institute proceedings on February 8, 2013.  NeuroRX obtained security for costs in March and then obtained particulars and signed an agreement as to the conduct of the proceeding in April.  At that time, a lawyer was substituted for Grey Casgrain for the action against Mr. Collins in order to appease Ms. Goodwin, who did not want her firm to sue one of her good friends.</w:t>
            </w:r>
          </w:p>
          <w:p w:rsidR="00DD1807" w:rsidRPr="00CD0B1B" w:rsidRDefault="00DD1807" w:rsidP="00480963">
            <w:pPr>
              <w:jc w:val="both"/>
              <w:rPr>
                <w:rFonts w:eastAsia="Calibri"/>
                <w:sz w:val="20"/>
              </w:rPr>
            </w:pPr>
          </w:p>
          <w:p w:rsidR="00DD1807" w:rsidRPr="00CD0B1B" w:rsidRDefault="00DD1807" w:rsidP="00480963">
            <w:pPr>
              <w:jc w:val="both"/>
              <w:rPr>
                <w:rFonts w:eastAsia="Calibri"/>
                <w:sz w:val="20"/>
              </w:rPr>
            </w:pPr>
            <w:r w:rsidRPr="00CD0B1B">
              <w:rPr>
                <w:rFonts w:eastAsia="Calibri"/>
                <w:sz w:val="20"/>
              </w:rPr>
              <w:t>In July 2013, NeuroRX served a motion to have Grey Casgrain disqualified from representing Mr. Gedamu.  Since part of the litigation concerned Mr. Collins’ role and duties at NeuroRX, it feared that Mr. Collins had given Ms. Goodwin confidential information during his conversation with her, particularly its position and defences with regard to Mr. Gedamu’s claim.  The Superior Court dismissed the motion and the Court of Appeal denied leave to appeal.</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lastRenderedPageBreak/>
              <w:t>January 22, 2014</w:t>
            </w:r>
          </w:p>
          <w:p w:rsidR="00DD1807" w:rsidRPr="00CD0B1B" w:rsidRDefault="00DD1807" w:rsidP="00480963">
            <w:pPr>
              <w:jc w:val="both"/>
              <w:rPr>
                <w:rFonts w:eastAsia="Calibri"/>
                <w:sz w:val="20"/>
              </w:rPr>
            </w:pPr>
            <w:r w:rsidRPr="00CD0B1B">
              <w:rPr>
                <w:rFonts w:eastAsia="Calibri"/>
                <w:sz w:val="20"/>
              </w:rPr>
              <w:t>Quebec Superior Court</w:t>
            </w:r>
          </w:p>
          <w:p w:rsidR="00DD1807" w:rsidRPr="00CD0B1B" w:rsidRDefault="00DD1807" w:rsidP="00480963">
            <w:pPr>
              <w:jc w:val="both"/>
              <w:rPr>
                <w:rFonts w:eastAsia="Calibri"/>
                <w:sz w:val="20"/>
              </w:rPr>
            </w:pPr>
            <w:r w:rsidRPr="00CD0B1B">
              <w:rPr>
                <w:rFonts w:eastAsia="Calibri"/>
                <w:sz w:val="20"/>
              </w:rPr>
              <w:t>(Roy J.)</w:t>
            </w:r>
          </w:p>
          <w:p w:rsidR="00DD1807" w:rsidRPr="00CD0B1B" w:rsidRDefault="005E19D3" w:rsidP="00480963">
            <w:pPr>
              <w:jc w:val="both"/>
              <w:rPr>
                <w:rFonts w:eastAsia="Calibri"/>
                <w:sz w:val="20"/>
              </w:rPr>
            </w:pPr>
            <w:hyperlink r:id="rId49" w:history="1">
              <w:r w:rsidR="00DD1807" w:rsidRPr="00CD0B1B">
                <w:rPr>
                  <w:rFonts w:eastAsia="Calibri"/>
                  <w:color w:val="0000FF"/>
                  <w:sz w:val="20"/>
                  <w:u w:val="single"/>
                </w:rPr>
                <w:t>2014 QCCS 160</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Motion for disqualification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February 26, 2014</w:t>
            </w:r>
          </w:p>
          <w:p w:rsidR="00DD1807" w:rsidRPr="00CD0B1B" w:rsidRDefault="00DD1807" w:rsidP="00480963">
            <w:pPr>
              <w:jc w:val="both"/>
              <w:rPr>
                <w:rFonts w:eastAsia="Calibri"/>
                <w:sz w:val="20"/>
              </w:rPr>
            </w:pPr>
            <w:r w:rsidRPr="00CD0B1B">
              <w:rPr>
                <w:rFonts w:eastAsia="Calibri"/>
                <w:sz w:val="20"/>
              </w:rPr>
              <w:t>Quebec Court of Appeal (Montréal)</w:t>
            </w:r>
          </w:p>
          <w:p w:rsidR="00DD1807" w:rsidRPr="00CD0B1B" w:rsidRDefault="00DD1807" w:rsidP="00480963">
            <w:pPr>
              <w:jc w:val="both"/>
              <w:rPr>
                <w:rFonts w:eastAsia="Calibri"/>
                <w:sz w:val="20"/>
              </w:rPr>
            </w:pPr>
            <w:r w:rsidRPr="00CD0B1B">
              <w:rPr>
                <w:rFonts w:eastAsia="Calibri"/>
                <w:sz w:val="20"/>
              </w:rPr>
              <w:t>(St-Pierre J.A.)</w:t>
            </w:r>
          </w:p>
          <w:p w:rsidR="00DD1807" w:rsidRPr="00CD0B1B" w:rsidRDefault="00DD1807" w:rsidP="00480963">
            <w:pPr>
              <w:jc w:val="both"/>
              <w:rPr>
                <w:rFonts w:eastAsia="Calibri"/>
                <w:sz w:val="20"/>
              </w:rPr>
            </w:pPr>
            <w:r w:rsidRPr="00CD0B1B">
              <w:rPr>
                <w:rFonts w:eastAsia="Calibri"/>
                <w:sz w:val="20"/>
              </w:rPr>
              <w:t xml:space="preserve">500-09-024234-148; </w:t>
            </w:r>
            <w:hyperlink r:id="rId50" w:history="1">
              <w:r w:rsidRPr="00CD0B1B">
                <w:rPr>
                  <w:rFonts w:eastAsia="Calibri"/>
                  <w:color w:val="0000FF"/>
                  <w:sz w:val="20"/>
                  <w:u w:val="single"/>
                </w:rPr>
                <w:t>2014 QCCA 422</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Motion for leave to appeal dismissed</w:t>
            </w:r>
          </w:p>
          <w:p w:rsidR="00DD1807" w:rsidRPr="00CD0B1B" w:rsidRDefault="00DD1807" w:rsidP="00480963">
            <w:pPr>
              <w:jc w:val="both"/>
              <w:rPr>
                <w:rFonts w:eastAsia="Calibri"/>
                <w:sz w:val="20"/>
              </w:rPr>
            </w:pPr>
          </w:p>
        </w:tc>
      </w:tr>
      <w:tr w:rsidR="00DD1807" w:rsidRPr="00CD0B1B" w:rsidTr="00480963">
        <w:tc>
          <w:tcPr>
            <w:tcW w:w="2427" w:type="pct"/>
          </w:tcPr>
          <w:p w:rsidR="00DD1807" w:rsidRPr="00CD0B1B" w:rsidRDefault="00DD1807" w:rsidP="00480963">
            <w:pPr>
              <w:jc w:val="both"/>
              <w:rPr>
                <w:rFonts w:eastAsia="Calibri"/>
                <w:sz w:val="20"/>
              </w:rPr>
            </w:pPr>
            <w:r w:rsidRPr="00CD0B1B">
              <w:rPr>
                <w:rFonts w:eastAsia="Calibri"/>
                <w:sz w:val="20"/>
              </w:rPr>
              <w:t>March 24, 2014</w:t>
            </w:r>
          </w:p>
          <w:p w:rsidR="00DD1807" w:rsidRPr="00CD0B1B" w:rsidRDefault="00DD1807" w:rsidP="00480963">
            <w:pPr>
              <w:jc w:val="both"/>
              <w:rPr>
                <w:rFonts w:eastAsia="Calibri"/>
                <w:sz w:val="20"/>
              </w:rPr>
            </w:pPr>
            <w:r w:rsidRPr="00CD0B1B">
              <w:rPr>
                <w:rFonts w:eastAsia="Calibri"/>
                <w:sz w:val="20"/>
              </w:rPr>
              <w:t>Supreme Court of Canada</w:t>
            </w: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rPr>
            </w:pPr>
            <w:r w:rsidRPr="00CD0B1B">
              <w:rPr>
                <w:rFonts w:eastAsia="Calibri"/>
                <w:sz w:val="20"/>
              </w:rPr>
              <w:t>Application for leave to appeal filed</w:t>
            </w: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60"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Droit des professions – Avocats et procureurs – Conflit d’intérêts – Informations confidentielles concernant une partie transmises par un représentant de cette partie au cabinet d’avocats représentant la partie adverse – Requête en déclaration d’inhabilité visant le cabinet d’avocats rejetée – La situation porte-t-elle atteinte à l’intégrité du système judiciaire? – La Cour d’appel aurait-elle dû accorder la permission d’appeler?</w:t>
            </w:r>
          </w:p>
        </w:tc>
      </w:tr>
      <w:tr w:rsidR="00DD1807" w:rsidRPr="005E19D3" w:rsidTr="00480963">
        <w:tc>
          <w:tcPr>
            <w:tcW w:w="5000" w:type="pct"/>
            <w:gridSpan w:val="3"/>
          </w:tcPr>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 xml:space="preserve">MM. Collins et Arnold sont les directeurs de thèse de M. Gedamu, qui étudie à l’Université McGill et travaille, avec M. Collins, chez la demanderesse NeuroRX.  Cette société appartient à M. Arnold.  À la suite d’un différend, NeuroRX met fin aux recherches de M. Gedamu, et ce dernier ne peut alors terminer ses études doctorales. </w:t>
            </w:r>
          </w:p>
          <w:p w:rsidR="00DD1807" w:rsidRPr="00CD0B1B" w:rsidRDefault="00DD1807" w:rsidP="00480963">
            <w:pPr>
              <w:jc w:val="both"/>
              <w:rPr>
                <w:rFonts w:eastAsia="Calibri"/>
                <w:sz w:val="20"/>
                <w:lang w:val="fr-CA"/>
              </w:rPr>
            </w:pPr>
          </w:p>
          <w:p w:rsidR="00DD1807" w:rsidRPr="00CD0B1B" w:rsidRDefault="00DD1807" w:rsidP="00480963">
            <w:pPr>
              <w:jc w:val="both"/>
              <w:rPr>
                <w:rFonts w:eastAsia="Calibri"/>
                <w:sz w:val="20"/>
                <w:lang w:val="fr-CA"/>
              </w:rPr>
            </w:pPr>
            <w:r w:rsidRPr="00CD0B1B">
              <w:rPr>
                <w:rFonts w:eastAsia="Calibri"/>
                <w:sz w:val="20"/>
                <w:lang w:val="fr-CA"/>
              </w:rPr>
              <w:t>En février 2012, Me Julius Grey de l’étude Grey Casgrain signifie au nom de M. Gedamu une mise en demeure à NeuroRX, l’Université McGill et MM. Arnold et Collins.  M. Collins communique alors avec Me Goodwin de l’étude Grey Casgrain.  Me Goodwin est une bonne amie, et M. Collins lui demande des explications concernant la mise en demeure et cherche à comprendre ce qu’il peut faire pour éviter que le cabinet Grey Casgrain ne représente M. Gedamu dans le cadre du recours intenté contre lui et ne donne suite à la mise en demeure.  Après la conversation, Me Goodwin tente de convaincre Me Grey de ne plus représenter M. Gedamu, mais en vain.  Elle en informe M. Collins.  Par la suite, les procureurs de l’Université et de MM. Collins et Arnold répondent à la mise en demeure.  Au nom de M. Gedamu, Me Grey signifie alors une requête introductive d’instance le 8 février 2013.  NeuroRX obtient un cautionnement pour frais en mars, puis obtient des précisions et signe une entente sur le déroulement de l’instance en avril.  À cette époque, un avocat se substitue au cabinet Grey Casgrain eu égard à la poursuite contre M. Collins, afin de satisfaire Me Goodwin, qui ne veut pas que son cabinet poursuive l’un de ses bons amis.</w:t>
            </w:r>
          </w:p>
          <w:p w:rsidR="00DD1807" w:rsidRPr="00CD0B1B" w:rsidRDefault="00DD1807" w:rsidP="00480963">
            <w:pPr>
              <w:jc w:val="both"/>
              <w:rPr>
                <w:rFonts w:eastAsia="Calibri"/>
                <w:sz w:val="20"/>
                <w:lang w:val="fr-CA"/>
              </w:rPr>
            </w:pPr>
          </w:p>
          <w:p w:rsidR="00DD1807" w:rsidRPr="00CD0B1B" w:rsidRDefault="00DD1807" w:rsidP="00480963">
            <w:pPr>
              <w:jc w:val="both"/>
              <w:rPr>
                <w:rFonts w:eastAsia="Calibri"/>
                <w:sz w:val="20"/>
                <w:lang w:val="fr-CA"/>
              </w:rPr>
            </w:pPr>
            <w:r w:rsidRPr="00CD0B1B">
              <w:rPr>
                <w:rFonts w:eastAsia="Calibri"/>
                <w:sz w:val="20"/>
                <w:lang w:val="fr-CA"/>
              </w:rPr>
              <w:t>En juillet 2013, NeuroRX signifie une requête pour faire déclarer le cabinet Grey Casgrain inhabile à représenter M. Gedamu.  Puisqu’une partie du litige porte sur le rôle et les fonctions de M. Collins chez NeuroRX, elle craint que lors de sa conversation avec Me Goodwin, M. Collins lui ait transmis des informations confidentielles, en particulier sa position et ses moyens de défense à l’égard de la réclamation de M. Gedamu.  La Cour supérieure rejette la requête et la Cour d’appel refuse la permission d’appeler.</w:t>
            </w:r>
          </w:p>
          <w:p w:rsidR="00DD1807" w:rsidRPr="00CD0B1B" w:rsidRDefault="00DD1807" w:rsidP="00480963">
            <w:pPr>
              <w:jc w:val="both"/>
              <w:rPr>
                <w:rFonts w:eastAsia="Calibri"/>
                <w:sz w:val="20"/>
                <w:lang w:val="fr-CA"/>
              </w:rPr>
            </w:pPr>
          </w:p>
        </w:tc>
      </w:tr>
      <w:tr w:rsidR="00DD1807" w:rsidRPr="00CD0B1B" w:rsidTr="00480963">
        <w:tc>
          <w:tcPr>
            <w:tcW w:w="2427" w:type="pct"/>
          </w:tcPr>
          <w:p w:rsidR="00DD1807" w:rsidRPr="00CD0B1B" w:rsidRDefault="00DD1807" w:rsidP="00480963">
            <w:pPr>
              <w:jc w:val="both"/>
              <w:rPr>
                <w:rFonts w:eastAsia="Calibri"/>
                <w:sz w:val="20"/>
                <w:lang w:val="fr-CA"/>
              </w:rPr>
            </w:pPr>
            <w:r w:rsidRPr="00CD0B1B">
              <w:rPr>
                <w:rFonts w:eastAsia="Calibri"/>
                <w:sz w:val="20"/>
                <w:lang w:val="fr-CA"/>
              </w:rPr>
              <w:t>Le 22 janvier 2014</w:t>
            </w:r>
          </w:p>
          <w:p w:rsidR="00DD1807" w:rsidRPr="00CD0B1B" w:rsidRDefault="00DD1807" w:rsidP="00480963">
            <w:pPr>
              <w:jc w:val="both"/>
              <w:rPr>
                <w:rFonts w:eastAsia="Calibri"/>
                <w:sz w:val="20"/>
                <w:lang w:val="fr-CA"/>
              </w:rPr>
            </w:pPr>
            <w:r w:rsidRPr="00CD0B1B">
              <w:rPr>
                <w:rFonts w:eastAsia="Calibri"/>
                <w:sz w:val="20"/>
                <w:lang w:val="fr-CA"/>
              </w:rPr>
              <w:t>Cour supérieure du Québec</w:t>
            </w:r>
          </w:p>
          <w:p w:rsidR="00DD1807" w:rsidRPr="00CD0B1B" w:rsidRDefault="00DD1807" w:rsidP="00480963">
            <w:pPr>
              <w:jc w:val="both"/>
              <w:rPr>
                <w:rFonts w:eastAsia="Calibri"/>
                <w:sz w:val="20"/>
                <w:lang w:val="fr-CA"/>
              </w:rPr>
            </w:pPr>
            <w:r w:rsidRPr="00CD0B1B">
              <w:rPr>
                <w:rFonts w:eastAsia="Calibri"/>
                <w:sz w:val="20"/>
                <w:lang w:val="fr-CA"/>
              </w:rPr>
              <w:t>(La juge Roy)</w:t>
            </w:r>
          </w:p>
          <w:p w:rsidR="00DD1807" w:rsidRPr="00CD0B1B" w:rsidRDefault="005E19D3" w:rsidP="00480963">
            <w:pPr>
              <w:jc w:val="both"/>
              <w:rPr>
                <w:rFonts w:eastAsia="Calibri"/>
                <w:sz w:val="20"/>
                <w:lang w:val="fr-CA"/>
              </w:rPr>
            </w:pPr>
            <w:hyperlink r:id="rId51" w:history="1">
              <w:r w:rsidR="00DD1807" w:rsidRPr="00CD0B1B">
                <w:rPr>
                  <w:rFonts w:eastAsia="Calibri"/>
                  <w:color w:val="0000FF"/>
                  <w:sz w:val="20"/>
                  <w:u w:val="single"/>
                  <w:lang w:val="fr-CA"/>
                </w:rPr>
                <w:t>2014 QCCS 160</w:t>
              </w:r>
            </w:hyperlink>
          </w:p>
          <w:p w:rsidR="00DD1807" w:rsidRPr="00CD0B1B" w:rsidRDefault="00DD1807" w:rsidP="00480963">
            <w:pPr>
              <w:jc w:val="both"/>
              <w:rPr>
                <w:rFonts w:eastAsia="Calibri"/>
                <w:sz w:val="20"/>
              </w:rPr>
            </w:pPr>
          </w:p>
        </w:tc>
        <w:tc>
          <w:tcPr>
            <w:tcW w:w="243" w:type="pct"/>
          </w:tcPr>
          <w:p w:rsidR="00DD1807" w:rsidRPr="00CD0B1B" w:rsidRDefault="00DD1807" w:rsidP="00480963">
            <w:pPr>
              <w:jc w:val="both"/>
              <w:rPr>
                <w:rFonts w:eastAsia="Calibri"/>
                <w:sz w:val="20"/>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Requête en déclaration d’inhabilité rejetée</w:t>
            </w:r>
          </w:p>
          <w:p w:rsidR="00DD1807" w:rsidRPr="00CD0B1B" w:rsidRDefault="00DD1807" w:rsidP="00480963">
            <w:pPr>
              <w:jc w:val="both"/>
              <w:rPr>
                <w:rFonts w:eastAsia="Calibri"/>
                <w:sz w:val="20"/>
                <w:lang w:val="fr-CA"/>
              </w:rPr>
            </w:pPr>
          </w:p>
        </w:tc>
      </w:tr>
      <w:tr w:rsidR="00DD1807" w:rsidRPr="00CD0B1B" w:rsidTr="000C551F">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lastRenderedPageBreak/>
              <w:t>Le 26 février 2014</w:t>
            </w:r>
          </w:p>
          <w:p w:rsidR="00DD1807" w:rsidRPr="00CD0B1B" w:rsidRDefault="00DD1807" w:rsidP="00480963">
            <w:pPr>
              <w:jc w:val="both"/>
              <w:rPr>
                <w:rFonts w:eastAsia="Calibri"/>
                <w:sz w:val="20"/>
                <w:lang w:val="fr-CA"/>
              </w:rPr>
            </w:pPr>
            <w:r w:rsidRPr="00CD0B1B">
              <w:rPr>
                <w:rFonts w:eastAsia="Calibri"/>
                <w:sz w:val="20"/>
                <w:lang w:val="fr-CA"/>
              </w:rPr>
              <w:t>Cour d’appel du Québec (Montréal)</w:t>
            </w:r>
          </w:p>
          <w:p w:rsidR="00DD1807" w:rsidRPr="00CD0B1B" w:rsidRDefault="00DD1807" w:rsidP="00480963">
            <w:pPr>
              <w:jc w:val="both"/>
              <w:rPr>
                <w:rFonts w:eastAsia="Calibri"/>
                <w:sz w:val="20"/>
                <w:lang w:val="fr-CA"/>
              </w:rPr>
            </w:pPr>
            <w:r w:rsidRPr="00CD0B1B">
              <w:rPr>
                <w:rFonts w:eastAsia="Calibri"/>
                <w:sz w:val="20"/>
                <w:lang w:val="fr-CA"/>
              </w:rPr>
              <w:t>(La juge St-Pierre)</w:t>
            </w:r>
          </w:p>
          <w:p w:rsidR="00DD1807" w:rsidRPr="00CD0B1B" w:rsidRDefault="00DD1807" w:rsidP="00480963">
            <w:pPr>
              <w:jc w:val="both"/>
              <w:rPr>
                <w:rFonts w:eastAsia="Calibri"/>
                <w:sz w:val="20"/>
                <w:lang w:val="fr-CA"/>
              </w:rPr>
            </w:pPr>
            <w:r w:rsidRPr="00CD0B1B">
              <w:rPr>
                <w:rFonts w:eastAsia="Calibri"/>
                <w:sz w:val="20"/>
                <w:lang w:val="fr-CA"/>
              </w:rPr>
              <w:t xml:space="preserve">500-09-024234-148; </w:t>
            </w:r>
            <w:hyperlink r:id="rId52" w:history="1">
              <w:r w:rsidRPr="00CD0B1B">
                <w:rPr>
                  <w:rFonts w:eastAsia="Calibri"/>
                  <w:color w:val="0000FF"/>
                  <w:sz w:val="20"/>
                  <w:u w:val="single"/>
                  <w:lang w:val="fr-CA"/>
                </w:rPr>
                <w:t>2014 QCCA 422</w:t>
              </w:r>
            </w:hyperlink>
          </w:p>
          <w:p w:rsidR="00DD1807" w:rsidRPr="00CD0B1B" w:rsidRDefault="00DD1807" w:rsidP="00480963">
            <w:pPr>
              <w:jc w:val="both"/>
              <w:rPr>
                <w:rFonts w:eastAsia="Calibri"/>
                <w:sz w:val="20"/>
                <w:lang w:val="fr-FR"/>
              </w:rPr>
            </w:pPr>
          </w:p>
        </w:tc>
        <w:tc>
          <w:tcPr>
            <w:tcW w:w="243" w:type="pct"/>
          </w:tcPr>
          <w:p w:rsidR="00DD1807" w:rsidRPr="00CD0B1B" w:rsidRDefault="00DD1807" w:rsidP="00480963">
            <w:pPr>
              <w:jc w:val="both"/>
              <w:rPr>
                <w:rFonts w:eastAsia="Calibri"/>
                <w:sz w:val="20"/>
                <w:lang w:val="fr-FR"/>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Requête pour permission d’appeler rejetée</w:t>
            </w:r>
          </w:p>
          <w:p w:rsidR="00DD1807" w:rsidRPr="00CD0B1B" w:rsidRDefault="00DD1807" w:rsidP="00480963">
            <w:pPr>
              <w:jc w:val="both"/>
              <w:rPr>
                <w:rFonts w:eastAsia="Calibri"/>
                <w:sz w:val="20"/>
                <w:lang w:val="fr-CA"/>
              </w:rPr>
            </w:pPr>
          </w:p>
        </w:tc>
      </w:tr>
      <w:tr w:rsidR="00DD1807" w:rsidRPr="00CD0B1B" w:rsidTr="000C551F">
        <w:trPr>
          <w:cantSplit/>
        </w:trPr>
        <w:tc>
          <w:tcPr>
            <w:tcW w:w="2427" w:type="pct"/>
          </w:tcPr>
          <w:p w:rsidR="00DD1807" w:rsidRPr="00CD0B1B" w:rsidRDefault="00DD1807" w:rsidP="00480963">
            <w:pPr>
              <w:jc w:val="both"/>
              <w:rPr>
                <w:rFonts w:eastAsia="Calibri"/>
                <w:sz w:val="20"/>
                <w:lang w:val="fr-CA"/>
              </w:rPr>
            </w:pPr>
            <w:r w:rsidRPr="00CD0B1B">
              <w:rPr>
                <w:rFonts w:eastAsia="Calibri"/>
                <w:sz w:val="20"/>
                <w:lang w:val="fr-CA"/>
              </w:rPr>
              <w:t>Le 24 mars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43" w:type="pct"/>
          </w:tcPr>
          <w:p w:rsidR="00DD1807" w:rsidRPr="00CD0B1B" w:rsidRDefault="00DD1807" w:rsidP="00480963">
            <w:pPr>
              <w:jc w:val="both"/>
              <w:rPr>
                <w:rFonts w:eastAsia="Calibri"/>
                <w:sz w:val="20"/>
                <w:lang w:val="fr-FR"/>
              </w:rPr>
            </w:pPr>
          </w:p>
        </w:tc>
        <w:tc>
          <w:tcPr>
            <w:tcW w:w="2330" w:type="pct"/>
          </w:tcPr>
          <w:p w:rsidR="00DD1807" w:rsidRPr="00CD0B1B" w:rsidRDefault="00DD1807" w:rsidP="00480963">
            <w:pPr>
              <w:jc w:val="both"/>
              <w:rPr>
                <w:rFonts w:eastAsia="Calibri"/>
                <w:sz w:val="20"/>
                <w:lang w:val="fr-CA"/>
              </w:rPr>
            </w:pPr>
            <w:r w:rsidRPr="00CD0B1B">
              <w:rPr>
                <w:rFonts w:eastAsia="Calibri"/>
                <w:sz w:val="20"/>
                <w:lang w:val="fr-CA"/>
              </w:rPr>
              <w:t>Demande d'autorisation d'appel déposée</w:t>
            </w:r>
          </w:p>
          <w:p w:rsidR="00DD1807" w:rsidRPr="00CD0B1B" w:rsidRDefault="00DD1807" w:rsidP="00480963">
            <w:pPr>
              <w:jc w:val="both"/>
              <w:rPr>
                <w:rFonts w:eastAsia="Calibri"/>
                <w:sz w:val="20"/>
                <w:lang w:val="fr-CA"/>
              </w:rPr>
            </w:pPr>
          </w:p>
        </w:tc>
      </w:tr>
    </w:tbl>
    <w:p w:rsidR="00D257B0" w:rsidRDefault="00D257B0" w:rsidP="00D257B0">
      <w:pPr>
        <w:rPr>
          <w:sz w:val="20"/>
          <w:szCs w:val="20"/>
        </w:rPr>
      </w:pPr>
    </w:p>
    <w:p w:rsidR="00D257B0" w:rsidRDefault="005E19D3" w:rsidP="00D257B0">
      <w:pPr>
        <w:rPr>
          <w:sz w:val="20"/>
          <w:szCs w:val="20"/>
          <w:lang w:val="fr-CA"/>
        </w:rPr>
      </w:pPr>
      <w:r>
        <w:rPr>
          <w:sz w:val="20"/>
          <w:szCs w:val="20"/>
          <w:lang w:val="fr-CA"/>
        </w:rPr>
        <w:pict>
          <v:rect id="_x0000_i1061" style="width:2in;height:1pt" o:hrpct="0" o:hralign="center" o:hrstd="t" o:hrnoshade="t" o:hr="t" fillcolor="black [3213]" stroked="f"/>
        </w:pict>
      </w:r>
    </w:p>
    <w:p w:rsidR="00D257B0" w:rsidRDefault="00D257B0" w:rsidP="00D257B0">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C551F" w:rsidRPr="000C551F" w:rsidTr="00480963">
        <w:trPr>
          <w:cantSplit/>
        </w:trPr>
        <w:tc>
          <w:tcPr>
            <w:tcW w:w="1458" w:type="dxa"/>
          </w:tcPr>
          <w:p w:rsidR="000C551F" w:rsidRPr="000C551F" w:rsidRDefault="000C551F" w:rsidP="000C551F">
            <w:pPr>
              <w:rPr>
                <w:sz w:val="20"/>
                <w:szCs w:val="20"/>
              </w:rPr>
            </w:pPr>
            <w:r w:rsidRPr="000C551F">
              <w:rPr>
                <w:b/>
                <w:sz w:val="20"/>
                <w:lang w:val="fr-CA"/>
              </w:rPr>
              <w:t>35789</w:t>
            </w:r>
          </w:p>
          <w:p w:rsidR="000C551F" w:rsidRPr="000C551F" w:rsidRDefault="000C551F" w:rsidP="000C551F">
            <w:pPr>
              <w:rPr>
                <w:b/>
                <w:sz w:val="20"/>
                <w:szCs w:val="20"/>
                <w:lang w:val="fr-CA"/>
              </w:rPr>
            </w:pPr>
          </w:p>
        </w:tc>
        <w:tc>
          <w:tcPr>
            <w:tcW w:w="8118" w:type="dxa"/>
          </w:tcPr>
          <w:p w:rsidR="000C551F" w:rsidRPr="000C551F" w:rsidRDefault="000C551F" w:rsidP="000C551F">
            <w:pPr>
              <w:rPr>
                <w:sz w:val="20"/>
                <w:szCs w:val="20"/>
              </w:rPr>
            </w:pPr>
            <w:r w:rsidRPr="000C551F">
              <w:rPr>
                <w:b/>
                <w:sz w:val="20"/>
                <w:u w:val="single"/>
              </w:rPr>
              <w:t>Aleksandar Radjenovic v. Her Majesty the Queen</w:t>
            </w:r>
            <w:r w:rsidRPr="000C551F">
              <w:rPr>
                <w:sz w:val="20"/>
                <w:szCs w:val="20"/>
              </w:rPr>
              <w:t xml:space="preserve"> (B.C.) (Criminal) (By Leave)</w:t>
            </w:r>
          </w:p>
          <w:p w:rsidR="000C551F" w:rsidRPr="000C551F" w:rsidRDefault="000C551F" w:rsidP="000C551F">
            <w:pPr>
              <w:rPr>
                <w:sz w:val="20"/>
                <w:szCs w:val="20"/>
              </w:rPr>
            </w:pPr>
          </w:p>
        </w:tc>
      </w:tr>
      <w:tr w:rsidR="000C551F" w:rsidRPr="000C551F" w:rsidTr="00480963">
        <w:trPr>
          <w:cantSplit/>
        </w:trPr>
        <w:tc>
          <w:tcPr>
            <w:tcW w:w="1458" w:type="dxa"/>
          </w:tcPr>
          <w:p w:rsidR="000C551F" w:rsidRPr="000C551F" w:rsidRDefault="000C551F" w:rsidP="000C551F">
            <w:pPr>
              <w:rPr>
                <w:sz w:val="20"/>
                <w:szCs w:val="20"/>
              </w:rPr>
            </w:pPr>
            <w:r w:rsidRPr="000C551F">
              <w:rPr>
                <w:sz w:val="20"/>
                <w:szCs w:val="20"/>
              </w:rPr>
              <w:t>Coram :</w:t>
            </w:r>
          </w:p>
        </w:tc>
        <w:tc>
          <w:tcPr>
            <w:tcW w:w="8118" w:type="dxa"/>
          </w:tcPr>
          <w:p w:rsidR="000C551F" w:rsidRPr="000C551F" w:rsidRDefault="000C551F" w:rsidP="000C551F">
            <w:pPr>
              <w:rPr>
                <w:sz w:val="20"/>
                <w:szCs w:val="20"/>
              </w:rPr>
            </w:pPr>
            <w:r w:rsidRPr="000C551F">
              <w:rPr>
                <w:sz w:val="20"/>
                <w:u w:val="single"/>
              </w:rPr>
              <w:t>Abella, Rothstein and Moldaver JJ.</w:t>
            </w:r>
          </w:p>
          <w:p w:rsidR="000C551F" w:rsidRPr="000C551F" w:rsidRDefault="000C551F" w:rsidP="000C551F">
            <w:pPr>
              <w:rPr>
                <w:sz w:val="20"/>
                <w:szCs w:val="20"/>
                <w:u w:val="single"/>
              </w:rPr>
            </w:pPr>
          </w:p>
        </w:tc>
      </w:tr>
      <w:tr w:rsidR="000C551F" w:rsidRPr="005E19D3" w:rsidTr="00480963">
        <w:trPr>
          <w:cantSplit/>
        </w:trPr>
        <w:tc>
          <w:tcPr>
            <w:tcW w:w="9576" w:type="dxa"/>
            <w:gridSpan w:val="2"/>
          </w:tcPr>
          <w:p w:rsidR="000C551F" w:rsidRPr="000C551F" w:rsidRDefault="000C551F" w:rsidP="000C551F">
            <w:pPr>
              <w:ind w:firstLine="720"/>
              <w:jc w:val="both"/>
              <w:rPr>
                <w:sz w:val="20"/>
                <w:szCs w:val="20"/>
              </w:rPr>
            </w:pPr>
            <w:r w:rsidRPr="000C551F">
              <w:rPr>
                <w:sz w:val="20"/>
                <w:szCs w:val="20"/>
              </w:rPr>
              <w:t>The motion for an extension of time to serve and file the application for leave to appeal is granted. The application for leave to appeal from the judgment of the Court of Appeal for British Columbia (Vancouver), Numbers CA039302 and CA039806, 2013 BCCA 522, dated December 5, 2013, is dismissed without costs.</w:t>
            </w:r>
          </w:p>
          <w:p w:rsidR="000C551F" w:rsidRPr="000C551F" w:rsidRDefault="000C551F" w:rsidP="000C551F">
            <w:pPr>
              <w:jc w:val="both"/>
              <w:rPr>
                <w:sz w:val="20"/>
                <w:szCs w:val="20"/>
              </w:rPr>
            </w:pPr>
          </w:p>
          <w:p w:rsidR="000C551F" w:rsidRPr="000C551F" w:rsidRDefault="000C551F" w:rsidP="000C551F">
            <w:pPr>
              <w:ind w:firstLine="720"/>
              <w:jc w:val="both"/>
              <w:rPr>
                <w:sz w:val="20"/>
                <w:szCs w:val="20"/>
                <w:lang w:val="fr-CA"/>
              </w:rPr>
            </w:pPr>
            <w:r w:rsidRPr="000C551F">
              <w:rPr>
                <w:sz w:val="20"/>
                <w:szCs w:val="20"/>
                <w:lang w:val="fr-CA"/>
              </w:rPr>
              <w:t>La requête en prorogation du délai de signification et de dépôt de la demande d’autorisation d’appel est accueillie. La demande d’autorisation d’appel de l’arrêt de la Cour d’appel de la Colombie-Britannique (Vancouver), numéros CA039302 et CA039806, 2013 BCCA 522, daté du 5 décembre 2013, est rejetée sans dépens.</w:t>
            </w:r>
          </w:p>
        </w:tc>
      </w:tr>
    </w:tbl>
    <w:p w:rsidR="00D257B0" w:rsidRPr="000C551F" w:rsidRDefault="00D257B0" w:rsidP="00D257B0">
      <w:pPr>
        <w:rPr>
          <w:sz w:val="20"/>
          <w:szCs w:val="20"/>
          <w:lang w:val="fr-CA"/>
        </w:rPr>
      </w:pPr>
    </w:p>
    <w:p w:rsidR="00D257B0" w:rsidRPr="001B157C" w:rsidRDefault="00D257B0" w:rsidP="00D257B0">
      <w:pPr>
        <w:rPr>
          <w:sz w:val="20"/>
          <w:szCs w:val="20"/>
          <w:u w:val="single"/>
        </w:rPr>
      </w:pPr>
      <w:r w:rsidRPr="001B157C">
        <w:rPr>
          <w:sz w:val="20"/>
          <w:szCs w:val="20"/>
          <w:u w:val="single"/>
        </w:rPr>
        <w:t>CASE SUMMARY</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371"/>
        <w:gridCol w:w="514"/>
        <w:gridCol w:w="4642"/>
      </w:tblGrid>
      <w:tr w:rsidR="00DD1807" w:rsidRPr="00CD0B1B" w:rsidTr="00480963">
        <w:tc>
          <w:tcPr>
            <w:tcW w:w="5000" w:type="pct"/>
            <w:gridSpan w:val="3"/>
          </w:tcPr>
          <w:p w:rsidR="00DD1807" w:rsidRPr="00CD0B1B" w:rsidRDefault="00DD1807" w:rsidP="00480963">
            <w:pPr>
              <w:jc w:val="both"/>
              <w:rPr>
                <w:rFonts w:eastAsia="Calibri"/>
                <w:smallCaps/>
                <w:sz w:val="20"/>
              </w:rPr>
            </w:pPr>
            <w:r w:rsidRPr="00CD0B1B">
              <w:rPr>
                <w:rFonts w:eastAsia="Calibri"/>
                <w:smallCaps/>
                <w:sz w:val="20"/>
              </w:rPr>
              <w:t xml:space="preserve">(Publication </w:t>
            </w:r>
            <w:r>
              <w:rPr>
                <w:rFonts w:eastAsia="Calibri"/>
                <w:smallCaps/>
                <w:sz w:val="20"/>
              </w:rPr>
              <w:t>B</w:t>
            </w:r>
            <w:r w:rsidRPr="00CD0B1B">
              <w:rPr>
                <w:rFonts w:eastAsia="Calibri"/>
                <w:smallCaps/>
                <w:sz w:val="20"/>
              </w:rPr>
              <w:t xml:space="preserve">an in </w:t>
            </w:r>
            <w:r>
              <w:rPr>
                <w:rFonts w:eastAsia="Calibri"/>
                <w:smallCaps/>
                <w:sz w:val="20"/>
              </w:rPr>
              <w:t>C</w:t>
            </w:r>
            <w:r w:rsidRPr="00CD0B1B">
              <w:rPr>
                <w:rFonts w:eastAsia="Calibri"/>
                <w:smallCaps/>
                <w:sz w:val="20"/>
              </w:rPr>
              <w:t>ase)</w:t>
            </w:r>
          </w:p>
          <w:p w:rsidR="00DD1807" w:rsidRPr="00CD0B1B" w:rsidRDefault="00DD1807" w:rsidP="00480963">
            <w:pPr>
              <w:jc w:val="both"/>
              <w:rPr>
                <w:rFonts w:eastAsia="Calibri"/>
                <w:sz w:val="20"/>
              </w:rPr>
            </w:pPr>
          </w:p>
        </w:tc>
      </w:tr>
      <w:tr w:rsidR="00DD1807" w:rsidRPr="00CD0B1B" w:rsidTr="00480963">
        <w:tc>
          <w:tcPr>
            <w:tcW w:w="5000" w:type="pct"/>
            <w:gridSpan w:val="3"/>
          </w:tcPr>
          <w:p w:rsidR="00DD1807" w:rsidRPr="00CD0B1B" w:rsidRDefault="00DD1807" w:rsidP="00480963">
            <w:pPr>
              <w:jc w:val="both"/>
              <w:rPr>
                <w:rFonts w:eastAsia="Calibri"/>
                <w:sz w:val="20"/>
              </w:rPr>
            </w:pPr>
            <w:r w:rsidRPr="00CD0B1B">
              <w:rPr>
                <w:rFonts w:eastAsia="Calibri"/>
                <w:sz w:val="20"/>
              </w:rPr>
              <w:t xml:space="preserve">Criminal law — Sentencing — Counselling offences — Weapons offences — Sentencing considerations — Aggravating and mitigating factors — Deterrence — Rehabilitation — Totality principle — Accused sentenced in 2012 and 2011 for trafficking in weapons and counselling homicides — Accused sentenced to total of four years’ imprisonment for weapons offences consecutive to previously imposed 18-year sentence for counselling offences — Sentence appeal by accused dismissed — Whether Court of Appeal erred in failing to adequately consider absence of consequences flowing from accused’s conduct (as homicides did not occur)? — Whether Court of Appeal erred in failing to adequately consider lower sentence imposed upon offenders in </w:t>
            </w:r>
            <w:r w:rsidRPr="00CD0B1B">
              <w:rPr>
                <w:rFonts w:eastAsia="Calibri"/>
                <w:i/>
                <w:sz w:val="20"/>
              </w:rPr>
              <w:t>R. v. Lee</w:t>
            </w:r>
            <w:r w:rsidRPr="00CD0B1B">
              <w:rPr>
                <w:rFonts w:eastAsia="Calibri"/>
                <w:sz w:val="20"/>
              </w:rPr>
              <w:t>, 2013 BCSC 1259? — Whether Court of Appeal erred in failing to adequately consider potential evidence of accused’s post-sentence conduct.</w:t>
            </w:r>
          </w:p>
        </w:tc>
      </w:tr>
      <w:tr w:rsidR="00DD1807" w:rsidRPr="00CD0B1B" w:rsidTr="00480963">
        <w:tc>
          <w:tcPr>
            <w:tcW w:w="5000" w:type="pct"/>
            <w:gridSpan w:val="3"/>
          </w:tcPr>
          <w:p w:rsidR="00DD1807" w:rsidRPr="00CD0B1B" w:rsidRDefault="00DD1807" w:rsidP="00480963">
            <w:pPr>
              <w:jc w:val="both"/>
              <w:rPr>
                <w:rFonts w:eastAsia="Calibri"/>
                <w:sz w:val="20"/>
              </w:rPr>
            </w:pPr>
          </w:p>
          <w:p w:rsidR="00DD1807" w:rsidRPr="00CD0B1B" w:rsidRDefault="00DD1807" w:rsidP="00480963">
            <w:pPr>
              <w:jc w:val="both"/>
              <w:rPr>
                <w:rFonts w:eastAsia="Calibri"/>
                <w:sz w:val="20"/>
              </w:rPr>
            </w:pPr>
            <w:r w:rsidRPr="00CD0B1B">
              <w:rPr>
                <w:rFonts w:eastAsia="Calibri"/>
                <w:sz w:val="20"/>
              </w:rPr>
              <w:t>The applicant, Mr. Radjenovic, was sentenced in 2011 and 2012 for offences of trafficking in weapons and counselling three homicides (which did not occur). On the weapons charges, he received a total sentence of four years consecutive to the previously imposed aggregate sentence of 18 years on the counselling offences. While Mr. Radjenovic submitted that the sentences in total (22 years) were overly long and harsh and not in accord with the totality principle, the Court of Appeal dismissed his sentence appeal. The Court of Appeal held that the fact that Mr. Radjenovic committed the counselling offences when he was on bail for the weapons offences was an aggravating factor. The Court of Appeal further held that the lower sentencing judges quite properly imposed consecutive sentences for disparate offences occurring at different times. The Court concluded that lengthy sentences were requisite for individual and general deterrence and that a lengthy period of supervision should conduce to Mr. Radjenovic’s rehabilitation.</w:t>
            </w:r>
          </w:p>
          <w:p w:rsidR="00DD1807" w:rsidRPr="00CD0B1B" w:rsidRDefault="00DD1807" w:rsidP="00480963">
            <w:pPr>
              <w:jc w:val="both"/>
              <w:rPr>
                <w:rFonts w:eastAsia="Calibri"/>
                <w:sz w:val="20"/>
              </w:rPr>
            </w:pPr>
          </w:p>
        </w:tc>
      </w:tr>
      <w:tr w:rsidR="00DD1807" w:rsidRPr="00CD0B1B" w:rsidTr="00480963">
        <w:tblPrEx>
          <w:tblCellMar>
            <w:bottom w:w="0" w:type="dxa"/>
          </w:tblCellMar>
        </w:tblPrEx>
        <w:tc>
          <w:tcPr>
            <w:tcW w:w="2294" w:type="pct"/>
          </w:tcPr>
          <w:p w:rsidR="00DD1807" w:rsidRPr="00CD0B1B" w:rsidRDefault="00DD1807" w:rsidP="00480963">
            <w:pPr>
              <w:jc w:val="both"/>
              <w:rPr>
                <w:rFonts w:eastAsia="Calibri"/>
                <w:sz w:val="20"/>
              </w:rPr>
            </w:pPr>
            <w:r w:rsidRPr="00CD0B1B">
              <w:rPr>
                <w:rFonts w:eastAsia="Calibri"/>
                <w:sz w:val="20"/>
              </w:rPr>
              <w:t>July 29, 2011</w:t>
            </w:r>
          </w:p>
          <w:p w:rsidR="00DD1807" w:rsidRPr="00CD0B1B" w:rsidRDefault="00DD1807" w:rsidP="00480963">
            <w:pPr>
              <w:jc w:val="both"/>
              <w:rPr>
                <w:rFonts w:eastAsia="Calibri"/>
                <w:sz w:val="20"/>
              </w:rPr>
            </w:pPr>
            <w:r w:rsidRPr="00CD0B1B">
              <w:rPr>
                <w:rFonts w:eastAsia="Calibri"/>
                <w:sz w:val="20"/>
              </w:rPr>
              <w:t>Supreme Court of British Columbia</w:t>
            </w:r>
          </w:p>
          <w:p w:rsidR="00DD1807" w:rsidRPr="00CD0B1B" w:rsidRDefault="00DD1807" w:rsidP="00480963">
            <w:pPr>
              <w:jc w:val="both"/>
              <w:rPr>
                <w:rFonts w:eastAsia="Calibri"/>
                <w:sz w:val="20"/>
              </w:rPr>
            </w:pPr>
            <w:r w:rsidRPr="00CD0B1B">
              <w:rPr>
                <w:rFonts w:eastAsia="Calibri"/>
                <w:sz w:val="20"/>
              </w:rPr>
              <w:t>(Ker J.)</w:t>
            </w:r>
          </w:p>
          <w:p w:rsidR="00DD1807" w:rsidRDefault="005E19D3" w:rsidP="00480963">
            <w:pPr>
              <w:jc w:val="both"/>
              <w:rPr>
                <w:rFonts w:eastAsia="Calibri"/>
                <w:sz w:val="20"/>
              </w:rPr>
            </w:pPr>
            <w:hyperlink r:id="rId53" w:history="1">
              <w:r w:rsidR="00DD1807" w:rsidRPr="00CD0B1B">
                <w:rPr>
                  <w:rFonts w:eastAsia="Calibri"/>
                  <w:color w:val="0000FF"/>
                  <w:sz w:val="20"/>
                  <w:u w:val="single"/>
                </w:rPr>
                <w:t>2011 BCSC 1225</w:t>
              </w:r>
            </w:hyperlink>
          </w:p>
          <w:p w:rsidR="00DD1807" w:rsidRPr="00CD0B1B" w:rsidRDefault="00DD1807" w:rsidP="00480963">
            <w:pPr>
              <w:jc w:val="both"/>
              <w:rPr>
                <w:rFonts w:eastAsia="Calibri"/>
                <w:sz w:val="20"/>
              </w:rPr>
            </w:pPr>
          </w:p>
        </w:tc>
        <w:tc>
          <w:tcPr>
            <w:tcW w:w="270" w:type="pct"/>
          </w:tcPr>
          <w:p w:rsidR="00DD1807" w:rsidRPr="00CD0B1B" w:rsidRDefault="00DD1807" w:rsidP="00480963">
            <w:pPr>
              <w:jc w:val="both"/>
              <w:rPr>
                <w:rFonts w:eastAsia="Calibri"/>
                <w:sz w:val="20"/>
              </w:rPr>
            </w:pPr>
          </w:p>
        </w:tc>
        <w:tc>
          <w:tcPr>
            <w:tcW w:w="2436" w:type="pct"/>
          </w:tcPr>
          <w:p w:rsidR="00DD1807" w:rsidRPr="00CD0B1B" w:rsidRDefault="00DD1807" w:rsidP="00480963">
            <w:pPr>
              <w:jc w:val="both"/>
              <w:rPr>
                <w:rFonts w:eastAsia="Calibri"/>
                <w:sz w:val="20"/>
              </w:rPr>
            </w:pPr>
            <w:r w:rsidRPr="00CD0B1B">
              <w:rPr>
                <w:rFonts w:eastAsia="Calibri"/>
                <w:sz w:val="20"/>
              </w:rPr>
              <w:t>The applicant was imposed an aggregate sentence of 18 years for counselling offences.</w:t>
            </w:r>
          </w:p>
        </w:tc>
      </w:tr>
      <w:tr w:rsidR="00DD1807" w:rsidRPr="00CD0B1B" w:rsidTr="00480963">
        <w:tblPrEx>
          <w:tblCellMar>
            <w:bottom w:w="0" w:type="dxa"/>
          </w:tblCellMar>
        </w:tblPrEx>
        <w:tc>
          <w:tcPr>
            <w:tcW w:w="2294" w:type="pct"/>
          </w:tcPr>
          <w:p w:rsidR="00DD1807" w:rsidRPr="00CD0B1B" w:rsidRDefault="00DD1807" w:rsidP="00480963">
            <w:pPr>
              <w:jc w:val="both"/>
              <w:rPr>
                <w:rFonts w:eastAsia="Calibri"/>
                <w:sz w:val="20"/>
              </w:rPr>
            </w:pPr>
            <w:r w:rsidRPr="00CD0B1B">
              <w:rPr>
                <w:rFonts w:eastAsia="Calibri"/>
                <w:sz w:val="20"/>
              </w:rPr>
              <w:lastRenderedPageBreak/>
              <w:t>March 2, 2012</w:t>
            </w:r>
          </w:p>
          <w:p w:rsidR="00DD1807" w:rsidRPr="00CD0B1B" w:rsidRDefault="00DD1807" w:rsidP="00480963">
            <w:pPr>
              <w:jc w:val="both"/>
              <w:rPr>
                <w:rFonts w:eastAsia="Calibri"/>
                <w:sz w:val="20"/>
              </w:rPr>
            </w:pPr>
            <w:r w:rsidRPr="00CD0B1B">
              <w:rPr>
                <w:rFonts w:eastAsia="Calibri"/>
                <w:sz w:val="20"/>
              </w:rPr>
              <w:t>Supreme Court of British Columbia</w:t>
            </w:r>
          </w:p>
          <w:p w:rsidR="00DD1807" w:rsidRPr="00CD0B1B" w:rsidRDefault="00DD1807" w:rsidP="00480963">
            <w:pPr>
              <w:jc w:val="both"/>
              <w:rPr>
                <w:rFonts w:eastAsia="Calibri"/>
                <w:sz w:val="20"/>
              </w:rPr>
            </w:pPr>
            <w:r w:rsidRPr="00CD0B1B">
              <w:rPr>
                <w:rFonts w:eastAsia="Calibri"/>
                <w:sz w:val="20"/>
              </w:rPr>
              <w:t>(Butler J.)</w:t>
            </w:r>
          </w:p>
          <w:p w:rsidR="00DD1807" w:rsidRPr="00CD0B1B" w:rsidRDefault="005E19D3" w:rsidP="00480963">
            <w:pPr>
              <w:jc w:val="both"/>
              <w:rPr>
                <w:rFonts w:eastAsia="Calibri"/>
                <w:sz w:val="20"/>
              </w:rPr>
            </w:pPr>
            <w:hyperlink r:id="rId54" w:history="1">
              <w:r w:rsidR="00DD1807" w:rsidRPr="00CD0B1B">
                <w:rPr>
                  <w:rFonts w:eastAsia="Calibri"/>
                  <w:color w:val="0000FF"/>
                  <w:sz w:val="20"/>
                  <w:u w:val="single"/>
                </w:rPr>
                <w:t>2012 BCSC 630</w:t>
              </w:r>
            </w:hyperlink>
          </w:p>
          <w:p w:rsidR="00DD1807" w:rsidRPr="00CD0B1B" w:rsidRDefault="00DD1807" w:rsidP="00480963">
            <w:pPr>
              <w:jc w:val="both"/>
              <w:rPr>
                <w:rFonts w:eastAsia="Calibri"/>
                <w:sz w:val="20"/>
              </w:rPr>
            </w:pPr>
          </w:p>
        </w:tc>
        <w:tc>
          <w:tcPr>
            <w:tcW w:w="270" w:type="pct"/>
          </w:tcPr>
          <w:p w:rsidR="00DD1807" w:rsidRPr="00CD0B1B" w:rsidRDefault="00DD1807" w:rsidP="00480963">
            <w:pPr>
              <w:jc w:val="both"/>
              <w:rPr>
                <w:rFonts w:eastAsia="Calibri"/>
                <w:sz w:val="20"/>
              </w:rPr>
            </w:pPr>
          </w:p>
        </w:tc>
        <w:tc>
          <w:tcPr>
            <w:tcW w:w="2436" w:type="pct"/>
          </w:tcPr>
          <w:p w:rsidR="00DD1807" w:rsidRPr="00CD0B1B" w:rsidRDefault="00DD1807" w:rsidP="00480963">
            <w:pPr>
              <w:jc w:val="both"/>
              <w:rPr>
                <w:rFonts w:eastAsia="Calibri"/>
                <w:sz w:val="20"/>
              </w:rPr>
            </w:pPr>
            <w:r w:rsidRPr="00CD0B1B">
              <w:rPr>
                <w:rFonts w:eastAsia="Calibri"/>
                <w:sz w:val="20"/>
              </w:rPr>
              <w:t>For weapons offences, the applicant was imposed a total sentence of four years consecutive to the previously imposed aggregate sentence of 18 years on the counselling offences.</w:t>
            </w:r>
          </w:p>
          <w:p w:rsidR="00DD1807" w:rsidRPr="00CD0B1B" w:rsidRDefault="00DD1807" w:rsidP="00480963">
            <w:pPr>
              <w:jc w:val="both"/>
              <w:rPr>
                <w:rFonts w:eastAsia="Calibri"/>
                <w:sz w:val="20"/>
              </w:rPr>
            </w:pPr>
          </w:p>
        </w:tc>
      </w:tr>
      <w:tr w:rsidR="00DD1807" w:rsidRPr="00CD0B1B" w:rsidTr="00480963">
        <w:tblPrEx>
          <w:tblCellMar>
            <w:bottom w:w="0" w:type="dxa"/>
          </w:tblCellMar>
        </w:tblPrEx>
        <w:tc>
          <w:tcPr>
            <w:tcW w:w="2294" w:type="pct"/>
          </w:tcPr>
          <w:p w:rsidR="00DD1807" w:rsidRPr="00CD0B1B" w:rsidRDefault="00DD1807" w:rsidP="00480963">
            <w:pPr>
              <w:jc w:val="both"/>
              <w:rPr>
                <w:rFonts w:eastAsia="Calibri"/>
                <w:sz w:val="20"/>
              </w:rPr>
            </w:pPr>
            <w:r w:rsidRPr="00CD0B1B">
              <w:rPr>
                <w:rFonts w:eastAsia="Calibri"/>
                <w:sz w:val="20"/>
              </w:rPr>
              <w:t>December 5, 2013</w:t>
            </w:r>
          </w:p>
          <w:p w:rsidR="00DD1807" w:rsidRPr="00CD0B1B" w:rsidRDefault="00DD1807" w:rsidP="00480963">
            <w:pPr>
              <w:jc w:val="both"/>
              <w:rPr>
                <w:rFonts w:eastAsia="Calibri"/>
                <w:sz w:val="20"/>
              </w:rPr>
            </w:pPr>
            <w:r w:rsidRPr="00CD0B1B">
              <w:rPr>
                <w:rFonts w:eastAsia="Calibri"/>
                <w:sz w:val="20"/>
              </w:rPr>
              <w:t xml:space="preserve">Court of Appeal for British Columbia </w:t>
            </w:r>
          </w:p>
          <w:p w:rsidR="00DD1807" w:rsidRPr="00CD0B1B" w:rsidRDefault="00DD1807" w:rsidP="00480963">
            <w:pPr>
              <w:jc w:val="both"/>
              <w:rPr>
                <w:rFonts w:eastAsia="Calibri"/>
                <w:sz w:val="20"/>
              </w:rPr>
            </w:pPr>
            <w:r w:rsidRPr="00CD0B1B">
              <w:rPr>
                <w:rFonts w:eastAsia="Calibri"/>
                <w:sz w:val="20"/>
              </w:rPr>
              <w:t>(Vancouver)</w:t>
            </w:r>
          </w:p>
          <w:p w:rsidR="00DD1807" w:rsidRPr="00CD0B1B" w:rsidRDefault="00DD1807" w:rsidP="00480963">
            <w:pPr>
              <w:jc w:val="both"/>
              <w:rPr>
                <w:rFonts w:eastAsia="Calibri"/>
                <w:sz w:val="20"/>
              </w:rPr>
            </w:pPr>
            <w:r w:rsidRPr="00CD0B1B">
              <w:rPr>
                <w:rFonts w:eastAsia="Calibri"/>
                <w:sz w:val="20"/>
              </w:rPr>
              <w:t>(Hall, Tysoe and Stromberg-Stein JJ.A.)</w:t>
            </w:r>
          </w:p>
          <w:p w:rsidR="00DD1807" w:rsidRPr="00CD0B1B" w:rsidRDefault="005E19D3" w:rsidP="00480963">
            <w:pPr>
              <w:jc w:val="both"/>
              <w:rPr>
                <w:rFonts w:eastAsia="Calibri"/>
                <w:sz w:val="20"/>
              </w:rPr>
            </w:pPr>
            <w:hyperlink r:id="rId55" w:history="1">
              <w:r w:rsidR="00DD1807" w:rsidRPr="00CD0B1B">
                <w:rPr>
                  <w:rFonts w:eastAsia="Calibri"/>
                  <w:color w:val="0000FF"/>
                  <w:sz w:val="20"/>
                  <w:u w:val="single"/>
                </w:rPr>
                <w:t>2013 BCCA 522</w:t>
              </w:r>
            </w:hyperlink>
          </w:p>
          <w:p w:rsidR="00DD1807" w:rsidRPr="00CD0B1B" w:rsidRDefault="00DD1807" w:rsidP="00480963">
            <w:pPr>
              <w:jc w:val="both"/>
              <w:rPr>
                <w:rFonts w:eastAsia="Calibri"/>
                <w:sz w:val="20"/>
              </w:rPr>
            </w:pPr>
          </w:p>
        </w:tc>
        <w:tc>
          <w:tcPr>
            <w:tcW w:w="270" w:type="pct"/>
          </w:tcPr>
          <w:p w:rsidR="00DD1807" w:rsidRPr="00CD0B1B" w:rsidRDefault="00DD1807" w:rsidP="00480963">
            <w:pPr>
              <w:jc w:val="both"/>
              <w:rPr>
                <w:rFonts w:eastAsia="Calibri"/>
                <w:sz w:val="20"/>
              </w:rPr>
            </w:pPr>
          </w:p>
        </w:tc>
        <w:tc>
          <w:tcPr>
            <w:tcW w:w="2436" w:type="pct"/>
          </w:tcPr>
          <w:p w:rsidR="00DD1807" w:rsidRPr="00CD0B1B" w:rsidRDefault="00DD1807" w:rsidP="00480963">
            <w:pPr>
              <w:jc w:val="both"/>
              <w:rPr>
                <w:rFonts w:eastAsia="Calibri"/>
                <w:sz w:val="20"/>
              </w:rPr>
            </w:pPr>
            <w:r w:rsidRPr="00CD0B1B">
              <w:rPr>
                <w:rFonts w:eastAsia="Calibri"/>
                <w:sz w:val="20"/>
              </w:rPr>
              <w:t>Sentence appeal dismissed.</w:t>
            </w:r>
          </w:p>
          <w:p w:rsidR="00DD1807" w:rsidRPr="00CD0B1B" w:rsidRDefault="00DD1807" w:rsidP="00480963">
            <w:pPr>
              <w:jc w:val="both"/>
              <w:rPr>
                <w:rFonts w:eastAsia="Calibri"/>
                <w:sz w:val="20"/>
              </w:rPr>
            </w:pPr>
          </w:p>
        </w:tc>
      </w:tr>
      <w:tr w:rsidR="00DD1807" w:rsidRPr="00CD0B1B" w:rsidTr="00480963">
        <w:tblPrEx>
          <w:tblCellMar>
            <w:bottom w:w="0" w:type="dxa"/>
          </w:tblCellMar>
        </w:tblPrEx>
        <w:tc>
          <w:tcPr>
            <w:tcW w:w="2294" w:type="pct"/>
          </w:tcPr>
          <w:p w:rsidR="00DD1807" w:rsidRPr="00CD0B1B" w:rsidRDefault="00DD1807" w:rsidP="00480963">
            <w:pPr>
              <w:jc w:val="both"/>
              <w:rPr>
                <w:rFonts w:eastAsia="Calibri"/>
                <w:sz w:val="20"/>
              </w:rPr>
            </w:pPr>
            <w:r w:rsidRPr="00CD0B1B">
              <w:rPr>
                <w:rFonts w:eastAsia="Calibri"/>
                <w:sz w:val="20"/>
              </w:rPr>
              <w:t>March 25, 2014</w:t>
            </w:r>
          </w:p>
          <w:p w:rsidR="00DD1807" w:rsidRPr="00CD0B1B" w:rsidRDefault="00DD1807" w:rsidP="00480963">
            <w:pPr>
              <w:jc w:val="both"/>
              <w:rPr>
                <w:rFonts w:eastAsia="Calibri"/>
                <w:sz w:val="20"/>
              </w:rPr>
            </w:pPr>
            <w:r w:rsidRPr="00CD0B1B">
              <w:rPr>
                <w:rFonts w:eastAsia="Calibri"/>
                <w:sz w:val="20"/>
              </w:rPr>
              <w:t>Supreme Court of Canada</w:t>
            </w:r>
          </w:p>
          <w:p w:rsidR="00DD1807" w:rsidRPr="00CD0B1B" w:rsidRDefault="00DD1807" w:rsidP="00480963">
            <w:pPr>
              <w:jc w:val="both"/>
              <w:rPr>
                <w:rFonts w:eastAsia="Calibri"/>
                <w:sz w:val="20"/>
              </w:rPr>
            </w:pPr>
          </w:p>
        </w:tc>
        <w:tc>
          <w:tcPr>
            <w:tcW w:w="270" w:type="pct"/>
          </w:tcPr>
          <w:p w:rsidR="00DD1807" w:rsidRPr="00CD0B1B" w:rsidRDefault="00DD1807" w:rsidP="00480963">
            <w:pPr>
              <w:jc w:val="both"/>
              <w:rPr>
                <w:rFonts w:eastAsia="Calibri"/>
                <w:sz w:val="20"/>
              </w:rPr>
            </w:pPr>
          </w:p>
        </w:tc>
        <w:tc>
          <w:tcPr>
            <w:tcW w:w="2436" w:type="pct"/>
          </w:tcPr>
          <w:p w:rsidR="00DD1807" w:rsidRPr="00CD0B1B" w:rsidRDefault="00DD1807" w:rsidP="00480963">
            <w:pPr>
              <w:jc w:val="both"/>
              <w:rPr>
                <w:rFonts w:eastAsia="Calibri"/>
                <w:sz w:val="20"/>
              </w:rPr>
            </w:pPr>
            <w:r w:rsidRPr="00CD0B1B">
              <w:rPr>
                <w:rFonts w:eastAsia="Calibri"/>
                <w:sz w:val="20"/>
              </w:rPr>
              <w:t>Application for leave to appeal filed together with motion for extension of time to serve and file application itself.</w:t>
            </w:r>
          </w:p>
        </w:tc>
      </w:tr>
    </w:tbl>
    <w:p w:rsidR="00D257B0" w:rsidRDefault="00D257B0" w:rsidP="00D257B0">
      <w:pPr>
        <w:rPr>
          <w:sz w:val="20"/>
          <w:szCs w:val="20"/>
        </w:rPr>
      </w:pPr>
    </w:p>
    <w:p w:rsidR="00D257B0" w:rsidRPr="00C50A5C" w:rsidRDefault="005E19D3" w:rsidP="00D257B0">
      <w:pPr>
        <w:rPr>
          <w:sz w:val="20"/>
          <w:szCs w:val="20"/>
        </w:rPr>
      </w:pPr>
      <w:r>
        <w:rPr>
          <w:sz w:val="20"/>
          <w:szCs w:val="20"/>
          <w:lang w:val="fr-CA"/>
        </w:rPr>
        <w:pict>
          <v:rect id="_x0000_i1062" style="width:2in;height:1pt" o:hrpct="0" o:hralign="center" o:hrstd="t" o:hrnoshade="t" o:hr="t" fillcolor="black [3213]" stroked="f"/>
        </w:pict>
      </w:r>
    </w:p>
    <w:p w:rsidR="00D257B0" w:rsidRDefault="00D257B0" w:rsidP="00D257B0">
      <w:pPr>
        <w:rPr>
          <w:sz w:val="20"/>
          <w:szCs w:val="20"/>
        </w:rPr>
      </w:pPr>
    </w:p>
    <w:p w:rsidR="00D257B0" w:rsidRPr="001B157C" w:rsidRDefault="00D257B0" w:rsidP="00D257B0">
      <w:pPr>
        <w:rPr>
          <w:sz w:val="20"/>
          <w:szCs w:val="20"/>
          <w:u w:val="single"/>
          <w:lang w:val="fr-CA"/>
        </w:rPr>
      </w:pPr>
      <w:r w:rsidRPr="001B157C">
        <w:rPr>
          <w:sz w:val="20"/>
          <w:szCs w:val="20"/>
          <w:u w:val="single"/>
          <w:lang w:val="fr-CA"/>
        </w:rPr>
        <w:t>RÉSUMÉ DE L’AFFAIRE</w:t>
      </w:r>
    </w:p>
    <w:p w:rsidR="00D257B0" w:rsidRDefault="00D257B0" w:rsidP="00D257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371"/>
        <w:gridCol w:w="514"/>
        <w:gridCol w:w="4642"/>
      </w:tblGrid>
      <w:tr w:rsidR="00DD1807" w:rsidRPr="005E19D3" w:rsidTr="00480963">
        <w:tc>
          <w:tcPr>
            <w:tcW w:w="5000" w:type="pct"/>
            <w:gridSpan w:val="3"/>
          </w:tcPr>
          <w:p w:rsidR="00DD1807" w:rsidRPr="00CD0B1B" w:rsidRDefault="00DD1807" w:rsidP="00480963">
            <w:pPr>
              <w:jc w:val="both"/>
              <w:rPr>
                <w:rFonts w:eastAsia="Calibri"/>
                <w:smallCaps/>
                <w:sz w:val="20"/>
                <w:lang w:val="fr-CA"/>
              </w:rPr>
            </w:pPr>
            <w:r w:rsidRPr="00CD0B1B">
              <w:rPr>
                <w:rFonts w:eastAsia="Calibri"/>
                <w:smallCaps/>
                <w:sz w:val="20"/>
                <w:lang w:val="fr-CA"/>
              </w:rPr>
              <w:t>(Ordonnance de non</w:t>
            </w:r>
            <w:r w:rsidRPr="00CD0B1B">
              <w:rPr>
                <w:rFonts w:eastAsia="Calibri"/>
                <w:smallCaps/>
                <w:sz w:val="20"/>
                <w:lang w:val="fr-CA"/>
              </w:rPr>
              <w:noBreakHyphen/>
              <w:t>publication dans le dossier)</w:t>
            </w:r>
          </w:p>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Droit criminel — Détermination de la peine — Conseiller la perpétration d’une infraction — Infractions relatives aux armes — Facteurs devant être pris en considération — Facteurs aggravants et atténuants — Dissuasion — Réadaptation — Principe de totalité —En 2012 et en 2011, l’accusé a été condamné pour trafic d’armes et pour avoir conseillé la perpétration d’homicides — Pour les infractions relatives aux armes, il a reçu une peine totale de quatre ans d’emprisonnement à purger consécutivement à la peine totale de 18 ans qui lui avait été infligée précédemment pour avoir conseillé la perpétration d’infractions — L’appel formé par l’accusé contre la peine a été rejeté — La Cour d’appel a</w:t>
            </w:r>
            <w:r w:rsidRPr="00CD0B1B">
              <w:rPr>
                <w:rFonts w:eastAsia="Calibri"/>
                <w:sz w:val="20"/>
                <w:lang w:val="fr-CA"/>
              </w:rPr>
              <w:noBreakHyphen/>
              <w:t>t</w:t>
            </w:r>
            <w:r w:rsidRPr="00CD0B1B">
              <w:rPr>
                <w:rFonts w:eastAsia="Calibri"/>
                <w:sz w:val="20"/>
                <w:lang w:val="fr-CA"/>
              </w:rPr>
              <w:noBreakHyphen/>
              <w:t>elle fait erreur en ne considérant pas l’absence de conséquences de la conduite de l’accusé (les homicides n’ayant été commis)? — La Cour d’appel a</w:t>
            </w:r>
            <w:r w:rsidRPr="00CD0B1B">
              <w:rPr>
                <w:rFonts w:eastAsia="Calibri"/>
                <w:sz w:val="20"/>
                <w:lang w:val="fr-CA"/>
              </w:rPr>
              <w:noBreakHyphen/>
              <w:t>t</w:t>
            </w:r>
            <w:r w:rsidRPr="00CD0B1B">
              <w:rPr>
                <w:rFonts w:eastAsia="Calibri"/>
                <w:sz w:val="20"/>
                <w:lang w:val="fr-CA"/>
              </w:rPr>
              <w:noBreakHyphen/>
              <w:t xml:space="preserve">elle commis une erreur en ne considérant pas les peines moins lourdes infligées aux contrevenants dans </w:t>
            </w:r>
            <w:r w:rsidRPr="00CD0B1B">
              <w:rPr>
                <w:rFonts w:eastAsia="Calibri"/>
                <w:i/>
                <w:sz w:val="20"/>
                <w:lang w:val="fr-CA"/>
              </w:rPr>
              <w:t>R. c. Lee</w:t>
            </w:r>
            <w:r w:rsidRPr="00CD0B1B">
              <w:rPr>
                <w:rFonts w:eastAsia="Calibri"/>
                <w:sz w:val="20"/>
                <w:lang w:val="fr-CA"/>
              </w:rPr>
              <w:t>, 2013 BCSC 1259? — La Cour d’appel a</w:t>
            </w:r>
            <w:r w:rsidRPr="00CD0B1B">
              <w:rPr>
                <w:rFonts w:eastAsia="Calibri"/>
                <w:sz w:val="20"/>
                <w:lang w:val="fr-CA"/>
              </w:rPr>
              <w:noBreakHyphen/>
              <w:t>t</w:t>
            </w:r>
            <w:r w:rsidRPr="00CD0B1B">
              <w:rPr>
                <w:rFonts w:eastAsia="Calibri"/>
                <w:sz w:val="20"/>
                <w:lang w:val="fr-CA"/>
              </w:rPr>
              <w:noBreakHyphen/>
              <w:t>elle fait erreur en ne considérant pas de possibles éléments de preuve concernant la conduite de l’accusé après l’infliction des peines?</w:t>
            </w:r>
          </w:p>
          <w:p w:rsidR="00DD1807" w:rsidRPr="00CD0B1B" w:rsidRDefault="00DD1807" w:rsidP="00480963">
            <w:pPr>
              <w:jc w:val="both"/>
              <w:rPr>
                <w:rFonts w:eastAsia="Calibri"/>
                <w:sz w:val="20"/>
                <w:lang w:val="fr-CA"/>
              </w:rPr>
            </w:pPr>
          </w:p>
        </w:tc>
      </w:tr>
      <w:tr w:rsidR="00DD1807" w:rsidRPr="005E19D3" w:rsidTr="00480963">
        <w:tc>
          <w:tcPr>
            <w:tcW w:w="5000" w:type="pct"/>
            <w:gridSpan w:val="3"/>
          </w:tcPr>
          <w:p w:rsidR="00DD1807" w:rsidRPr="00CD0B1B" w:rsidRDefault="00DD1807" w:rsidP="00480963">
            <w:pPr>
              <w:jc w:val="both"/>
              <w:rPr>
                <w:rFonts w:eastAsia="Calibri"/>
                <w:sz w:val="20"/>
                <w:lang w:val="fr-CA"/>
              </w:rPr>
            </w:pPr>
            <w:r w:rsidRPr="00CD0B1B">
              <w:rPr>
                <w:rFonts w:eastAsia="Calibri"/>
                <w:sz w:val="20"/>
                <w:lang w:val="fr-CA"/>
              </w:rPr>
              <w:t>En 2011 et 2012, le demandeur, M. Radjenovic, a été condamné pour trafic d’armes et pour avoir conseillé la perpétration de trois homicides (qui n’ont pas été commis).  Relativement aux accusations relatives aux armes, il a reçu une peine totale de quatre ans à purger consécutivement à la peine globale de 18 ans qui lui avait été infligée précédemment pour avoir conseillé la perpétration d’infractions.  Bien que M. Radjenovic ait soutenu que, au total (22 ans), les peines étaient excessivement longues et sévères, et qu’elles ne respectaient pas le principe de totalité, la Cour d’appel a rejeté son appel de la peine.  Elle conclut que le fait que Monsieur Radjenovic avait conseillé la perpétration d’infractions pendant  qu’il était en liberté sous caution à l’égard des infractions relatives aux armes constituait un facteur aggravant.  Elle a aussi statué que les juges des juridictions inférieures avaient à juste titre prononcé des peines à purger consécutivement à l’égard d’infractions disparates perpétrées à des moments différents.  La Cour d’appel a déterminé que de lourdes peines étaient nécessaires aux fins de dissuasion individuelle et générale, et qu’une longue période de surveillance devrait être propice à la réadaptation de M. Radjenovic.</w:t>
            </w:r>
          </w:p>
          <w:p w:rsidR="00DD1807" w:rsidRPr="00CD0B1B" w:rsidRDefault="00DD1807" w:rsidP="00480963">
            <w:pPr>
              <w:jc w:val="both"/>
              <w:rPr>
                <w:rFonts w:eastAsia="Calibri"/>
                <w:sz w:val="20"/>
                <w:lang w:val="fr-CA"/>
              </w:rPr>
            </w:pPr>
          </w:p>
        </w:tc>
      </w:tr>
      <w:tr w:rsidR="00DD1807" w:rsidRPr="005E19D3" w:rsidTr="00480963">
        <w:tblPrEx>
          <w:tblCellMar>
            <w:bottom w:w="0" w:type="dxa"/>
          </w:tblCellMar>
        </w:tblPrEx>
        <w:tc>
          <w:tcPr>
            <w:tcW w:w="2294" w:type="pct"/>
          </w:tcPr>
          <w:p w:rsidR="00DD1807" w:rsidRPr="00CD0B1B" w:rsidRDefault="00DD1807" w:rsidP="00480963">
            <w:pPr>
              <w:jc w:val="both"/>
              <w:rPr>
                <w:rFonts w:eastAsia="Calibri"/>
                <w:sz w:val="20"/>
                <w:lang w:val="fr-CA"/>
              </w:rPr>
            </w:pPr>
            <w:r w:rsidRPr="00CD0B1B">
              <w:rPr>
                <w:rFonts w:eastAsia="Calibri"/>
                <w:sz w:val="20"/>
                <w:lang w:val="fr-CA"/>
              </w:rPr>
              <w:t>29 juillet 2011</w:t>
            </w:r>
          </w:p>
          <w:p w:rsidR="00DD1807" w:rsidRPr="00CD0B1B" w:rsidRDefault="00DD1807" w:rsidP="00480963">
            <w:pPr>
              <w:jc w:val="both"/>
              <w:rPr>
                <w:rFonts w:eastAsia="Calibri"/>
                <w:sz w:val="20"/>
                <w:lang w:val="fr-CA"/>
              </w:rPr>
            </w:pPr>
            <w:r w:rsidRPr="00CD0B1B">
              <w:rPr>
                <w:rFonts w:eastAsia="Calibri"/>
                <w:sz w:val="20"/>
                <w:lang w:val="fr-CA"/>
              </w:rPr>
              <w:t>Cour suprême de la Colombie</w:t>
            </w:r>
            <w:r w:rsidRPr="00CD0B1B">
              <w:rPr>
                <w:rFonts w:eastAsia="Calibri"/>
                <w:sz w:val="20"/>
                <w:lang w:val="fr-CA"/>
              </w:rPr>
              <w:noBreakHyphen/>
              <w:t>Britannique</w:t>
            </w:r>
          </w:p>
          <w:p w:rsidR="00DD1807" w:rsidRPr="00CD0B1B" w:rsidRDefault="00DD1807" w:rsidP="00480963">
            <w:pPr>
              <w:jc w:val="both"/>
              <w:rPr>
                <w:rFonts w:eastAsia="Calibri"/>
                <w:sz w:val="20"/>
              </w:rPr>
            </w:pPr>
            <w:r w:rsidRPr="00CD0B1B">
              <w:rPr>
                <w:rFonts w:eastAsia="Calibri"/>
                <w:sz w:val="20"/>
              </w:rPr>
              <w:t>(Juge Ker)</w:t>
            </w:r>
          </w:p>
          <w:p w:rsidR="00DD1807" w:rsidRDefault="005E19D3" w:rsidP="00480963">
            <w:pPr>
              <w:jc w:val="both"/>
              <w:rPr>
                <w:rFonts w:eastAsia="Calibri"/>
                <w:sz w:val="20"/>
              </w:rPr>
            </w:pPr>
            <w:hyperlink r:id="rId56" w:history="1">
              <w:r w:rsidR="00DD1807" w:rsidRPr="00CD0B1B">
                <w:rPr>
                  <w:rFonts w:eastAsia="Calibri"/>
                  <w:color w:val="0000FF"/>
                  <w:sz w:val="20"/>
                  <w:u w:val="single"/>
                </w:rPr>
                <w:t>2011 BCSC 1225</w:t>
              </w:r>
            </w:hyperlink>
          </w:p>
          <w:p w:rsidR="00DD1807" w:rsidRPr="00CD0B1B" w:rsidRDefault="00DD1807" w:rsidP="00480963">
            <w:pPr>
              <w:jc w:val="both"/>
              <w:rPr>
                <w:rFonts w:eastAsia="Calibri"/>
                <w:sz w:val="20"/>
              </w:rPr>
            </w:pPr>
          </w:p>
        </w:tc>
        <w:tc>
          <w:tcPr>
            <w:tcW w:w="270" w:type="pct"/>
          </w:tcPr>
          <w:p w:rsidR="00DD1807" w:rsidRPr="00CD0B1B" w:rsidRDefault="00DD1807" w:rsidP="00480963">
            <w:pPr>
              <w:jc w:val="both"/>
              <w:rPr>
                <w:rFonts w:eastAsia="Calibri"/>
                <w:sz w:val="20"/>
              </w:rPr>
            </w:pPr>
          </w:p>
        </w:tc>
        <w:tc>
          <w:tcPr>
            <w:tcW w:w="2436" w:type="pct"/>
          </w:tcPr>
          <w:p w:rsidR="00DD1807" w:rsidRPr="00CD0B1B" w:rsidRDefault="00DD1807" w:rsidP="00480963">
            <w:pPr>
              <w:jc w:val="both"/>
              <w:rPr>
                <w:rFonts w:eastAsia="Calibri"/>
                <w:sz w:val="20"/>
                <w:lang w:val="fr-CA"/>
              </w:rPr>
            </w:pPr>
            <w:r w:rsidRPr="00CD0B1B">
              <w:rPr>
                <w:rFonts w:eastAsia="Calibri"/>
                <w:sz w:val="20"/>
                <w:lang w:val="fr-CA"/>
              </w:rPr>
              <w:t>Peine globale de 18 ans infligée au demandeur pour avoir conseillé la perpétration d’infractions.</w:t>
            </w:r>
          </w:p>
        </w:tc>
      </w:tr>
      <w:tr w:rsidR="00DD1807" w:rsidRPr="005E19D3" w:rsidTr="000C551F">
        <w:tblPrEx>
          <w:tblCellMar>
            <w:bottom w:w="0" w:type="dxa"/>
          </w:tblCellMar>
        </w:tblPrEx>
        <w:trPr>
          <w:cantSplit/>
        </w:trPr>
        <w:tc>
          <w:tcPr>
            <w:tcW w:w="2294" w:type="pct"/>
          </w:tcPr>
          <w:p w:rsidR="00DD1807" w:rsidRPr="00CD0B1B" w:rsidRDefault="00DD1807" w:rsidP="00480963">
            <w:pPr>
              <w:jc w:val="both"/>
              <w:rPr>
                <w:rFonts w:eastAsia="Calibri"/>
                <w:sz w:val="20"/>
                <w:lang w:val="fr-CA"/>
              </w:rPr>
            </w:pPr>
            <w:r w:rsidRPr="00CD0B1B">
              <w:rPr>
                <w:rFonts w:eastAsia="Calibri"/>
                <w:sz w:val="20"/>
                <w:lang w:val="fr-CA"/>
              </w:rPr>
              <w:lastRenderedPageBreak/>
              <w:t>2 mars 2012</w:t>
            </w:r>
          </w:p>
          <w:p w:rsidR="00DD1807" w:rsidRPr="00CD0B1B" w:rsidRDefault="00DD1807" w:rsidP="00480963">
            <w:pPr>
              <w:jc w:val="both"/>
              <w:rPr>
                <w:rFonts w:eastAsia="Calibri"/>
                <w:sz w:val="20"/>
                <w:lang w:val="fr-CA"/>
              </w:rPr>
            </w:pPr>
            <w:r w:rsidRPr="00CD0B1B">
              <w:rPr>
                <w:rFonts w:eastAsia="Calibri"/>
                <w:sz w:val="20"/>
                <w:lang w:val="fr-CA"/>
              </w:rPr>
              <w:t>Cour suprême de la Colombie</w:t>
            </w:r>
            <w:r w:rsidRPr="00CD0B1B">
              <w:rPr>
                <w:rFonts w:eastAsia="Calibri"/>
                <w:sz w:val="20"/>
                <w:lang w:val="fr-CA"/>
              </w:rPr>
              <w:noBreakHyphen/>
              <w:t>Britannique</w:t>
            </w:r>
          </w:p>
          <w:p w:rsidR="00DD1807" w:rsidRPr="00CD0B1B" w:rsidRDefault="00DD1807" w:rsidP="00480963">
            <w:pPr>
              <w:jc w:val="both"/>
              <w:rPr>
                <w:rFonts w:eastAsia="Calibri"/>
                <w:sz w:val="20"/>
              </w:rPr>
            </w:pPr>
            <w:r w:rsidRPr="00CD0B1B">
              <w:rPr>
                <w:rFonts w:eastAsia="Calibri"/>
                <w:sz w:val="20"/>
              </w:rPr>
              <w:t>(Juge Butler)</w:t>
            </w:r>
          </w:p>
          <w:p w:rsidR="00DD1807" w:rsidRPr="00CD0B1B" w:rsidRDefault="005E19D3" w:rsidP="00480963">
            <w:pPr>
              <w:jc w:val="both"/>
              <w:rPr>
                <w:rFonts w:eastAsia="Calibri"/>
                <w:sz w:val="20"/>
              </w:rPr>
            </w:pPr>
            <w:hyperlink r:id="rId57" w:history="1">
              <w:r w:rsidR="00DD1807" w:rsidRPr="00CD0B1B">
                <w:rPr>
                  <w:rFonts w:eastAsia="Calibri"/>
                  <w:color w:val="0000FF"/>
                  <w:sz w:val="20"/>
                  <w:u w:val="single"/>
                </w:rPr>
                <w:t>2012 BCSC 630</w:t>
              </w:r>
            </w:hyperlink>
          </w:p>
          <w:p w:rsidR="00DD1807" w:rsidRPr="00CD0B1B" w:rsidRDefault="00DD1807" w:rsidP="00480963">
            <w:pPr>
              <w:jc w:val="both"/>
              <w:rPr>
                <w:rFonts w:eastAsia="Calibri"/>
                <w:sz w:val="20"/>
              </w:rPr>
            </w:pPr>
          </w:p>
        </w:tc>
        <w:tc>
          <w:tcPr>
            <w:tcW w:w="270" w:type="pct"/>
          </w:tcPr>
          <w:p w:rsidR="00DD1807" w:rsidRPr="00CD0B1B" w:rsidRDefault="00DD1807" w:rsidP="00480963">
            <w:pPr>
              <w:jc w:val="both"/>
              <w:rPr>
                <w:rFonts w:eastAsia="Calibri"/>
                <w:sz w:val="20"/>
              </w:rPr>
            </w:pPr>
          </w:p>
        </w:tc>
        <w:tc>
          <w:tcPr>
            <w:tcW w:w="2436" w:type="pct"/>
          </w:tcPr>
          <w:p w:rsidR="00DD1807" w:rsidRPr="00CD0B1B" w:rsidRDefault="00DD1807" w:rsidP="00480963">
            <w:pPr>
              <w:jc w:val="both"/>
              <w:rPr>
                <w:rFonts w:eastAsia="Calibri"/>
                <w:sz w:val="20"/>
                <w:lang w:val="fr-CA"/>
              </w:rPr>
            </w:pPr>
            <w:r w:rsidRPr="00CD0B1B">
              <w:rPr>
                <w:rFonts w:eastAsia="Calibri"/>
                <w:sz w:val="20"/>
                <w:lang w:val="fr-CA"/>
              </w:rPr>
              <w:t xml:space="preserve">Infliction au demandeur, pour les infractions relatives aux armes, d’une peine de quatre ans à purger consécutivement à la peine globale de 18 ans infligée précédemment pour avoir conseillé la perpétration d’infractions. </w:t>
            </w:r>
          </w:p>
          <w:p w:rsidR="00DD1807" w:rsidRPr="00CD0B1B" w:rsidRDefault="00DD1807" w:rsidP="00480963">
            <w:pPr>
              <w:jc w:val="both"/>
              <w:rPr>
                <w:rFonts w:eastAsia="Calibri"/>
                <w:sz w:val="20"/>
                <w:lang w:val="fr-CA"/>
              </w:rPr>
            </w:pPr>
          </w:p>
        </w:tc>
      </w:tr>
      <w:tr w:rsidR="00DD1807" w:rsidRPr="005E19D3" w:rsidTr="000C551F">
        <w:tblPrEx>
          <w:tblCellMar>
            <w:bottom w:w="0" w:type="dxa"/>
          </w:tblCellMar>
        </w:tblPrEx>
        <w:trPr>
          <w:cantSplit/>
        </w:trPr>
        <w:tc>
          <w:tcPr>
            <w:tcW w:w="2294" w:type="pct"/>
          </w:tcPr>
          <w:p w:rsidR="00DD1807" w:rsidRPr="00CD0B1B" w:rsidRDefault="00DD1807" w:rsidP="00480963">
            <w:pPr>
              <w:jc w:val="both"/>
              <w:rPr>
                <w:rFonts w:eastAsia="Calibri"/>
                <w:sz w:val="20"/>
                <w:lang w:val="fr-CA"/>
              </w:rPr>
            </w:pPr>
            <w:r w:rsidRPr="00CD0B1B">
              <w:rPr>
                <w:rFonts w:eastAsia="Calibri"/>
                <w:sz w:val="20"/>
                <w:lang w:val="fr-CA"/>
              </w:rPr>
              <w:t>5 décembre 2013</w:t>
            </w:r>
          </w:p>
          <w:p w:rsidR="00DD1807" w:rsidRPr="00CD0B1B" w:rsidRDefault="00DD1807" w:rsidP="00480963">
            <w:pPr>
              <w:jc w:val="both"/>
              <w:rPr>
                <w:rFonts w:eastAsia="Calibri"/>
                <w:sz w:val="20"/>
                <w:lang w:val="fr-CA"/>
              </w:rPr>
            </w:pPr>
            <w:r w:rsidRPr="00CD0B1B">
              <w:rPr>
                <w:rFonts w:eastAsia="Calibri"/>
                <w:sz w:val="20"/>
                <w:lang w:val="fr-CA"/>
              </w:rPr>
              <w:t>Cour d’appel de la Colombie</w:t>
            </w:r>
            <w:r w:rsidRPr="00CD0B1B">
              <w:rPr>
                <w:rFonts w:eastAsia="Calibri"/>
                <w:sz w:val="20"/>
                <w:lang w:val="fr-CA"/>
              </w:rPr>
              <w:noBreakHyphen/>
              <w:t xml:space="preserve">Britannique  </w:t>
            </w:r>
          </w:p>
          <w:p w:rsidR="00DD1807" w:rsidRPr="00CD0B1B" w:rsidRDefault="00DD1807" w:rsidP="00480963">
            <w:pPr>
              <w:jc w:val="both"/>
              <w:rPr>
                <w:rFonts w:eastAsia="Calibri"/>
                <w:sz w:val="20"/>
                <w:lang w:val="fr-CA"/>
              </w:rPr>
            </w:pPr>
            <w:r w:rsidRPr="00CD0B1B">
              <w:rPr>
                <w:rFonts w:eastAsia="Calibri"/>
                <w:sz w:val="20"/>
                <w:lang w:val="fr-CA"/>
              </w:rPr>
              <w:t>(Vancouver)</w:t>
            </w:r>
          </w:p>
          <w:p w:rsidR="00DD1807" w:rsidRPr="00CD0B1B" w:rsidRDefault="00DD1807" w:rsidP="00480963">
            <w:pPr>
              <w:jc w:val="both"/>
              <w:rPr>
                <w:rFonts w:eastAsia="Calibri"/>
                <w:sz w:val="20"/>
                <w:lang w:val="fr-CA"/>
              </w:rPr>
            </w:pPr>
            <w:r w:rsidRPr="00CD0B1B">
              <w:rPr>
                <w:rFonts w:eastAsia="Calibri"/>
                <w:sz w:val="20"/>
                <w:lang w:val="fr-CA"/>
              </w:rPr>
              <w:t>(Juges Hall, Tysoe et Stromberg</w:t>
            </w:r>
            <w:r w:rsidRPr="00CD0B1B">
              <w:rPr>
                <w:rFonts w:eastAsia="Calibri"/>
                <w:sz w:val="20"/>
                <w:lang w:val="fr-CA"/>
              </w:rPr>
              <w:noBreakHyphen/>
              <w:t>Stein)</w:t>
            </w:r>
          </w:p>
          <w:p w:rsidR="00DD1807" w:rsidRPr="00CD0B1B" w:rsidRDefault="005E19D3" w:rsidP="00480963">
            <w:pPr>
              <w:jc w:val="both"/>
              <w:rPr>
                <w:rFonts w:eastAsia="Calibri"/>
                <w:sz w:val="20"/>
              </w:rPr>
            </w:pPr>
            <w:hyperlink r:id="rId58" w:history="1">
              <w:r w:rsidR="00DD1807" w:rsidRPr="00CD0B1B">
                <w:rPr>
                  <w:rFonts w:eastAsia="Calibri"/>
                  <w:color w:val="0000FF"/>
                  <w:sz w:val="20"/>
                  <w:u w:val="single"/>
                </w:rPr>
                <w:t>2013 BCCA 522</w:t>
              </w:r>
            </w:hyperlink>
          </w:p>
          <w:p w:rsidR="00DD1807" w:rsidRPr="00CD0B1B" w:rsidRDefault="00DD1807" w:rsidP="00480963">
            <w:pPr>
              <w:jc w:val="both"/>
              <w:rPr>
                <w:rFonts w:eastAsia="Calibri"/>
                <w:sz w:val="20"/>
              </w:rPr>
            </w:pPr>
          </w:p>
        </w:tc>
        <w:tc>
          <w:tcPr>
            <w:tcW w:w="270" w:type="pct"/>
          </w:tcPr>
          <w:p w:rsidR="00DD1807" w:rsidRPr="00CD0B1B" w:rsidRDefault="00DD1807" w:rsidP="00480963">
            <w:pPr>
              <w:jc w:val="both"/>
              <w:rPr>
                <w:rFonts w:eastAsia="Calibri"/>
                <w:sz w:val="20"/>
              </w:rPr>
            </w:pPr>
          </w:p>
        </w:tc>
        <w:tc>
          <w:tcPr>
            <w:tcW w:w="2436" w:type="pct"/>
          </w:tcPr>
          <w:p w:rsidR="00DD1807" w:rsidRPr="00CD0B1B" w:rsidRDefault="00DD1807" w:rsidP="00480963">
            <w:pPr>
              <w:jc w:val="both"/>
              <w:rPr>
                <w:rFonts w:eastAsia="Calibri"/>
                <w:sz w:val="20"/>
                <w:lang w:val="fr-CA"/>
              </w:rPr>
            </w:pPr>
            <w:r w:rsidRPr="00CD0B1B">
              <w:rPr>
                <w:rFonts w:eastAsia="Calibri"/>
                <w:sz w:val="20"/>
                <w:lang w:val="fr-CA"/>
              </w:rPr>
              <w:t>Rejet de l’appel de la peine.</w:t>
            </w:r>
          </w:p>
          <w:p w:rsidR="00DD1807" w:rsidRPr="00CD0B1B" w:rsidRDefault="00DD1807" w:rsidP="00480963">
            <w:pPr>
              <w:jc w:val="both"/>
              <w:rPr>
                <w:rFonts w:eastAsia="Calibri"/>
                <w:sz w:val="20"/>
                <w:lang w:val="fr-CA"/>
              </w:rPr>
            </w:pPr>
          </w:p>
        </w:tc>
      </w:tr>
      <w:tr w:rsidR="00DD1807" w:rsidRPr="005E19D3" w:rsidTr="000C551F">
        <w:tblPrEx>
          <w:tblCellMar>
            <w:bottom w:w="0" w:type="dxa"/>
          </w:tblCellMar>
        </w:tblPrEx>
        <w:trPr>
          <w:cantSplit/>
        </w:trPr>
        <w:tc>
          <w:tcPr>
            <w:tcW w:w="2294" w:type="pct"/>
          </w:tcPr>
          <w:p w:rsidR="00DD1807" w:rsidRPr="00CD0B1B" w:rsidRDefault="00DD1807" w:rsidP="00480963">
            <w:pPr>
              <w:jc w:val="both"/>
              <w:rPr>
                <w:rFonts w:eastAsia="Calibri"/>
                <w:sz w:val="20"/>
                <w:lang w:val="fr-CA"/>
              </w:rPr>
            </w:pPr>
            <w:r w:rsidRPr="00CD0B1B">
              <w:rPr>
                <w:rFonts w:eastAsia="Calibri"/>
                <w:sz w:val="20"/>
                <w:lang w:val="fr-CA"/>
              </w:rPr>
              <w:t>25 mars 2014</w:t>
            </w:r>
          </w:p>
          <w:p w:rsidR="00DD1807" w:rsidRPr="00CD0B1B" w:rsidRDefault="00DD1807" w:rsidP="00480963">
            <w:pPr>
              <w:jc w:val="both"/>
              <w:rPr>
                <w:rFonts w:eastAsia="Calibri"/>
                <w:sz w:val="20"/>
                <w:lang w:val="fr-CA"/>
              </w:rPr>
            </w:pPr>
            <w:r w:rsidRPr="00CD0B1B">
              <w:rPr>
                <w:rFonts w:eastAsia="Calibri"/>
                <w:sz w:val="20"/>
                <w:lang w:val="fr-CA"/>
              </w:rPr>
              <w:t>Cour suprême du Canada</w:t>
            </w:r>
          </w:p>
        </w:tc>
        <w:tc>
          <w:tcPr>
            <w:tcW w:w="270" w:type="pct"/>
          </w:tcPr>
          <w:p w:rsidR="00DD1807" w:rsidRPr="00CD0B1B" w:rsidRDefault="00DD1807" w:rsidP="00480963">
            <w:pPr>
              <w:jc w:val="both"/>
              <w:rPr>
                <w:rFonts w:eastAsia="Calibri"/>
                <w:sz w:val="20"/>
                <w:lang w:val="fr-CA"/>
              </w:rPr>
            </w:pPr>
          </w:p>
        </w:tc>
        <w:tc>
          <w:tcPr>
            <w:tcW w:w="2436" w:type="pct"/>
          </w:tcPr>
          <w:p w:rsidR="00DD1807" w:rsidRPr="00CD0B1B" w:rsidRDefault="00DD1807" w:rsidP="00480963">
            <w:pPr>
              <w:jc w:val="both"/>
              <w:rPr>
                <w:rFonts w:eastAsia="Calibri"/>
                <w:sz w:val="20"/>
                <w:lang w:val="fr-CA"/>
              </w:rPr>
            </w:pPr>
            <w:r w:rsidRPr="00CD0B1B">
              <w:rPr>
                <w:rFonts w:eastAsia="Calibri"/>
                <w:sz w:val="20"/>
                <w:lang w:val="fr-CA"/>
              </w:rPr>
              <w:t xml:space="preserve">Dépôt de la demande d’autorisation d’appel, accompagnée d’une requête en prorogation du délai de signification et de dépôt de la demande d’autorisation. </w:t>
            </w:r>
          </w:p>
        </w:tc>
      </w:tr>
    </w:tbl>
    <w:p w:rsidR="00D257B0" w:rsidRPr="00DD1807" w:rsidRDefault="00D257B0" w:rsidP="00D257B0">
      <w:pPr>
        <w:rPr>
          <w:sz w:val="20"/>
          <w:szCs w:val="20"/>
          <w:lang w:val="fr-CA"/>
        </w:rPr>
      </w:pPr>
    </w:p>
    <w:p w:rsidR="00D257B0" w:rsidRDefault="005E19D3" w:rsidP="00D257B0">
      <w:pPr>
        <w:rPr>
          <w:sz w:val="20"/>
          <w:szCs w:val="20"/>
          <w:lang w:val="fr-CA"/>
        </w:rPr>
      </w:pPr>
      <w:r>
        <w:rPr>
          <w:sz w:val="20"/>
          <w:szCs w:val="20"/>
          <w:lang w:val="fr-CA"/>
        </w:rPr>
        <w:pict>
          <v:rect id="_x0000_i1063" style="width:2in;height:1pt" o:hrpct="0" o:hralign="center" o:hrstd="t" o:hrnoshade="t" o:hr="t" fillcolor="black [3213]" stroked="f"/>
        </w:pict>
      </w:r>
    </w:p>
    <w:p w:rsidR="00D257B0" w:rsidRDefault="00D257B0" w:rsidP="00D257B0">
      <w:pPr>
        <w:rPr>
          <w:sz w:val="20"/>
          <w:szCs w:val="20"/>
          <w:lang w:val="fr-CA"/>
        </w:rPr>
      </w:pPr>
    </w:p>
    <w:p w:rsidR="000E2959" w:rsidRPr="00A67ADB"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sz w:val="20"/>
          <w:szCs w:val="20"/>
          <w:lang w:val="fr-CA" w:eastAsia="en-CA"/>
        </w:rPr>
        <w:t>23.05.2014</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tabs>
          <w:tab w:val="left" w:pos="-1440"/>
          <w:tab w:val="left" w:pos="-720"/>
        </w:tabs>
        <w:jc w:val="both"/>
        <w:rPr>
          <w:rFonts w:eastAsia="Times New Roman" w:cs="Times New Roman"/>
          <w:sz w:val="20"/>
          <w:szCs w:val="20"/>
          <w:lang w:eastAsia="en-CA"/>
        </w:rPr>
      </w:pPr>
      <w:r w:rsidRPr="00A67ADB">
        <w:rPr>
          <w:rFonts w:eastAsia="Times New Roman" w:cs="Times New Roman"/>
          <w:sz w:val="20"/>
          <w:szCs w:val="20"/>
          <w:lang w:val="fr-CA" w:eastAsia="en-CA"/>
        </w:rPr>
        <w:t xml:space="preserve">Before / Devant:   </w:t>
      </w:r>
      <w:r w:rsidRPr="00A67ADB">
        <w:rPr>
          <w:rFonts w:eastAsia="Times New Roman" w:cs="Times New Roman"/>
          <w:sz w:val="20"/>
          <w:szCs w:val="20"/>
          <w:lang w:eastAsia="en-CA"/>
        </w:rPr>
        <w:t>THE REGISTRAR / LE REGISTRAIRE</w:t>
      </w:r>
    </w:p>
    <w:p w:rsidR="00A67ADB" w:rsidRPr="00A67ADB" w:rsidRDefault="00A67ADB" w:rsidP="00A67ADB">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67ADB" w:rsidRPr="00A67ADB" w:rsidTr="00480963">
        <w:trPr>
          <w:trHeight w:val="151"/>
        </w:trPr>
        <w:tc>
          <w:tcPr>
            <w:tcW w:w="4338" w:type="dxa"/>
          </w:tcPr>
          <w:p w:rsidR="00A67ADB" w:rsidRPr="00A67ADB" w:rsidRDefault="00EE415D" w:rsidP="00A67ADB">
            <w:pPr>
              <w:tabs>
                <w:tab w:val="left" w:pos="-1440"/>
                <w:tab w:val="left" w:pos="-720"/>
              </w:tabs>
              <w:jc w:val="both"/>
              <w:rPr>
                <w:lang w:val="fr-CA"/>
              </w:rPr>
            </w:pPr>
            <w:r w:rsidRPr="00A67ADB">
              <w:rPr>
                <w:lang w:val="en-US"/>
              </w:rPr>
              <w:fldChar w:fldCharType="begin"/>
            </w:r>
            <w:r w:rsidR="00A67ADB" w:rsidRPr="00A67ADB">
              <w:rPr>
                <w:lang w:val="fr-CA"/>
              </w:rPr>
              <w:instrText xml:space="preserve"> SEQ CHAPTER \h \r 1</w:instrText>
            </w:r>
            <w:r w:rsidRPr="00A67ADB">
              <w:rPr>
                <w:lang w:val="en-US"/>
              </w:rPr>
              <w:fldChar w:fldCharType="end"/>
            </w:r>
            <w:r w:rsidR="00A67ADB" w:rsidRPr="00A67ADB">
              <w:rPr>
                <w:b/>
                <w:bCs/>
                <w:lang w:val="fr-CA"/>
              </w:rPr>
              <w:t>Miscellaneous motion</w:t>
            </w:r>
          </w:p>
          <w:p w:rsidR="00A67ADB" w:rsidRPr="00A67ADB" w:rsidRDefault="00EE415D" w:rsidP="00A67ADB">
            <w:pPr>
              <w:tabs>
                <w:tab w:val="left" w:pos="-1440"/>
                <w:tab w:val="left" w:pos="-720"/>
              </w:tabs>
              <w:jc w:val="both"/>
              <w:rPr>
                <w:lang w:val="fr-CA"/>
              </w:rPr>
            </w:pPr>
            <w:r w:rsidRPr="00A67ADB">
              <w:rPr>
                <w:lang w:val="en-US"/>
              </w:rPr>
              <w:fldChar w:fldCharType="begin"/>
            </w:r>
            <w:r w:rsidR="00A67ADB" w:rsidRPr="00A67ADB">
              <w:rPr>
                <w:lang w:val="fr-CA"/>
              </w:rPr>
              <w:instrText xml:space="preserve"> SEQ CHAPTER \h \r 1</w:instrText>
            </w:r>
            <w:r w:rsidRPr="00A67ADB">
              <w:rPr>
                <w:lang w:val="en-US"/>
              </w:rPr>
              <w:fldChar w:fldCharType="end"/>
            </w:r>
          </w:p>
        </w:tc>
        <w:tc>
          <w:tcPr>
            <w:tcW w:w="1170" w:type="dxa"/>
          </w:tcPr>
          <w:p w:rsidR="00A67ADB" w:rsidRPr="00A67ADB" w:rsidRDefault="00A67ADB" w:rsidP="00A67ADB">
            <w:pPr>
              <w:jc w:val="both"/>
              <w:rPr>
                <w:lang w:val="fr-CA"/>
              </w:rPr>
            </w:pPr>
          </w:p>
          <w:p w:rsidR="00A67ADB" w:rsidRPr="00A67ADB" w:rsidRDefault="00A67ADB" w:rsidP="00A67ADB">
            <w:pPr>
              <w:jc w:val="both"/>
              <w:rPr>
                <w:lang w:val="fr-CA"/>
              </w:rPr>
            </w:pPr>
          </w:p>
        </w:tc>
        <w:tc>
          <w:tcPr>
            <w:tcW w:w="4327" w:type="dxa"/>
          </w:tcPr>
          <w:p w:rsidR="00A67ADB" w:rsidRPr="00A67ADB" w:rsidRDefault="00EE415D" w:rsidP="00A67ADB">
            <w:pPr>
              <w:jc w:val="both"/>
              <w:rPr>
                <w:b/>
                <w:lang w:val="fr-CA"/>
              </w:rPr>
            </w:pPr>
            <w:r w:rsidRPr="00A67ADB">
              <w:rPr>
                <w:lang w:val="en-US"/>
              </w:rPr>
              <w:fldChar w:fldCharType="begin"/>
            </w:r>
            <w:r w:rsidR="00A67ADB" w:rsidRPr="00A67ADB">
              <w:rPr>
                <w:lang w:val="fr-CA"/>
              </w:rPr>
              <w:instrText xml:space="preserve"> SEQ CHAPTER \h \r 1</w:instrText>
            </w:r>
            <w:r w:rsidRPr="00A67ADB">
              <w:rPr>
                <w:lang w:val="en-US"/>
              </w:rPr>
              <w:fldChar w:fldCharType="end"/>
            </w:r>
            <w:r w:rsidR="00A67ADB" w:rsidRPr="00A67ADB">
              <w:rPr>
                <w:b/>
                <w:bCs/>
                <w:lang w:val="fr-CA"/>
              </w:rPr>
              <w:t>Requête diverse</w:t>
            </w:r>
          </w:p>
          <w:p w:rsidR="00A67ADB" w:rsidRPr="00A67ADB" w:rsidRDefault="00EE415D" w:rsidP="00A67ADB">
            <w:pPr>
              <w:jc w:val="both"/>
              <w:rPr>
                <w:b/>
                <w:lang w:val="fr-CA"/>
              </w:rPr>
            </w:pPr>
            <w:r w:rsidRPr="00A67ADB">
              <w:rPr>
                <w:b/>
                <w:lang w:val="en-US"/>
              </w:rPr>
              <w:fldChar w:fldCharType="begin"/>
            </w:r>
            <w:r w:rsidR="00A67ADB" w:rsidRPr="00A67ADB">
              <w:rPr>
                <w:b/>
                <w:lang w:val="fr-CA"/>
              </w:rPr>
              <w:instrText xml:space="preserve"> SEQ CHAPTER \h \r 1</w:instrText>
            </w:r>
            <w:r w:rsidRPr="00A67ADB">
              <w:rPr>
                <w:b/>
                <w:lang w:val="en-US"/>
              </w:rPr>
              <w:fldChar w:fldCharType="end"/>
            </w:r>
            <w:r w:rsidRPr="00A67ADB">
              <w:rPr>
                <w:b/>
                <w:lang w:val="en-US"/>
              </w:rPr>
              <w:fldChar w:fldCharType="begin"/>
            </w:r>
            <w:r w:rsidR="00A67ADB" w:rsidRPr="00A67ADB">
              <w:rPr>
                <w:b/>
                <w:lang w:val="fr-CA"/>
              </w:rPr>
              <w:instrText xml:space="preserve"> SEQ CHAPTER \h \r 1</w:instrText>
            </w:r>
            <w:r w:rsidRPr="00A67ADB">
              <w:rPr>
                <w:b/>
                <w:lang w:val="en-US"/>
              </w:rPr>
              <w:fldChar w:fldCharType="end"/>
            </w:r>
          </w:p>
        </w:tc>
      </w:tr>
      <w:tr w:rsidR="00A67ADB" w:rsidRPr="00A67ADB" w:rsidTr="00480963">
        <w:trPr>
          <w:trHeight w:val="150"/>
        </w:trPr>
        <w:tc>
          <w:tcPr>
            <w:tcW w:w="4338" w:type="dxa"/>
          </w:tcPr>
          <w:p w:rsidR="00A67ADB" w:rsidRPr="00A67ADB" w:rsidRDefault="00A67ADB" w:rsidP="00A67ADB">
            <w:pPr>
              <w:tabs>
                <w:tab w:val="left" w:pos="-1440"/>
                <w:tab w:val="left" w:pos="-720"/>
              </w:tabs>
              <w:jc w:val="both"/>
              <w:rPr>
                <w:lang w:val="fr-CA"/>
              </w:rPr>
            </w:pPr>
            <w:r w:rsidRPr="00A67ADB">
              <w:rPr>
                <w:lang w:val="fr-CA"/>
              </w:rPr>
              <w:t>Monica Loughlin</w:t>
            </w:r>
          </w:p>
          <w:p w:rsidR="00A67ADB" w:rsidRPr="00A67ADB" w:rsidRDefault="00A67ADB" w:rsidP="00A67ADB">
            <w:pPr>
              <w:tabs>
                <w:tab w:val="left" w:pos="-1440"/>
                <w:tab w:val="left" w:pos="-720"/>
              </w:tabs>
              <w:jc w:val="both"/>
              <w:rPr>
                <w:lang w:val="fr-CA"/>
              </w:rPr>
            </w:pPr>
          </w:p>
          <w:p w:rsidR="00A67ADB" w:rsidRPr="00A67ADB" w:rsidRDefault="00A67ADB" w:rsidP="00A67ADB">
            <w:pPr>
              <w:tabs>
                <w:tab w:val="left" w:pos="-1440"/>
                <w:tab w:val="left" w:pos="-720"/>
              </w:tabs>
              <w:jc w:val="both"/>
              <w:rPr>
                <w:lang w:val="fr-CA"/>
              </w:rPr>
            </w:pPr>
            <w:r w:rsidRPr="00A67ADB">
              <w:rPr>
                <w:lang w:val="fr-CA"/>
              </w:rPr>
              <w:tab/>
              <w:t>v. (35776)</w:t>
            </w:r>
          </w:p>
          <w:p w:rsidR="00A67ADB" w:rsidRPr="00A67ADB" w:rsidRDefault="00A67ADB" w:rsidP="00A67ADB">
            <w:pPr>
              <w:tabs>
                <w:tab w:val="left" w:pos="-1440"/>
                <w:tab w:val="left" w:pos="-720"/>
              </w:tabs>
              <w:jc w:val="both"/>
              <w:rPr>
                <w:lang w:val="fr-CA"/>
              </w:rPr>
            </w:pPr>
          </w:p>
          <w:p w:rsidR="00A67ADB" w:rsidRPr="00A67ADB" w:rsidRDefault="00A67ADB" w:rsidP="00A67ADB">
            <w:pPr>
              <w:tabs>
                <w:tab w:val="left" w:pos="-1440"/>
                <w:tab w:val="left" w:pos="-720"/>
              </w:tabs>
              <w:jc w:val="both"/>
              <w:rPr>
                <w:lang w:val="fr-CA"/>
              </w:rPr>
            </w:pPr>
            <w:r w:rsidRPr="00A67ADB">
              <w:rPr>
                <w:lang w:val="fr-CA"/>
              </w:rPr>
              <w:t>Abigail Gordon et al. (Alta.)</w:t>
            </w:r>
          </w:p>
        </w:tc>
        <w:tc>
          <w:tcPr>
            <w:tcW w:w="1170" w:type="dxa"/>
          </w:tcPr>
          <w:p w:rsidR="00A67ADB" w:rsidRPr="00A67ADB" w:rsidRDefault="00A67ADB" w:rsidP="00A67ADB">
            <w:pPr>
              <w:jc w:val="both"/>
              <w:rPr>
                <w:lang w:val="fr-CA"/>
              </w:rPr>
            </w:pPr>
          </w:p>
        </w:tc>
        <w:tc>
          <w:tcPr>
            <w:tcW w:w="4327" w:type="dxa"/>
          </w:tcPr>
          <w:p w:rsidR="00A67ADB" w:rsidRPr="00A67ADB" w:rsidRDefault="00A67ADB" w:rsidP="00A67ADB">
            <w:pPr>
              <w:jc w:val="both"/>
              <w:rPr>
                <w:lang w:val="fr-CA"/>
              </w:rPr>
            </w:pPr>
          </w:p>
        </w:tc>
      </w:tr>
    </w:tbl>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b/>
          <w:sz w:val="20"/>
          <w:szCs w:val="20"/>
          <w:lang w:val="fr-CA" w:eastAsia="en-CA"/>
        </w:rPr>
        <w:t>GRANTED / ACCORDÉE</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jc w:val="both"/>
        <w:rPr>
          <w:rFonts w:eastAsia="Times New Roman" w:cs="Times New Roman"/>
          <w:sz w:val="20"/>
          <w:szCs w:val="20"/>
          <w:lang w:val="en-US" w:eastAsia="en-CA"/>
        </w:rPr>
      </w:pPr>
      <w:r w:rsidRPr="00A67ADB">
        <w:rPr>
          <w:rFonts w:eastAsia="Times New Roman" w:cs="Times New Roman"/>
          <w:b/>
          <w:sz w:val="20"/>
          <w:szCs w:val="20"/>
          <w:lang w:val="en-US" w:eastAsia="en-CA"/>
        </w:rPr>
        <w:t>UPON APPLICATION</w:t>
      </w:r>
      <w:r w:rsidRPr="00A67ADB">
        <w:rPr>
          <w:rFonts w:eastAsia="Times New Roman" w:cs="Times New Roman"/>
          <w:sz w:val="20"/>
          <w:szCs w:val="20"/>
          <w:lang w:val="en-US" w:eastAsia="en-CA"/>
        </w:rPr>
        <w:t xml:space="preserve"> </w:t>
      </w:r>
      <w:r w:rsidR="00EE415D" w:rsidRPr="00A67ADB">
        <w:rPr>
          <w:rFonts w:eastAsia="Times New Roman" w:cs="Times New Roman"/>
          <w:sz w:val="20"/>
          <w:szCs w:val="20"/>
          <w:lang w:val="en-US" w:eastAsia="en-CA"/>
        </w:rPr>
        <w:fldChar w:fldCharType="begin"/>
      </w:r>
      <w:r w:rsidRPr="00A67ADB">
        <w:rPr>
          <w:rFonts w:eastAsia="Times New Roman" w:cs="Times New Roman"/>
          <w:sz w:val="20"/>
          <w:szCs w:val="20"/>
          <w:lang w:val="en-US" w:eastAsia="en-CA"/>
        </w:rPr>
        <w:instrText xml:space="preserve"> SEQ CHAPTER \h \r 1</w:instrText>
      </w:r>
      <w:r w:rsidR="00EE415D" w:rsidRPr="00A67ADB">
        <w:rPr>
          <w:rFonts w:eastAsia="Times New Roman" w:cs="Times New Roman"/>
          <w:sz w:val="20"/>
          <w:szCs w:val="20"/>
          <w:lang w:val="en-US" w:eastAsia="en-CA"/>
        </w:rPr>
        <w:fldChar w:fldCharType="end"/>
      </w:r>
      <w:r w:rsidRPr="00A67ADB">
        <w:rPr>
          <w:rFonts w:eastAsia="Times New Roman" w:cs="Times New Roman"/>
          <w:sz w:val="20"/>
          <w:szCs w:val="20"/>
          <w:lang w:val="en-US" w:eastAsia="en-CA"/>
        </w:rPr>
        <w:t>by the applicant pursuant to the provisions of Rule 32(2) for an order to file additional materials, namely:</w:t>
      </w: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numPr>
          <w:ilvl w:val="0"/>
          <w:numId w:val="7"/>
        </w:numPr>
        <w:autoSpaceDE w:val="0"/>
        <w:autoSpaceDN w:val="0"/>
        <w:adjustRightInd w:val="0"/>
        <w:contextualSpacing/>
        <w:jc w:val="both"/>
        <w:rPr>
          <w:rFonts w:cs="Times New Roman"/>
          <w:sz w:val="20"/>
          <w:szCs w:val="20"/>
        </w:rPr>
      </w:pPr>
      <w:r w:rsidRPr="00A67ADB">
        <w:rPr>
          <w:rFonts w:cs="Times New Roman"/>
          <w:sz w:val="20"/>
          <w:szCs w:val="20"/>
        </w:rPr>
        <w:t>Motion for an extension of time to serve and file a reply to the response to the application for leave to appeal;</w:t>
      </w:r>
    </w:p>
    <w:p w:rsidR="00A67ADB" w:rsidRPr="00A67ADB" w:rsidRDefault="00A67ADB" w:rsidP="00A67ADB">
      <w:pPr>
        <w:autoSpaceDE w:val="0"/>
        <w:autoSpaceDN w:val="0"/>
        <w:adjustRightInd w:val="0"/>
        <w:ind w:left="720"/>
        <w:contextualSpacing/>
        <w:jc w:val="both"/>
        <w:rPr>
          <w:rFonts w:cs="Times New Roman"/>
          <w:sz w:val="20"/>
          <w:szCs w:val="20"/>
        </w:rPr>
      </w:pPr>
    </w:p>
    <w:p w:rsidR="00A67ADB" w:rsidRPr="00A67ADB" w:rsidRDefault="00A67ADB" w:rsidP="00A67ADB">
      <w:pPr>
        <w:numPr>
          <w:ilvl w:val="0"/>
          <w:numId w:val="7"/>
        </w:numPr>
        <w:autoSpaceDE w:val="0"/>
        <w:autoSpaceDN w:val="0"/>
        <w:adjustRightInd w:val="0"/>
        <w:contextualSpacing/>
        <w:jc w:val="both"/>
        <w:rPr>
          <w:rFonts w:cs="Times New Roman"/>
          <w:sz w:val="20"/>
          <w:szCs w:val="20"/>
        </w:rPr>
      </w:pPr>
      <w:r w:rsidRPr="00A67ADB">
        <w:rPr>
          <w:rFonts w:cs="Times New Roman"/>
          <w:sz w:val="20"/>
          <w:szCs w:val="20"/>
        </w:rPr>
        <w:t>Motion to file a lengthy memorandum of argument; and</w:t>
      </w:r>
    </w:p>
    <w:p w:rsidR="00A67ADB" w:rsidRPr="00A67ADB" w:rsidRDefault="00A67ADB" w:rsidP="00A67ADB">
      <w:pPr>
        <w:autoSpaceDE w:val="0"/>
        <w:autoSpaceDN w:val="0"/>
        <w:adjustRightInd w:val="0"/>
        <w:ind w:left="720"/>
        <w:contextualSpacing/>
        <w:jc w:val="both"/>
        <w:rPr>
          <w:rFonts w:cs="Times New Roman"/>
          <w:sz w:val="20"/>
          <w:szCs w:val="20"/>
        </w:rPr>
      </w:pPr>
    </w:p>
    <w:p w:rsidR="00A67ADB" w:rsidRPr="00A67ADB" w:rsidRDefault="00A67ADB" w:rsidP="00A67ADB">
      <w:pPr>
        <w:numPr>
          <w:ilvl w:val="0"/>
          <w:numId w:val="7"/>
        </w:numPr>
        <w:autoSpaceDE w:val="0"/>
        <w:autoSpaceDN w:val="0"/>
        <w:adjustRightInd w:val="0"/>
        <w:contextualSpacing/>
        <w:jc w:val="both"/>
        <w:rPr>
          <w:rFonts w:cs="Times New Roman"/>
          <w:sz w:val="20"/>
          <w:szCs w:val="20"/>
        </w:rPr>
      </w:pPr>
      <w:r w:rsidRPr="00A67ADB">
        <w:rPr>
          <w:rFonts w:cs="Times New Roman"/>
          <w:sz w:val="20"/>
          <w:szCs w:val="20"/>
        </w:rPr>
        <w:t>Reply to the response to the application for leave to appeal;</w:t>
      </w:r>
    </w:p>
    <w:p w:rsidR="00A67ADB" w:rsidRPr="00A67ADB" w:rsidRDefault="00A67ADB" w:rsidP="00A67ADB">
      <w:pPr>
        <w:autoSpaceDE w:val="0"/>
        <w:autoSpaceDN w:val="0"/>
        <w:adjustRightInd w:val="0"/>
        <w:jc w:val="both"/>
        <w:rPr>
          <w:rFonts w:eastAsia="Times New Roman" w:cs="Times New Roman"/>
          <w:sz w:val="20"/>
          <w:szCs w:val="20"/>
          <w:lang w:val="en-US" w:eastAsia="en-CA"/>
        </w:rPr>
      </w:pPr>
    </w:p>
    <w:p w:rsidR="00A67ADB" w:rsidRPr="00A67ADB" w:rsidRDefault="00A67ADB" w:rsidP="00A67ADB">
      <w:pPr>
        <w:autoSpaceDE w:val="0"/>
        <w:autoSpaceDN w:val="0"/>
        <w:adjustRightInd w:val="0"/>
        <w:jc w:val="both"/>
        <w:rPr>
          <w:rFonts w:eastAsia="Times New Roman" w:cs="Times New Roman"/>
          <w:sz w:val="20"/>
          <w:szCs w:val="20"/>
          <w:lang w:val="en-US" w:eastAsia="en-CA"/>
        </w:rPr>
      </w:pPr>
      <w:r w:rsidRPr="00A67ADB">
        <w:rPr>
          <w:rFonts w:eastAsia="Times New Roman" w:cs="Times New Roman"/>
          <w:b/>
          <w:sz w:val="20"/>
          <w:szCs w:val="20"/>
          <w:lang w:val="en-US" w:eastAsia="en-CA"/>
        </w:rPr>
        <w:t xml:space="preserve">AND UPON APPLICATION </w:t>
      </w:r>
      <w:r w:rsidRPr="00A67ADB">
        <w:rPr>
          <w:rFonts w:eastAsia="Times New Roman" w:cs="Times New Roman"/>
          <w:sz w:val="20"/>
          <w:szCs w:val="20"/>
          <w:lang w:val="en-US" w:eastAsia="en-CA"/>
        </w:rPr>
        <w:t>by the applicant for an extension of time to serve and file the reply to the response to the application for leave to appeal;</w:t>
      </w:r>
    </w:p>
    <w:p w:rsidR="00A67ADB" w:rsidRPr="00A67ADB" w:rsidRDefault="00A67ADB" w:rsidP="00A67ADB">
      <w:pPr>
        <w:autoSpaceDE w:val="0"/>
        <w:autoSpaceDN w:val="0"/>
        <w:adjustRightInd w:val="0"/>
        <w:jc w:val="both"/>
        <w:rPr>
          <w:rFonts w:eastAsia="Times New Roman" w:cs="Times New Roman"/>
          <w:b/>
          <w:sz w:val="20"/>
          <w:szCs w:val="20"/>
          <w:lang w:val="en-US" w:eastAsia="en-CA"/>
        </w:rPr>
      </w:pPr>
    </w:p>
    <w:p w:rsidR="00A67ADB" w:rsidRPr="00A67ADB" w:rsidRDefault="00A67ADB" w:rsidP="00A67ADB">
      <w:pPr>
        <w:autoSpaceDE w:val="0"/>
        <w:autoSpaceDN w:val="0"/>
        <w:adjustRightInd w:val="0"/>
        <w:jc w:val="both"/>
        <w:rPr>
          <w:rFonts w:eastAsia="Times New Roman" w:cs="Times New Roman"/>
          <w:sz w:val="20"/>
          <w:szCs w:val="20"/>
          <w:lang w:val="en-US" w:eastAsia="en-CA"/>
        </w:rPr>
      </w:pPr>
      <w:r w:rsidRPr="00A67ADB">
        <w:rPr>
          <w:rFonts w:eastAsia="Times New Roman" w:cs="Times New Roman"/>
          <w:b/>
          <w:sz w:val="20"/>
          <w:szCs w:val="20"/>
          <w:lang w:val="en-US" w:eastAsia="en-CA"/>
        </w:rPr>
        <w:t xml:space="preserve">AND UPON APPLICATION </w:t>
      </w:r>
      <w:r w:rsidRPr="00A67ADB">
        <w:rPr>
          <w:rFonts w:eastAsia="Times New Roman" w:cs="Times New Roman"/>
          <w:sz w:val="20"/>
          <w:szCs w:val="20"/>
          <w:lang w:val="en-US" w:eastAsia="en-CA"/>
        </w:rPr>
        <w:t>by the applicant for an order granting leave to file a lengthy memorandum of argument;</w:t>
      </w:r>
    </w:p>
    <w:p w:rsidR="00A67ADB" w:rsidRPr="00A67ADB" w:rsidRDefault="00A67ADB" w:rsidP="00A67ADB">
      <w:pPr>
        <w:autoSpaceDE w:val="0"/>
        <w:autoSpaceDN w:val="0"/>
        <w:adjustRightInd w:val="0"/>
        <w:contextualSpacing/>
        <w:jc w:val="both"/>
        <w:rPr>
          <w:sz w:val="20"/>
          <w:szCs w:val="20"/>
        </w:rPr>
      </w:pPr>
      <w:r w:rsidRPr="00A67ADB">
        <w:rPr>
          <w:rFonts w:cs="Times New Roman"/>
          <w:sz w:val="20"/>
          <w:szCs w:val="20"/>
        </w:rPr>
        <w:t xml:space="preserve"> </w:t>
      </w:r>
    </w:p>
    <w:p w:rsidR="00A67ADB" w:rsidRPr="00A67ADB" w:rsidRDefault="00EE415D" w:rsidP="00A67ADB">
      <w:pPr>
        <w:jc w:val="both"/>
        <w:rPr>
          <w:rFonts w:eastAsia="Times New Roman" w:cs="Times New Roman"/>
          <w:sz w:val="20"/>
          <w:szCs w:val="20"/>
          <w:lang w:val="en-US" w:eastAsia="en-CA"/>
        </w:rPr>
      </w:pPr>
      <w:r w:rsidRPr="00A67ADB">
        <w:rPr>
          <w:rFonts w:eastAsia="Times New Roman" w:cs="Times New Roman"/>
          <w:sz w:val="20"/>
          <w:szCs w:val="20"/>
          <w:lang w:val="en-US" w:eastAsia="en-CA"/>
        </w:rPr>
        <w:fldChar w:fldCharType="begin"/>
      </w:r>
      <w:r w:rsidR="00A67ADB" w:rsidRPr="00A67ADB">
        <w:rPr>
          <w:rFonts w:eastAsia="Times New Roman" w:cs="Times New Roman"/>
          <w:sz w:val="20"/>
          <w:szCs w:val="20"/>
          <w:lang w:val="en-US" w:eastAsia="en-CA"/>
        </w:rPr>
        <w:instrText xml:space="preserve"> SEQ CHAPTER \h \r 1</w:instrText>
      </w:r>
      <w:r w:rsidRPr="00A67ADB">
        <w:rPr>
          <w:rFonts w:eastAsia="Times New Roman" w:cs="Times New Roman"/>
          <w:sz w:val="20"/>
          <w:szCs w:val="20"/>
          <w:lang w:val="en-US" w:eastAsia="en-CA"/>
        </w:rPr>
        <w:fldChar w:fldCharType="end"/>
      </w:r>
      <w:r w:rsidR="00A67ADB" w:rsidRPr="00A67ADB">
        <w:rPr>
          <w:rFonts w:eastAsia="Times New Roman" w:cs="Times New Roman"/>
          <w:b/>
          <w:bCs/>
          <w:sz w:val="20"/>
          <w:szCs w:val="20"/>
          <w:lang w:val="en-US" w:eastAsia="en-CA"/>
        </w:rPr>
        <w:t>AND HAVING READ</w:t>
      </w:r>
      <w:r w:rsidR="00A67ADB" w:rsidRPr="00A67ADB">
        <w:rPr>
          <w:rFonts w:eastAsia="Times New Roman" w:cs="Times New Roman"/>
          <w:sz w:val="20"/>
          <w:szCs w:val="20"/>
          <w:lang w:val="en-US" w:eastAsia="en-CA"/>
        </w:rPr>
        <w:t xml:space="preserve"> the material filed;</w:t>
      </w: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b/>
          <w:sz w:val="20"/>
          <w:szCs w:val="20"/>
          <w:lang w:val="en-US" w:eastAsia="en-CA"/>
        </w:rPr>
      </w:pPr>
      <w:r w:rsidRPr="00A67ADB">
        <w:rPr>
          <w:rFonts w:eastAsia="Times New Roman" w:cs="Times New Roman"/>
          <w:b/>
          <w:sz w:val="20"/>
          <w:szCs w:val="20"/>
          <w:lang w:val="en-US" w:eastAsia="en-CA"/>
        </w:rPr>
        <w:t>IT IS HEREBY ORDERED THAT:</w:t>
      </w:r>
    </w:p>
    <w:p w:rsidR="00A67ADB" w:rsidRPr="00A67ADB" w:rsidRDefault="00A67ADB" w:rsidP="00A67ADB">
      <w:pPr>
        <w:contextualSpacing/>
        <w:jc w:val="both"/>
        <w:rPr>
          <w:sz w:val="20"/>
          <w:szCs w:val="20"/>
        </w:rPr>
      </w:pPr>
    </w:p>
    <w:p w:rsidR="00A67ADB" w:rsidRPr="00A67ADB" w:rsidRDefault="00A67ADB" w:rsidP="00A67ADB">
      <w:pPr>
        <w:jc w:val="both"/>
        <w:rPr>
          <w:rFonts w:eastAsia="Times New Roman" w:cs="Times New Roman"/>
          <w:sz w:val="20"/>
          <w:szCs w:val="20"/>
          <w:lang w:val="en-US" w:eastAsia="en-CA"/>
        </w:rPr>
      </w:pPr>
      <w:r w:rsidRPr="00A67ADB">
        <w:rPr>
          <w:rFonts w:eastAsia="Times New Roman" w:cs="Times New Roman"/>
          <w:sz w:val="20"/>
          <w:szCs w:val="20"/>
          <w:lang w:val="en-US" w:eastAsia="en-CA"/>
        </w:rPr>
        <w:t>The motions are granted. The applicant shall serve and file the reply to the response to the application for leave to appeal no later than May 27, 2014. The applicant is permitted to serve and file the reply by electronic mail only and need not serve and file a printed version.</w:t>
      </w: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sz w:val="20"/>
          <w:szCs w:val="20"/>
          <w:lang w:val="fr-CA" w:eastAsia="en-CA"/>
        </w:rPr>
      </w:pPr>
      <w:r w:rsidRPr="00A67ADB">
        <w:rPr>
          <w:rFonts w:eastAsia="Times New Roman" w:cs="Times New Roman"/>
          <w:b/>
          <w:sz w:val="20"/>
          <w:szCs w:val="20"/>
          <w:lang w:val="fr-CA" w:eastAsia="en-CA"/>
        </w:rPr>
        <w:t xml:space="preserve">À LA SUITE DE LA DEMANDE </w:t>
      </w:r>
      <w:r w:rsidRPr="00A67ADB">
        <w:rPr>
          <w:rFonts w:eastAsia="Times New Roman" w:cs="Times New Roman"/>
          <w:sz w:val="20"/>
          <w:szCs w:val="20"/>
          <w:lang w:val="fr-CA" w:eastAsia="en-CA"/>
        </w:rPr>
        <w:t xml:space="preserve">présentée par la demanderesse en application du paragraphe </w:t>
      </w:r>
      <w:r w:rsidR="00EE415D" w:rsidRPr="00A67ADB">
        <w:rPr>
          <w:rFonts w:eastAsia="Times New Roman" w:cs="Times New Roman"/>
          <w:sz w:val="20"/>
          <w:szCs w:val="20"/>
          <w:lang w:val="en-US" w:eastAsia="en-CA"/>
        </w:rPr>
        <w:fldChar w:fldCharType="begin"/>
      </w:r>
      <w:r w:rsidRPr="00A67ADB">
        <w:rPr>
          <w:rFonts w:eastAsia="Times New Roman" w:cs="Times New Roman"/>
          <w:sz w:val="20"/>
          <w:szCs w:val="20"/>
          <w:lang w:val="fr-CA" w:eastAsia="en-CA"/>
        </w:rPr>
        <w:instrText xml:space="preserve"> SEQ CHAPTER \h \r 1</w:instrText>
      </w:r>
      <w:r w:rsidR="00EE415D" w:rsidRPr="00A67ADB">
        <w:rPr>
          <w:rFonts w:eastAsia="Times New Roman" w:cs="Times New Roman"/>
          <w:sz w:val="20"/>
          <w:szCs w:val="20"/>
          <w:lang w:val="en-US" w:eastAsia="en-CA"/>
        </w:rPr>
        <w:fldChar w:fldCharType="end"/>
      </w:r>
      <w:r w:rsidRPr="00A67ADB">
        <w:rPr>
          <w:rFonts w:eastAsia="Times New Roman" w:cs="Times New Roman"/>
          <w:sz w:val="20"/>
          <w:szCs w:val="20"/>
          <w:lang w:val="fr-CA" w:eastAsia="en-CA"/>
        </w:rPr>
        <w:t>32(2) des Règles pour obtenir une ordonnance l’autorisant à déposer des documents supplémentaires, soit :</w:t>
      </w:r>
    </w:p>
    <w:p w:rsidR="00A67ADB" w:rsidRPr="00A67ADB" w:rsidRDefault="00A67ADB" w:rsidP="00A67ADB">
      <w:pPr>
        <w:jc w:val="both"/>
        <w:rPr>
          <w:rFonts w:eastAsia="Times New Roman" w:cs="Times New Roman"/>
          <w:sz w:val="20"/>
          <w:szCs w:val="20"/>
          <w:lang w:val="fr-CA" w:eastAsia="en-CA"/>
        </w:rPr>
      </w:pPr>
    </w:p>
    <w:p w:rsidR="00A67ADB" w:rsidRPr="00A67ADB" w:rsidRDefault="00A67ADB" w:rsidP="00A67ADB">
      <w:pPr>
        <w:numPr>
          <w:ilvl w:val="0"/>
          <w:numId w:val="8"/>
        </w:numPr>
        <w:autoSpaceDE w:val="0"/>
        <w:autoSpaceDN w:val="0"/>
        <w:adjustRightInd w:val="0"/>
        <w:contextualSpacing/>
        <w:jc w:val="both"/>
        <w:rPr>
          <w:rFonts w:cs="Times New Roman"/>
          <w:sz w:val="20"/>
          <w:szCs w:val="20"/>
          <w:lang w:val="fr-CA"/>
        </w:rPr>
      </w:pPr>
      <w:r w:rsidRPr="00A67ADB">
        <w:rPr>
          <w:rFonts w:cs="Times New Roman"/>
          <w:sz w:val="20"/>
          <w:szCs w:val="20"/>
          <w:lang w:val="fr-CA"/>
        </w:rPr>
        <w:t xml:space="preserve">une requête en prorogation du délai pour signifier et déposer une réplique à la réponse à la demande d’autorisation d’appel; </w:t>
      </w:r>
    </w:p>
    <w:p w:rsidR="00A67ADB" w:rsidRPr="00A67ADB" w:rsidRDefault="00A67ADB" w:rsidP="00A67ADB">
      <w:pPr>
        <w:autoSpaceDE w:val="0"/>
        <w:autoSpaceDN w:val="0"/>
        <w:adjustRightInd w:val="0"/>
        <w:ind w:left="720"/>
        <w:contextualSpacing/>
        <w:jc w:val="both"/>
        <w:rPr>
          <w:rFonts w:cs="Times New Roman"/>
          <w:sz w:val="20"/>
          <w:szCs w:val="20"/>
          <w:lang w:val="fr-CA"/>
        </w:rPr>
      </w:pPr>
    </w:p>
    <w:p w:rsidR="00A67ADB" w:rsidRPr="00A67ADB" w:rsidRDefault="00A67ADB" w:rsidP="00A67ADB">
      <w:pPr>
        <w:numPr>
          <w:ilvl w:val="0"/>
          <w:numId w:val="8"/>
        </w:numPr>
        <w:autoSpaceDE w:val="0"/>
        <w:autoSpaceDN w:val="0"/>
        <w:adjustRightInd w:val="0"/>
        <w:contextualSpacing/>
        <w:jc w:val="both"/>
        <w:rPr>
          <w:rFonts w:cs="Times New Roman"/>
          <w:sz w:val="20"/>
          <w:szCs w:val="20"/>
          <w:lang w:val="fr-CA"/>
        </w:rPr>
      </w:pPr>
      <w:r w:rsidRPr="00A67ADB">
        <w:rPr>
          <w:rFonts w:cs="Times New Roman"/>
          <w:sz w:val="20"/>
          <w:szCs w:val="20"/>
          <w:lang w:val="fr-CA"/>
        </w:rPr>
        <w:t xml:space="preserve">une requête en dépôt d’un mémoire volumineux; </w:t>
      </w:r>
    </w:p>
    <w:p w:rsidR="00A67ADB" w:rsidRPr="00A67ADB" w:rsidRDefault="00A67ADB" w:rsidP="00A67ADB">
      <w:pPr>
        <w:autoSpaceDE w:val="0"/>
        <w:autoSpaceDN w:val="0"/>
        <w:adjustRightInd w:val="0"/>
        <w:ind w:left="720"/>
        <w:contextualSpacing/>
        <w:jc w:val="both"/>
        <w:rPr>
          <w:rFonts w:cs="Times New Roman"/>
          <w:sz w:val="20"/>
          <w:szCs w:val="20"/>
          <w:lang w:val="fr-CA"/>
        </w:rPr>
      </w:pPr>
    </w:p>
    <w:p w:rsidR="00A67ADB" w:rsidRPr="00A67ADB" w:rsidRDefault="00A67ADB" w:rsidP="00A67ADB">
      <w:pPr>
        <w:numPr>
          <w:ilvl w:val="0"/>
          <w:numId w:val="8"/>
        </w:numPr>
        <w:autoSpaceDE w:val="0"/>
        <w:autoSpaceDN w:val="0"/>
        <w:adjustRightInd w:val="0"/>
        <w:contextualSpacing/>
        <w:jc w:val="both"/>
        <w:rPr>
          <w:rFonts w:cs="Times New Roman"/>
          <w:sz w:val="20"/>
          <w:szCs w:val="20"/>
          <w:lang w:val="fr-CA"/>
        </w:rPr>
      </w:pPr>
      <w:r w:rsidRPr="00A67ADB">
        <w:rPr>
          <w:rFonts w:cs="Times New Roman"/>
          <w:sz w:val="20"/>
          <w:szCs w:val="20"/>
          <w:lang w:val="fr-CA"/>
        </w:rPr>
        <w:t xml:space="preserve">une réplique à la réponse à la demande d’autorisation d’appel; </w:t>
      </w:r>
    </w:p>
    <w:p w:rsidR="00A67ADB" w:rsidRPr="00A67ADB" w:rsidRDefault="00A67ADB" w:rsidP="00A67ADB">
      <w:pPr>
        <w:autoSpaceDE w:val="0"/>
        <w:autoSpaceDN w:val="0"/>
        <w:adjustRightInd w:val="0"/>
        <w:jc w:val="both"/>
        <w:rPr>
          <w:rFonts w:eastAsia="Times New Roman" w:cs="Times New Roman"/>
          <w:sz w:val="20"/>
          <w:szCs w:val="20"/>
          <w:lang w:val="fr-CA" w:eastAsia="en-CA"/>
        </w:rPr>
      </w:pPr>
    </w:p>
    <w:p w:rsidR="00A67ADB" w:rsidRPr="00A67ADB" w:rsidRDefault="00A67ADB" w:rsidP="00A67ADB">
      <w:pPr>
        <w:autoSpaceDE w:val="0"/>
        <w:autoSpaceDN w:val="0"/>
        <w:adjustRightInd w:val="0"/>
        <w:jc w:val="both"/>
        <w:rPr>
          <w:rFonts w:eastAsia="Times New Roman" w:cs="Times New Roman"/>
          <w:sz w:val="20"/>
          <w:szCs w:val="20"/>
          <w:lang w:val="fr-CA" w:eastAsia="en-CA"/>
        </w:rPr>
      </w:pPr>
      <w:r w:rsidRPr="00A67ADB">
        <w:rPr>
          <w:rFonts w:eastAsia="Times New Roman" w:cs="Times New Roman"/>
          <w:b/>
          <w:sz w:val="20"/>
          <w:szCs w:val="20"/>
          <w:lang w:val="fr-CA" w:eastAsia="en-CA"/>
        </w:rPr>
        <w:t xml:space="preserve">ET À LA SUITE DE LA DEMANDE </w:t>
      </w:r>
      <w:r w:rsidRPr="00A67ADB">
        <w:rPr>
          <w:rFonts w:eastAsia="Times New Roman" w:cs="Times New Roman"/>
          <w:sz w:val="20"/>
          <w:szCs w:val="20"/>
          <w:lang w:val="fr-CA" w:eastAsia="en-CA"/>
        </w:rPr>
        <w:t>présentée par la demanderesse en vue de faire proroger le délai pour signifier et déposer la réplique à la réponse à la demande d’autorisation d’appel;</w:t>
      </w:r>
    </w:p>
    <w:p w:rsidR="00A67ADB" w:rsidRPr="00A67ADB" w:rsidRDefault="00A67ADB" w:rsidP="00A67ADB">
      <w:pPr>
        <w:autoSpaceDE w:val="0"/>
        <w:autoSpaceDN w:val="0"/>
        <w:adjustRightInd w:val="0"/>
        <w:jc w:val="both"/>
        <w:rPr>
          <w:rFonts w:eastAsia="Times New Roman" w:cs="Times New Roman"/>
          <w:b/>
          <w:sz w:val="20"/>
          <w:szCs w:val="20"/>
          <w:lang w:val="fr-CA" w:eastAsia="en-CA"/>
        </w:rPr>
      </w:pPr>
    </w:p>
    <w:p w:rsidR="00A67ADB" w:rsidRPr="00A67ADB" w:rsidRDefault="00A67ADB" w:rsidP="00A67ADB">
      <w:pPr>
        <w:autoSpaceDE w:val="0"/>
        <w:autoSpaceDN w:val="0"/>
        <w:adjustRightInd w:val="0"/>
        <w:jc w:val="both"/>
        <w:rPr>
          <w:rFonts w:eastAsia="Times New Roman" w:cs="Times New Roman"/>
          <w:sz w:val="20"/>
          <w:szCs w:val="20"/>
          <w:lang w:val="fr-CA" w:eastAsia="en-CA"/>
        </w:rPr>
      </w:pPr>
      <w:r w:rsidRPr="00A67ADB">
        <w:rPr>
          <w:rFonts w:eastAsia="Times New Roman" w:cs="Times New Roman"/>
          <w:b/>
          <w:sz w:val="20"/>
          <w:szCs w:val="20"/>
          <w:lang w:val="fr-CA" w:eastAsia="en-CA"/>
        </w:rPr>
        <w:t xml:space="preserve">ET À LA SUITE DE LA DEMANDE </w:t>
      </w:r>
      <w:r w:rsidRPr="00A67ADB">
        <w:rPr>
          <w:rFonts w:eastAsia="Times New Roman" w:cs="Times New Roman"/>
          <w:sz w:val="20"/>
          <w:szCs w:val="20"/>
          <w:lang w:val="fr-CA" w:eastAsia="en-CA"/>
        </w:rPr>
        <w:t>présentée par la demanderesse</w:t>
      </w:r>
      <w:r w:rsidRPr="00A67ADB">
        <w:rPr>
          <w:rFonts w:eastAsia="Times New Roman" w:cs="Times New Roman"/>
          <w:b/>
          <w:sz w:val="20"/>
          <w:szCs w:val="20"/>
          <w:lang w:val="fr-CA" w:eastAsia="en-CA"/>
        </w:rPr>
        <w:t xml:space="preserve"> </w:t>
      </w:r>
      <w:r w:rsidRPr="00A67ADB">
        <w:rPr>
          <w:rFonts w:eastAsia="Times New Roman" w:cs="Times New Roman"/>
          <w:sz w:val="20"/>
          <w:szCs w:val="20"/>
          <w:lang w:val="fr-CA" w:eastAsia="en-CA"/>
        </w:rPr>
        <w:t>en vue d’obtenir une ordonnance l’autorisant à déposer un mémoire volumineux;</w:t>
      </w:r>
    </w:p>
    <w:p w:rsidR="00A67ADB" w:rsidRPr="00A67ADB" w:rsidRDefault="00A67ADB" w:rsidP="00A67ADB">
      <w:pPr>
        <w:autoSpaceDE w:val="0"/>
        <w:autoSpaceDN w:val="0"/>
        <w:adjustRightInd w:val="0"/>
        <w:ind w:left="720"/>
        <w:contextualSpacing/>
        <w:jc w:val="both"/>
        <w:rPr>
          <w:sz w:val="20"/>
          <w:szCs w:val="20"/>
          <w:lang w:val="fr-CA"/>
        </w:rPr>
      </w:pPr>
      <w:r w:rsidRPr="00A67ADB">
        <w:rPr>
          <w:rFonts w:cs="Times New Roman"/>
          <w:sz w:val="20"/>
          <w:szCs w:val="20"/>
          <w:lang w:val="fr-CA"/>
        </w:rPr>
        <w:t xml:space="preserve"> </w:t>
      </w:r>
    </w:p>
    <w:p w:rsidR="00A67ADB" w:rsidRPr="00A67ADB" w:rsidRDefault="00A67ADB" w:rsidP="00A67ADB">
      <w:pPr>
        <w:jc w:val="both"/>
        <w:rPr>
          <w:rFonts w:eastAsia="Times New Roman" w:cs="Times New Roman"/>
          <w:sz w:val="20"/>
          <w:szCs w:val="20"/>
          <w:lang w:val="fr-CA" w:eastAsia="en-CA"/>
        </w:rPr>
      </w:pPr>
      <w:r w:rsidRPr="00A67ADB">
        <w:rPr>
          <w:rFonts w:eastAsia="Times New Roman" w:cs="Times New Roman"/>
          <w:b/>
          <w:sz w:val="20"/>
          <w:szCs w:val="20"/>
          <w:lang w:val="fr-CA" w:eastAsia="en-CA"/>
        </w:rPr>
        <w:lastRenderedPageBreak/>
        <w:t xml:space="preserve">ET APRÈS EXAMEN </w:t>
      </w:r>
      <w:r w:rsidR="00EE415D" w:rsidRPr="00A67ADB">
        <w:rPr>
          <w:rFonts w:eastAsia="Times New Roman" w:cs="Times New Roman"/>
          <w:sz w:val="20"/>
          <w:szCs w:val="20"/>
          <w:lang w:val="en-US" w:eastAsia="en-CA"/>
        </w:rPr>
        <w:fldChar w:fldCharType="begin"/>
      </w:r>
      <w:r w:rsidRPr="00A67ADB">
        <w:rPr>
          <w:rFonts w:eastAsia="Times New Roman" w:cs="Times New Roman"/>
          <w:sz w:val="20"/>
          <w:szCs w:val="20"/>
          <w:lang w:val="fr-CA" w:eastAsia="en-CA"/>
        </w:rPr>
        <w:instrText xml:space="preserve"> SEQ CHAPTER \h \r 1</w:instrText>
      </w:r>
      <w:r w:rsidR="00EE415D" w:rsidRPr="00A67ADB">
        <w:rPr>
          <w:rFonts w:eastAsia="Times New Roman" w:cs="Times New Roman"/>
          <w:sz w:val="20"/>
          <w:szCs w:val="20"/>
          <w:lang w:val="en-US" w:eastAsia="en-CA"/>
        </w:rPr>
        <w:fldChar w:fldCharType="end"/>
      </w:r>
      <w:r w:rsidRPr="00A67ADB">
        <w:rPr>
          <w:rFonts w:eastAsia="Times New Roman" w:cs="Times New Roman"/>
          <w:sz w:val="20"/>
          <w:szCs w:val="20"/>
          <w:lang w:val="fr-CA" w:eastAsia="en-CA"/>
        </w:rPr>
        <w:t>des documents déposés;</w:t>
      </w:r>
    </w:p>
    <w:p w:rsidR="00A67ADB" w:rsidRPr="00A67ADB" w:rsidRDefault="00A67ADB" w:rsidP="00A67ADB">
      <w:pPr>
        <w:jc w:val="both"/>
        <w:rPr>
          <w:rFonts w:eastAsia="Times New Roman" w:cs="Times New Roman"/>
          <w:sz w:val="20"/>
          <w:szCs w:val="20"/>
          <w:lang w:val="fr-CA" w:eastAsia="en-CA"/>
        </w:rPr>
      </w:pPr>
    </w:p>
    <w:p w:rsidR="00A67ADB" w:rsidRPr="00A67ADB" w:rsidRDefault="00A67ADB" w:rsidP="00A67ADB">
      <w:pPr>
        <w:jc w:val="both"/>
        <w:rPr>
          <w:rFonts w:eastAsia="Times New Roman" w:cs="Times New Roman"/>
          <w:b/>
          <w:sz w:val="20"/>
          <w:szCs w:val="20"/>
          <w:lang w:val="fr-CA" w:eastAsia="en-CA"/>
        </w:rPr>
      </w:pPr>
      <w:r w:rsidRPr="00A67ADB">
        <w:rPr>
          <w:rFonts w:eastAsia="Times New Roman" w:cs="Times New Roman"/>
          <w:b/>
          <w:sz w:val="20"/>
          <w:szCs w:val="20"/>
          <w:lang w:val="fr-CA" w:eastAsia="en-CA"/>
        </w:rPr>
        <w:t>IL EST ORDONNÉ CE QUI SUIT :</w:t>
      </w:r>
    </w:p>
    <w:p w:rsidR="00A67ADB" w:rsidRPr="00A67ADB" w:rsidRDefault="00A67ADB" w:rsidP="00A67ADB">
      <w:pPr>
        <w:ind w:left="360"/>
        <w:contextualSpacing/>
        <w:jc w:val="both"/>
        <w:rPr>
          <w:sz w:val="20"/>
          <w:szCs w:val="20"/>
          <w:lang w:val="fr-CA"/>
        </w:rPr>
      </w:pPr>
    </w:p>
    <w:p w:rsidR="00A67ADB" w:rsidRPr="00A67ADB" w:rsidRDefault="00A67ADB" w:rsidP="00A67ADB">
      <w:pPr>
        <w:jc w:val="both"/>
        <w:rPr>
          <w:rFonts w:eastAsia="Times New Roman" w:cs="Times New Roman"/>
          <w:sz w:val="20"/>
          <w:szCs w:val="20"/>
          <w:lang w:val="fr-CA" w:eastAsia="en-CA"/>
        </w:rPr>
      </w:pPr>
      <w:r w:rsidRPr="00A67ADB">
        <w:rPr>
          <w:rFonts w:eastAsia="Times New Roman" w:cs="Times New Roman"/>
          <w:sz w:val="20"/>
          <w:szCs w:val="20"/>
          <w:lang w:val="fr-CA" w:eastAsia="en-CA"/>
        </w:rPr>
        <w:t xml:space="preserve">Les requêtes sont accueillies. La demanderesse signifiera et déposera la réplique à la réponse à la demande d’autorisation d’appel au plus tard le 27 mai 2014. Elle peut le faire par courrier électronique seulement et elle n’a pas à en signifier et à en déposer une version imprimée. </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5E19D3" w:rsidP="00A67AD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A67ADB" w:rsidRPr="00A67ADB" w:rsidRDefault="00A67ADB" w:rsidP="00A67ADB">
      <w:pPr>
        <w:tabs>
          <w:tab w:val="left" w:pos="-1440"/>
          <w:tab w:val="left" w:pos="-720"/>
        </w:tabs>
        <w:jc w:val="both"/>
        <w:rPr>
          <w:rFonts w:eastAsia="Times New Roman" w:cs="Times New Roman"/>
          <w:sz w:val="20"/>
          <w:szCs w:val="20"/>
          <w:lang w:eastAsia="en-CA"/>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sz w:val="20"/>
          <w:szCs w:val="20"/>
          <w:lang w:val="fr-CA" w:eastAsia="en-CA"/>
        </w:rPr>
        <w:t>23.05.2014</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tabs>
          <w:tab w:val="left" w:pos="-1440"/>
          <w:tab w:val="left" w:pos="-720"/>
        </w:tabs>
        <w:jc w:val="both"/>
        <w:rPr>
          <w:rFonts w:eastAsia="Times New Roman" w:cs="Times New Roman"/>
          <w:sz w:val="20"/>
          <w:szCs w:val="20"/>
          <w:lang w:eastAsia="en-CA"/>
        </w:rPr>
      </w:pPr>
      <w:r w:rsidRPr="00A67ADB">
        <w:rPr>
          <w:rFonts w:eastAsia="Times New Roman" w:cs="Times New Roman"/>
          <w:sz w:val="20"/>
          <w:szCs w:val="20"/>
          <w:lang w:val="fr-CA" w:eastAsia="en-CA"/>
        </w:rPr>
        <w:t xml:space="preserve">Before / Devant:   </w:t>
      </w:r>
      <w:r w:rsidRPr="00A67ADB">
        <w:rPr>
          <w:rFonts w:eastAsia="Times New Roman" w:cs="Times New Roman"/>
          <w:sz w:val="20"/>
          <w:szCs w:val="20"/>
          <w:lang w:eastAsia="en-CA"/>
        </w:rPr>
        <w:t>THE REGISTRAR / LE REGISTRAIRE</w:t>
      </w:r>
    </w:p>
    <w:p w:rsidR="00A67ADB" w:rsidRPr="00A67ADB" w:rsidRDefault="00A67ADB" w:rsidP="00A67ADB">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67ADB" w:rsidRPr="00A67ADB" w:rsidTr="00480963">
        <w:trPr>
          <w:trHeight w:val="151"/>
        </w:trPr>
        <w:tc>
          <w:tcPr>
            <w:tcW w:w="4338" w:type="dxa"/>
          </w:tcPr>
          <w:p w:rsidR="00A67ADB" w:rsidRPr="00A67ADB" w:rsidRDefault="00EE415D" w:rsidP="00A67ADB">
            <w:pPr>
              <w:tabs>
                <w:tab w:val="left" w:pos="-1440"/>
                <w:tab w:val="left" w:pos="-720"/>
              </w:tabs>
              <w:jc w:val="both"/>
              <w:rPr>
                <w:lang w:val="fr-CA"/>
              </w:rPr>
            </w:pPr>
            <w:r w:rsidRPr="00A67ADB">
              <w:rPr>
                <w:lang w:val="en-US"/>
              </w:rPr>
              <w:fldChar w:fldCharType="begin"/>
            </w:r>
            <w:r w:rsidR="00A67ADB" w:rsidRPr="00A67ADB">
              <w:rPr>
                <w:lang w:val="fr-CA"/>
              </w:rPr>
              <w:instrText xml:space="preserve"> SEQ CHAPTER \h \r 1</w:instrText>
            </w:r>
            <w:r w:rsidRPr="00A67ADB">
              <w:rPr>
                <w:lang w:val="en-US"/>
              </w:rPr>
              <w:fldChar w:fldCharType="end"/>
            </w:r>
            <w:r w:rsidR="00A67ADB" w:rsidRPr="00A67ADB">
              <w:rPr>
                <w:b/>
                <w:bCs/>
                <w:lang w:val="fr-CA"/>
              </w:rPr>
              <w:t>Miscellaneous motion</w:t>
            </w:r>
          </w:p>
          <w:p w:rsidR="00A67ADB" w:rsidRPr="00A67ADB" w:rsidRDefault="00EE415D" w:rsidP="00A67ADB">
            <w:pPr>
              <w:tabs>
                <w:tab w:val="left" w:pos="-1440"/>
                <w:tab w:val="left" w:pos="-720"/>
              </w:tabs>
              <w:jc w:val="both"/>
              <w:rPr>
                <w:lang w:val="fr-CA"/>
              </w:rPr>
            </w:pPr>
            <w:r w:rsidRPr="00A67ADB">
              <w:rPr>
                <w:lang w:val="en-US"/>
              </w:rPr>
              <w:fldChar w:fldCharType="begin"/>
            </w:r>
            <w:r w:rsidR="00A67ADB" w:rsidRPr="00A67ADB">
              <w:rPr>
                <w:lang w:val="fr-CA"/>
              </w:rPr>
              <w:instrText xml:space="preserve"> SEQ CHAPTER \h \r 1</w:instrText>
            </w:r>
            <w:r w:rsidRPr="00A67ADB">
              <w:rPr>
                <w:lang w:val="en-US"/>
              </w:rPr>
              <w:fldChar w:fldCharType="end"/>
            </w:r>
          </w:p>
        </w:tc>
        <w:tc>
          <w:tcPr>
            <w:tcW w:w="1170" w:type="dxa"/>
          </w:tcPr>
          <w:p w:rsidR="00A67ADB" w:rsidRPr="00A67ADB" w:rsidRDefault="00A67ADB" w:rsidP="00A67ADB">
            <w:pPr>
              <w:jc w:val="both"/>
              <w:rPr>
                <w:lang w:val="fr-CA"/>
              </w:rPr>
            </w:pPr>
          </w:p>
          <w:p w:rsidR="00A67ADB" w:rsidRPr="00A67ADB" w:rsidRDefault="00A67ADB" w:rsidP="00A67ADB">
            <w:pPr>
              <w:jc w:val="both"/>
              <w:rPr>
                <w:lang w:val="fr-CA"/>
              </w:rPr>
            </w:pPr>
          </w:p>
        </w:tc>
        <w:tc>
          <w:tcPr>
            <w:tcW w:w="4327" w:type="dxa"/>
          </w:tcPr>
          <w:p w:rsidR="00A67ADB" w:rsidRPr="00A67ADB" w:rsidRDefault="00EE415D" w:rsidP="00A67ADB">
            <w:pPr>
              <w:jc w:val="both"/>
              <w:rPr>
                <w:b/>
                <w:lang w:val="fr-CA"/>
              </w:rPr>
            </w:pPr>
            <w:r w:rsidRPr="00A67ADB">
              <w:rPr>
                <w:lang w:val="en-US"/>
              </w:rPr>
              <w:fldChar w:fldCharType="begin"/>
            </w:r>
            <w:r w:rsidR="00A67ADB" w:rsidRPr="00A67ADB">
              <w:rPr>
                <w:lang w:val="fr-CA"/>
              </w:rPr>
              <w:instrText xml:space="preserve"> SEQ CHAPTER \h \r 1</w:instrText>
            </w:r>
            <w:r w:rsidRPr="00A67ADB">
              <w:rPr>
                <w:lang w:val="en-US"/>
              </w:rPr>
              <w:fldChar w:fldCharType="end"/>
            </w:r>
            <w:r w:rsidR="00A67ADB" w:rsidRPr="00A67ADB">
              <w:rPr>
                <w:b/>
                <w:bCs/>
                <w:lang w:val="fr-CA"/>
              </w:rPr>
              <w:t>Requête diverse</w:t>
            </w:r>
          </w:p>
          <w:p w:rsidR="00A67ADB" w:rsidRPr="00A67ADB" w:rsidRDefault="00EE415D" w:rsidP="00A67ADB">
            <w:pPr>
              <w:jc w:val="both"/>
              <w:rPr>
                <w:b/>
                <w:lang w:val="fr-CA"/>
              </w:rPr>
            </w:pPr>
            <w:r w:rsidRPr="00A67ADB">
              <w:rPr>
                <w:b/>
                <w:lang w:val="en-US"/>
              </w:rPr>
              <w:fldChar w:fldCharType="begin"/>
            </w:r>
            <w:r w:rsidR="00A67ADB" w:rsidRPr="00A67ADB">
              <w:rPr>
                <w:b/>
                <w:lang w:val="fr-CA"/>
              </w:rPr>
              <w:instrText xml:space="preserve"> SEQ CHAPTER \h \r 1</w:instrText>
            </w:r>
            <w:r w:rsidRPr="00A67ADB">
              <w:rPr>
                <w:b/>
                <w:lang w:val="en-US"/>
              </w:rPr>
              <w:fldChar w:fldCharType="end"/>
            </w:r>
            <w:r w:rsidRPr="00A67ADB">
              <w:rPr>
                <w:b/>
                <w:lang w:val="en-US"/>
              </w:rPr>
              <w:fldChar w:fldCharType="begin"/>
            </w:r>
            <w:r w:rsidR="00A67ADB" w:rsidRPr="00A67ADB">
              <w:rPr>
                <w:b/>
                <w:lang w:val="fr-CA"/>
              </w:rPr>
              <w:instrText xml:space="preserve"> SEQ CHAPTER \h \r 1</w:instrText>
            </w:r>
            <w:r w:rsidRPr="00A67ADB">
              <w:rPr>
                <w:b/>
                <w:lang w:val="en-US"/>
              </w:rPr>
              <w:fldChar w:fldCharType="end"/>
            </w:r>
          </w:p>
        </w:tc>
      </w:tr>
      <w:tr w:rsidR="00A67ADB" w:rsidRPr="00A67ADB" w:rsidTr="00480963">
        <w:trPr>
          <w:trHeight w:val="150"/>
        </w:trPr>
        <w:tc>
          <w:tcPr>
            <w:tcW w:w="4338" w:type="dxa"/>
          </w:tcPr>
          <w:p w:rsidR="00A67ADB" w:rsidRPr="00A67ADB" w:rsidRDefault="00A67ADB" w:rsidP="00A67ADB">
            <w:pPr>
              <w:tabs>
                <w:tab w:val="left" w:pos="-1440"/>
                <w:tab w:val="left" w:pos="-720"/>
              </w:tabs>
              <w:jc w:val="both"/>
              <w:rPr>
                <w:lang w:val="fr-CA"/>
              </w:rPr>
            </w:pPr>
            <w:r w:rsidRPr="00A67ADB">
              <w:rPr>
                <w:lang w:val="fr-CA"/>
              </w:rPr>
              <w:t>Ita Robbins et al.</w:t>
            </w:r>
          </w:p>
          <w:p w:rsidR="00A67ADB" w:rsidRPr="00A67ADB" w:rsidRDefault="00A67ADB" w:rsidP="00A67ADB">
            <w:pPr>
              <w:tabs>
                <w:tab w:val="left" w:pos="-1440"/>
                <w:tab w:val="left" w:pos="-720"/>
              </w:tabs>
              <w:jc w:val="both"/>
              <w:rPr>
                <w:lang w:val="fr-CA"/>
              </w:rPr>
            </w:pPr>
          </w:p>
          <w:p w:rsidR="00A67ADB" w:rsidRPr="00A67ADB" w:rsidRDefault="00A67ADB" w:rsidP="00A67ADB">
            <w:pPr>
              <w:tabs>
                <w:tab w:val="left" w:pos="-1440"/>
                <w:tab w:val="left" w:pos="-720"/>
              </w:tabs>
              <w:jc w:val="both"/>
              <w:rPr>
                <w:lang w:val="fr-CA"/>
              </w:rPr>
            </w:pPr>
            <w:r w:rsidRPr="00A67ADB">
              <w:rPr>
                <w:lang w:val="fr-CA"/>
              </w:rPr>
              <w:tab/>
              <w:t>v. (35772)</w:t>
            </w:r>
          </w:p>
          <w:p w:rsidR="00A67ADB" w:rsidRPr="00A67ADB" w:rsidRDefault="00A67ADB" w:rsidP="00A67ADB">
            <w:pPr>
              <w:tabs>
                <w:tab w:val="left" w:pos="-1440"/>
                <w:tab w:val="left" w:pos="-720"/>
              </w:tabs>
              <w:jc w:val="both"/>
              <w:rPr>
                <w:lang w:val="fr-CA"/>
              </w:rPr>
            </w:pPr>
          </w:p>
          <w:p w:rsidR="00A67ADB" w:rsidRPr="00A67ADB" w:rsidRDefault="00A67ADB" w:rsidP="00A67ADB">
            <w:pPr>
              <w:tabs>
                <w:tab w:val="left" w:pos="-1440"/>
                <w:tab w:val="left" w:pos="-720"/>
              </w:tabs>
              <w:jc w:val="both"/>
            </w:pPr>
            <w:r w:rsidRPr="00A67ADB">
              <w:t>Cambridge Mortgage Investment Corporation</w:t>
            </w:r>
          </w:p>
          <w:p w:rsidR="00A67ADB" w:rsidRPr="00A67ADB" w:rsidRDefault="00A67ADB" w:rsidP="00A67ADB">
            <w:pPr>
              <w:tabs>
                <w:tab w:val="left" w:pos="-1440"/>
                <w:tab w:val="left" w:pos="-720"/>
              </w:tabs>
              <w:jc w:val="both"/>
            </w:pPr>
            <w:r w:rsidRPr="00A67ADB">
              <w:t>(B.C.)</w:t>
            </w:r>
          </w:p>
        </w:tc>
        <w:tc>
          <w:tcPr>
            <w:tcW w:w="1170" w:type="dxa"/>
          </w:tcPr>
          <w:p w:rsidR="00A67ADB" w:rsidRPr="00A67ADB" w:rsidRDefault="00A67ADB" w:rsidP="00A67ADB">
            <w:pPr>
              <w:jc w:val="both"/>
            </w:pPr>
          </w:p>
        </w:tc>
        <w:tc>
          <w:tcPr>
            <w:tcW w:w="4327" w:type="dxa"/>
          </w:tcPr>
          <w:p w:rsidR="00A67ADB" w:rsidRPr="00A67ADB" w:rsidRDefault="00A67ADB" w:rsidP="00A67ADB">
            <w:pPr>
              <w:jc w:val="both"/>
            </w:pPr>
          </w:p>
        </w:tc>
      </w:tr>
    </w:tbl>
    <w:p w:rsidR="00A67ADB" w:rsidRPr="00A67ADB" w:rsidRDefault="00A67ADB" w:rsidP="00A67ADB">
      <w:pPr>
        <w:tabs>
          <w:tab w:val="left" w:pos="-1440"/>
          <w:tab w:val="left" w:pos="-720"/>
        </w:tabs>
        <w:jc w:val="both"/>
        <w:rPr>
          <w:rFonts w:eastAsia="Times New Roman" w:cs="Times New Roman"/>
          <w:sz w:val="20"/>
          <w:szCs w:val="20"/>
          <w:lang w:eastAsia="en-CA"/>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b/>
          <w:sz w:val="20"/>
          <w:szCs w:val="20"/>
          <w:lang w:val="fr-CA" w:eastAsia="en-CA"/>
        </w:rPr>
        <w:t>GRANTED IN PART / ACCORDÉE EN PARTIE</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jc w:val="both"/>
        <w:rPr>
          <w:rFonts w:eastAsia="Times New Roman" w:cs="Times New Roman"/>
          <w:sz w:val="20"/>
          <w:szCs w:val="20"/>
          <w:lang w:val="en-US" w:eastAsia="en-CA"/>
        </w:rPr>
      </w:pPr>
      <w:r w:rsidRPr="00A67ADB">
        <w:rPr>
          <w:rFonts w:eastAsia="Times New Roman" w:cs="Times New Roman"/>
          <w:b/>
          <w:sz w:val="20"/>
          <w:szCs w:val="20"/>
          <w:lang w:val="en-US" w:eastAsia="en-CA"/>
        </w:rPr>
        <w:t>UPON APPLICATIONS</w:t>
      </w:r>
      <w:r w:rsidRPr="00A67ADB">
        <w:rPr>
          <w:rFonts w:eastAsia="Times New Roman" w:cs="Times New Roman"/>
          <w:sz w:val="20"/>
          <w:szCs w:val="20"/>
          <w:lang w:val="en-US" w:eastAsia="en-CA"/>
        </w:rPr>
        <w:t xml:space="preserve"> </w:t>
      </w:r>
      <w:r w:rsidR="00EE415D" w:rsidRPr="00A67ADB">
        <w:rPr>
          <w:rFonts w:eastAsia="Times New Roman" w:cs="Times New Roman"/>
          <w:sz w:val="20"/>
          <w:szCs w:val="20"/>
          <w:lang w:val="en-US" w:eastAsia="en-CA"/>
        </w:rPr>
        <w:fldChar w:fldCharType="begin"/>
      </w:r>
      <w:r w:rsidRPr="00A67ADB">
        <w:rPr>
          <w:rFonts w:eastAsia="Times New Roman" w:cs="Times New Roman"/>
          <w:sz w:val="20"/>
          <w:szCs w:val="20"/>
          <w:lang w:val="en-US" w:eastAsia="en-CA"/>
        </w:rPr>
        <w:instrText xml:space="preserve"> SEQ CHAPTER \h \r 1</w:instrText>
      </w:r>
      <w:r w:rsidR="00EE415D" w:rsidRPr="00A67ADB">
        <w:rPr>
          <w:rFonts w:eastAsia="Times New Roman" w:cs="Times New Roman"/>
          <w:sz w:val="20"/>
          <w:szCs w:val="20"/>
          <w:lang w:val="en-US" w:eastAsia="en-CA"/>
        </w:rPr>
        <w:fldChar w:fldCharType="end"/>
      </w:r>
      <w:r w:rsidRPr="00A67ADB">
        <w:rPr>
          <w:rFonts w:eastAsia="Times New Roman" w:cs="Times New Roman"/>
          <w:sz w:val="20"/>
          <w:szCs w:val="20"/>
          <w:lang w:val="en-US" w:eastAsia="en-CA"/>
        </w:rPr>
        <w:t>made on behalf of the applicants pursuant to the provisions of Rules 32(2) and 18 for an order granting leave to file additional materials as well as for an order adding new parties on the application for leave to appeal;</w:t>
      </w:r>
    </w:p>
    <w:p w:rsidR="00A67ADB" w:rsidRPr="00A67ADB" w:rsidRDefault="00A67ADB" w:rsidP="00A67ADB">
      <w:pPr>
        <w:autoSpaceDE w:val="0"/>
        <w:autoSpaceDN w:val="0"/>
        <w:adjustRightInd w:val="0"/>
        <w:jc w:val="both"/>
        <w:rPr>
          <w:rFonts w:eastAsia="Times New Roman" w:cs="Times New Roman"/>
          <w:sz w:val="20"/>
          <w:szCs w:val="20"/>
          <w:lang w:val="en-US" w:eastAsia="en-CA"/>
        </w:rPr>
      </w:pPr>
    </w:p>
    <w:p w:rsidR="00A67ADB" w:rsidRPr="00A67ADB" w:rsidRDefault="00EE415D" w:rsidP="00A67ADB">
      <w:pPr>
        <w:jc w:val="both"/>
        <w:rPr>
          <w:rFonts w:eastAsia="Times New Roman" w:cs="Times New Roman"/>
          <w:sz w:val="20"/>
          <w:szCs w:val="20"/>
          <w:lang w:val="en-US" w:eastAsia="en-CA"/>
        </w:rPr>
      </w:pPr>
      <w:r w:rsidRPr="00A67ADB">
        <w:rPr>
          <w:rFonts w:eastAsia="Times New Roman" w:cs="Times New Roman"/>
          <w:sz w:val="20"/>
          <w:szCs w:val="20"/>
          <w:lang w:val="en-US" w:eastAsia="en-CA"/>
        </w:rPr>
        <w:fldChar w:fldCharType="begin"/>
      </w:r>
      <w:r w:rsidR="00A67ADB" w:rsidRPr="00A67ADB">
        <w:rPr>
          <w:rFonts w:eastAsia="Times New Roman" w:cs="Times New Roman"/>
          <w:sz w:val="20"/>
          <w:szCs w:val="20"/>
          <w:lang w:val="en-US" w:eastAsia="en-CA"/>
        </w:rPr>
        <w:instrText xml:space="preserve"> SEQ CHAPTER \h \r 1</w:instrText>
      </w:r>
      <w:r w:rsidRPr="00A67ADB">
        <w:rPr>
          <w:rFonts w:eastAsia="Times New Roman" w:cs="Times New Roman"/>
          <w:sz w:val="20"/>
          <w:szCs w:val="20"/>
          <w:lang w:val="en-US" w:eastAsia="en-CA"/>
        </w:rPr>
        <w:fldChar w:fldCharType="end"/>
      </w:r>
      <w:r w:rsidR="00A67ADB" w:rsidRPr="00A67ADB">
        <w:rPr>
          <w:rFonts w:eastAsia="Times New Roman" w:cs="Times New Roman"/>
          <w:b/>
          <w:bCs/>
          <w:sz w:val="20"/>
          <w:szCs w:val="20"/>
          <w:lang w:val="en-US" w:eastAsia="en-CA"/>
        </w:rPr>
        <w:t>AND HAVING READ</w:t>
      </w:r>
      <w:r w:rsidR="00A67ADB" w:rsidRPr="00A67ADB">
        <w:rPr>
          <w:rFonts w:eastAsia="Times New Roman" w:cs="Times New Roman"/>
          <w:sz w:val="20"/>
          <w:szCs w:val="20"/>
          <w:lang w:val="en-US" w:eastAsia="en-CA"/>
        </w:rPr>
        <w:t xml:space="preserve"> the material filed;</w:t>
      </w: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b/>
          <w:sz w:val="20"/>
          <w:szCs w:val="20"/>
          <w:lang w:val="en-US" w:eastAsia="en-CA"/>
        </w:rPr>
      </w:pPr>
      <w:r w:rsidRPr="00A67ADB">
        <w:rPr>
          <w:rFonts w:eastAsia="Times New Roman" w:cs="Times New Roman"/>
          <w:b/>
          <w:sz w:val="20"/>
          <w:szCs w:val="20"/>
          <w:lang w:val="en-US" w:eastAsia="en-CA"/>
        </w:rPr>
        <w:t>IT IS HEREBY ORDERED THAT:</w:t>
      </w:r>
    </w:p>
    <w:p w:rsidR="00A67ADB" w:rsidRPr="00A67ADB" w:rsidRDefault="00A67ADB" w:rsidP="00A67ADB">
      <w:pPr>
        <w:contextualSpacing/>
        <w:jc w:val="both"/>
        <w:rPr>
          <w:sz w:val="20"/>
          <w:szCs w:val="20"/>
        </w:rPr>
      </w:pPr>
    </w:p>
    <w:p w:rsidR="00A67ADB" w:rsidRPr="00A67ADB" w:rsidRDefault="00A67ADB" w:rsidP="00A67ADB">
      <w:pPr>
        <w:contextualSpacing/>
        <w:jc w:val="both"/>
        <w:rPr>
          <w:sz w:val="20"/>
          <w:szCs w:val="20"/>
        </w:rPr>
      </w:pPr>
      <w:r w:rsidRPr="00A67ADB">
        <w:rPr>
          <w:sz w:val="20"/>
          <w:szCs w:val="20"/>
        </w:rPr>
        <w:t xml:space="preserve">The motion to add new parties is dismissed without costs. </w:t>
      </w:r>
    </w:p>
    <w:p w:rsidR="00A67ADB" w:rsidRPr="00A67ADB" w:rsidRDefault="00A67ADB" w:rsidP="00A67ADB">
      <w:pPr>
        <w:contextualSpacing/>
        <w:jc w:val="both"/>
        <w:rPr>
          <w:sz w:val="20"/>
          <w:szCs w:val="20"/>
        </w:rPr>
      </w:pPr>
    </w:p>
    <w:p w:rsidR="00A67ADB" w:rsidRPr="00A67ADB" w:rsidRDefault="00A67ADB" w:rsidP="00A67ADB">
      <w:pPr>
        <w:contextualSpacing/>
        <w:jc w:val="both"/>
        <w:rPr>
          <w:sz w:val="20"/>
          <w:szCs w:val="20"/>
        </w:rPr>
      </w:pPr>
      <w:r w:rsidRPr="00A67ADB">
        <w:rPr>
          <w:sz w:val="20"/>
          <w:szCs w:val="20"/>
        </w:rPr>
        <w:t>The motions filed pursuant to Rule 32(2) are granted in part without costs. The applicants’ Reply to the response to the Application for leave to appeal and Reply to the response to their motion for a stay of execution shall be submitted to the panel. All other requests made by the applicants to file additional materials are dismissed without costs.</w:t>
      </w: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sz w:val="20"/>
          <w:szCs w:val="20"/>
          <w:lang w:val="en-US" w:eastAsia="en-CA"/>
        </w:rPr>
      </w:pPr>
    </w:p>
    <w:p w:rsidR="00A67ADB" w:rsidRPr="00A67ADB" w:rsidRDefault="00A67ADB" w:rsidP="00A67ADB">
      <w:pPr>
        <w:jc w:val="both"/>
        <w:rPr>
          <w:rFonts w:eastAsia="Times New Roman" w:cs="Times New Roman"/>
          <w:sz w:val="20"/>
          <w:szCs w:val="20"/>
          <w:lang w:val="fr-CA" w:eastAsia="en-CA"/>
        </w:rPr>
      </w:pPr>
      <w:r w:rsidRPr="00A67ADB">
        <w:rPr>
          <w:rFonts w:eastAsia="Times New Roman" w:cs="Times New Roman"/>
          <w:b/>
          <w:sz w:val="20"/>
          <w:szCs w:val="20"/>
          <w:lang w:val="fr-CA" w:eastAsia="en-CA"/>
        </w:rPr>
        <w:t xml:space="preserve">À LA SUITE DES DEMANDES </w:t>
      </w:r>
      <w:r w:rsidRPr="00A67ADB">
        <w:rPr>
          <w:rFonts w:eastAsia="Times New Roman" w:cs="Times New Roman"/>
          <w:sz w:val="20"/>
          <w:szCs w:val="20"/>
          <w:lang w:val="fr-CA" w:eastAsia="en-CA"/>
        </w:rPr>
        <w:t xml:space="preserve">présentées au nom des demanderesses en application du paragraphe 32(2) et de l’article 18 des Règles pour obtenir l’autorisation de déposer des documents supplémentaires et l’ajout de nouvelles parties à la demande d’autorisation </w:t>
      </w:r>
      <w:r w:rsidR="00EE415D" w:rsidRPr="00A67ADB">
        <w:rPr>
          <w:rFonts w:eastAsia="Times New Roman" w:cs="Times New Roman"/>
          <w:sz w:val="20"/>
          <w:szCs w:val="20"/>
          <w:lang w:val="en-US" w:eastAsia="en-CA"/>
        </w:rPr>
        <w:fldChar w:fldCharType="begin"/>
      </w:r>
      <w:r w:rsidRPr="00A67ADB">
        <w:rPr>
          <w:rFonts w:eastAsia="Times New Roman" w:cs="Times New Roman"/>
          <w:sz w:val="20"/>
          <w:szCs w:val="20"/>
          <w:lang w:val="fr-CA" w:eastAsia="en-CA"/>
        </w:rPr>
        <w:instrText xml:space="preserve"> SEQ CHAPTER \h \r 1</w:instrText>
      </w:r>
      <w:r w:rsidR="00EE415D" w:rsidRPr="00A67ADB">
        <w:rPr>
          <w:rFonts w:eastAsia="Times New Roman" w:cs="Times New Roman"/>
          <w:sz w:val="20"/>
          <w:szCs w:val="20"/>
          <w:lang w:val="en-US" w:eastAsia="en-CA"/>
        </w:rPr>
        <w:fldChar w:fldCharType="end"/>
      </w:r>
      <w:r w:rsidRPr="00A67ADB">
        <w:rPr>
          <w:rFonts w:eastAsia="Times New Roman" w:cs="Times New Roman"/>
          <w:sz w:val="20"/>
          <w:szCs w:val="20"/>
          <w:lang w:val="fr-CA" w:eastAsia="en-CA"/>
        </w:rPr>
        <w:t>d’appel;</w:t>
      </w:r>
    </w:p>
    <w:p w:rsidR="00A67ADB" w:rsidRPr="00A67ADB" w:rsidRDefault="00A67ADB" w:rsidP="00A67ADB">
      <w:pPr>
        <w:autoSpaceDE w:val="0"/>
        <w:autoSpaceDN w:val="0"/>
        <w:adjustRightInd w:val="0"/>
        <w:jc w:val="both"/>
        <w:rPr>
          <w:rFonts w:eastAsia="Times New Roman" w:cs="Times New Roman"/>
          <w:sz w:val="20"/>
          <w:szCs w:val="20"/>
          <w:lang w:val="fr-CA" w:eastAsia="en-CA"/>
        </w:rPr>
      </w:pPr>
    </w:p>
    <w:p w:rsidR="00A67ADB" w:rsidRPr="00A67ADB" w:rsidRDefault="00A67ADB" w:rsidP="00A67ADB">
      <w:pPr>
        <w:jc w:val="both"/>
        <w:rPr>
          <w:rFonts w:eastAsia="Times New Roman" w:cs="Times New Roman"/>
          <w:sz w:val="20"/>
          <w:szCs w:val="20"/>
          <w:lang w:val="fr-CA" w:eastAsia="en-CA"/>
        </w:rPr>
      </w:pPr>
      <w:r w:rsidRPr="00A67ADB">
        <w:rPr>
          <w:rFonts w:eastAsia="Times New Roman" w:cs="Times New Roman"/>
          <w:b/>
          <w:sz w:val="20"/>
          <w:szCs w:val="20"/>
          <w:lang w:val="fr-CA" w:eastAsia="en-CA"/>
        </w:rPr>
        <w:t xml:space="preserve">ET APRÈS EXAMEN </w:t>
      </w:r>
      <w:r w:rsidRPr="00A67ADB">
        <w:rPr>
          <w:rFonts w:eastAsia="Times New Roman" w:cs="Times New Roman"/>
          <w:sz w:val="20"/>
          <w:szCs w:val="20"/>
          <w:lang w:val="fr-CA" w:eastAsia="en-CA"/>
        </w:rPr>
        <w:t>des documents déposés</w:t>
      </w:r>
      <w:r w:rsidR="00EE415D" w:rsidRPr="00A67ADB">
        <w:rPr>
          <w:rFonts w:eastAsia="Times New Roman" w:cs="Times New Roman"/>
          <w:sz w:val="20"/>
          <w:szCs w:val="20"/>
          <w:lang w:val="en-US" w:eastAsia="en-CA"/>
        </w:rPr>
        <w:fldChar w:fldCharType="begin"/>
      </w:r>
      <w:r w:rsidRPr="00A67ADB">
        <w:rPr>
          <w:rFonts w:eastAsia="Times New Roman" w:cs="Times New Roman"/>
          <w:sz w:val="20"/>
          <w:szCs w:val="20"/>
          <w:lang w:val="fr-CA" w:eastAsia="en-CA"/>
        </w:rPr>
        <w:instrText xml:space="preserve"> SEQ CHAPTER \h \r 1</w:instrText>
      </w:r>
      <w:r w:rsidR="00EE415D" w:rsidRPr="00A67ADB">
        <w:rPr>
          <w:rFonts w:eastAsia="Times New Roman" w:cs="Times New Roman"/>
          <w:sz w:val="20"/>
          <w:szCs w:val="20"/>
          <w:lang w:val="en-US" w:eastAsia="en-CA"/>
        </w:rPr>
        <w:fldChar w:fldCharType="end"/>
      </w:r>
      <w:r w:rsidRPr="00A67ADB">
        <w:rPr>
          <w:rFonts w:eastAsia="Times New Roman" w:cs="Times New Roman"/>
          <w:sz w:val="20"/>
          <w:szCs w:val="20"/>
          <w:lang w:val="fr-CA" w:eastAsia="en-CA"/>
        </w:rPr>
        <w:t>;</w:t>
      </w:r>
    </w:p>
    <w:p w:rsidR="00A67ADB" w:rsidRPr="00A67ADB" w:rsidRDefault="00A67ADB" w:rsidP="00A67ADB">
      <w:pPr>
        <w:jc w:val="both"/>
        <w:rPr>
          <w:rFonts w:eastAsia="Times New Roman" w:cs="Times New Roman"/>
          <w:sz w:val="20"/>
          <w:szCs w:val="20"/>
          <w:lang w:val="fr-CA" w:eastAsia="en-CA"/>
        </w:rPr>
      </w:pPr>
    </w:p>
    <w:p w:rsidR="00A67ADB" w:rsidRPr="00A67ADB" w:rsidRDefault="00A67ADB" w:rsidP="00A67ADB">
      <w:pPr>
        <w:jc w:val="both"/>
        <w:rPr>
          <w:rFonts w:eastAsia="Times New Roman" w:cs="Times New Roman"/>
          <w:b/>
          <w:sz w:val="20"/>
          <w:szCs w:val="20"/>
          <w:lang w:val="fr-CA" w:eastAsia="en-CA"/>
        </w:rPr>
      </w:pPr>
      <w:r w:rsidRPr="00A67ADB">
        <w:rPr>
          <w:rFonts w:eastAsia="Times New Roman" w:cs="Times New Roman"/>
          <w:b/>
          <w:sz w:val="20"/>
          <w:szCs w:val="20"/>
          <w:lang w:val="fr-CA" w:eastAsia="en-CA"/>
        </w:rPr>
        <w:t>IL EST ORDONNÉ CE QUI SUIT :</w:t>
      </w:r>
    </w:p>
    <w:p w:rsidR="00A67ADB" w:rsidRPr="00A67ADB" w:rsidRDefault="00A67ADB" w:rsidP="00A67ADB">
      <w:pPr>
        <w:contextualSpacing/>
        <w:jc w:val="both"/>
        <w:rPr>
          <w:sz w:val="20"/>
          <w:szCs w:val="20"/>
          <w:lang w:val="fr-CA"/>
        </w:rPr>
      </w:pPr>
    </w:p>
    <w:p w:rsidR="00A67ADB" w:rsidRPr="00A67ADB" w:rsidRDefault="00A67ADB" w:rsidP="00A67ADB">
      <w:pPr>
        <w:contextualSpacing/>
        <w:jc w:val="both"/>
        <w:rPr>
          <w:sz w:val="20"/>
          <w:szCs w:val="20"/>
          <w:lang w:val="fr-CA"/>
        </w:rPr>
      </w:pPr>
      <w:r w:rsidRPr="00A67ADB">
        <w:rPr>
          <w:sz w:val="20"/>
          <w:szCs w:val="20"/>
          <w:lang w:val="fr-CA"/>
        </w:rPr>
        <w:t xml:space="preserve">La requête en ajout de nouvelles parties est rejetée sans frais. </w:t>
      </w:r>
    </w:p>
    <w:p w:rsidR="00A67ADB" w:rsidRPr="00A67ADB" w:rsidRDefault="00A67ADB" w:rsidP="00A67ADB">
      <w:pPr>
        <w:contextualSpacing/>
        <w:jc w:val="both"/>
        <w:rPr>
          <w:sz w:val="20"/>
          <w:szCs w:val="20"/>
          <w:lang w:val="fr-CA"/>
        </w:rPr>
      </w:pPr>
    </w:p>
    <w:p w:rsidR="00A67ADB" w:rsidRPr="00A67ADB" w:rsidRDefault="00A67ADB" w:rsidP="00A67ADB">
      <w:pPr>
        <w:jc w:val="both"/>
        <w:rPr>
          <w:rFonts w:eastAsia="Times New Roman" w:cs="Times New Roman"/>
          <w:sz w:val="20"/>
          <w:szCs w:val="20"/>
          <w:lang w:val="fr-CA" w:eastAsia="en-CA"/>
        </w:rPr>
      </w:pPr>
      <w:r w:rsidRPr="00A67ADB">
        <w:rPr>
          <w:rFonts w:eastAsia="Times New Roman" w:cs="Times New Roman"/>
          <w:sz w:val="20"/>
          <w:szCs w:val="20"/>
          <w:lang w:val="fr-CA" w:eastAsia="en-CA"/>
        </w:rPr>
        <w:t xml:space="preserve">Les requêtes déposées en application du paragraphe 32(2) sont accueillies en partie sans frais. La réplique des demanderesses à la réponse à la demande d’autorisation d’appel et la réplique à la réponse à leur requête en sursis d’exécution à l’ordonnance de forclusion seront soumises à la formation saisie de la demande d’autorisation d’appel. </w:t>
      </w:r>
      <w:r w:rsidRPr="00A67ADB">
        <w:rPr>
          <w:rFonts w:eastAsia="Times New Roman" w:cs="Times New Roman"/>
          <w:sz w:val="20"/>
          <w:szCs w:val="20"/>
          <w:lang w:val="fr-CA" w:eastAsia="en-CA"/>
        </w:rPr>
        <w:lastRenderedPageBreak/>
        <w:t xml:space="preserve">Toutes les autres demandes présentées par les demanderesse pour obtenir l’autorisation de déposer des documents additionnels sont rejetées sans frais. </w:t>
      </w:r>
    </w:p>
    <w:p w:rsidR="00A67ADB" w:rsidRPr="00A67ADB" w:rsidRDefault="00A67ADB" w:rsidP="00A67ADB">
      <w:pPr>
        <w:jc w:val="both"/>
        <w:rPr>
          <w:rFonts w:eastAsia="Times New Roman" w:cs="Times New Roman"/>
          <w:sz w:val="20"/>
          <w:szCs w:val="20"/>
          <w:lang w:val="fr-CA" w:eastAsia="en-CA"/>
        </w:rPr>
      </w:pPr>
    </w:p>
    <w:p w:rsidR="00A67ADB" w:rsidRPr="00A67ADB" w:rsidRDefault="005E19D3" w:rsidP="00A67AD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A67ADB" w:rsidRPr="00A67ADB" w:rsidRDefault="00A67ADB" w:rsidP="00A67ADB">
      <w:pPr>
        <w:tabs>
          <w:tab w:val="left" w:pos="-1440"/>
          <w:tab w:val="left" w:pos="-720"/>
        </w:tabs>
        <w:jc w:val="both"/>
        <w:rPr>
          <w:rFonts w:eastAsia="Times New Roman" w:cs="Times New Roman"/>
          <w:sz w:val="20"/>
          <w:szCs w:val="20"/>
          <w:lang w:eastAsia="en-CA"/>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sz w:val="20"/>
          <w:szCs w:val="20"/>
          <w:lang w:val="fr-CA" w:eastAsia="en-CA"/>
        </w:rPr>
        <w:t>28.05.2014</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sz w:val="20"/>
          <w:szCs w:val="20"/>
          <w:lang w:val="fr-CA" w:eastAsia="en-CA"/>
        </w:rPr>
        <w:t>Before / Devant :   CROMWELL J. / LE JUGE CROMWELL</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67ADB" w:rsidRPr="00A67ADB" w:rsidTr="00480963">
        <w:tc>
          <w:tcPr>
            <w:tcW w:w="4338" w:type="dxa"/>
            <w:gridSpan w:val="2"/>
          </w:tcPr>
          <w:p w:rsidR="00A67ADB" w:rsidRPr="00A67ADB" w:rsidRDefault="00A67ADB" w:rsidP="00A67ADB">
            <w:pPr>
              <w:rPr>
                <w:b/>
              </w:rPr>
            </w:pPr>
            <w:r w:rsidRPr="00A67ADB">
              <w:rPr>
                <w:b/>
              </w:rPr>
              <w:t>Motions for leave to intervene</w:t>
            </w:r>
            <w:r w:rsidRPr="00A67ADB">
              <w:rPr>
                <w:lang w:val="en-US"/>
              </w:rPr>
              <w:t xml:space="preserve"> </w:t>
            </w:r>
            <w:r w:rsidR="00EE415D" w:rsidRPr="00A67ADB">
              <w:rPr>
                <w:lang w:val="en-US"/>
              </w:rPr>
              <w:fldChar w:fldCharType="begin"/>
            </w:r>
            <w:r w:rsidRPr="00A67ADB">
              <w:instrText xml:space="preserve"> SEQ CHAPTER \h \r 1</w:instrText>
            </w:r>
            <w:r w:rsidR="00EE415D" w:rsidRPr="00A67ADB">
              <w:rPr>
                <w:lang w:val="en-US"/>
              </w:rPr>
              <w:fldChar w:fldCharType="end"/>
            </w:r>
          </w:p>
        </w:tc>
        <w:tc>
          <w:tcPr>
            <w:tcW w:w="1170" w:type="dxa"/>
          </w:tcPr>
          <w:p w:rsidR="00A67ADB" w:rsidRPr="00A67ADB" w:rsidRDefault="00A67ADB" w:rsidP="00A67ADB"/>
          <w:p w:rsidR="00A67ADB" w:rsidRPr="00A67ADB" w:rsidRDefault="00A67ADB" w:rsidP="00A67ADB"/>
        </w:tc>
        <w:tc>
          <w:tcPr>
            <w:tcW w:w="4327" w:type="dxa"/>
          </w:tcPr>
          <w:p w:rsidR="00A67ADB" w:rsidRPr="00A67ADB" w:rsidRDefault="00A67ADB" w:rsidP="00A67ADB">
            <w:pPr>
              <w:rPr>
                <w:b/>
              </w:rPr>
            </w:pPr>
            <w:r w:rsidRPr="00A67ADB">
              <w:rPr>
                <w:b/>
                <w:bCs/>
                <w:lang w:val="fr-CA"/>
              </w:rPr>
              <w:t>Requêtes en autorisation d’intervenir</w:t>
            </w:r>
            <w:r w:rsidRPr="00A67ADB">
              <w:rPr>
                <w:lang w:val="en-US"/>
              </w:rPr>
              <w:t xml:space="preserve"> </w:t>
            </w:r>
            <w:r w:rsidR="00EE415D" w:rsidRPr="00A67ADB">
              <w:rPr>
                <w:lang w:val="en-US"/>
              </w:rPr>
              <w:fldChar w:fldCharType="begin"/>
            </w:r>
            <w:r w:rsidRPr="00A67ADB">
              <w:instrText xml:space="preserve"> SEQ CHAPTER \h \r 1</w:instrText>
            </w:r>
            <w:r w:rsidR="00EE415D" w:rsidRPr="00A67ADB">
              <w:rPr>
                <w:lang w:val="en-US"/>
              </w:rPr>
              <w:fldChar w:fldCharType="end"/>
            </w:r>
          </w:p>
        </w:tc>
      </w:tr>
      <w:tr w:rsidR="00A67ADB" w:rsidRPr="00A67ADB" w:rsidTr="00480963">
        <w:trPr>
          <w:trHeight w:hRule="exact" w:val="360"/>
        </w:trPr>
        <w:tc>
          <w:tcPr>
            <w:tcW w:w="1368" w:type="dxa"/>
          </w:tcPr>
          <w:p w:rsidR="00A67ADB" w:rsidRPr="00A67ADB" w:rsidRDefault="00A67ADB" w:rsidP="00A67ADB">
            <w:r w:rsidRPr="00A67ADB">
              <w:t>BY / PAR</w:t>
            </w:r>
          </w:p>
        </w:tc>
        <w:tc>
          <w:tcPr>
            <w:tcW w:w="2970" w:type="dxa"/>
          </w:tcPr>
          <w:p w:rsidR="00A67ADB" w:rsidRPr="00A67ADB" w:rsidRDefault="00A67ADB" w:rsidP="00A67ADB">
            <w:r w:rsidRPr="00A67ADB">
              <w:rPr>
                <w:lang w:val="en-US"/>
              </w:rPr>
              <w:t>Canada Without Poverty;</w:t>
            </w:r>
          </w:p>
        </w:tc>
        <w:tc>
          <w:tcPr>
            <w:tcW w:w="1170" w:type="dxa"/>
          </w:tcPr>
          <w:p w:rsidR="00A67ADB" w:rsidRPr="00A67ADB" w:rsidRDefault="00A67ADB" w:rsidP="00A67ADB"/>
        </w:tc>
        <w:tc>
          <w:tcPr>
            <w:tcW w:w="4327" w:type="dxa"/>
          </w:tcPr>
          <w:p w:rsidR="00A67ADB" w:rsidRPr="00A67ADB" w:rsidRDefault="00A67ADB" w:rsidP="00A67ADB"/>
        </w:tc>
      </w:tr>
      <w:tr w:rsidR="00A67ADB" w:rsidRPr="00A67ADB" w:rsidTr="00480963">
        <w:trPr>
          <w:trHeight w:hRule="exact" w:val="576"/>
        </w:trPr>
        <w:tc>
          <w:tcPr>
            <w:tcW w:w="1368" w:type="dxa"/>
          </w:tcPr>
          <w:p w:rsidR="00A67ADB" w:rsidRPr="00A67ADB" w:rsidRDefault="00A67ADB" w:rsidP="00A67ADB"/>
        </w:tc>
        <w:tc>
          <w:tcPr>
            <w:tcW w:w="2970" w:type="dxa"/>
          </w:tcPr>
          <w:p w:rsidR="00A67ADB" w:rsidRPr="00A67ADB" w:rsidRDefault="00A67ADB" w:rsidP="00A67ADB">
            <w:pPr>
              <w:rPr>
                <w:lang w:val="en-US"/>
              </w:rPr>
            </w:pPr>
            <w:r w:rsidRPr="00A67ADB">
              <w:rPr>
                <w:lang w:val="en-US"/>
              </w:rPr>
              <w:t>Charter Committee on Poverty Issues</w:t>
            </w:r>
          </w:p>
        </w:tc>
        <w:tc>
          <w:tcPr>
            <w:tcW w:w="1170" w:type="dxa"/>
          </w:tcPr>
          <w:p w:rsidR="00A67ADB" w:rsidRPr="00A67ADB" w:rsidRDefault="00A67ADB" w:rsidP="00A67ADB"/>
        </w:tc>
        <w:tc>
          <w:tcPr>
            <w:tcW w:w="4327" w:type="dxa"/>
          </w:tcPr>
          <w:p w:rsidR="00A67ADB" w:rsidRPr="00A67ADB" w:rsidRDefault="00A67ADB" w:rsidP="00A67ADB"/>
        </w:tc>
      </w:tr>
      <w:tr w:rsidR="00A67ADB" w:rsidRPr="00A67ADB" w:rsidTr="00480963">
        <w:tc>
          <w:tcPr>
            <w:tcW w:w="1368" w:type="dxa"/>
          </w:tcPr>
          <w:p w:rsidR="00A67ADB" w:rsidRPr="00A67ADB" w:rsidRDefault="00A67ADB" w:rsidP="00A67ADB"/>
        </w:tc>
        <w:tc>
          <w:tcPr>
            <w:tcW w:w="2970" w:type="dxa"/>
          </w:tcPr>
          <w:p w:rsidR="00A67ADB" w:rsidRPr="00A67ADB" w:rsidRDefault="00A67ADB" w:rsidP="00A67ADB">
            <w:pPr>
              <w:rPr>
                <w:lang w:val="en-US"/>
              </w:rPr>
            </w:pPr>
          </w:p>
        </w:tc>
        <w:tc>
          <w:tcPr>
            <w:tcW w:w="1170" w:type="dxa"/>
          </w:tcPr>
          <w:p w:rsidR="00A67ADB" w:rsidRPr="00A67ADB" w:rsidRDefault="00A67ADB" w:rsidP="00A67ADB"/>
        </w:tc>
        <w:tc>
          <w:tcPr>
            <w:tcW w:w="4327" w:type="dxa"/>
          </w:tcPr>
          <w:p w:rsidR="00A67ADB" w:rsidRPr="00A67ADB" w:rsidRDefault="00A67ADB" w:rsidP="00A67ADB"/>
        </w:tc>
      </w:tr>
      <w:tr w:rsidR="00A67ADB" w:rsidRPr="00A67ADB" w:rsidTr="00480963">
        <w:tc>
          <w:tcPr>
            <w:tcW w:w="1368" w:type="dxa"/>
          </w:tcPr>
          <w:p w:rsidR="00A67ADB" w:rsidRPr="00A67ADB" w:rsidRDefault="00A67ADB" w:rsidP="00A67ADB">
            <w:r w:rsidRPr="00A67ADB">
              <w:t>IN / DANS :</w:t>
            </w:r>
          </w:p>
        </w:tc>
        <w:tc>
          <w:tcPr>
            <w:tcW w:w="2970" w:type="dxa"/>
          </w:tcPr>
          <w:p w:rsidR="00A67ADB" w:rsidRPr="00A67ADB" w:rsidRDefault="00A67ADB" w:rsidP="00A67ADB">
            <w:r w:rsidRPr="00A67ADB">
              <w:t>Chief Sheldon Taypotat et al.</w:t>
            </w:r>
          </w:p>
          <w:p w:rsidR="00A67ADB" w:rsidRPr="00A67ADB" w:rsidRDefault="00A67ADB" w:rsidP="00A67ADB"/>
          <w:p w:rsidR="00A67ADB" w:rsidRPr="00A67ADB" w:rsidRDefault="00A67ADB" w:rsidP="00A67ADB">
            <w:pPr>
              <w:rPr>
                <w:lang w:val="fr-CA"/>
              </w:rPr>
            </w:pPr>
            <w:r w:rsidRPr="00A67ADB">
              <w:tab/>
            </w:r>
            <w:r w:rsidRPr="00A67ADB">
              <w:rPr>
                <w:lang w:val="fr-CA"/>
              </w:rPr>
              <w:t>v. (35518)</w:t>
            </w:r>
          </w:p>
          <w:p w:rsidR="00A67ADB" w:rsidRPr="00A67ADB" w:rsidRDefault="00A67ADB" w:rsidP="00A67ADB">
            <w:pPr>
              <w:rPr>
                <w:lang w:val="fr-CA"/>
              </w:rPr>
            </w:pPr>
          </w:p>
          <w:p w:rsidR="00A67ADB" w:rsidRPr="00A67ADB" w:rsidRDefault="00A67ADB" w:rsidP="00A67ADB">
            <w:pPr>
              <w:rPr>
                <w:lang w:val="fr-CA"/>
              </w:rPr>
            </w:pPr>
            <w:r w:rsidRPr="00A67ADB">
              <w:rPr>
                <w:lang w:val="fr-CA"/>
              </w:rPr>
              <w:t xml:space="preserve">Louis </w:t>
            </w:r>
            <w:r w:rsidRPr="00A67ADB">
              <w:t>Taypotat</w:t>
            </w:r>
            <w:r w:rsidRPr="00A67ADB">
              <w:rPr>
                <w:lang w:val="fr-CA"/>
              </w:rPr>
              <w:t xml:space="preserve"> (F.C.)</w:t>
            </w:r>
          </w:p>
        </w:tc>
        <w:tc>
          <w:tcPr>
            <w:tcW w:w="1170" w:type="dxa"/>
          </w:tcPr>
          <w:p w:rsidR="00A67ADB" w:rsidRPr="00A67ADB" w:rsidRDefault="00A67ADB" w:rsidP="00A67ADB">
            <w:pPr>
              <w:rPr>
                <w:lang w:val="fr-CA"/>
              </w:rPr>
            </w:pPr>
          </w:p>
        </w:tc>
        <w:tc>
          <w:tcPr>
            <w:tcW w:w="4327" w:type="dxa"/>
          </w:tcPr>
          <w:p w:rsidR="00A67ADB" w:rsidRPr="00A67ADB" w:rsidRDefault="00A67ADB" w:rsidP="00A67ADB">
            <w:pPr>
              <w:rPr>
                <w:lang w:val="fr-CA"/>
              </w:rPr>
            </w:pPr>
          </w:p>
        </w:tc>
      </w:tr>
    </w:tbl>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b/>
          <w:sz w:val="20"/>
          <w:szCs w:val="20"/>
          <w:lang w:val="fr-CA" w:eastAsia="en-CA"/>
        </w:rPr>
        <w:t>DISMISSED / REJETÉE</w:t>
      </w:r>
    </w:p>
    <w:p w:rsidR="00A67ADB" w:rsidRPr="00A67ADB" w:rsidRDefault="00A67ADB" w:rsidP="00A67ADB">
      <w:pPr>
        <w:tabs>
          <w:tab w:val="left" w:pos="-1440"/>
          <w:tab w:val="left" w:pos="-720"/>
        </w:tabs>
        <w:jc w:val="both"/>
        <w:rPr>
          <w:rFonts w:eastAsia="Times New Roman" w:cs="Times New Roman"/>
          <w:sz w:val="20"/>
          <w:szCs w:val="20"/>
          <w:lang w:eastAsia="en-CA"/>
        </w:rPr>
      </w:pPr>
    </w:p>
    <w:p w:rsidR="00A67ADB" w:rsidRPr="00A67ADB" w:rsidRDefault="00A67ADB" w:rsidP="00A67ADB">
      <w:pPr>
        <w:spacing w:line="233" w:lineRule="auto"/>
        <w:jc w:val="both"/>
        <w:rPr>
          <w:rFonts w:eastAsia="Times New Roman" w:cs="Times New Roman"/>
          <w:sz w:val="20"/>
          <w:szCs w:val="20"/>
          <w:lang w:val="en-US" w:eastAsia="en-CA"/>
        </w:rPr>
      </w:pPr>
      <w:r w:rsidRPr="00A67ADB">
        <w:rPr>
          <w:rFonts w:eastAsia="Times New Roman" w:cs="Times New Roman"/>
          <w:b/>
          <w:sz w:val="20"/>
          <w:szCs w:val="20"/>
          <w:lang w:val="en-US" w:eastAsia="en-CA"/>
        </w:rPr>
        <w:t>UPON APPLICATION</w:t>
      </w:r>
      <w:r w:rsidRPr="00A67ADB">
        <w:rPr>
          <w:rFonts w:eastAsia="Times New Roman" w:cs="Times New Roman"/>
          <w:sz w:val="20"/>
          <w:szCs w:val="20"/>
          <w:lang w:val="en-US" w:eastAsia="en-CA"/>
        </w:rPr>
        <w:t xml:space="preserve"> by Canada Without Poverty and the Charter Committee on Poverty Issues for leave to intervene in the above appeal;</w:t>
      </w:r>
    </w:p>
    <w:p w:rsidR="00A67ADB" w:rsidRPr="00A67ADB" w:rsidRDefault="00A67ADB" w:rsidP="00A67ADB">
      <w:pPr>
        <w:spacing w:line="233" w:lineRule="auto"/>
        <w:jc w:val="both"/>
        <w:rPr>
          <w:rFonts w:eastAsia="Times New Roman" w:cs="Times New Roman"/>
          <w:sz w:val="20"/>
          <w:szCs w:val="20"/>
          <w:lang w:val="en-US" w:eastAsia="en-CA"/>
        </w:rPr>
      </w:pPr>
    </w:p>
    <w:p w:rsidR="00A67ADB" w:rsidRPr="00A67ADB" w:rsidRDefault="00A67ADB" w:rsidP="00A67ADB">
      <w:pPr>
        <w:spacing w:line="233" w:lineRule="auto"/>
        <w:jc w:val="both"/>
        <w:rPr>
          <w:rFonts w:eastAsia="Times New Roman" w:cs="Times New Roman"/>
          <w:sz w:val="20"/>
          <w:szCs w:val="20"/>
          <w:lang w:val="en-US" w:eastAsia="en-CA"/>
        </w:rPr>
      </w:pPr>
      <w:r w:rsidRPr="00A67ADB">
        <w:rPr>
          <w:rFonts w:eastAsia="Times New Roman" w:cs="Times New Roman"/>
          <w:b/>
          <w:bCs/>
          <w:sz w:val="20"/>
          <w:szCs w:val="20"/>
          <w:lang w:val="en-US" w:eastAsia="en-CA"/>
        </w:rPr>
        <w:t>AND THE MATERIAL FILED</w:t>
      </w:r>
      <w:r w:rsidRPr="00A67ADB">
        <w:rPr>
          <w:rFonts w:eastAsia="Times New Roman" w:cs="Times New Roman"/>
          <w:sz w:val="20"/>
          <w:szCs w:val="20"/>
          <w:lang w:val="en-US" w:eastAsia="en-CA"/>
        </w:rPr>
        <w:t xml:space="preserve"> having been read;</w:t>
      </w:r>
    </w:p>
    <w:p w:rsidR="00A67ADB" w:rsidRPr="00A67ADB" w:rsidRDefault="00A67ADB" w:rsidP="00A67ADB">
      <w:pPr>
        <w:spacing w:line="233" w:lineRule="auto"/>
        <w:jc w:val="both"/>
        <w:rPr>
          <w:rFonts w:eastAsia="Times New Roman" w:cs="Times New Roman"/>
          <w:sz w:val="20"/>
          <w:szCs w:val="20"/>
          <w:lang w:val="en-US" w:eastAsia="en-CA"/>
        </w:rPr>
      </w:pPr>
    </w:p>
    <w:p w:rsidR="00A67ADB" w:rsidRPr="00A67ADB" w:rsidRDefault="00A67ADB" w:rsidP="00A67ADB">
      <w:pPr>
        <w:spacing w:line="233" w:lineRule="auto"/>
        <w:jc w:val="both"/>
        <w:rPr>
          <w:rFonts w:eastAsia="Times New Roman" w:cs="Times New Roman"/>
          <w:sz w:val="20"/>
          <w:szCs w:val="20"/>
          <w:lang w:val="en-US" w:eastAsia="en-CA"/>
        </w:rPr>
      </w:pPr>
      <w:r w:rsidRPr="00A67ADB">
        <w:rPr>
          <w:rFonts w:eastAsia="Times New Roman" w:cs="Times New Roman"/>
          <w:b/>
          <w:bCs/>
          <w:sz w:val="20"/>
          <w:szCs w:val="20"/>
          <w:lang w:val="en-US" w:eastAsia="en-CA"/>
        </w:rPr>
        <w:t>IT IS HEREBY ORDERED THAT:</w:t>
      </w:r>
    </w:p>
    <w:p w:rsidR="00A67ADB" w:rsidRPr="00A67ADB" w:rsidRDefault="00A67ADB" w:rsidP="00A67ADB">
      <w:pPr>
        <w:spacing w:line="233" w:lineRule="auto"/>
        <w:jc w:val="both"/>
        <w:rPr>
          <w:rFonts w:eastAsia="Times New Roman" w:cs="Times New Roman"/>
          <w:sz w:val="20"/>
          <w:szCs w:val="20"/>
          <w:lang w:val="en-US" w:eastAsia="en-CA"/>
        </w:rPr>
      </w:pPr>
    </w:p>
    <w:p w:rsidR="00A67ADB" w:rsidRPr="00A67ADB" w:rsidRDefault="00A67ADB" w:rsidP="00A67ADB">
      <w:pPr>
        <w:spacing w:line="233" w:lineRule="auto"/>
        <w:jc w:val="both"/>
        <w:rPr>
          <w:rFonts w:eastAsia="Times New Roman" w:cs="Times New Roman"/>
          <w:sz w:val="20"/>
          <w:szCs w:val="20"/>
          <w:lang w:val="en-US" w:eastAsia="en-CA"/>
        </w:rPr>
      </w:pPr>
      <w:r w:rsidRPr="00A67ADB">
        <w:rPr>
          <w:rFonts w:eastAsia="Times New Roman" w:cs="Times New Roman"/>
          <w:sz w:val="20"/>
          <w:szCs w:val="20"/>
          <w:lang w:val="en-US" w:eastAsia="en-CA"/>
        </w:rPr>
        <w:t xml:space="preserve">The motion for leave to intervene is dismissed without costs. </w:t>
      </w:r>
    </w:p>
    <w:p w:rsidR="00A67ADB" w:rsidRPr="00A67ADB" w:rsidRDefault="00A67ADB" w:rsidP="00A67ADB">
      <w:pPr>
        <w:spacing w:line="233" w:lineRule="auto"/>
        <w:jc w:val="both"/>
        <w:rPr>
          <w:rFonts w:eastAsia="Times New Roman" w:cs="Times New Roman"/>
          <w:sz w:val="20"/>
          <w:szCs w:val="20"/>
          <w:lang w:val="en-US" w:eastAsia="en-CA"/>
        </w:rPr>
      </w:pPr>
    </w:p>
    <w:p w:rsidR="00A67ADB" w:rsidRPr="00A67ADB" w:rsidRDefault="00A67ADB" w:rsidP="00A67ADB">
      <w:pPr>
        <w:spacing w:line="233" w:lineRule="auto"/>
        <w:jc w:val="both"/>
        <w:rPr>
          <w:rFonts w:eastAsia="Times New Roman" w:cs="Times New Roman"/>
          <w:sz w:val="20"/>
          <w:szCs w:val="20"/>
          <w:lang w:val="en-US" w:eastAsia="en-CA"/>
        </w:rPr>
      </w:pPr>
    </w:p>
    <w:p w:rsidR="00A67ADB" w:rsidRPr="00A67ADB" w:rsidRDefault="00A67ADB" w:rsidP="00A67ADB">
      <w:pPr>
        <w:spacing w:line="233" w:lineRule="auto"/>
        <w:jc w:val="both"/>
        <w:rPr>
          <w:rFonts w:eastAsia="Times New Roman" w:cs="Times New Roman"/>
          <w:sz w:val="20"/>
          <w:szCs w:val="20"/>
          <w:lang w:val="en-US" w:eastAsia="en-CA"/>
        </w:rPr>
      </w:pPr>
    </w:p>
    <w:p w:rsidR="00A67ADB" w:rsidRPr="00A67ADB" w:rsidRDefault="00A67ADB" w:rsidP="00A67ADB">
      <w:pPr>
        <w:spacing w:line="233" w:lineRule="auto"/>
        <w:jc w:val="both"/>
        <w:rPr>
          <w:rFonts w:eastAsia="Times New Roman" w:cs="Times New Roman"/>
          <w:sz w:val="20"/>
          <w:szCs w:val="20"/>
          <w:lang w:val="fr-CA" w:eastAsia="en-CA"/>
        </w:rPr>
      </w:pPr>
      <w:r w:rsidRPr="00A67ADB">
        <w:rPr>
          <w:rFonts w:eastAsia="Times New Roman" w:cs="Times New Roman"/>
          <w:b/>
          <w:sz w:val="20"/>
          <w:szCs w:val="20"/>
          <w:lang w:val="fr-CA" w:eastAsia="en-CA"/>
        </w:rPr>
        <w:t xml:space="preserve">À LA SUITE DE LA DEMANDE </w:t>
      </w:r>
      <w:r w:rsidRPr="00A67ADB">
        <w:rPr>
          <w:rFonts w:eastAsia="Times New Roman" w:cs="Times New Roman"/>
          <w:sz w:val="20"/>
          <w:szCs w:val="20"/>
          <w:lang w:val="fr-CA" w:eastAsia="en-CA"/>
        </w:rPr>
        <w:t>d’autorisation d’intervention dans l’appel présentée par Canada sans pauvreté et le Comité de la Charte et des questions de pauvreté;</w:t>
      </w:r>
    </w:p>
    <w:p w:rsidR="00A67ADB" w:rsidRPr="00A67ADB" w:rsidRDefault="00A67ADB" w:rsidP="00A67ADB">
      <w:pPr>
        <w:spacing w:line="233" w:lineRule="auto"/>
        <w:jc w:val="both"/>
        <w:rPr>
          <w:rFonts w:eastAsia="Times New Roman" w:cs="Times New Roman"/>
          <w:sz w:val="20"/>
          <w:szCs w:val="20"/>
          <w:lang w:val="fr-CA" w:eastAsia="en-CA"/>
        </w:rPr>
      </w:pPr>
    </w:p>
    <w:p w:rsidR="00A67ADB" w:rsidRPr="00A67ADB" w:rsidRDefault="00A67ADB" w:rsidP="00A67ADB">
      <w:pPr>
        <w:spacing w:line="233" w:lineRule="auto"/>
        <w:jc w:val="both"/>
        <w:rPr>
          <w:rFonts w:eastAsia="Times New Roman" w:cs="Times New Roman"/>
          <w:sz w:val="20"/>
          <w:szCs w:val="20"/>
          <w:lang w:val="fr-CA" w:eastAsia="en-CA"/>
        </w:rPr>
      </w:pPr>
      <w:r w:rsidRPr="00A67ADB">
        <w:rPr>
          <w:rFonts w:eastAsia="Times New Roman" w:cs="Times New Roman"/>
          <w:b/>
          <w:bCs/>
          <w:sz w:val="20"/>
          <w:szCs w:val="20"/>
          <w:lang w:val="fr-CA" w:eastAsia="en-CA"/>
        </w:rPr>
        <w:t xml:space="preserve">ET APRÈS EXAMEN </w:t>
      </w:r>
      <w:r w:rsidRPr="00A67ADB">
        <w:rPr>
          <w:rFonts w:eastAsia="Times New Roman" w:cs="Times New Roman"/>
          <w:bCs/>
          <w:sz w:val="20"/>
          <w:szCs w:val="20"/>
          <w:lang w:val="fr-CA" w:eastAsia="en-CA"/>
        </w:rPr>
        <w:t>des documents déposés</w:t>
      </w:r>
      <w:r w:rsidRPr="00A67ADB">
        <w:rPr>
          <w:rFonts w:eastAsia="Times New Roman" w:cs="Times New Roman"/>
          <w:sz w:val="20"/>
          <w:szCs w:val="20"/>
          <w:lang w:val="fr-CA" w:eastAsia="en-CA"/>
        </w:rPr>
        <w:t>;</w:t>
      </w:r>
    </w:p>
    <w:p w:rsidR="00A67ADB" w:rsidRPr="00A67ADB" w:rsidRDefault="00A67ADB" w:rsidP="00A67ADB">
      <w:pPr>
        <w:spacing w:line="233" w:lineRule="auto"/>
        <w:jc w:val="both"/>
        <w:rPr>
          <w:rFonts w:eastAsia="Times New Roman" w:cs="Times New Roman"/>
          <w:sz w:val="20"/>
          <w:szCs w:val="20"/>
          <w:lang w:val="fr-CA" w:eastAsia="en-CA"/>
        </w:rPr>
      </w:pPr>
    </w:p>
    <w:p w:rsidR="00A67ADB" w:rsidRPr="00A67ADB" w:rsidRDefault="00A67ADB" w:rsidP="00A67ADB">
      <w:pPr>
        <w:spacing w:line="233" w:lineRule="auto"/>
        <w:jc w:val="both"/>
        <w:rPr>
          <w:rFonts w:eastAsia="Times New Roman" w:cs="Times New Roman"/>
          <w:sz w:val="20"/>
          <w:szCs w:val="20"/>
          <w:lang w:val="fr-CA" w:eastAsia="en-CA"/>
        </w:rPr>
      </w:pPr>
      <w:r w:rsidRPr="00A67ADB">
        <w:rPr>
          <w:rFonts w:eastAsia="Times New Roman" w:cs="Times New Roman"/>
          <w:b/>
          <w:bCs/>
          <w:sz w:val="20"/>
          <w:szCs w:val="20"/>
          <w:lang w:val="fr-CA" w:eastAsia="en-CA"/>
        </w:rPr>
        <w:t>IL EST ORDONNÉ CE QUI SUIT :</w:t>
      </w:r>
    </w:p>
    <w:p w:rsidR="00A67ADB" w:rsidRPr="00A67ADB" w:rsidRDefault="00A67ADB" w:rsidP="00A67ADB">
      <w:pPr>
        <w:spacing w:line="233" w:lineRule="auto"/>
        <w:jc w:val="both"/>
        <w:rPr>
          <w:rFonts w:eastAsia="Times New Roman" w:cs="Times New Roman"/>
          <w:sz w:val="20"/>
          <w:szCs w:val="20"/>
          <w:lang w:val="fr-CA" w:eastAsia="en-CA"/>
        </w:rPr>
      </w:pPr>
    </w:p>
    <w:p w:rsidR="00A67ADB" w:rsidRPr="00A67ADB" w:rsidRDefault="00A67ADB" w:rsidP="00A67ADB">
      <w:pPr>
        <w:spacing w:line="233" w:lineRule="auto"/>
        <w:jc w:val="both"/>
        <w:rPr>
          <w:rFonts w:eastAsia="Times New Roman" w:cs="Times New Roman"/>
          <w:sz w:val="20"/>
          <w:szCs w:val="20"/>
          <w:lang w:val="fr-CA" w:eastAsia="en-CA"/>
        </w:rPr>
      </w:pPr>
      <w:r w:rsidRPr="00A67ADB">
        <w:rPr>
          <w:rFonts w:eastAsia="Times New Roman" w:cs="Times New Roman"/>
          <w:sz w:val="20"/>
          <w:szCs w:val="20"/>
          <w:lang w:val="fr-CA" w:eastAsia="en-CA"/>
        </w:rPr>
        <w:t xml:space="preserve">La requête en autorisation d’intervenir est rejetée sans frais. </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5E19D3" w:rsidP="00A67AD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A67ADB" w:rsidRDefault="00A67ADB">
      <w:pPr>
        <w:rPr>
          <w:rFonts w:eastAsia="Times New Roman" w:cs="Times New Roman"/>
          <w:sz w:val="20"/>
          <w:szCs w:val="20"/>
          <w:lang w:val="fr-CA" w:eastAsia="en-CA"/>
        </w:rPr>
      </w:pPr>
    </w:p>
    <w:p w:rsidR="00A67ADB" w:rsidRDefault="00A67ADB">
      <w:pPr>
        <w:rPr>
          <w:rFonts w:eastAsia="Times New Roman" w:cs="Times New Roman"/>
          <w:sz w:val="20"/>
          <w:szCs w:val="20"/>
          <w:lang w:val="fr-CA" w:eastAsia="en-CA"/>
        </w:rPr>
      </w:pPr>
      <w:r>
        <w:rPr>
          <w:rFonts w:eastAsia="Times New Roman" w:cs="Times New Roman"/>
          <w:sz w:val="20"/>
          <w:szCs w:val="20"/>
          <w:lang w:val="fr-CA" w:eastAsia="en-CA"/>
        </w:rPr>
        <w:br w:type="page"/>
      </w: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sz w:val="20"/>
          <w:szCs w:val="20"/>
          <w:lang w:val="fr-CA" w:eastAsia="en-CA"/>
        </w:rPr>
        <w:lastRenderedPageBreak/>
        <w:t>30.05.2014</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tabs>
          <w:tab w:val="left" w:pos="-1440"/>
          <w:tab w:val="left" w:pos="-720"/>
        </w:tabs>
        <w:jc w:val="both"/>
        <w:rPr>
          <w:rFonts w:eastAsia="Times New Roman" w:cs="Times New Roman"/>
          <w:sz w:val="20"/>
          <w:szCs w:val="20"/>
          <w:lang w:val="fr-CA" w:eastAsia="en-CA"/>
        </w:rPr>
      </w:pPr>
      <w:r w:rsidRPr="00A67ADB">
        <w:rPr>
          <w:rFonts w:eastAsia="Times New Roman" w:cs="Times New Roman"/>
          <w:sz w:val="20"/>
          <w:szCs w:val="20"/>
          <w:lang w:val="fr-CA" w:eastAsia="en-CA"/>
        </w:rPr>
        <w:t>Before / Devant :   CROMWELL J. / LE JUGE CROMWELL</w:t>
      </w:r>
    </w:p>
    <w:p w:rsidR="00A67ADB" w:rsidRPr="00A67ADB" w:rsidRDefault="00A67ADB" w:rsidP="00A67AD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67ADB" w:rsidRPr="005E19D3" w:rsidTr="00480963">
        <w:tc>
          <w:tcPr>
            <w:tcW w:w="4338" w:type="dxa"/>
          </w:tcPr>
          <w:p w:rsidR="00A67ADB" w:rsidRPr="00A67ADB" w:rsidRDefault="00A67ADB" w:rsidP="00A67ADB">
            <w:pPr>
              <w:tabs>
                <w:tab w:val="left" w:pos="-1440"/>
                <w:tab w:val="left" w:pos="-720"/>
              </w:tabs>
              <w:jc w:val="both"/>
              <w:rPr>
                <w:b/>
              </w:rPr>
            </w:pPr>
            <w:r w:rsidRPr="00A67ADB">
              <w:rPr>
                <w:b/>
                <w:bCs/>
                <w:color w:val="000000"/>
                <w:lang w:val="en-GB"/>
              </w:rPr>
              <w:t>Motion to extend time to serve and file the factum and the book of authorities of the respondent to July 10, 2014 and for an order pursuant to Rule 71(3) permitting oral argument at the hearing of the appeal</w:t>
            </w:r>
          </w:p>
        </w:tc>
        <w:tc>
          <w:tcPr>
            <w:tcW w:w="1170" w:type="dxa"/>
          </w:tcPr>
          <w:p w:rsidR="00A67ADB" w:rsidRPr="00A67ADB" w:rsidRDefault="00A67ADB" w:rsidP="00A67ADB">
            <w:pPr>
              <w:tabs>
                <w:tab w:val="left" w:pos="-1440"/>
                <w:tab w:val="left" w:pos="-720"/>
              </w:tabs>
              <w:jc w:val="both"/>
            </w:pPr>
          </w:p>
          <w:p w:rsidR="00A67ADB" w:rsidRPr="00A67ADB" w:rsidRDefault="00A67ADB" w:rsidP="00A67ADB">
            <w:pPr>
              <w:tabs>
                <w:tab w:val="left" w:pos="-1440"/>
                <w:tab w:val="left" w:pos="-720"/>
              </w:tabs>
              <w:jc w:val="both"/>
            </w:pPr>
          </w:p>
          <w:p w:rsidR="00A67ADB" w:rsidRPr="00A67ADB" w:rsidRDefault="00A67ADB" w:rsidP="00A67ADB">
            <w:pPr>
              <w:tabs>
                <w:tab w:val="left" w:pos="-1440"/>
                <w:tab w:val="left" w:pos="-720"/>
              </w:tabs>
              <w:jc w:val="both"/>
            </w:pPr>
          </w:p>
          <w:p w:rsidR="00A67ADB" w:rsidRPr="00A67ADB" w:rsidRDefault="00A67ADB" w:rsidP="00A67ADB">
            <w:pPr>
              <w:tabs>
                <w:tab w:val="left" w:pos="-1440"/>
                <w:tab w:val="left" w:pos="-720"/>
              </w:tabs>
              <w:jc w:val="both"/>
            </w:pPr>
          </w:p>
          <w:p w:rsidR="00A67ADB" w:rsidRPr="00A67ADB" w:rsidRDefault="00A67ADB" w:rsidP="00A67ADB">
            <w:pPr>
              <w:tabs>
                <w:tab w:val="left" w:pos="-1440"/>
                <w:tab w:val="left" w:pos="-720"/>
              </w:tabs>
              <w:jc w:val="both"/>
            </w:pPr>
          </w:p>
          <w:p w:rsidR="00A67ADB" w:rsidRPr="00A67ADB" w:rsidRDefault="00A67ADB" w:rsidP="00A67ADB">
            <w:pPr>
              <w:tabs>
                <w:tab w:val="left" w:pos="-1440"/>
                <w:tab w:val="left" w:pos="-720"/>
              </w:tabs>
              <w:jc w:val="both"/>
            </w:pPr>
          </w:p>
        </w:tc>
        <w:tc>
          <w:tcPr>
            <w:tcW w:w="4327" w:type="dxa"/>
          </w:tcPr>
          <w:p w:rsidR="00A67ADB" w:rsidRPr="00A67ADB" w:rsidRDefault="00A67ADB" w:rsidP="00A67ADB">
            <w:pPr>
              <w:tabs>
                <w:tab w:val="left" w:pos="-1440"/>
                <w:tab w:val="left" w:pos="-720"/>
              </w:tabs>
              <w:jc w:val="both"/>
              <w:rPr>
                <w:lang w:val="fr-CA"/>
              </w:rPr>
            </w:pPr>
            <w:r w:rsidRPr="00A67ADB">
              <w:rPr>
                <w:b/>
                <w:bCs/>
                <w:color w:val="000000"/>
                <w:lang w:val="fr-CA"/>
              </w:rPr>
              <w:t xml:space="preserve">Requête en prorogation, jusqu’au 10 juillet 2014, du délai de signification et de dépôt des mémoire et recueil de sources de l’intimé, et en autorisation de présenter une plaidoirie orale à l’audition en vertu du par. 71(3) des </w:t>
            </w:r>
            <w:r w:rsidRPr="00A67ADB">
              <w:rPr>
                <w:b/>
                <w:bCs/>
                <w:i/>
                <w:iCs/>
                <w:color w:val="000000"/>
                <w:lang w:val="fr-CA"/>
              </w:rPr>
              <w:t>Règles</w:t>
            </w:r>
            <w:r w:rsidRPr="00A67ADB">
              <w:rPr>
                <w:szCs w:val="24"/>
                <w:lang w:val="fr-CA"/>
              </w:rPr>
              <w:t xml:space="preserve"> </w:t>
            </w:r>
            <w:r w:rsidR="00EE415D" w:rsidRPr="00A67ADB">
              <w:rPr>
                <w:szCs w:val="24"/>
                <w:lang w:val="en-US"/>
              </w:rPr>
              <w:fldChar w:fldCharType="begin"/>
            </w:r>
            <w:r w:rsidRPr="00A67ADB">
              <w:rPr>
                <w:szCs w:val="24"/>
                <w:lang w:val="fr-CA"/>
              </w:rPr>
              <w:instrText xml:space="preserve"> SEQ CHAPTER \h \r 1</w:instrText>
            </w:r>
            <w:r w:rsidR="00EE415D" w:rsidRPr="00A67ADB">
              <w:rPr>
                <w:szCs w:val="24"/>
                <w:lang w:val="en-US"/>
              </w:rPr>
              <w:fldChar w:fldCharType="end"/>
            </w:r>
            <w:r w:rsidR="00EE415D" w:rsidRPr="00A67ADB">
              <w:rPr>
                <w:szCs w:val="24"/>
                <w:lang w:val="en-US"/>
              </w:rPr>
              <w:fldChar w:fldCharType="begin"/>
            </w:r>
            <w:r w:rsidRPr="00A67ADB">
              <w:rPr>
                <w:szCs w:val="24"/>
                <w:lang w:val="fr-CA"/>
              </w:rPr>
              <w:instrText xml:space="preserve"> SEQ CHAPTER \h \r 1</w:instrText>
            </w:r>
            <w:r w:rsidR="00EE415D" w:rsidRPr="00A67ADB">
              <w:rPr>
                <w:szCs w:val="24"/>
                <w:lang w:val="en-US"/>
              </w:rPr>
              <w:fldChar w:fldCharType="end"/>
            </w:r>
          </w:p>
        </w:tc>
      </w:tr>
      <w:tr w:rsidR="00A67ADB" w:rsidRPr="00A67ADB" w:rsidTr="00480963">
        <w:tc>
          <w:tcPr>
            <w:tcW w:w="4338" w:type="dxa"/>
          </w:tcPr>
          <w:p w:rsidR="00A67ADB" w:rsidRPr="00A67ADB" w:rsidRDefault="00A67ADB" w:rsidP="00A67ADB">
            <w:pPr>
              <w:tabs>
                <w:tab w:val="left" w:pos="-1440"/>
                <w:tab w:val="left" w:pos="-720"/>
              </w:tabs>
              <w:jc w:val="both"/>
            </w:pPr>
            <w:r w:rsidRPr="00A67ADB">
              <w:t>Her Majesty the Queen</w:t>
            </w:r>
          </w:p>
          <w:p w:rsidR="00A67ADB" w:rsidRPr="00A67ADB" w:rsidRDefault="00A67ADB" w:rsidP="00A67ADB">
            <w:pPr>
              <w:tabs>
                <w:tab w:val="left" w:pos="-1440"/>
                <w:tab w:val="left" w:pos="-720"/>
              </w:tabs>
              <w:jc w:val="both"/>
            </w:pPr>
          </w:p>
          <w:p w:rsidR="00A67ADB" w:rsidRPr="00A67ADB" w:rsidRDefault="00A67ADB" w:rsidP="00A67ADB">
            <w:pPr>
              <w:tabs>
                <w:tab w:val="left" w:pos="-1440"/>
                <w:tab w:val="left" w:pos="-720"/>
              </w:tabs>
              <w:jc w:val="both"/>
            </w:pPr>
            <w:r w:rsidRPr="00A67ADB">
              <w:tab/>
              <w:t>v. (35669)</w:t>
            </w:r>
          </w:p>
          <w:p w:rsidR="00A67ADB" w:rsidRPr="00A67ADB" w:rsidRDefault="00A67ADB" w:rsidP="00A67ADB">
            <w:pPr>
              <w:tabs>
                <w:tab w:val="left" w:pos="-1440"/>
                <w:tab w:val="left" w:pos="-720"/>
              </w:tabs>
              <w:jc w:val="both"/>
            </w:pPr>
          </w:p>
          <w:p w:rsidR="00A67ADB" w:rsidRPr="00A67ADB" w:rsidRDefault="00A67ADB" w:rsidP="00A67ADB">
            <w:pPr>
              <w:tabs>
                <w:tab w:val="left" w:pos="-1440"/>
                <w:tab w:val="left" w:pos="-720"/>
              </w:tabs>
              <w:jc w:val="both"/>
              <w:rPr>
                <w:lang w:val="fr-CA"/>
              </w:rPr>
            </w:pPr>
            <w:r w:rsidRPr="00A67ADB">
              <w:t xml:space="preserve">Nahoor Araya (Crim.) </w:t>
            </w:r>
            <w:r w:rsidRPr="00A67ADB">
              <w:rPr>
                <w:lang w:val="fr-CA"/>
              </w:rPr>
              <w:t>(Ont.)</w:t>
            </w:r>
          </w:p>
        </w:tc>
        <w:tc>
          <w:tcPr>
            <w:tcW w:w="1170" w:type="dxa"/>
          </w:tcPr>
          <w:p w:rsidR="00A67ADB" w:rsidRPr="00A67ADB" w:rsidRDefault="00A67ADB" w:rsidP="00A67ADB">
            <w:pPr>
              <w:tabs>
                <w:tab w:val="left" w:pos="-1440"/>
                <w:tab w:val="left" w:pos="-720"/>
              </w:tabs>
              <w:jc w:val="both"/>
              <w:rPr>
                <w:lang w:val="fr-CA"/>
              </w:rPr>
            </w:pPr>
          </w:p>
        </w:tc>
        <w:tc>
          <w:tcPr>
            <w:tcW w:w="4327" w:type="dxa"/>
          </w:tcPr>
          <w:p w:rsidR="00A67ADB" w:rsidRPr="00A67ADB" w:rsidRDefault="00A67ADB" w:rsidP="00A67ADB">
            <w:pPr>
              <w:tabs>
                <w:tab w:val="left" w:pos="-1440"/>
                <w:tab w:val="left" w:pos="-720"/>
              </w:tabs>
              <w:jc w:val="both"/>
              <w:rPr>
                <w:lang w:val="fr-CA"/>
              </w:rPr>
            </w:pPr>
          </w:p>
        </w:tc>
      </w:tr>
    </w:tbl>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A67ADB" w:rsidRPr="00A67ADB" w:rsidRDefault="00A67ADB" w:rsidP="00A67ADB">
      <w:pPr>
        <w:tabs>
          <w:tab w:val="left" w:pos="-1440"/>
          <w:tab w:val="left" w:pos="-720"/>
        </w:tabs>
        <w:jc w:val="both"/>
        <w:rPr>
          <w:rFonts w:eastAsia="Times New Roman" w:cs="Times New Roman"/>
          <w:b/>
          <w:sz w:val="20"/>
          <w:szCs w:val="20"/>
          <w:lang w:eastAsia="en-CA"/>
        </w:rPr>
      </w:pPr>
      <w:r w:rsidRPr="00A67ADB">
        <w:rPr>
          <w:rFonts w:eastAsia="Times New Roman" w:cs="Times New Roman"/>
          <w:b/>
          <w:sz w:val="20"/>
          <w:szCs w:val="20"/>
          <w:lang w:eastAsia="en-CA"/>
        </w:rPr>
        <w:t>GRANTED / ACCORDÉE</w:t>
      </w:r>
    </w:p>
    <w:p w:rsidR="00A67ADB" w:rsidRPr="00A67ADB" w:rsidRDefault="00A67ADB" w:rsidP="00A67ADB">
      <w:pPr>
        <w:tabs>
          <w:tab w:val="left" w:pos="-1440"/>
          <w:tab w:val="left" w:pos="-720"/>
        </w:tabs>
        <w:jc w:val="both"/>
        <w:rPr>
          <w:rFonts w:eastAsia="Times New Roman" w:cs="Times New Roman"/>
          <w:sz w:val="20"/>
          <w:szCs w:val="20"/>
          <w:lang w:eastAsia="en-CA"/>
        </w:rPr>
      </w:pPr>
    </w:p>
    <w:p w:rsidR="00A67ADB" w:rsidRPr="00A67ADB" w:rsidRDefault="005E19D3" w:rsidP="00A67AD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A67ADB" w:rsidRPr="00A67ADB" w:rsidRDefault="00A67ADB" w:rsidP="00A67ADB">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E19D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4F3470" w:rsidRDefault="004F3470" w:rsidP="005F1ED8">
            <w:pPr>
              <w:rPr>
                <w:sz w:val="20"/>
                <w:szCs w:val="20"/>
                <w:lang w:val="fr-CA"/>
              </w:rPr>
            </w:pPr>
            <w:r w:rsidRPr="004F3470">
              <w:rPr>
                <w:sz w:val="20"/>
                <w:szCs w:val="20"/>
                <w:lang w:val="fr-CA"/>
              </w:rPr>
              <w:t>02</w:t>
            </w:r>
            <w:r w:rsidR="0086340B" w:rsidRPr="004F3470">
              <w:rPr>
                <w:sz w:val="20"/>
                <w:szCs w:val="20"/>
                <w:lang w:val="fr-CA"/>
              </w:rPr>
              <w:t>.</w:t>
            </w:r>
            <w:r w:rsidRPr="004F3470">
              <w:rPr>
                <w:sz w:val="20"/>
                <w:szCs w:val="20"/>
                <w:lang w:val="fr-CA"/>
              </w:rPr>
              <w:t>06</w:t>
            </w:r>
            <w:r w:rsidR="0086340B" w:rsidRPr="004F3470">
              <w:rPr>
                <w:sz w:val="20"/>
                <w:szCs w:val="20"/>
                <w:lang w:val="fr-CA"/>
              </w:rPr>
              <w:t>.201</w:t>
            </w:r>
            <w:r w:rsidRPr="004F3470">
              <w:rPr>
                <w:sz w:val="20"/>
                <w:szCs w:val="20"/>
                <w:lang w:val="fr-CA"/>
              </w:rPr>
              <w:t>4</w:t>
            </w:r>
          </w:p>
          <w:p w:rsidR="0086340B" w:rsidRPr="004F3470" w:rsidRDefault="0086340B" w:rsidP="005F1ED8">
            <w:pPr>
              <w:rPr>
                <w:sz w:val="20"/>
                <w:szCs w:val="20"/>
                <w:lang w:val="fr-CA"/>
              </w:rPr>
            </w:pPr>
          </w:p>
          <w:p w:rsidR="0086340B" w:rsidRPr="004F3470" w:rsidRDefault="004F3470" w:rsidP="005F1ED8">
            <w:pPr>
              <w:rPr>
                <w:b/>
                <w:sz w:val="20"/>
                <w:szCs w:val="20"/>
                <w:lang w:val="fr-CA"/>
              </w:rPr>
            </w:pPr>
            <w:r w:rsidRPr="004F3470">
              <w:rPr>
                <w:b/>
                <w:sz w:val="20"/>
                <w:szCs w:val="20"/>
                <w:lang w:val="fr-CA"/>
              </w:rPr>
              <w:t>Commission des droits de la personne et des droits de la jeunesse</w:t>
            </w:r>
          </w:p>
          <w:p w:rsidR="0086340B" w:rsidRPr="004F3470" w:rsidRDefault="0086340B" w:rsidP="005F1ED8">
            <w:pPr>
              <w:rPr>
                <w:b/>
                <w:sz w:val="20"/>
                <w:szCs w:val="20"/>
                <w:lang w:val="fr-CA"/>
              </w:rPr>
            </w:pPr>
          </w:p>
          <w:p w:rsidR="0086340B" w:rsidRPr="004F3470" w:rsidRDefault="0086340B" w:rsidP="005F1ED8">
            <w:pPr>
              <w:rPr>
                <w:b/>
                <w:sz w:val="20"/>
                <w:szCs w:val="20"/>
                <w:lang w:val="fr-CA"/>
              </w:rPr>
            </w:pPr>
            <w:r w:rsidRPr="004F3470">
              <w:rPr>
                <w:b/>
                <w:sz w:val="20"/>
                <w:szCs w:val="20"/>
                <w:lang w:val="fr-CA"/>
              </w:rPr>
              <w:tab/>
            </w:r>
            <w:r w:rsidR="004F3470" w:rsidRPr="004F3470">
              <w:rPr>
                <w:b/>
                <w:sz w:val="20"/>
                <w:szCs w:val="20"/>
                <w:lang w:val="fr-CA"/>
              </w:rPr>
              <w:t>c</w:t>
            </w:r>
            <w:r w:rsidRPr="004F3470">
              <w:rPr>
                <w:b/>
                <w:sz w:val="20"/>
                <w:szCs w:val="20"/>
                <w:lang w:val="fr-CA"/>
              </w:rPr>
              <w:t>. (35</w:t>
            </w:r>
            <w:r w:rsidR="004F3470" w:rsidRPr="004F3470">
              <w:rPr>
                <w:b/>
                <w:sz w:val="20"/>
                <w:szCs w:val="20"/>
                <w:lang w:val="fr-CA"/>
              </w:rPr>
              <w:t>6</w:t>
            </w:r>
            <w:r w:rsidRPr="004F3470">
              <w:rPr>
                <w:b/>
                <w:sz w:val="20"/>
                <w:szCs w:val="20"/>
                <w:lang w:val="fr-CA"/>
              </w:rPr>
              <w:t>2</w:t>
            </w:r>
            <w:r w:rsidR="004F3470" w:rsidRPr="004F3470">
              <w:rPr>
                <w:b/>
                <w:sz w:val="20"/>
                <w:szCs w:val="20"/>
                <w:lang w:val="fr-CA"/>
              </w:rPr>
              <w:t>5</w:t>
            </w:r>
            <w:r w:rsidRPr="004F3470">
              <w:rPr>
                <w:b/>
                <w:sz w:val="20"/>
                <w:szCs w:val="20"/>
                <w:lang w:val="fr-CA"/>
              </w:rPr>
              <w:t>)</w:t>
            </w:r>
          </w:p>
          <w:p w:rsidR="0086340B" w:rsidRPr="004F3470" w:rsidRDefault="0086340B" w:rsidP="005F1ED8">
            <w:pPr>
              <w:rPr>
                <w:b/>
                <w:sz w:val="20"/>
                <w:szCs w:val="20"/>
                <w:lang w:val="fr-CA"/>
              </w:rPr>
            </w:pPr>
          </w:p>
          <w:p w:rsidR="0086340B" w:rsidRPr="004F3470" w:rsidRDefault="004F3470" w:rsidP="005F1ED8">
            <w:pPr>
              <w:rPr>
                <w:b/>
                <w:sz w:val="20"/>
                <w:szCs w:val="20"/>
                <w:lang w:val="fr-CA"/>
              </w:rPr>
            </w:pPr>
            <w:r w:rsidRPr="004F3470">
              <w:rPr>
                <w:b/>
                <w:sz w:val="20"/>
                <w:szCs w:val="20"/>
                <w:lang w:val="fr-CA"/>
              </w:rPr>
              <w:t>B</w:t>
            </w:r>
            <w:r w:rsidR="0086340B" w:rsidRPr="004F3470">
              <w:rPr>
                <w:b/>
                <w:sz w:val="20"/>
                <w:szCs w:val="20"/>
                <w:lang w:val="fr-CA"/>
              </w:rPr>
              <w:t>om</w:t>
            </w:r>
            <w:r w:rsidRPr="004F3470">
              <w:rPr>
                <w:b/>
                <w:sz w:val="20"/>
                <w:szCs w:val="20"/>
                <w:lang w:val="fr-CA"/>
              </w:rPr>
              <w:t>b</w:t>
            </w:r>
            <w:r w:rsidR="0086340B" w:rsidRPr="004F3470">
              <w:rPr>
                <w:b/>
                <w:sz w:val="20"/>
                <w:szCs w:val="20"/>
                <w:lang w:val="fr-CA"/>
              </w:rPr>
              <w:t>a</w:t>
            </w:r>
            <w:r w:rsidRPr="004F3470">
              <w:rPr>
                <w:b/>
                <w:sz w:val="20"/>
                <w:szCs w:val="20"/>
                <w:lang w:val="fr-CA"/>
              </w:rPr>
              <w:t>rdier I</w:t>
            </w:r>
            <w:r w:rsidR="0086340B" w:rsidRPr="004F3470">
              <w:rPr>
                <w:b/>
                <w:sz w:val="20"/>
                <w:szCs w:val="20"/>
                <w:lang w:val="fr-CA"/>
              </w:rPr>
              <w:t>n</w:t>
            </w:r>
            <w:r w:rsidRPr="004F3470">
              <w:rPr>
                <w:b/>
                <w:sz w:val="20"/>
                <w:szCs w:val="20"/>
                <w:lang w:val="fr-CA"/>
              </w:rPr>
              <w:t xml:space="preserve">c. </w:t>
            </w:r>
            <w:r>
              <w:rPr>
                <w:b/>
                <w:sz w:val="20"/>
                <w:szCs w:val="20"/>
                <w:lang w:val="fr-CA"/>
              </w:rPr>
              <w:t>(Bombardier Aerospace Tra</w:t>
            </w:r>
            <w:r w:rsidR="0086340B" w:rsidRPr="004F3470">
              <w:rPr>
                <w:b/>
                <w:sz w:val="20"/>
                <w:szCs w:val="20"/>
                <w:lang w:val="fr-CA"/>
              </w:rPr>
              <w:t>i</w:t>
            </w:r>
            <w:r>
              <w:rPr>
                <w:b/>
                <w:sz w:val="20"/>
                <w:szCs w:val="20"/>
                <w:lang w:val="fr-CA"/>
              </w:rPr>
              <w:t>ning Cen</w:t>
            </w:r>
            <w:r w:rsidR="0086340B" w:rsidRPr="004F3470">
              <w:rPr>
                <w:b/>
                <w:sz w:val="20"/>
                <w:szCs w:val="20"/>
                <w:lang w:val="fr-CA"/>
              </w:rPr>
              <w:t>te</w:t>
            </w:r>
            <w:r>
              <w:rPr>
                <w:b/>
                <w:sz w:val="20"/>
                <w:szCs w:val="20"/>
                <w:lang w:val="fr-CA"/>
              </w:rPr>
              <w:t>r) et autre</w:t>
            </w:r>
            <w:r w:rsidR="0086340B" w:rsidRPr="004F3470">
              <w:rPr>
                <w:b/>
                <w:sz w:val="20"/>
                <w:szCs w:val="20"/>
                <w:lang w:val="fr-CA"/>
              </w:rPr>
              <w:t xml:space="preserve"> (</w:t>
            </w:r>
            <w:r>
              <w:rPr>
                <w:b/>
                <w:sz w:val="20"/>
                <w:szCs w:val="20"/>
                <w:lang w:val="fr-CA"/>
              </w:rPr>
              <w:t>Qc</w:t>
            </w:r>
            <w:r w:rsidR="0086340B" w:rsidRPr="004F3470">
              <w:rPr>
                <w:b/>
                <w:sz w:val="20"/>
                <w:szCs w:val="20"/>
                <w:lang w:val="fr-CA"/>
              </w:rPr>
              <w:t>)</w:t>
            </w:r>
          </w:p>
          <w:p w:rsidR="0086340B" w:rsidRPr="004F3470" w:rsidRDefault="0086340B" w:rsidP="005F1ED8">
            <w:pPr>
              <w:rPr>
                <w:sz w:val="20"/>
                <w:szCs w:val="20"/>
                <w:lang w:val="fr-CA"/>
              </w:rPr>
            </w:pPr>
          </w:p>
          <w:p w:rsidR="0086340B" w:rsidRPr="004F3470" w:rsidRDefault="0086340B" w:rsidP="005F1ED8">
            <w:pPr>
              <w:rPr>
                <w:sz w:val="20"/>
                <w:szCs w:val="20"/>
                <w:lang w:val="fr-CA"/>
              </w:rPr>
            </w:pPr>
            <w:r w:rsidRPr="004F3470">
              <w:rPr>
                <w:sz w:val="20"/>
                <w:szCs w:val="20"/>
                <w:lang w:val="fr-CA"/>
              </w:rPr>
              <w:t>(</w:t>
            </w:r>
            <w:r w:rsidR="004F3470">
              <w:rPr>
                <w:sz w:val="20"/>
                <w:szCs w:val="20"/>
                <w:lang w:val="fr-CA"/>
              </w:rPr>
              <w:t>Autorisation</w:t>
            </w:r>
            <w:r w:rsidRPr="004F3470">
              <w:rPr>
                <w:sz w:val="20"/>
                <w:szCs w:val="20"/>
                <w:lang w:val="fr-CA"/>
              </w:rPr>
              <w:t>)</w:t>
            </w:r>
          </w:p>
          <w:p w:rsidR="0086340B" w:rsidRPr="004F3470" w:rsidRDefault="0086340B" w:rsidP="005F1ED8">
            <w:pPr>
              <w:rPr>
                <w:sz w:val="20"/>
                <w:szCs w:val="20"/>
                <w:lang w:val="fr-CA"/>
              </w:rPr>
            </w:pPr>
          </w:p>
          <w:p w:rsidR="0086340B" w:rsidRPr="003B3977" w:rsidRDefault="005E19D3" w:rsidP="005F1ED8">
            <w:pPr>
              <w:rPr>
                <w:sz w:val="20"/>
                <w:szCs w:val="20"/>
                <w:lang w:val="fr-CA"/>
              </w:rPr>
            </w:pPr>
            <w:r>
              <w:rPr>
                <w:sz w:val="20"/>
                <w:szCs w:val="20"/>
                <w:lang w:val="fr-CA"/>
              </w:rPr>
              <w:pict>
                <v:rect id="_x0000_i1072" style="width:106.1pt;height:1pt" o:hrpct="500" o:hralign="center" o:hrstd="t" o:hrnoshade="t" o:hr="t" fillcolor="black [3213]" stroked="f"/>
              </w:pict>
            </w:r>
          </w:p>
        </w:tc>
        <w:tc>
          <w:tcPr>
            <w:tcW w:w="588" w:type="pct"/>
          </w:tcPr>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p w:rsidR="0086340B" w:rsidRPr="004F3470" w:rsidRDefault="0086340B" w:rsidP="005F1ED8">
            <w:pPr>
              <w:jc w:val="center"/>
              <w:rPr>
                <w:sz w:val="20"/>
                <w:szCs w:val="20"/>
                <w:lang w:val="fr-CA"/>
              </w:rPr>
            </w:pPr>
          </w:p>
        </w:tc>
        <w:tc>
          <w:tcPr>
            <w:tcW w:w="2206" w:type="pct"/>
          </w:tcPr>
          <w:p w:rsidR="0086340B" w:rsidRPr="00D63335" w:rsidRDefault="004F3470" w:rsidP="005F1ED8">
            <w:pPr>
              <w:rPr>
                <w:sz w:val="20"/>
                <w:szCs w:val="20"/>
                <w:lang w:val="fr-CA"/>
              </w:rPr>
            </w:pPr>
            <w:r>
              <w:rPr>
                <w:sz w:val="20"/>
                <w:szCs w:val="20"/>
                <w:lang w:val="fr-CA"/>
              </w:rPr>
              <w:t>02</w:t>
            </w:r>
            <w:r w:rsidR="0086340B" w:rsidRPr="00D63335">
              <w:rPr>
                <w:sz w:val="20"/>
                <w:szCs w:val="20"/>
                <w:lang w:val="fr-CA"/>
              </w:rPr>
              <w:t>.</w:t>
            </w:r>
            <w:r>
              <w:rPr>
                <w:sz w:val="20"/>
                <w:szCs w:val="20"/>
                <w:lang w:val="fr-CA"/>
              </w:rPr>
              <w:t>06</w:t>
            </w:r>
            <w:r w:rsidR="0086340B" w:rsidRPr="00D63335">
              <w:rPr>
                <w:sz w:val="20"/>
                <w:szCs w:val="20"/>
                <w:lang w:val="fr-CA"/>
              </w:rPr>
              <w:t>.201</w:t>
            </w:r>
            <w:r>
              <w:rPr>
                <w:sz w:val="20"/>
                <w:szCs w:val="20"/>
                <w:lang w:val="fr-CA"/>
              </w:rPr>
              <w:t>4</w:t>
            </w:r>
          </w:p>
          <w:p w:rsidR="0086340B" w:rsidRPr="00D63335" w:rsidRDefault="0086340B" w:rsidP="005F1ED8">
            <w:pPr>
              <w:rPr>
                <w:sz w:val="20"/>
                <w:szCs w:val="20"/>
                <w:lang w:val="fr-CA"/>
              </w:rPr>
            </w:pPr>
          </w:p>
          <w:p w:rsidR="0086340B" w:rsidRPr="00D63335" w:rsidRDefault="004F3470" w:rsidP="005F1ED8">
            <w:pPr>
              <w:rPr>
                <w:b/>
                <w:sz w:val="20"/>
                <w:szCs w:val="20"/>
                <w:lang w:val="fr-CA"/>
              </w:rPr>
            </w:pPr>
            <w:r>
              <w:rPr>
                <w:b/>
                <w:sz w:val="20"/>
                <w:szCs w:val="20"/>
                <w:lang w:val="fr-CA"/>
              </w:rPr>
              <w:t>Jav</w:t>
            </w:r>
            <w:r w:rsidR="0086340B" w:rsidRPr="00D63335">
              <w:rPr>
                <w:b/>
                <w:sz w:val="20"/>
                <w:szCs w:val="20"/>
                <w:lang w:val="fr-CA"/>
              </w:rPr>
              <w:t>e</w:t>
            </w:r>
            <w:r>
              <w:rPr>
                <w:b/>
                <w:sz w:val="20"/>
                <w:szCs w:val="20"/>
                <w:lang w:val="fr-CA"/>
              </w:rPr>
              <w:t>d L</w:t>
            </w:r>
            <w:r w:rsidR="0086340B" w:rsidRPr="00D63335">
              <w:rPr>
                <w:b/>
                <w:sz w:val="20"/>
                <w:szCs w:val="20"/>
                <w:lang w:val="fr-CA"/>
              </w:rPr>
              <w:t>a</w:t>
            </w:r>
            <w:r>
              <w:rPr>
                <w:b/>
                <w:sz w:val="20"/>
                <w:szCs w:val="20"/>
                <w:lang w:val="fr-CA"/>
              </w:rPr>
              <w:t>tif</w:t>
            </w:r>
          </w:p>
          <w:p w:rsidR="0086340B" w:rsidRPr="00D63335" w:rsidRDefault="0086340B" w:rsidP="005F1ED8">
            <w:pPr>
              <w:rPr>
                <w:b/>
                <w:sz w:val="20"/>
                <w:szCs w:val="20"/>
                <w:lang w:val="fr-CA"/>
              </w:rPr>
            </w:pPr>
          </w:p>
          <w:p w:rsidR="0086340B" w:rsidRPr="00D63335" w:rsidRDefault="0086340B" w:rsidP="005F1ED8">
            <w:pPr>
              <w:rPr>
                <w:b/>
                <w:sz w:val="20"/>
                <w:szCs w:val="20"/>
                <w:lang w:val="fr-CA"/>
              </w:rPr>
            </w:pPr>
            <w:r w:rsidRPr="00D63335">
              <w:rPr>
                <w:b/>
                <w:sz w:val="20"/>
                <w:szCs w:val="20"/>
                <w:lang w:val="fr-CA"/>
              </w:rPr>
              <w:tab/>
              <w:t>c. (35</w:t>
            </w:r>
            <w:r w:rsidR="004F3470">
              <w:rPr>
                <w:b/>
                <w:sz w:val="20"/>
                <w:szCs w:val="20"/>
                <w:lang w:val="fr-CA"/>
              </w:rPr>
              <w:t>625</w:t>
            </w:r>
            <w:r w:rsidRPr="00D63335">
              <w:rPr>
                <w:b/>
                <w:sz w:val="20"/>
                <w:szCs w:val="20"/>
                <w:lang w:val="fr-CA"/>
              </w:rPr>
              <w:t>)</w:t>
            </w:r>
          </w:p>
          <w:p w:rsidR="0086340B" w:rsidRPr="00D63335" w:rsidRDefault="0086340B" w:rsidP="005F1ED8">
            <w:pPr>
              <w:rPr>
                <w:b/>
                <w:sz w:val="20"/>
                <w:szCs w:val="20"/>
                <w:lang w:val="fr-CA"/>
              </w:rPr>
            </w:pPr>
          </w:p>
          <w:p w:rsidR="0086340B" w:rsidRDefault="004F3470" w:rsidP="005F1ED8">
            <w:pPr>
              <w:rPr>
                <w:b/>
                <w:sz w:val="20"/>
                <w:szCs w:val="20"/>
                <w:lang w:val="fr-CA"/>
              </w:rPr>
            </w:pPr>
            <w:r w:rsidRPr="004F3470">
              <w:rPr>
                <w:b/>
                <w:sz w:val="20"/>
                <w:szCs w:val="20"/>
                <w:lang w:val="fr-CA"/>
              </w:rPr>
              <w:t xml:space="preserve">Bombardier Inc. </w:t>
            </w:r>
            <w:r>
              <w:rPr>
                <w:b/>
                <w:sz w:val="20"/>
                <w:szCs w:val="20"/>
                <w:lang w:val="fr-CA"/>
              </w:rPr>
              <w:t>(Bombardier Aerospace Tra</w:t>
            </w:r>
            <w:r w:rsidRPr="004F3470">
              <w:rPr>
                <w:b/>
                <w:sz w:val="20"/>
                <w:szCs w:val="20"/>
                <w:lang w:val="fr-CA"/>
              </w:rPr>
              <w:t>i</w:t>
            </w:r>
            <w:r>
              <w:rPr>
                <w:b/>
                <w:sz w:val="20"/>
                <w:szCs w:val="20"/>
                <w:lang w:val="fr-CA"/>
              </w:rPr>
              <w:t>ning Cen</w:t>
            </w:r>
            <w:r w:rsidRPr="004F3470">
              <w:rPr>
                <w:b/>
                <w:sz w:val="20"/>
                <w:szCs w:val="20"/>
                <w:lang w:val="fr-CA"/>
              </w:rPr>
              <w:t>te</w:t>
            </w:r>
            <w:r>
              <w:rPr>
                <w:b/>
                <w:sz w:val="20"/>
                <w:szCs w:val="20"/>
                <w:lang w:val="fr-CA"/>
              </w:rPr>
              <w:t>r) et autre</w:t>
            </w:r>
            <w:r w:rsidRPr="004F3470">
              <w:rPr>
                <w:b/>
                <w:sz w:val="20"/>
                <w:szCs w:val="20"/>
                <w:lang w:val="fr-CA"/>
              </w:rPr>
              <w:t xml:space="preserve"> (</w:t>
            </w:r>
            <w:r>
              <w:rPr>
                <w:b/>
                <w:sz w:val="20"/>
                <w:szCs w:val="20"/>
                <w:lang w:val="fr-CA"/>
              </w:rPr>
              <w:t>Qc</w:t>
            </w:r>
            <w:r w:rsidRPr="004F3470">
              <w:rPr>
                <w:b/>
                <w:sz w:val="20"/>
                <w:szCs w:val="20"/>
                <w:lang w:val="fr-CA"/>
              </w:rPr>
              <w:t>)</w:t>
            </w:r>
          </w:p>
          <w:p w:rsidR="004F3470" w:rsidRPr="003B3977" w:rsidRDefault="004F3470" w:rsidP="005F1ED8">
            <w:pPr>
              <w:rPr>
                <w:sz w:val="20"/>
                <w:szCs w:val="20"/>
                <w:lang w:val="fr-CA"/>
              </w:rPr>
            </w:pPr>
          </w:p>
          <w:p w:rsidR="0086340B" w:rsidRPr="004F3470" w:rsidRDefault="0086340B" w:rsidP="005F1ED8">
            <w:pPr>
              <w:rPr>
                <w:sz w:val="20"/>
                <w:szCs w:val="20"/>
                <w:lang w:val="fr-CA"/>
              </w:rPr>
            </w:pPr>
            <w:r w:rsidRPr="004F3470">
              <w:rPr>
                <w:sz w:val="20"/>
                <w:szCs w:val="20"/>
                <w:lang w:val="fr-CA"/>
              </w:rPr>
              <w:t>(Autorisation)</w:t>
            </w:r>
          </w:p>
          <w:p w:rsidR="0086340B" w:rsidRPr="004F3470" w:rsidRDefault="0086340B" w:rsidP="005F1ED8">
            <w:pPr>
              <w:rPr>
                <w:sz w:val="20"/>
                <w:szCs w:val="20"/>
                <w:lang w:val="fr-CA"/>
              </w:rPr>
            </w:pPr>
          </w:p>
          <w:p w:rsidR="0086340B" w:rsidRPr="003B3977" w:rsidRDefault="005E19D3" w:rsidP="005F1ED8">
            <w:pPr>
              <w:rPr>
                <w:sz w:val="20"/>
                <w:szCs w:val="20"/>
              </w:rPr>
            </w:pPr>
            <w:r>
              <w:rPr>
                <w:sz w:val="20"/>
                <w:szCs w:val="20"/>
                <w:lang w:val="fr-CA"/>
              </w:rPr>
              <w:pict>
                <v:rect id="_x0000_i1073"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E19D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B90CEB" w:rsidRDefault="0052229C" w:rsidP="0052229C">
      <w:pPr>
        <w:rPr>
          <w:b/>
          <w:sz w:val="20"/>
          <w:szCs w:val="20"/>
        </w:rPr>
      </w:pPr>
      <w:r w:rsidRPr="00B90CEB">
        <w:rPr>
          <w:b/>
          <w:sz w:val="20"/>
          <w:szCs w:val="20"/>
        </w:rPr>
        <w:t>JU</w:t>
      </w:r>
      <w:r w:rsidR="00FA5809" w:rsidRPr="00B90CEB">
        <w:rPr>
          <w:b/>
          <w:sz w:val="20"/>
          <w:szCs w:val="20"/>
        </w:rPr>
        <w:t>NE</w:t>
      </w:r>
      <w:r w:rsidRPr="00B90CEB">
        <w:rPr>
          <w:b/>
          <w:sz w:val="20"/>
          <w:szCs w:val="20"/>
        </w:rPr>
        <w:t xml:space="preserve"> 6, 2014 / LE 6 J</w:t>
      </w:r>
      <w:r w:rsidR="00FA5809" w:rsidRPr="00B90CEB">
        <w:rPr>
          <w:b/>
          <w:sz w:val="20"/>
          <w:szCs w:val="20"/>
        </w:rPr>
        <w:t>UI</w:t>
      </w:r>
      <w:r w:rsidRPr="00B90CEB">
        <w:rPr>
          <w:b/>
          <w:sz w:val="20"/>
          <w:szCs w:val="20"/>
        </w:rPr>
        <w:t>N 2014</w:t>
      </w:r>
    </w:p>
    <w:p w:rsidR="0052229C" w:rsidRPr="00B90CEB" w:rsidRDefault="0052229C" w:rsidP="0052229C">
      <w:pPr>
        <w:rPr>
          <w:sz w:val="20"/>
          <w:szCs w:val="20"/>
        </w:rPr>
      </w:pPr>
    </w:p>
    <w:p w:rsidR="00480963" w:rsidRPr="00FF0DAF" w:rsidRDefault="00EE415D" w:rsidP="00480963">
      <w:pPr>
        <w:ind w:left="1440" w:hanging="1440"/>
        <w:jc w:val="both"/>
        <w:rPr>
          <w:sz w:val="20"/>
        </w:rPr>
      </w:pPr>
      <w:r w:rsidRPr="005C722A">
        <w:rPr>
          <w:b/>
          <w:sz w:val="20"/>
        </w:rPr>
        <w:fldChar w:fldCharType="begin"/>
      </w:r>
      <w:r w:rsidR="00480963" w:rsidRPr="00FF0DAF">
        <w:rPr>
          <w:b/>
          <w:sz w:val="20"/>
        </w:rPr>
        <w:instrText xml:space="preserve"> SEQ CHAPTER \h \r 1</w:instrText>
      </w:r>
      <w:r w:rsidRPr="005C722A">
        <w:rPr>
          <w:b/>
          <w:sz w:val="20"/>
        </w:rPr>
        <w:fldChar w:fldCharType="end"/>
      </w:r>
      <w:r w:rsidR="00480963" w:rsidRPr="00FF0DAF">
        <w:rPr>
          <w:b/>
          <w:sz w:val="20"/>
        </w:rPr>
        <w:t>3</w:t>
      </w:r>
      <w:r w:rsidR="00B90CEB">
        <w:rPr>
          <w:b/>
          <w:sz w:val="20"/>
        </w:rPr>
        <w:t>52</w:t>
      </w:r>
      <w:r w:rsidR="00480963">
        <w:rPr>
          <w:b/>
          <w:sz w:val="20"/>
        </w:rPr>
        <w:t>4</w:t>
      </w:r>
      <w:r w:rsidR="00B90CEB">
        <w:rPr>
          <w:b/>
          <w:sz w:val="20"/>
        </w:rPr>
        <w:t>6</w:t>
      </w:r>
      <w:r w:rsidR="00480963" w:rsidRPr="00FF0DAF">
        <w:rPr>
          <w:sz w:val="20"/>
        </w:rPr>
        <w:tab/>
      </w:r>
      <w:r w:rsidR="00480963" w:rsidRPr="007F1D11">
        <w:rPr>
          <w:b/>
          <w:sz w:val="20"/>
          <w:u w:val="single"/>
        </w:rPr>
        <w:t xml:space="preserve">Her Majesty the Queen </w:t>
      </w:r>
      <w:r w:rsidR="00480963" w:rsidRPr="00FF0DAF">
        <w:rPr>
          <w:b/>
          <w:sz w:val="20"/>
          <w:u w:val="single"/>
        </w:rPr>
        <w:t xml:space="preserve">v. </w:t>
      </w:r>
      <w:r w:rsidR="00480963" w:rsidRPr="007F1D11">
        <w:rPr>
          <w:b/>
          <w:sz w:val="20"/>
          <w:u w:val="single"/>
        </w:rPr>
        <w:t xml:space="preserve">Frederick Anderson </w:t>
      </w:r>
      <w:r w:rsidR="00480963">
        <w:rPr>
          <w:b/>
          <w:sz w:val="20"/>
          <w:u w:val="single"/>
        </w:rPr>
        <w:t xml:space="preserve">– and – </w:t>
      </w:r>
      <w:r w:rsidR="00480963" w:rsidRPr="007F1D11">
        <w:rPr>
          <w:b/>
          <w:sz w:val="20"/>
          <w:u w:val="single"/>
        </w:rPr>
        <w:t>Director of Public Prosecutions of Canada, Attorney General of Ontario, Attorney General of New Brunswick, Attorney General of British Columbia, David Asper Centre for Constitutional Rights and Aboriginal Legal Services of Toronto Inc.</w:t>
      </w:r>
      <w:r w:rsidR="00480963" w:rsidRPr="007F1D11">
        <w:rPr>
          <w:b/>
          <w:sz w:val="20"/>
        </w:rPr>
        <w:t xml:space="preserve"> </w:t>
      </w:r>
      <w:r w:rsidR="00480963" w:rsidRPr="00FF0DAF">
        <w:rPr>
          <w:iCs/>
          <w:sz w:val="20"/>
        </w:rPr>
        <w:t>(</w:t>
      </w:r>
      <w:r w:rsidR="00480963">
        <w:rPr>
          <w:iCs/>
          <w:sz w:val="20"/>
        </w:rPr>
        <w:t>N.L.</w:t>
      </w:r>
      <w:r w:rsidR="00480963" w:rsidRPr="00FF0DAF">
        <w:rPr>
          <w:iCs/>
          <w:sz w:val="20"/>
        </w:rPr>
        <w:t>)</w:t>
      </w:r>
    </w:p>
    <w:p w:rsidR="00480963" w:rsidRPr="00FF0DAF" w:rsidRDefault="00480963" w:rsidP="00480963">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Pr>
          <w:b/>
          <w:sz w:val="20"/>
        </w:rPr>
        <w:t>2014 SCC 41</w:t>
      </w:r>
      <w:r w:rsidRPr="00FF0DAF">
        <w:rPr>
          <w:b/>
          <w:sz w:val="20"/>
        </w:rPr>
        <w:t xml:space="preserve">/ 2014 CSC </w:t>
      </w:r>
      <w:r>
        <w:rPr>
          <w:b/>
          <w:sz w:val="20"/>
        </w:rPr>
        <w:t>41</w:t>
      </w:r>
    </w:p>
    <w:p w:rsidR="00480963" w:rsidRPr="00FF0DAF" w:rsidRDefault="00480963" w:rsidP="0048096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480963" w:rsidRPr="00FF0DAF" w:rsidRDefault="00480963" w:rsidP="00480963">
      <w:pPr>
        <w:ind w:left="1440" w:hanging="1440"/>
        <w:rPr>
          <w:sz w:val="20"/>
          <w:u w:val="single"/>
        </w:rPr>
      </w:pPr>
      <w:r w:rsidRPr="00FF0DAF">
        <w:rPr>
          <w:sz w:val="20"/>
        </w:rPr>
        <w:t>Coram:</w:t>
      </w:r>
      <w:r w:rsidRPr="00FF0DAF">
        <w:rPr>
          <w:sz w:val="20"/>
        </w:rPr>
        <w:tab/>
      </w:r>
      <w:r w:rsidRPr="007F1D11">
        <w:rPr>
          <w:sz w:val="20"/>
          <w:u w:val="single"/>
        </w:rPr>
        <w:t>McLachlin C.J. and LeBel, Abella, Cromwell, Moldaver, Karakatsanis and Wagner JJ.</w:t>
      </w:r>
      <w:r w:rsidRPr="00FF0DAF">
        <w:rPr>
          <w:sz w:val="20"/>
          <w:u w:val="single"/>
        </w:rPr>
        <w:t xml:space="preserve"> </w:t>
      </w:r>
    </w:p>
    <w:p w:rsidR="00480963" w:rsidRPr="00FF0DAF" w:rsidRDefault="00480963" w:rsidP="00480963">
      <w:pPr>
        <w:ind w:left="1440" w:hanging="1440"/>
        <w:jc w:val="both"/>
        <w:rPr>
          <w:sz w:val="20"/>
          <w:u w:val="single"/>
        </w:rPr>
      </w:pPr>
    </w:p>
    <w:p w:rsidR="00480963" w:rsidRDefault="00480963" w:rsidP="00480963">
      <w:pPr>
        <w:jc w:val="both"/>
        <w:rPr>
          <w:rFonts w:eastAsia="Calibri"/>
          <w:sz w:val="20"/>
        </w:rPr>
      </w:pPr>
      <w:r w:rsidRPr="007F1D11">
        <w:rPr>
          <w:rFonts w:eastAsia="Calibri"/>
          <w:sz w:val="20"/>
        </w:rPr>
        <w:t xml:space="preserve">The appeal from the judgment </w:t>
      </w:r>
      <w:bookmarkStart w:id="2" w:name="BM_1_"/>
      <w:bookmarkEnd w:id="2"/>
      <w:r w:rsidRPr="007F1D11">
        <w:rPr>
          <w:rFonts w:eastAsia="Calibri"/>
          <w:sz w:val="20"/>
        </w:rPr>
        <w:t xml:space="preserve">of the Supreme Court of Newfoundland and Labrador - Court of Appeal, Number 11/57, 2013 NLCA 2, dated January 10, 2013, heard on March 19, 2014, is allowed.  The order of the Newfoundland and Labrador Court of Appeal is set aside and a term of imprisonment of 120 days is substituted, with the remainder of the sentence stayed in accordance with the concession of the Crown. </w:t>
      </w:r>
    </w:p>
    <w:p w:rsidR="00480963" w:rsidRPr="007F1D11" w:rsidRDefault="00480963" w:rsidP="00480963">
      <w:pPr>
        <w:jc w:val="both"/>
        <w:rPr>
          <w:rFonts w:eastAsia="Calibri"/>
          <w:sz w:val="20"/>
        </w:rPr>
      </w:pPr>
    </w:p>
    <w:p w:rsidR="00480963" w:rsidRPr="007F1D11" w:rsidRDefault="00480963" w:rsidP="00480963">
      <w:pPr>
        <w:jc w:val="both"/>
        <w:rPr>
          <w:rFonts w:eastAsia="Calibri"/>
          <w:sz w:val="20"/>
          <w:lang w:val="fr-CA"/>
        </w:rPr>
      </w:pPr>
      <w:r w:rsidRPr="007F1D11">
        <w:rPr>
          <w:rFonts w:eastAsia="Calibri"/>
          <w:sz w:val="20"/>
          <w:lang w:val="fr-CA"/>
        </w:rPr>
        <w:t>L’appel interjeté contre l’arrêt de la Cour suprême de Terre-Neuve-et-Labrador - Cour d’appel, numéro 11/57, 2013 NLCA 2, en date du 10 janvier 2013, entendu le 19 mars 2014, est accueilli.  L’ordonnance de la Cour d’appel de Terre-Neuve-et-Labrador est annulée et une peine d’emprisonnement de 120 jours est substituée à la peine infligée, avec sursis de ce qui reste à courir de la peine conformément à la concession du ministère public.</w:t>
      </w:r>
    </w:p>
    <w:p w:rsidR="00480963" w:rsidRPr="00C42C54" w:rsidRDefault="00480963" w:rsidP="0052229C">
      <w:pPr>
        <w:rPr>
          <w:sz w:val="20"/>
          <w:szCs w:val="20"/>
          <w:lang w:val="fr-CA"/>
        </w:rPr>
      </w:pPr>
    </w:p>
    <w:p w:rsidR="0052229C" w:rsidRPr="003B3977" w:rsidRDefault="005E19D3" w:rsidP="0052229C">
      <w:pPr>
        <w:spacing w:line="0" w:lineRule="atLeast"/>
        <w:rPr>
          <w:sz w:val="20"/>
          <w:szCs w:val="20"/>
        </w:rPr>
      </w:pPr>
      <w:r>
        <w:rPr>
          <w:b/>
          <w:sz w:val="20"/>
          <w:szCs w:val="20"/>
        </w:rPr>
        <w:pict>
          <v:rect id="_x0000_i107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FA5809">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9109B" w:rsidRPr="000A0987" w:rsidRDefault="00D9109B" w:rsidP="00D9109B">
      <w:pPr>
        <w:ind w:left="720" w:hanging="720"/>
        <w:rPr>
          <w:sz w:val="20"/>
          <w:szCs w:val="20"/>
        </w:rPr>
      </w:pPr>
      <w:r w:rsidRPr="000A0987">
        <w:rPr>
          <w:sz w:val="20"/>
          <w:szCs w:val="20"/>
        </w:rPr>
        <w:t>H</w:t>
      </w:r>
      <w:r w:rsidRPr="000A0987">
        <w:rPr>
          <w:i/>
          <w:sz w:val="20"/>
          <w:szCs w:val="20"/>
        </w:rPr>
        <w:t xml:space="preserve">er Majesty the Queen v. Frederick Anderson </w:t>
      </w:r>
      <w:r w:rsidRPr="000A0987">
        <w:rPr>
          <w:sz w:val="20"/>
          <w:szCs w:val="20"/>
        </w:rPr>
        <w:t>(N.L.) (</w:t>
      </w:r>
      <w:hyperlink r:id="rId83" w:history="1">
        <w:r w:rsidRPr="000A0987">
          <w:rPr>
            <w:rStyle w:val="Hyperlink"/>
            <w:sz w:val="20"/>
            <w:szCs w:val="20"/>
          </w:rPr>
          <w:t>35246</w:t>
        </w:r>
      </w:hyperlink>
      <w:r w:rsidRPr="000A0987">
        <w:rPr>
          <w:sz w:val="20"/>
          <w:szCs w:val="20"/>
        </w:rPr>
        <w:t>)</w:t>
      </w:r>
    </w:p>
    <w:p w:rsidR="003621B8" w:rsidRPr="003621B8" w:rsidRDefault="003621B8" w:rsidP="003621B8">
      <w:pPr>
        <w:jc w:val="both"/>
        <w:rPr>
          <w:b/>
          <w:sz w:val="20"/>
          <w:szCs w:val="20"/>
        </w:rPr>
      </w:pPr>
      <w:r w:rsidRPr="006D6365">
        <w:rPr>
          <w:b/>
          <w:sz w:val="20"/>
          <w:szCs w:val="20"/>
        </w:rPr>
        <w:t xml:space="preserve">Indexed as:  </w:t>
      </w:r>
      <w:r w:rsidRPr="003621B8">
        <w:rPr>
          <w:rStyle w:val="SCCAppellantForIndexChar"/>
          <w:rFonts w:eastAsiaTheme="minorHAnsi"/>
          <w:sz w:val="20"/>
          <w:lang w:val="en-CA"/>
        </w:rPr>
        <w:t>R.</w:t>
      </w:r>
      <w:r w:rsidRPr="006D6365">
        <w:rPr>
          <w:b/>
          <w:sz w:val="20"/>
          <w:szCs w:val="20"/>
        </w:rPr>
        <w:t xml:space="preserve"> </w:t>
      </w:r>
      <w:r w:rsidRPr="006D6365">
        <w:rPr>
          <w:b/>
          <w:i/>
          <w:sz w:val="20"/>
          <w:szCs w:val="20"/>
        </w:rPr>
        <w:t>v.</w:t>
      </w:r>
      <w:r w:rsidRPr="006D6365">
        <w:rPr>
          <w:b/>
          <w:sz w:val="20"/>
          <w:szCs w:val="20"/>
        </w:rPr>
        <w:t xml:space="preserve"> </w:t>
      </w:r>
      <w:r w:rsidRPr="006D6365">
        <w:rPr>
          <w:rStyle w:val="SCCRespondentForIndexChar"/>
          <w:rFonts w:eastAsiaTheme="minorHAnsi"/>
          <w:sz w:val="20"/>
        </w:rPr>
        <w:t>Anderson</w:t>
      </w:r>
      <w:r>
        <w:rPr>
          <w:rStyle w:val="SCCRespondentForIndexChar"/>
          <w:rFonts w:eastAsiaTheme="minorHAnsi"/>
          <w:sz w:val="20"/>
        </w:rPr>
        <w:t xml:space="preserve"> / </w:t>
      </w:r>
      <w:r w:rsidRPr="003621B8">
        <w:rPr>
          <w:b/>
          <w:sz w:val="20"/>
          <w:szCs w:val="20"/>
        </w:rPr>
        <w:t xml:space="preserve">Répertorié : R. </w:t>
      </w:r>
      <w:r w:rsidRPr="003621B8">
        <w:rPr>
          <w:b/>
          <w:i/>
          <w:sz w:val="20"/>
          <w:szCs w:val="20"/>
        </w:rPr>
        <w:t>c.</w:t>
      </w:r>
      <w:r w:rsidRPr="003621B8">
        <w:rPr>
          <w:b/>
          <w:sz w:val="20"/>
          <w:szCs w:val="20"/>
        </w:rPr>
        <w:t xml:space="preserve"> Anderson</w:t>
      </w:r>
    </w:p>
    <w:p w:rsidR="0052229C" w:rsidRPr="003621B8" w:rsidRDefault="0052229C" w:rsidP="0052229C">
      <w:pPr>
        <w:pStyle w:val="SCCSystemYear"/>
        <w:jc w:val="both"/>
        <w:rPr>
          <w:sz w:val="20"/>
        </w:rPr>
      </w:pPr>
      <w:r w:rsidRPr="003621B8">
        <w:rPr>
          <w:sz w:val="20"/>
        </w:rPr>
        <w:t>Neutral citation:  2014 SCC </w:t>
      </w:r>
      <w:r w:rsidR="00D9109B" w:rsidRPr="003621B8">
        <w:rPr>
          <w:sz w:val="20"/>
        </w:rPr>
        <w:t>4</w:t>
      </w:r>
      <w:r w:rsidRPr="003621B8">
        <w:rPr>
          <w:sz w:val="20"/>
        </w:rPr>
        <w:t>1 / Référence neutre : 2014 CSC </w:t>
      </w:r>
      <w:r w:rsidR="00D9109B" w:rsidRPr="003621B8">
        <w:rPr>
          <w:sz w:val="20"/>
        </w:rPr>
        <w:t>4</w:t>
      </w:r>
      <w:r w:rsidRPr="003621B8">
        <w:rPr>
          <w:sz w:val="20"/>
        </w:rPr>
        <w:t>1</w:t>
      </w:r>
    </w:p>
    <w:p w:rsidR="0052229C" w:rsidRPr="003621B8" w:rsidRDefault="0052229C" w:rsidP="0052229C">
      <w:pPr>
        <w:rPr>
          <w:rFonts w:cs="Times New Roman"/>
          <w:sz w:val="20"/>
          <w:szCs w:val="20"/>
          <w:lang w:val="fr-CA"/>
        </w:rPr>
      </w:pPr>
      <w:r w:rsidRPr="003621B8">
        <w:rPr>
          <w:rFonts w:cs="Times New Roman"/>
          <w:sz w:val="20"/>
          <w:szCs w:val="20"/>
          <w:lang w:val="fr-CA"/>
        </w:rPr>
        <w:t xml:space="preserve">Hearing:  </w:t>
      </w:r>
      <w:r w:rsidR="003621B8" w:rsidRPr="003621B8">
        <w:rPr>
          <w:rFonts w:cs="Times New Roman"/>
          <w:sz w:val="20"/>
          <w:szCs w:val="20"/>
          <w:lang w:val="fr-CA"/>
        </w:rPr>
        <w:t>March</w:t>
      </w:r>
      <w:r w:rsidRPr="003621B8">
        <w:rPr>
          <w:rFonts w:cs="Times New Roman"/>
          <w:sz w:val="20"/>
          <w:szCs w:val="20"/>
          <w:lang w:val="fr-CA"/>
        </w:rPr>
        <w:t xml:space="preserve"> </w:t>
      </w:r>
      <w:r w:rsidR="003621B8" w:rsidRPr="003621B8">
        <w:rPr>
          <w:rFonts w:cs="Times New Roman"/>
          <w:sz w:val="20"/>
          <w:szCs w:val="20"/>
          <w:lang w:val="fr-CA"/>
        </w:rPr>
        <w:t>19</w:t>
      </w:r>
      <w:r w:rsidRPr="003621B8">
        <w:rPr>
          <w:rFonts w:cs="Times New Roman"/>
          <w:sz w:val="20"/>
          <w:szCs w:val="20"/>
          <w:lang w:val="fr-CA"/>
        </w:rPr>
        <w:t>, 201</w:t>
      </w:r>
      <w:r w:rsidR="003621B8" w:rsidRPr="003621B8">
        <w:rPr>
          <w:rFonts w:cs="Times New Roman"/>
          <w:sz w:val="20"/>
          <w:szCs w:val="20"/>
          <w:lang w:val="fr-CA"/>
        </w:rPr>
        <w:t>4</w:t>
      </w:r>
      <w:r w:rsidRPr="003621B8">
        <w:rPr>
          <w:rFonts w:cs="Times New Roman"/>
          <w:sz w:val="20"/>
          <w:szCs w:val="20"/>
          <w:lang w:val="fr-CA"/>
        </w:rPr>
        <w:t xml:space="preserve"> / Judgment:  Ju</w:t>
      </w:r>
      <w:r w:rsidR="00D9109B" w:rsidRPr="003621B8">
        <w:rPr>
          <w:rFonts w:cs="Times New Roman"/>
          <w:sz w:val="20"/>
          <w:szCs w:val="20"/>
          <w:lang w:val="fr-CA"/>
        </w:rPr>
        <w:t>ne</w:t>
      </w:r>
      <w:r w:rsidRPr="003621B8">
        <w:rPr>
          <w:rFonts w:cs="Times New Roman"/>
          <w:sz w:val="20"/>
          <w:szCs w:val="20"/>
          <w:lang w:val="fr-CA"/>
        </w:rPr>
        <w:t xml:space="preserve"> 6, 2014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3621B8">
        <w:rPr>
          <w:rFonts w:cs="Times New Roman"/>
          <w:sz w:val="20"/>
          <w:szCs w:val="20"/>
          <w:lang w:val="fr-CA"/>
        </w:rPr>
        <w:t>19</w:t>
      </w:r>
      <w:r w:rsidRPr="003B3977">
        <w:rPr>
          <w:rFonts w:cs="Times New Roman"/>
          <w:sz w:val="20"/>
          <w:szCs w:val="20"/>
          <w:lang w:val="fr-CA"/>
        </w:rPr>
        <w:t xml:space="preserve"> </w:t>
      </w:r>
      <w:r w:rsidR="003621B8">
        <w:rPr>
          <w:rFonts w:cs="Times New Roman"/>
          <w:sz w:val="20"/>
          <w:szCs w:val="20"/>
          <w:lang w:val="fr-CA"/>
        </w:rPr>
        <w:t>m</w:t>
      </w:r>
      <w:r>
        <w:rPr>
          <w:rFonts w:cs="Times New Roman"/>
          <w:sz w:val="20"/>
          <w:szCs w:val="20"/>
          <w:lang w:val="fr-CA"/>
        </w:rPr>
        <w:t>a</w:t>
      </w:r>
      <w:r w:rsidR="003621B8">
        <w:rPr>
          <w:rFonts w:cs="Times New Roman"/>
          <w:sz w:val="20"/>
          <w:szCs w:val="20"/>
          <w:lang w:val="fr-CA"/>
        </w:rPr>
        <w:t>rs</w:t>
      </w:r>
      <w:r w:rsidRPr="003B3977">
        <w:rPr>
          <w:rFonts w:cs="Times New Roman"/>
          <w:sz w:val="20"/>
          <w:szCs w:val="20"/>
          <w:lang w:val="fr-CA"/>
        </w:rPr>
        <w:t xml:space="preserve"> 201</w:t>
      </w:r>
      <w:r w:rsidR="003621B8">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6 j</w:t>
      </w:r>
      <w:r w:rsidR="00D9109B">
        <w:rPr>
          <w:rFonts w:cs="Times New Roman"/>
          <w:sz w:val="20"/>
          <w:szCs w:val="20"/>
          <w:lang w:val="fr-CA"/>
        </w:rPr>
        <w:t>u</w:t>
      </w:r>
      <w:r>
        <w:rPr>
          <w:rFonts w:cs="Times New Roman"/>
          <w:sz w:val="20"/>
          <w:szCs w:val="20"/>
          <w:lang w:val="fr-CA"/>
        </w:rPr>
        <w:t>i</w:t>
      </w:r>
      <w:r w:rsidR="00D9109B">
        <w:rPr>
          <w:rFonts w:cs="Times New Roman"/>
          <w:sz w:val="20"/>
          <w:szCs w:val="20"/>
          <w:lang w:val="fr-CA"/>
        </w:rPr>
        <w:t>n</w:t>
      </w:r>
      <w:r w:rsidRPr="003B3977">
        <w:rPr>
          <w:rFonts w:cs="Times New Roman"/>
          <w:sz w:val="20"/>
          <w:szCs w:val="20"/>
          <w:lang w:val="fr-CA"/>
        </w:rPr>
        <w:t xml:space="preserve"> 201</w:t>
      </w:r>
      <w:r>
        <w:rPr>
          <w:rFonts w:cs="Times New Roman"/>
          <w:sz w:val="20"/>
          <w:szCs w:val="20"/>
          <w:lang w:val="fr-CA"/>
        </w:rPr>
        <w:t>4</w:t>
      </w:r>
    </w:p>
    <w:p w:rsidR="005C6840" w:rsidRPr="003B3977" w:rsidRDefault="005E19D3" w:rsidP="005C6840">
      <w:pPr>
        <w:rPr>
          <w:rFonts w:cs="Times New Roman"/>
          <w:sz w:val="20"/>
          <w:szCs w:val="20"/>
          <w:lang w:val="fr-CA"/>
        </w:rPr>
      </w:pPr>
      <w:r>
        <w:rPr>
          <w:rFonts w:cs="Times New Roman"/>
          <w:i/>
          <w:sz w:val="20"/>
          <w:szCs w:val="20"/>
        </w:rPr>
        <w:pict>
          <v:rect id="_x0000_i107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3621B8" w:rsidRPr="006D6365" w:rsidRDefault="003621B8" w:rsidP="003621B8">
      <w:pPr>
        <w:jc w:val="both"/>
        <w:rPr>
          <w:sz w:val="20"/>
          <w:szCs w:val="20"/>
        </w:rPr>
      </w:pPr>
      <w:r w:rsidRPr="006D6365">
        <w:rPr>
          <w:sz w:val="20"/>
          <w:szCs w:val="20"/>
        </w:rPr>
        <w:t>Present:  McLachlin C.J. and LeBel, Abella, Cromwell, Moldaver, Karakatsanis and Wagner JJ.</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i/>
          <w:sz w:val="20"/>
        </w:rPr>
      </w:pPr>
      <w:r w:rsidRPr="006D6365">
        <w:rPr>
          <w:sz w:val="20"/>
        </w:rPr>
        <w:tab/>
      </w:r>
      <w:r w:rsidRPr="006D6365">
        <w:rPr>
          <w:i/>
          <w:sz w:val="20"/>
        </w:rPr>
        <w:t>Constitutional law — Charter of Rights — Right to life, liberty and security of the person — Criminal law — Sentencing — Aboriginal offenders — Mandatory minimum sentence — Accused convicted of impaired driving for fifth time — Crown prosecutor seeking mandatory minimum sentence — Whether s. 7 of the Charter requires the Crown to consider Aboriginal status of accused when seeking minimum sentence for impaired driving — Whether consideration of Aboriginal status is a principle of fundamental justice — Whether decision to seek mandatory minimum sentence is a matter of core prosecutorial discretion — Standard of review for Crown decision making — Canadian Charter of Rights and Freedoms, s. 7 — Criminal Code, R.S.C. 1985, c. C</w:t>
      </w:r>
      <w:r w:rsidRPr="006D6365">
        <w:rPr>
          <w:i/>
          <w:sz w:val="20"/>
        </w:rPr>
        <w:noBreakHyphen/>
        <w:t>46, ss. 253(1)(b), 255(1)(a)(iii), 727(1).</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 xml:space="preserve">The accused was convicted of impaired driving. The offense of impaired driving carries with it a minimum sentence of 30 days’ imprisonment for a second offence and 120 days’ imprisonment for a subsequent offence. These mandatory minimum sentences apply only if the Crown notifies the accused of its intention to seek a greater punishment prior to any plea. Crown counsel served a Notice of intent to seek greater punishment by reason of the accused’s four previous impaired driving convictions. The trial judge held that Crown counsel breached s. 7 of the </w:t>
      </w:r>
      <w:r w:rsidRPr="006D6365">
        <w:rPr>
          <w:i/>
          <w:sz w:val="20"/>
        </w:rPr>
        <w:t>Canadian</w:t>
      </w:r>
      <w:r w:rsidRPr="006D6365">
        <w:rPr>
          <w:sz w:val="20"/>
        </w:rPr>
        <w:t xml:space="preserve"> </w:t>
      </w:r>
      <w:r w:rsidRPr="006D6365">
        <w:rPr>
          <w:i/>
          <w:sz w:val="20"/>
        </w:rPr>
        <w:t>Charter of Rights and Freedoms</w:t>
      </w:r>
      <w:r w:rsidRPr="006D6365">
        <w:rPr>
          <w:sz w:val="20"/>
        </w:rPr>
        <w:t xml:space="preserve"> by tendering the Notice without considering the accused’s Aboriginal status. The accused was sentenced to a 90</w:t>
      </w:r>
      <w:r w:rsidRPr="006D6365">
        <w:rPr>
          <w:sz w:val="20"/>
        </w:rPr>
        <w:noBreakHyphen/>
        <w:t>day intermittent sentence. The Court of Appeal dismissed an appeal from sentence.</w:t>
      </w:r>
    </w:p>
    <w:p w:rsidR="003621B8" w:rsidRDefault="003621B8" w:rsidP="003621B8">
      <w:pPr>
        <w:pStyle w:val="SCCNormalDoubleSpacing"/>
        <w:spacing w:line="240" w:lineRule="auto"/>
        <w:rPr>
          <w:i/>
          <w:sz w:val="20"/>
        </w:rPr>
      </w:pPr>
    </w:p>
    <w:p w:rsidR="003621B8" w:rsidRPr="006D6365" w:rsidRDefault="003621B8" w:rsidP="003621B8">
      <w:pPr>
        <w:pStyle w:val="SCCNormalDoubleSpacing"/>
        <w:spacing w:line="240" w:lineRule="auto"/>
        <w:rPr>
          <w:sz w:val="20"/>
        </w:rPr>
      </w:pPr>
      <w:r w:rsidRPr="006D6365">
        <w:rPr>
          <w:i/>
          <w:sz w:val="20"/>
        </w:rPr>
        <w:tab/>
        <w:t>Held</w:t>
      </w:r>
      <w:r w:rsidRPr="006D6365">
        <w:rPr>
          <w:sz w:val="20"/>
        </w:rPr>
        <w:t xml:space="preserve">:  The appeal should be allowed and a term of imprisonment of 120 days should be substituted, with service of the remainder of the sentence stayed in accordance with the concession of the Crown. </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 xml:space="preserve">This appeal raises two issues: (1) whether s. 7 of the </w:t>
      </w:r>
      <w:r w:rsidRPr="006D6365">
        <w:rPr>
          <w:i/>
          <w:sz w:val="20"/>
        </w:rPr>
        <w:t>Charter</w:t>
      </w:r>
      <w:r w:rsidRPr="006D6365">
        <w:rPr>
          <w:sz w:val="20"/>
        </w:rPr>
        <w:t xml:space="preserve"> requires the Crown to consider an accused’s Aboriginal status when making decisions that limit the sentencing options available to a judge — here, the decision to seek a mandatory minimum sentence for impaired driving; and (2) whether the decision to tender the Notice is a matter of “core” prosecutorial discretion, and if so, the standard by which it may be reviewed. </w:t>
      </w:r>
    </w:p>
    <w:p w:rsidR="00AC6C08" w:rsidRDefault="00AC6C08" w:rsidP="003621B8">
      <w:pPr>
        <w:pStyle w:val="SCCNormalDoubleSpacing"/>
        <w:spacing w:line="240" w:lineRule="auto"/>
        <w:rPr>
          <w:i/>
          <w:sz w:val="20"/>
        </w:rPr>
      </w:pPr>
    </w:p>
    <w:p w:rsidR="003621B8" w:rsidRPr="006D6365" w:rsidRDefault="003621B8" w:rsidP="003621B8">
      <w:pPr>
        <w:pStyle w:val="SCCNormalDoubleSpacing"/>
        <w:spacing w:line="240" w:lineRule="auto"/>
        <w:rPr>
          <w:i/>
          <w:sz w:val="20"/>
        </w:rPr>
      </w:pPr>
      <w:r w:rsidRPr="006D6365">
        <w:rPr>
          <w:i/>
          <w:sz w:val="20"/>
        </w:rPr>
        <w:t>No constitutional obligation</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 xml:space="preserve">Crown prosecutors are not constitutionally required to consider the Aboriginal status of an accused when deciding whether or not to seek a mandatory minimum sentence for impaired driving for two reasons. </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 xml:space="preserve">First, while it is a principle of fundamental justice that a sentence be proportionate to the gravity of the offence and the degree of responsibility of the offender, the duty to impose a proportionate sentence rests upon judges, </w:t>
      </w:r>
      <w:r w:rsidRPr="006D6365">
        <w:rPr>
          <w:i/>
          <w:sz w:val="20"/>
        </w:rPr>
        <w:t>not</w:t>
      </w:r>
      <w:r w:rsidRPr="006D6365">
        <w:rPr>
          <w:sz w:val="20"/>
        </w:rPr>
        <w:t xml:space="preserve"> Crown prosecutors. The proportionality principle requires judges to consider systemic and background factors, including Aboriginal status, which may bear on the culpability of the offender. There is no basis in law to support equating the distinct roles of the judge and the prosecutor in the sentencing process. </w:t>
      </w:r>
    </w:p>
    <w:p w:rsidR="003621B8" w:rsidRDefault="003621B8" w:rsidP="003621B8">
      <w:pPr>
        <w:pStyle w:val="SCCNormalDoubleSpacing"/>
        <w:spacing w:line="240" w:lineRule="auto"/>
        <w:rPr>
          <w:sz w:val="20"/>
        </w:rPr>
      </w:pPr>
    </w:p>
    <w:p w:rsidR="003621B8" w:rsidRDefault="003621B8" w:rsidP="003621B8">
      <w:pPr>
        <w:pStyle w:val="SCCNormalDoubleSpacing"/>
        <w:spacing w:line="240" w:lineRule="auto"/>
        <w:rPr>
          <w:sz w:val="20"/>
        </w:rPr>
      </w:pPr>
      <w:r w:rsidRPr="006D6365">
        <w:rPr>
          <w:sz w:val="20"/>
        </w:rPr>
        <w:tab/>
        <w:t>Second, the principle of fundamental justice that the accused asks this Court to recognize does not meet the test which governs principles of fundamental justice. A principle of fundamental justice must be a legal principle, enjoy consensus that the rule or principle is fundamental to the way in which the legal system ought fairly to operate, and be identified with sufficient precision to yield a manageable standard against which to measure deprivations of life, liberty or security of the person. The principle advanced by the accused does not meet the second requirement as it is contrary to a long</w:t>
      </w:r>
      <w:r w:rsidRPr="006D6365">
        <w:rPr>
          <w:sz w:val="20"/>
        </w:rPr>
        <w:noBreakHyphen/>
        <w:t>standing and deeply</w:t>
      </w:r>
      <w:r w:rsidRPr="006D6365">
        <w:rPr>
          <w:sz w:val="20"/>
        </w:rPr>
        <w:noBreakHyphen/>
        <w:t xml:space="preserve">rooted approach to the division of responsibility between the Crown prosecutor and the courts. It would greatly expand the scope of judicial review of discretionary decisions made by prosecutors and put at risk the adversarial nature of our criminal justice system by inviting judicial oversight of the numerous decisions that Crown prosecutors make on a daily basis. </w:t>
      </w:r>
    </w:p>
    <w:p w:rsidR="003621B8" w:rsidRPr="006D6365"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i/>
          <w:sz w:val="20"/>
        </w:rPr>
      </w:pPr>
      <w:r w:rsidRPr="006D6365">
        <w:rPr>
          <w:i/>
          <w:sz w:val="20"/>
        </w:rPr>
        <w:t>Prosecutorial discretion</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 xml:space="preserve">Decisions by Crown prosecutors are either exercises of prosecutorial discretion or tactics and conduct before the court. Subsequent to this Court’s decision in </w:t>
      </w:r>
      <w:r w:rsidRPr="006D6365">
        <w:rPr>
          <w:i/>
          <w:sz w:val="20"/>
        </w:rPr>
        <w:t>Krieger v. Law Society of Alberta</w:t>
      </w:r>
      <w:r w:rsidRPr="006D6365">
        <w:rPr>
          <w:sz w:val="20"/>
        </w:rPr>
        <w:t xml:space="preserve">, 2002 SCC 65, [2002] 3 S.C.R. 372, confusion has arisen as to what is meant by “prosecutorial discretion” and the law has become cloudy. In particular, the use of the word “core” in </w:t>
      </w:r>
      <w:r w:rsidRPr="006D6365">
        <w:rPr>
          <w:i/>
          <w:sz w:val="20"/>
        </w:rPr>
        <w:t>Krieger</w:t>
      </w:r>
      <w:r w:rsidRPr="006D6365">
        <w:rPr>
          <w:sz w:val="20"/>
        </w:rPr>
        <w:t xml:space="preserve"> has led to a narrow definition of prosecutorial discretion. The present appeal provides an opportunity for clarification.</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“Prosecutorial discretion” is an expansive term. It covers all decisions regarding the nature and extent of the prosecution and the Attorney General’s participation in it. Prosecutorial discretion is entitled to considerable deference. It must not be subjected to routine second</w:t>
      </w:r>
      <w:r w:rsidRPr="006D6365">
        <w:rPr>
          <w:sz w:val="20"/>
        </w:rPr>
        <w:noBreakHyphen/>
        <w:t>guessing by the courts. Judicial non</w:t>
      </w:r>
      <w:r w:rsidRPr="006D6365">
        <w:rPr>
          <w:sz w:val="20"/>
        </w:rPr>
        <w:noBreakHyphen/>
        <w:t>interference is a matter of principle based on the doctrine of separation of powers. In contrast, tactics and conduct before the court are governed by the inherent jurisdiction of the court to control its own processes. Deference is not owed to counsel who behave inappropriately in the courtroom, but a high degree of deference is accorded to the tactical decisions of counsel. Abuse of process is not a precondition for judicial intervention in relation to a party’s tactics and conduct before the court.</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 xml:space="preserve">Prosecutorial discretion is reviewable for abuse of process. The abuse of process doctrine is available where there is evidence that the Crown’s conduct is egregious and seriously compromises trial fairness or the integrity of the justice system. The burden of proof lies on the accused to establish, on a balance of probabilities, a proper evidentiary foundation to proceed with an abuse of process claim, before requiring the Crown to provide reasons justifying its decision. </w:t>
      </w:r>
    </w:p>
    <w:p w:rsidR="003621B8" w:rsidRDefault="003621B8" w:rsidP="003621B8">
      <w:pPr>
        <w:pStyle w:val="SCCNormalDoubleSpacing"/>
        <w:spacing w:line="240" w:lineRule="auto"/>
        <w:rPr>
          <w:sz w:val="20"/>
        </w:rPr>
      </w:pPr>
    </w:p>
    <w:p w:rsidR="003621B8" w:rsidRDefault="003621B8" w:rsidP="003621B8">
      <w:pPr>
        <w:pStyle w:val="SCCNormalDoubleSpacing"/>
        <w:spacing w:line="240" w:lineRule="auto"/>
        <w:rPr>
          <w:sz w:val="20"/>
        </w:rPr>
      </w:pPr>
      <w:r w:rsidRPr="006D6365">
        <w:rPr>
          <w:sz w:val="20"/>
        </w:rPr>
        <w:tab/>
        <w:t xml:space="preserve">Tendering the Notice was a matter of prosecutorial discretion. In the complete absence of any evidence to support it, the accused’s abuse of process argument must fail. </w:t>
      </w:r>
    </w:p>
    <w:p w:rsidR="003621B8" w:rsidRDefault="003621B8" w:rsidP="003621B8">
      <w:pPr>
        <w:pStyle w:val="SCCNormalDoubleSpacing"/>
        <w:spacing w:line="240" w:lineRule="auto"/>
        <w:rPr>
          <w:sz w:val="20"/>
        </w:rPr>
      </w:pPr>
    </w:p>
    <w:p w:rsidR="003621B8" w:rsidRPr="006D6365" w:rsidRDefault="003621B8" w:rsidP="003621B8">
      <w:pPr>
        <w:pStyle w:val="SCCNormalDoubleSpacing"/>
        <w:spacing w:line="240" w:lineRule="auto"/>
        <w:rPr>
          <w:sz w:val="20"/>
        </w:rPr>
      </w:pPr>
      <w:r w:rsidRPr="006D6365">
        <w:rPr>
          <w:sz w:val="20"/>
        </w:rPr>
        <w:tab/>
        <w:t>APPEAL from a judgment of the Newfoundland and Labrador Court of Appeal (Green C.J.N.L. and Welsh and Rowe JJ.A.), 2013 NLCA 2, 331 Nfld. &amp; P.E.I.R. 308, 1027 A.P.R. 308, 41 M.V.R. (6th) 194, 275 C.R.R. (2d) 127, 295 C.C.C. (3d) 262, [2013] 4 C.N.L.R. 209, [2013] N.J. No. 13 (QL), 2013 CarswellNfld 11, affirming a sentencing decision of English Prov. Ct. J., 2011 NLPC 1709A00569, December 2, 2011. Appeal allowed.</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sz w:val="20"/>
        </w:rPr>
      </w:pPr>
      <w:r w:rsidRPr="006D6365">
        <w:rPr>
          <w:rStyle w:val="SCCCounselNameChar"/>
          <w:sz w:val="20"/>
        </w:rPr>
        <w:tab/>
        <w:t>Iain R. W. Hollett</w:t>
      </w:r>
      <w:r w:rsidRPr="006D6365">
        <w:rPr>
          <w:rStyle w:val="SCCCounselPartyRoleChar"/>
          <w:sz w:val="20"/>
        </w:rPr>
        <w:t>, for the appellant.</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sz w:val="20"/>
        </w:rPr>
      </w:pPr>
      <w:r w:rsidRPr="006D6365">
        <w:rPr>
          <w:rStyle w:val="SCCCounselNameChar"/>
          <w:sz w:val="20"/>
        </w:rPr>
        <w:tab/>
        <w:t>Derek Hogan</w:t>
      </w:r>
      <w:r w:rsidRPr="003621B8">
        <w:rPr>
          <w:rStyle w:val="SCCCounselSeparatorChar"/>
          <w:sz w:val="20"/>
          <w:lang w:val="en-CA"/>
        </w:rPr>
        <w:t xml:space="preserve"> and </w:t>
      </w:r>
      <w:r w:rsidRPr="006D6365">
        <w:rPr>
          <w:rStyle w:val="SCCCounselNameChar"/>
          <w:sz w:val="20"/>
        </w:rPr>
        <w:t>Darlene Neville</w:t>
      </w:r>
      <w:r w:rsidRPr="006D6365">
        <w:rPr>
          <w:rStyle w:val="SCCCounselPartyRoleChar"/>
          <w:sz w:val="20"/>
        </w:rPr>
        <w:t>, for the respondent.</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rStyle w:val="SCCCounselPartyRoleChar"/>
          <w:sz w:val="20"/>
        </w:rPr>
      </w:pPr>
      <w:r w:rsidRPr="006D6365">
        <w:rPr>
          <w:rStyle w:val="SCCCounselNameChar"/>
          <w:sz w:val="20"/>
        </w:rPr>
        <w:tab/>
        <w:t>David Schermbrucker and Carole Sheppard</w:t>
      </w:r>
      <w:r w:rsidRPr="006D6365">
        <w:rPr>
          <w:rStyle w:val="SCCCounselPartyRoleChar"/>
          <w:sz w:val="20"/>
        </w:rPr>
        <w:t>, for the intervener the Director of Public Prosecutions of Canada.</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rStyle w:val="SCCCounselPartyRoleChar"/>
          <w:sz w:val="20"/>
        </w:rPr>
      </w:pPr>
      <w:r w:rsidRPr="006D6365">
        <w:rPr>
          <w:rStyle w:val="SCCCounselNameChar"/>
          <w:sz w:val="20"/>
        </w:rPr>
        <w:tab/>
        <w:t>Philip Perlmutter</w:t>
      </w:r>
      <w:r w:rsidRPr="003621B8">
        <w:rPr>
          <w:rStyle w:val="SCCCounselSeparatorChar"/>
          <w:sz w:val="20"/>
          <w:lang w:val="en-CA"/>
        </w:rPr>
        <w:t xml:space="preserve"> and </w:t>
      </w:r>
      <w:r w:rsidRPr="006D6365">
        <w:rPr>
          <w:rStyle w:val="SCCCounselNameChar"/>
          <w:sz w:val="20"/>
        </w:rPr>
        <w:t>Lorna Bolton</w:t>
      </w:r>
      <w:r w:rsidRPr="006D6365">
        <w:rPr>
          <w:rStyle w:val="SCCCounselPartyRoleChar"/>
          <w:sz w:val="20"/>
        </w:rPr>
        <w:t>, for the intervener the Attorney General of Ontario.</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sz w:val="20"/>
        </w:rPr>
      </w:pPr>
      <w:r w:rsidRPr="006D6365">
        <w:rPr>
          <w:rStyle w:val="SCCCounselNameChar"/>
          <w:sz w:val="20"/>
        </w:rPr>
        <w:tab/>
        <w:t>Kathryn A. Gregory and Cameron Gunn, Q.C.</w:t>
      </w:r>
      <w:r w:rsidRPr="006D6365">
        <w:rPr>
          <w:rStyle w:val="SCCCounselPartyRoleChar"/>
          <w:sz w:val="20"/>
        </w:rPr>
        <w:t>, for the intervener the Attorney General of New Brunswick.</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sz w:val="20"/>
        </w:rPr>
      </w:pPr>
      <w:r w:rsidRPr="006D6365">
        <w:rPr>
          <w:rStyle w:val="SCCCounselNameChar"/>
          <w:sz w:val="20"/>
        </w:rPr>
        <w:tab/>
        <w:t>Joyce DeWitt</w:t>
      </w:r>
      <w:r w:rsidRPr="006D6365">
        <w:rPr>
          <w:rStyle w:val="SCCCounselNameChar"/>
          <w:sz w:val="20"/>
        </w:rPr>
        <w:noBreakHyphen/>
        <w:t>Van Oosten, Q.C.</w:t>
      </w:r>
      <w:r w:rsidRPr="006D6365">
        <w:rPr>
          <w:rStyle w:val="SCCCounselPartyRoleChar"/>
          <w:sz w:val="20"/>
        </w:rPr>
        <w:t>, for the intervener the Attorney General of British Columbia.</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sz w:val="20"/>
        </w:rPr>
      </w:pPr>
      <w:r w:rsidRPr="006D6365">
        <w:rPr>
          <w:rStyle w:val="SCCCounselNameChar"/>
          <w:sz w:val="20"/>
        </w:rPr>
        <w:tab/>
        <w:t>Kent Roach</w:t>
      </w:r>
      <w:r w:rsidRPr="003621B8">
        <w:rPr>
          <w:rStyle w:val="SCCCounselSeparatorChar"/>
          <w:sz w:val="20"/>
          <w:lang w:val="en-CA"/>
        </w:rPr>
        <w:t xml:space="preserve"> and </w:t>
      </w:r>
      <w:r w:rsidRPr="006D6365">
        <w:rPr>
          <w:rStyle w:val="SCCCounselNameChar"/>
          <w:sz w:val="20"/>
        </w:rPr>
        <w:t>Cheryl Milne</w:t>
      </w:r>
      <w:r w:rsidRPr="006D6365">
        <w:rPr>
          <w:rStyle w:val="SCCCounselPartyRoleChar"/>
          <w:sz w:val="20"/>
        </w:rPr>
        <w:t>, for the intervener the David Asper Centre for Constitutional Rights.</w:t>
      </w:r>
    </w:p>
    <w:p w:rsidR="003621B8" w:rsidRDefault="003621B8" w:rsidP="003621B8">
      <w:pPr>
        <w:pStyle w:val="SCCNormalDoubleSpacing"/>
        <w:spacing w:line="240" w:lineRule="auto"/>
        <w:rPr>
          <w:rStyle w:val="SCCCounselNameChar"/>
          <w:sz w:val="20"/>
        </w:rPr>
      </w:pPr>
    </w:p>
    <w:p w:rsidR="003621B8" w:rsidRPr="006D6365" w:rsidRDefault="003621B8" w:rsidP="003621B8">
      <w:pPr>
        <w:pStyle w:val="SCCNormalDoubleSpacing"/>
        <w:spacing w:line="240" w:lineRule="auto"/>
        <w:rPr>
          <w:sz w:val="20"/>
        </w:rPr>
      </w:pPr>
      <w:r w:rsidRPr="006D6365">
        <w:rPr>
          <w:rStyle w:val="SCCCounselNameChar"/>
          <w:sz w:val="20"/>
        </w:rPr>
        <w:tab/>
        <w:t>Jonathan Rudin</w:t>
      </w:r>
      <w:r w:rsidRPr="003621B8">
        <w:rPr>
          <w:rStyle w:val="SCCCounselSeparatorChar"/>
          <w:sz w:val="20"/>
          <w:lang w:val="en-CA"/>
        </w:rPr>
        <w:t xml:space="preserve"> and </w:t>
      </w:r>
      <w:r w:rsidRPr="006D6365">
        <w:rPr>
          <w:rStyle w:val="SCCCounselNameChar"/>
          <w:sz w:val="20"/>
        </w:rPr>
        <w:t>Emily Hill</w:t>
      </w:r>
      <w:r w:rsidRPr="006D6365">
        <w:rPr>
          <w:rStyle w:val="SCCCounselPartyRoleChar"/>
          <w:sz w:val="20"/>
        </w:rPr>
        <w:t>, for the intervener the Aboriginal Legal Services of Toronto Inc.</w:t>
      </w:r>
    </w:p>
    <w:p w:rsidR="003621B8" w:rsidRDefault="003621B8" w:rsidP="003621B8">
      <w:pPr>
        <w:pStyle w:val="SCCLawFirm"/>
        <w:spacing w:line="240" w:lineRule="auto"/>
        <w:rPr>
          <w:sz w:val="20"/>
        </w:rPr>
      </w:pPr>
    </w:p>
    <w:p w:rsidR="003621B8" w:rsidRPr="006D6365" w:rsidRDefault="003621B8" w:rsidP="003621B8">
      <w:pPr>
        <w:pStyle w:val="SCCLawFirm"/>
        <w:spacing w:line="240" w:lineRule="auto"/>
        <w:rPr>
          <w:sz w:val="20"/>
        </w:rPr>
      </w:pPr>
      <w:r w:rsidRPr="006D6365">
        <w:rPr>
          <w:sz w:val="20"/>
        </w:rPr>
        <w:tab/>
        <w:t>Solicitor for the appellant:  Attorney General of Newfoundland and Labrador, St. John’s.</w:t>
      </w:r>
    </w:p>
    <w:p w:rsidR="003621B8" w:rsidRDefault="003621B8" w:rsidP="003621B8">
      <w:pPr>
        <w:pStyle w:val="SCCLawFirm"/>
        <w:spacing w:line="240" w:lineRule="auto"/>
        <w:rPr>
          <w:sz w:val="20"/>
        </w:rPr>
      </w:pPr>
    </w:p>
    <w:p w:rsidR="003621B8" w:rsidRPr="006D6365" w:rsidRDefault="003621B8" w:rsidP="003621B8">
      <w:pPr>
        <w:pStyle w:val="SCCLawFirm"/>
        <w:spacing w:line="240" w:lineRule="auto"/>
        <w:rPr>
          <w:sz w:val="20"/>
        </w:rPr>
      </w:pPr>
      <w:r w:rsidRPr="006D6365">
        <w:rPr>
          <w:sz w:val="20"/>
        </w:rPr>
        <w:tab/>
        <w:t>Solicitor for the respondent:  Newfoundland and Labrador Legal Aid Commission, St. John’s.</w:t>
      </w:r>
    </w:p>
    <w:p w:rsidR="003621B8" w:rsidRDefault="003621B8" w:rsidP="003621B8">
      <w:pPr>
        <w:pStyle w:val="SCCLawFirm"/>
        <w:spacing w:line="240" w:lineRule="auto"/>
        <w:rPr>
          <w:sz w:val="20"/>
        </w:rPr>
      </w:pPr>
    </w:p>
    <w:p w:rsidR="003621B8" w:rsidRPr="006D6365" w:rsidRDefault="003621B8" w:rsidP="003621B8">
      <w:pPr>
        <w:pStyle w:val="SCCLawFirm"/>
        <w:spacing w:line="240" w:lineRule="auto"/>
        <w:rPr>
          <w:sz w:val="20"/>
        </w:rPr>
      </w:pPr>
      <w:r w:rsidRPr="006D6365">
        <w:rPr>
          <w:sz w:val="20"/>
        </w:rPr>
        <w:tab/>
        <w:t>Solicitor for the intervener the Director of Public Prosecutions of Canada:  Public Prosecution Service of Canada, Halifax.</w:t>
      </w:r>
    </w:p>
    <w:p w:rsidR="003621B8" w:rsidRDefault="003621B8" w:rsidP="003621B8">
      <w:pPr>
        <w:pStyle w:val="SCCLawFirm"/>
        <w:spacing w:line="240" w:lineRule="auto"/>
        <w:rPr>
          <w:sz w:val="20"/>
        </w:rPr>
      </w:pPr>
    </w:p>
    <w:p w:rsidR="003621B8" w:rsidRPr="006D6365" w:rsidRDefault="003621B8" w:rsidP="003621B8">
      <w:pPr>
        <w:pStyle w:val="SCCLawFirm"/>
        <w:spacing w:line="240" w:lineRule="auto"/>
        <w:rPr>
          <w:sz w:val="20"/>
        </w:rPr>
      </w:pPr>
      <w:r w:rsidRPr="006D6365">
        <w:rPr>
          <w:sz w:val="20"/>
        </w:rPr>
        <w:tab/>
        <w:t>Solicitor for the intervener the Attorney General of Ontario:  Attorney General of Ontario, Toronto.</w:t>
      </w:r>
    </w:p>
    <w:p w:rsidR="003621B8" w:rsidRDefault="003621B8" w:rsidP="003621B8">
      <w:pPr>
        <w:pStyle w:val="SCCLawFirm"/>
        <w:spacing w:line="240" w:lineRule="auto"/>
        <w:rPr>
          <w:sz w:val="20"/>
        </w:rPr>
      </w:pPr>
    </w:p>
    <w:p w:rsidR="003621B8" w:rsidRPr="006D6365" w:rsidRDefault="003621B8" w:rsidP="003621B8">
      <w:pPr>
        <w:pStyle w:val="SCCLawFirm"/>
        <w:spacing w:line="240" w:lineRule="auto"/>
        <w:rPr>
          <w:sz w:val="20"/>
        </w:rPr>
      </w:pPr>
      <w:r w:rsidRPr="006D6365">
        <w:rPr>
          <w:sz w:val="20"/>
        </w:rPr>
        <w:tab/>
        <w:t>Solicitor for the intervener the Attorney General of New Brunswick:  Attorney General of New Brunswick, Fredericton.</w:t>
      </w:r>
    </w:p>
    <w:p w:rsidR="003621B8" w:rsidRDefault="003621B8" w:rsidP="003621B8">
      <w:pPr>
        <w:pStyle w:val="SCCLawFirm"/>
        <w:spacing w:line="240" w:lineRule="auto"/>
        <w:rPr>
          <w:sz w:val="20"/>
        </w:rPr>
      </w:pPr>
    </w:p>
    <w:p w:rsidR="003621B8" w:rsidRPr="006D6365" w:rsidRDefault="003621B8" w:rsidP="003621B8">
      <w:pPr>
        <w:pStyle w:val="SCCLawFirm"/>
        <w:spacing w:line="240" w:lineRule="auto"/>
        <w:rPr>
          <w:sz w:val="20"/>
        </w:rPr>
      </w:pPr>
      <w:r w:rsidRPr="006D6365">
        <w:rPr>
          <w:sz w:val="20"/>
        </w:rPr>
        <w:tab/>
        <w:t>Solicitor for the intervener the Attorney General of British Columbia:  Attorney General of British Columbia, Vancouver.</w:t>
      </w:r>
    </w:p>
    <w:p w:rsidR="003621B8" w:rsidRDefault="003621B8" w:rsidP="003621B8">
      <w:pPr>
        <w:pStyle w:val="SCCLawFirm"/>
        <w:spacing w:line="240" w:lineRule="auto"/>
        <w:rPr>
          <w:sz w:val="20"/>
        </w:rPr>
      </w:pPr>
    </w:p>
    <w:p w:rsidR="003621B8" w:rsidRPr="006D6365" w:rsidRDefault="003621B8" w:rsidP="003621B8">
      <w:pPr>
        <w:pStyle w:val="SCCLawFirm"/>
        <w:spacing w:line="240" w:lineRule="auto"/>
        <w:rPr>
          <w:sz w:val="20"/>
        </w:rPr>
      </w:pPr>
      <w:r w:rsidRPr="006D6365">
        <w:rPr>
          <w:sz w:val="20"/>
        </w:rPr>
        <w:tab/>
        <w:t>Solicitor for the intervener the David Asper Centre for Constitutional Rights:  University of Toronto, Toronto.</w:t>
      </w:r>
    </w:p>
    <w:p w:rsidR="003621B8" w:rsidRDefault="003621B8" w:rsidP="003621B8">
      <w:pPr>
        <w:pStyle w:val="SCCLawFirm"/>
        <w:spacing w:line="240" w:lineRule="auto"/>
        <w:rPr>
          <w:sz w:val="20"/>
        </w:rPr>
      </w:pPr>
    </w:p>
    <w:p w:rsidR="003621B8" w:rsidRDefault="003621B8" w:rsidP="003621B8">
      <w:pPr>
        <w:pStyle w:val="SCCLawFirm"/>
        <w:spacing w:line="240" w:lineRule="auto"/>
        <w:rPr>
          <w:sz w:val="20"/>
        </w:rPr>
      </w:pPr>
      <w:r w:rsidRPr="006D6365">
        <w:rPr>
          <w:sz w:val="20"/>
        </w:rPr>
        <w:tab/>
        <w:t>Solicitor for the intervener the Aboriginal Legal Services of Toronto Inc.:  Aboriginal Legal Services of Toronto Legal Clinic, Toronto.</w:t>
      </w:r>
    </w:p>
    <w:p w:rsidR="0052229C" w:rsidRPr="003621B8" w:rsidRDefault="0052229C" w:rsidP="0052229C">
      <w:pPr>
        <w:rPr>
          <w:rFonts w:cs="Times New Roman"/>
          <w:sz w:val="20"/>
          <w:szCs w:val="20"/>
          <w:lang w:val="fr-CA"/>
        </w:rPr>
      </w:pPr>
      <w:r w:rsidRPr="003621B8">
        <w:rPr>
          <w:rFonts w:cs="Times New Roman"/>
          <w:sz w:val="20"/>
          <w:szCs w:val="20"/>
          <w:lang w:val="fr-CA"/>
        </w:rPr>
        <w:t>________________________</w:t>
      </w:r>
    </w:p>
    <w:p w:rsidR="0052229C" w:rsidRPr="003621B8" w:rsidRDefault="0052229C" w:rsidP="0052229C">
      <w:pPr>
        <w:rPr>
          <w:rFonts w:cs="Times New Roman"/>
          <w:sz w:val="20"/>
          <w:szCs w:val="20"/>
          <w:lang w:val="fr-CA"/>
        </w:rPr>
      </w:pPr>
    </w:p>
    <w:p w:rsidR="003621B8" w:rsidRPr="00FD6585" w:rsidRDefault="003621B8" w:rsidP="003621B8">
      <w:pPr>
        <w:jc w:val="both"/>
        <w:rPr>
          <w:sz w:val="20"/>
          <w:szCs w:val="20"/>
          <w:lang w:val="fr-CA"/>
        </w:rPr>
      </w:pPr>
      <w:r w:rsidRPr="00FD6585">
        <w:rPr>
          <w:sz w:val="20"/>
          <w:szCs w:val="20"/>
          <w:lang w:val="fr-CA"/>
        </w:rPr>
        <w:t>Présents : La juge en chef McLachlin et les juges LeBel, Abella, Cromwell, Moldaver, Karakatsanis et Wagner.</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i/>
          <w:sz w:val="20"/>
          <w:lang w:val="fr-CA"/>
        </w:rPr>
      </w:pPr>
      <w:r w:rsidRPr="00FD6585">
        <w:rPr>
          <w:sz w:val="20"/>
          <w:lang w:val="fr-CA"/>
        </w:rPr>
        <w:tab/>
      </w:r>
      <w:r w:rsidRPr="00FD6585">
        <w:rPr>
          <w:i/>
          <w:sz w:val="20"/>
          <w:lang w:val="fr-CA"/>
        </w:rPr>
        <w:t>Droit constitutionnel — Charte des droits — Droit à la vie, à la liberté et à la sécurité de la personne — Droit criminel — Détermination de la peine — Délinquants autochtones — Peine minimale obligatoire — Accusé reconnu coupable une cinquième fois de conduite avec facultés affaiblies — Demande d’une peine minimale obligatoire par le procureur du ministère public — Lorsque le ministère public demande une peine minimale obligatoire pour conduite avec facultés affaiblies, l’article 7 de la Charte exige</w:t>
      </w:r>
      <w:r w:rsidRPr="00FD6585">
        <w:rPr>
          <w:i/>
          <w:sz w:val="20"/>
          <w:lang w:val="fr-CA"/>
        </w:rPr>
        <w:noBreakHyphen/>
        <w:t>t</w:t>
      </w:r>
      <w:r w:rsidRPr="00FD6585">
        <w:rPr>
          <w:i/>
          <w:sz w:val="20"/>
          <w:lang w:val="fr-CA"/>
        </w:rPr>
        <w:noBreakHyphen/>
        <w:t>il qu’il prenne en considération le statut d’Autochtone d’un accusé? — La prise en considération du statut d’Autochtone est</w:t>
      </w:r>
      <w:r w:rsidRPr="00FD6585">
        <w:rPr>
          <w:i/>
          <w:sz w:val="20"/>
          <w:lang w:val="fr-CA"/>
        </w:rPr>
        <w:noBreakHyphen/>
        <w:t>elle un principe de justice fondamentale? — La décision de demander une peine minimale obligatoire relève</w:t>
      </w:r>
      <w:r w:rsidRPr="00FD6585">
        <w:rPr>
          <w:i/>
          <w:sz w:val="20"/>
          <w:lang w:val="fr-CA"/>
        </w:rPr>
        <w:noBreakHyphen/>
        <w:t>t</w:t>
      </w:r>
      <w:r w:rsidRPr="00FD6585">
        <w:rPr>
          <w:i/>
          <w:sz w:val="20"/>
          <w:lang w:val="fr-CA"/>
        </w:rPr>
        <w:noBreakHyphen/>
        <w:t>elle du pouvoir discrétionnaire essentiel en matière de poursuites? — Norme de contrôle applicable aux décisions du ministère public — Charte canadienne des droits et libertés, art. 7 — Code criminel, L.R.C. 1985, ch. C</w:t>
      </w:r>
      <w:r w:rsidRPr="00FD6585">
        <w:rPr>
          <w:i/>
          <w:sz w:val="20"/>
          <w:lang w:val="fr-CA"/>
        </w:rPr>
        <w:noBreakHyphen/>
        <w:t>46, art. 253(1)b), 255(1)a)(iii), 727(1).</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sz w:val="20"/>
          <w:lang w:val="fr-CA"/>
        </w:rPr>
        <w:tab/>
        <w:t>L’accusé a été reconnu coupable de conduite avec facultés affaiblies</w:t>
      </w:r>
      <w:r w:rsidRPr="00FD6585">
        <w:rPr>
          <w:smallCaps/>
          <w:sz w:val="20"/>
          <w:lang w:val="fr-CA"/>
        </w:rPr>
        <w:t xml:space="preserve">. </w:t>
      </w:r>
      <w:r w:rsidRPr="00FD6585">
        <w:rPr>
          <w:sz w:val="20"/>
          <w:lang w:val="fr-CA"/>
        </w:rPr>
        <w:t>Une peine minimale de 30 jours d’emprisonnement est infligée pour une deuxième infraction de conduite avec facultés affaiblies, et pour une infraction subséquente, la peine minimale est de 120 jours d’emprisonnement</w:t>
      </w:r>
      <w:r w:rsidRPr="00FD6585">
        <w:rPr>
          <w:smallCaps/>
          <w:sz w:val="20"/>
          <w:lang w:val="fr-CA"/>
        </w:rPr>
        <w:t xml:space="preserve">. </w:t>
      </w:r>
      <w:r w:rsidRPr="00FD6585">
        <w:rPr>
          <w:sz w:val="20"/>
          <w:lang w:val="fr-CA"/>
        </w:rPr>
        <w:t>Ces peines minimales obligatoires ne sont infligées que si le ministère public avise l’accusé, avant tout plaidoyer, de son intention de demander une peine plus sévère</w:t>
      </w:r>
      <w:r w:rsidRPr="00FD6585">
        <w:rPr>
          <w:smallCaps/>
          <w:sz w:val="20"/>
          <w:lang w:val="fr-CA"/>
        </w:rPr>
        <w:t xml:space="preserve">. </w:t>
      </w:r>
      <w:r w:rsidRPr="00FD6585">
        <w:rPr>
          <w:sz w:val="20"/>
          <w:lang w:val="fr-CA"/>
        </w:rPr>
        <w:t>Le procureur du ministère public a signifié un avis de son intention de demander une peine plus sévère puisque l’accusé avait déjà été reconnu coupable de conduite avec facultés affaiblies à quatre reprises</w:t>
      </w:r>
      <w:r w:rsidRPr="00FD6585">
        <w:rPr>
          <w:smallCaps/>
          <w:sz w:val="20"/>
          <w:lang w:val="fr-CA"/>
        </w:rPr>
        <w:t xml:space="preserve">. </w:t>
      </w:r>
      <w:r w:rsidRPr="00FD6585">
        <w:rPr>
          <w:sz w:val="20"/>
          <w:lang w:val="fr-CA"/>
        </w:rPr>
        <w:t xml:space="preserve">Le juge du procès a estimé qu’en signifiant l’avis à l’accusé sans prendre en considération son statut d’Autochtone, le procureur du ministère public avait contrevenu à l’art. 7 de la </w:t>
      </w:r>
      <w:r w:rsidRPr="00FD6585">
        <w:rPr>
          <w:i/>
          <w:sz w:val="20"/>
          <w:lang w:val="fr-CA"/>
        </w:rPr>
        <w:t>Charte canadienne des droits et libertés</w:t>
      </w:r>
      <w:r w:rsidRPr="00FD6585">
        <w:rPr>
          <w:smallCaps/>
          <w:sz w:val="20"/>
          <w:lang w:val="fr-CA"/>
        </w:rPr>
        <w:t xml:space="preserve">. </w:t>
      </w:r>
      <w:r w:rsidRPr="00FD6585">
        <w:rPr>
          <w:sz w:val="20"/>
          <w:lang w:val="fr-CA"/>
        </w:rPr>
        <w:t>L’accusé a été condamné à une peine discontinue de 90 jours d’emprisonnement</w:t>
      </w:r>
      <w:r w:rsidRPr="00FD6585">
        <w:rPr>
          <w:smallCaps/>
          <w:sz w:val="20"/>
          <w:lang w:val="fr-CA"/>
        </w:rPr>
        <w:t xml:space="preserve">. </w:t>
      </w:r>
      <w:r w:rsidRPr="00FD6585">
        <w:rPr>
          <w:sz w:val="20"/>
          <w:lang w:val="fr-CA"/>
        </w:rPr>
        <w:t xml:space="preserve">La cour d’appel a rejeté l’appel interjeté contre la peine. </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sz w:val="20"/>
          <w:lang w:val="fr-CA"/>
        </w:rPr>
        <w:tab/>
      </w:r>
      <w:r w:rsidRPr="00FD6585">
        <w:rPr>
          <w:i/>
          <w:sz w:val="20"/>
          <w:lang w:val="fr-CA"/>
        </w:rPr>
        <w:t>Arrêt</w:t>
      </w:r>
      <w:r w:rsidRPr="00FD6585">
        <w:rPr>
          <w:sz w:val="20"/>
          <w:lang w:val="fr-CA"/>
        </w:rPr>
        <w:t> : Le pourvoi est accueilli et une peine d’emprisonnement de 120 jours est substituée à la peine infligée, avec sursis de ce qui reste à courir de la peine conformément à la concession du ministère public.</w:t>
      </w:r>
    </w:p>
    <w:p w:rsidR="003621B8" w:rsidRDefault="003621B8" w:rsidP="003621B8">
      <w:pPr>
        <w:pStyle w:val="SCCNormalDoubleSpacing"/>
        <w:spacing w:line="240" w:lineRule="auto"/>
        <w:rPr>
          <w:sz w:val="20"/>
          <w:lang w:val="fr-CA"/>
        </w:rPr>
      </w:pPr>
    </w:p>
    <w:p w:rsidR="003621B8" w:rsidRDefault="003621B8" w:rsidP="003621B8">
      <w:pPr>
        <w:pStyle w:val="SCCNormalDoubleSpacing"/>
        <w:spacing w:line="240" w:lineRule="auto"/>
        <w:rPr>
          <w:sz w:val="20"/>
          <w:lang w:val="fr-CA"/>
        </w:rPr>
      </w:pPr>
      <w:r w:rsidRPr="00FD6585">
        <w:rPr>
          <w:sz w:val="20"/>
          <w:lang w:val="fr-CA"/>
        </w:rPr>
        <w:tab/>
        <w:t xml:space="preserve">Le pourvoi soulève deux questions : (1) l’art. 7 de la </w:t>
      </w:r>
      <w:r w:rsidRPr="00FD6585">
        <w:rPr>
          <w:i/>
          <w:sz w:val="20"/>
          <w:lang w:val="fr-CA"/>
        </w:rPr>
        <w:t>Charte</w:t>
      </w:r>
      <w:r w:rsidRPr="00FD6585">
        <w:rPr>
          <w:sz w:val="20"/>
          <w:lang w:val="fr-CA"/>
        </w:rPr>
        <w:t xml:space="preserve"> oblige</w:t>
      </w:r>
      <w:r w:rsidRPr="00FD6585">
        <w:rPr>
          <w:sz w:val="20"/>
          <w:lang w:val="fr-CA"/>
        </w:rPr>
        <w:noBreakHyphen/>
        <w:t>t</w:t>
      </w:r>
      <w:r w:rsidRPr="00FD6585">
        <w:rPr>
          <w:sz w:val="20"/>
          <w:lang w:val="fr-CA"/>
        </w:rPr>
        <w:noBreakHyphen/>
        <w:t>il le ministère public à prendre en considération le statut d’Autochtone d’un accusé lorsqu’il prend des décisions qui limitent l’éventail des peines que peut infliger un juge — en l’espèce, la décision de demander une peine minimale obligatoire pour conduite avec facultés affaiblies?  Et (2), la décision de produire l’avis relève</w:t>
      </w:r>
      <w:r w:rsidRPr="00FD6585">
        <w:rPr>
          <w:sz w:val="20"/>
          <w:lang w:val="fr-CA"/>
        </w:rPr>
        <w:noBreakHyphen/>
        <w:t>t</w:t>
      </w:r>
      <w:r w:rsidRPr="00FD6585">
        <w:rPr>
          <w:sz w:val="20"/>
          <w:lang w:val="fr-CA"/>
        </w:rPr>
        <w:noBreakHyphen/>
        <w:t>elle du pouvoir discrétionnaire « essentiel » en matière de poursuites et, dans l’affirmative, quelle est la norme selon laquelle elle peut être révisée?</w:t>
      </w:r>
    </w:p>
    <w:p w:rsidR="00AC6C08" w:rsidRPr="00FD6585" w:rsidRDefault="00AC6C0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Aucune obligation constitutionnelle</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sz w:val="20"/>
          <w:lang w:val="fr-CA"/>
        </w:rPr>
        <w:tab/>
        <w:t>Les procureurs du ministère public ne sont pas tenus par la Constitution de prendre en considération le statut d’Autochtone d’un accusé lorsqu’ils décident s’il y a lieu de demander une peine minimale obligatoire pour conduite avec facultés affaiblies et ce, pour deux raisons.</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sz w:val="20"/>
          <w:lang w:val="fr-CA"/>
        </w:rPr>
        <w:tab/>
        <w:t xml:space="preserve">Premièrement, même si, selon le principe de justice fondamentale, une peine doit être proportionnelle à la gravité de </w:t>
      </w:r>
      <w:r w:rsidRPr="00FD6585">
        <w:rPr>
          <w:iCs/>
          <w:sz w:val="20"/>
          <w:lang w:val="fr-CA"/>
        </w:rPr>
        <w:t xml:space="preserve">l’infraction </w:t>
      </w:r>
      <w:r w:rsidRPr="00FD6585">
        <w:rPr>
          <w:sz w:val="20"/>
          <w:lang w:val="fr-CA"/>
        </w:rPr>
        <w:t xml:space="preserve">et au degré de responsabilité </w:t>
      </w:r>
      <w:r w:rsidRPr="00FD6585">
        <w:rPr>
          <w:iCs/>
          <w:sz w:val="20"/>
          <w:lang w:val="fr-CA"/>
        </w:rPr>
        <w:t>du délinquant</w:t>
      </w:r>
      <w:r w:rsidRPr="00FD6585">
        <w:rPr>
          <w:sz w:val="20"/>
          <w:lang w:val="fr-CA"/>
        </w:rPr>
        <w:t xml:space="preserve">, le devoir d’infliger une peine proportionnée incombe aux juges et </w:t>
      </w:r>
      <w:r w:rsidRPr="00FD6585">
        <w:rPr>
          <w:i/>
          <w:sz w:val="20"/>
          <w:lang w:val="fr-CA"/>
        </w:rPr>
        <w:t>non</w:t>
      </w:r>
      <w:r w:rsidRPr="00FD6585">
        <w:rPr>
          <w:sz w:val="20"/>
          <w:lang w:val="fr-CA"/>
        </w:rPr>
        <w:t xml:space="preserve"> aux procureurs du ministère public</w:t>
      </w:r>
      <w:r w:rsidRPr="00FD6585">
        <w:rPr>
          <w:smallCaps/>
          <w:sz w:val="20"/>
          <w:lang w:val="fr-CA"/>
        </w:rPr>
        <w:t xml:space="preserve">. </w:t>
      </w:r>
      <w:r w:rsidRPr="00FD6585">
        <w:rPr>
          <w:sz w:val="20"/>
          <w:lang w:val="fr-CA"/>
        </w:rPr>
        <w:t xml:space="preserve">Le principe de la proportionnalité exige du juge qu’il prenne en considération les facteurs systémiques ou historiques, y compris le statut d’Autochtone, qui peuvent influer sur la </w:t>
      </w:r>
      <w:r w:rsidRPr="00FD6585">
        <w:rPr>
          <w:sz w:val="20"/>
          <w:lang w:val="fr-CA"/>
        </w:rPr>
        <w:lastRenderedPageBreak/>
        <w:t>culpabilité du délinquant</w:t>
      </w:r>
      <w:r w:rsidRPr="00FD6585">
        <w:rPr>
          <w:smallCaps/>
          <w:sz w:val="20"/>
          <w:lang w:val="fr-CA"/>
        </w:rPr>
        <w:t xml:space="preserve">. </w:t>
      </w:r>
      <w:r w:rsidRPr="00FD6585">
        <w:rPr>
          <w:sz w:val="20"/>
          <w:lang w:val="fr-CA"/>
        </w:rPr>
        <w:t>Aucun principe de droit ne permet d’assimiler les rôles distincts du juge et du procureur dans le processus de détermination de la peine.</w:t>
      </w:r>
    </w:p>
    <w:p w:rsidR="003621B8" w:rsidRDefault="003621B8" w:rsidP="003621B8">
      <w:pPr>
        <w:pStyle w:val="SCCNormalDoubleSpacing"/>
        <w:spacing w:line="240" w:lineRule="auto"/>
        <w:rPr>
          <w:sz w:val="20"/>
          <w:lang w:val="fr-CA"/>
        </w:rPr>
      </w:pPr>
    </w:p>
    <w:p w:rsidR="003621B8" w:rsidRDefault="003621B8" w:rsidP="003621B8">
      <w:pPr>
        <w:pStyle w:val="SCCNormalDoubleSpacing"/>
        <w:spacing w:line="240" w:lineRule="auto"/>
        <w:rPr>
          <w:smallCaps/>
          <w:sz w:val="20"/>
          <w:lang w:val="fr-CA"/>
        </w:rPr>
      </w:pPr>
      <w:r w:rsidRPr="00FD6585">
        <w:rPr>
          <w:sz w:val="20"/>
          <w:lang w:val="fr-CA"/>
        </w:rPr>
        <w:tab/>
        <w:t>Deuxièmement, le principe de justice fondamentale que l’accusé demande à notre Cour de reconnaître ne respecte pas le critère qui régit les principes de justice fondamentale</w:t>
      </w:r>
      <w:r w:rsidRPr="00FD6585">
        <w:rPr>
          <w:smallCaps/>
          <w:sz w:val="20"/>
          <w:lang w:val="fr-CA"/>
        </w:rPr>
        <w:t xml:space="preserve">. </w:t>
      </w:r>
      <w:r w:rsidRPr="00FD6585">
        <w:rPr>
          <w:sz w:val="20"/>
          <w:lang w:val="fr-CA"/>
        </w:rPr>
        <w:t>Un principe de justice fondamentale doit satisfaire aux conditions suivantes : il doit s’agir d’un principe juridique; il doit exister un consensus sur le fait que cette règle ou ce principe est essentiel au bon fonctionnement du système de justice, et il doit être défini avec suffisamment de précision pour constituer une norme fonctionnelle permettant d’évaluer l’atteinte à la vie, à la liberté ou à la sécurité de la personne</w:t>
      </w:r>
      <w:r w:rsidRPr="00FD6585">
        <w:rPr>
          <w:smallCaps/>
          <w:sz w:val="20"/>
          <w:lang w:val="fr-CA"/>
        </w:rPr>
        <w:t xml:space="preserve">. </w:t>
      </w:r>
      <w:r w:rsidRPr="00FD6585">
        <w:rPr>
          <w:sz w:val="20"/>
          <w:lang w:val="fr-CA"/>
        </w:rPr>
        <w:t>Le principe que propose l’accusé ne satisfait pas à la deuxième condition puisqu’il est contraire à une approche reconnue depuis longtemps et fortement enracinée en ce qui concerne le partage de la responsabilité entre le procureur du ministère public et les tribunaux</w:t>
      </w:r>
      <w:r w:rsidRPr="00FD6585">
        <w:rPr>
          <w:smallCaps/>
          <w:sz w:val="20"/>
          <w:lang w:val="fr-CA"/>
        </w:rPr>
        <w:t xml:space="preserve">. </w:t>
      </w:r>
      <w:r w:rsidRPr="00FD6585">
        <w:rPr>
          <w:sz w:val="20"/>
          <w:lang w:val="fr-CA"/>
        </w:rPr>
        <w:t>Ce principe élargirait considérablement la portée du contrôle judiciaire des décisions discrétionnaires des poursuivants et mettrait en danger le caractère accusatoire de notre système de justice pénale en ouvrant la porte à la surveillance judiciaire des nombreuses décisions que prennent quotidiennement les procureurs du ministère public</w:t>
      </w:r>
      <w:r w:rsidRPr="00FD6585">
        <w:rPr>
          <w:smallCaps/>
          <w:sz w:val="20"/>
          <w:lang w:val="fr-CA"/>
        </w:rPr>
        <w:t xml:space="preserve">. </w:t>
      </w:r>
    </w:p>
    <w:p w:rsidR="003621B8" w:rsidRPr="00FD6585"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Pouvoir discrétionnaire en matière de poursuites</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sz w:val="20"/>
          <w:lang w:val="fr-CA"/>
        </w:rPr>
        <w:tab/>
        <w:t>Les décisions des procureurs du ministère public visent soit l’exercice du pouvoir discrétionnaire en matière de poursuites, soit la stratégie ou la conduite devant le tribunal</w:t>
      </w:r>
      <w:r w:rsidRPr="00FD6585">
        <w:rPr>
          <w:smallCaps/>
          <w:sz w:val="20"/>
          <w:lang w:val="fr-CA"/>
        </w:rPr>
        <w:t xml:space="preserve">. </w:t>
      </w:r>
      <w:r w:rsidRPr="00FD6585">
        <w:rPr>
          <w:sz w:val="20"/>
          <w:lang w:val="fr-CA"/>
        </w:rPr>
        <w:t xml:space="preserve">Après l’arrêt de notre Cour dans </w:t>
      </w:r>
      <w:r w:rsidRPr="00FD6585">
        <w:rPr>
          <w:i/>
          <w:sz w:val="20"/>
          <w:lang w:val="fr-CA"/>
        </w:rPr>
        <w:t>Krieger c. Law Society of Alberta</w:t>
      </w:r>
      <w:r w:rsidRPr="00FD6585">
        <w:rPr>
          <w:sz w:val="20"/>
          <w:lang w:val="fr-CA"/>
        </w:rPr>
        <w:t>, 2002 CSC 65, [2002] 3 R.C.S. 372, il y a eu une certaine confusion quant au sens à donner à l’expression « pouvoir discrétionnaire en matière de poursuites » et le droit est devenu nébuleux à cet égard</w:t>
      </w:r>
      <w:r w:rsidRPr="00FD6585">
        <w:rPr>
          <w:smallCaps/>
          <w:sz w:val="20"/>
          <w:lang w:val="fr-CA"/>
        </w:rPr>
        <w:t xml:space="preserve">. </w:t>
      </w:r>
      <w:r w:rsidRPr="00FD6585">
        <w:rPr>
          <w:sz w:val="20"/>
          <w:lang w:val="fr-CA"/>
        </w:rPr>
        <w:t xml:space="preserve">En particulier, l’emploi de l’expression « au cœur de » dans </w:t>
      </w:r>
      <w:r w:rsidRPr="00FD6585">
        <w:rPr>
          <w:i/>
          <w:sz w:val="20"/>
          <w:lang w:val="fr-CA"/>
        </w:rPr>
        <w:t>Krieger</w:t>
      </w:r>
      <w:r w:rsidRPr="00FD6585">
        <w:rPr>
          <w:sz w:val="20"/>
          <w:lang w:val="fr-CA"/>
        </w:rPr>
        <w:t xml:space="preserve"> a donné lieu à une définition étroite du pouvoir discrétionnaire en matière de poursuites</w:t>
      </w:r>
      <w:r w:rsidRPr="00FD6585">
        <w:rPr>
          <w:smallCaps/>
          <w:sz w:val="20"/>
          <w:lang w:val="fr-CA"/>
        </w:rPr>
        <w:t xml:space="preserve">. </w:t>
      </w:r>
      <w:r w:rsidRPr="00FD6585">
        <w:rPr>
          <w:sz w:val="20"/>
          <w:lang w:val="fr-CA"/>
        </w:rPr>
        <w:t>Le présent pourvoi nous donne l’occasion de le clarifier.</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sz w:val="20"/>
          <w:lang w:val="fr-CA"/>
        </w:rPr>
        <w:tab/>
        <w:t>L’expression « pouvoir discrétionnaire en matière de poursuites » est une expression large</w:t>
      </w:r>
      <w:r w:rsidRPr="00FD6585">
        <w:rPr>
          <w:smallCaps/>
          <w:sz w:val="20"/>
          <w:lang w:val="fr-CA"/>
        </w:rPr>
        <w:t xml:space="preserve">. </w:t>
      </w:r>
      <w:r w:rsidRPr="00FD6585">
        <w:rPr>
          <w:sz w:val="20"/>
          <w:lang w:val="fr-CA"/>
        </w:rPr>
        <w:t>Elle renvoie à toutes les décisions concernant la nature et l’étendue des poursuites ainsi que la participation du procureur général à celles</w:t>
      </w:r>
      <w:r w:rsidRPr="00FD6585">
        <w:rPr>
          <w:sz w:val="20"/>
          <w:lang w:val="fr-CA"/>
        </w:rPr>
        <w:noBreakHyphen/>
        <w:t>ci</w:t>
      </w:r>
      <w:r w:rsidRPr="00FD6585">
        <w:rPr>
          <w:smallCaps/>
          <w:sz w:val="20"/>
          <w:lang w:val="fr-CA"/>
        </w:rPr>
        <w:t xml:space="preserve">. </w:t>
      </w:r>
      <w:r w:rsidRPr="00FD6585">
        <w:rPr>
          <w:sz w:val="20"/>
          <w:lang w:val="fr-CA"/>
        </w:rPr>
        <w:t>Le pouvoir discrétionnaire en matière de poursuites justifie une grande déférence</w:t>
      </w:r>
      <w:r w:rsidRPr="00FD6585">
        <w:rPr>
          <w:smallCaps/>
          <w:sz w:val="20"/>
          <w:lang w:val="fr-CA"/>
        </w:rPr>
        <w:t xml:space="preserve">. </w:t>
      </w:r>
      <w:r w:rsidRPr="00FD6585">
        <w:rPr>
          <w:sz w:val="20"/>
          <w:lang w:val="fr-CA"/>
        </w:rPr>
        <w:t>Il ne doit pas être susceptible d’une remise en cause systématique par les tribunaux</w:t>
      </w:r>
      <w:r w:rsidRPr="00FD6585">
        <w:rPr>
          <w:smallCaps/>
          <w:sz w:val="20"/>
          <w:lang w:val="fr-CA"/>
        </w:rPr>
        <w:t xml:space="preserve">. </w:t>
      </w:r>
      <w:r w:rsidRPr="00FD6585">
        <w:rPr>
          <w:spacing w:val="-3"/>
          <w:sz w:val="20"/>
          <w:lang w:val="fr-CA"/>
        </w:rPr>
        <w:t xml:space="preserve">Par principe, compte tenu du partage des pouvoirs, </w:t>
      </w:r>
      <w:r w:rsidRPr="00FD6585">
        <w:rPr>
          <w:sz w:val="20"/>
          <w:lang w:val="fr-CA"/>
        </w:rPr>
        <w:t>les tribunaux n’interviennent pas dans le pouvoir discrétionnaire en matière de poursuites</w:t>
      </w:r>
      <w:r w:rsidRPr="00FD6585">
        <w:rPr>
          <w:smallCaps/>
          <w:sz w:val="20"/>
          <w:lang w:val="fr-CA"/>
        </w:rPr>
        <w:t xml:space="preserve">. </w:t>
      </w:r>
      <w:r w:rsidRPr="00FD6585">
        <w:rPr>
          <w:sz w:val="20"/>
          <w:lang w:val="fr-CA"/>
        </w:rPr>
        <w:t>Par contre, la stratégie et la conduite du procureur du ministère public devant le tribunal sont assujetties à la compétence inhérente du tribunal de contrôler sa propre procédure</w:t>
      </w:r>
      <w:r w:rsidRPr="00FD6585">
        <w:rPr>
          <w:smallCaps/>
          <w:sz w:val="20"/>
          <w:lang w:val="fr-CA"/>
        </w:rPr>
        <w:t xml:space="preserve">. </w:t>
      </w:r>
      <w:r w:rsidRPr="00FD6585">
        <w:rPr>
          <w:sz w:val="20"/>
          <w:lang w:val="fr-CA"/>
        </w:rPr>
        <w:t>La déférence ne s’impose pas envers les avocats qui se comportent de façon inopportune dans la salle d’audience, mais notre système fait preuve d’une grande retenue envers les décisions tactiques des avocats</w:t>
      </w:r>
      <w:r w:rsidRPr="00FD6585">
        <w:rPr>
          <w:smallCaps/>
          <w:sz w:val="20"/>
          <w:lang w:val="fr-CA"/>
        </w:rPr>
        <w:t xml:space="preserve">. </w:t>
      </w:r>
      <w:r w:rsidRPr="00FD6585">
        <w:rPr>
          <w:sz w:val="20"/>
          <w:lang w:val="fr-CA"/>
        </w:rPr>
        <w:t>L’abus de procédure n’est pas une condition préalable à l’intervention du juge relativement à la stratégie ou à la conduite d’une partie devant le tribunal.</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FD6585">
        <w:rPr>
          <w:sz w:val="20"/>
          <w:lang w:val="fr-CA"/>
        </w:rPr>
        <w:tab/>
        <w:t>Le pouvoir discrétionnaire en matière de poursuites est susceptible de contrôle judiciaire s’il y a eu abus de procédure</w:t>
      </w:r>
      <w:r w:rsidRPr="00FD6585">
        <w:rPr>
          <w:smallCaps/>
          <w:sz w:val="20"/>
          <w:lang w:val="fr-CA"/>
        </w:rPr>
        <w:t xml:space="preserve">. </w:t>
      </w:r>
      <w:r w:rsidRPr="00FD6585">
        <w:rPr>
          <w:sz w:val="20"/>
          <w:lang w:val="fr-CA"/>
        </w:rPr>
        <w:t>La règle de l’abus de procédure s’applique en présence d’éléments de preuve démontrant que la conduite du ministère public est inacceptable et compromet sérieusement l’équité du procès ou l’intégrité du système de justice</w:t>
      </w:r>
      <w:r w:rsidRPr="00FD6585">
        <w:rPr>
          <w:smallCaps/>
          <w:sz w:val="20"/>
          <w:lang w:val="fr-CA"/>
        </w:rPr>
        <w:t xml:space="preserve">. </w:t>
      </w:r>
      <w:r w:rsidRPr="00FD6585">
        <w:rPr>
          <w:sz w:val="20"/>
          <w:lang w:val="fr-CA"/>
        </w:rPr>
        <w:t>Avant que le ministère public soit tenu de justifier sa décision, il incombe à l’accusé d’établir, par prépondérance des probabilités, l’existence d’une preuve suffisante qu’une allégation relative à l’abus de procédure peut être examinée.</w:t>
      </w:r>
    </w:p>
    <w:p w:rsidR="003621B8" w:rsidRDefault="003621B8" w:rsidP="003621B8">
      <w:pPr>
        <w:pStyle w:val="SCCNormalDoubleSpacing"/>
        <w:spacing w:line="240" w:lineRule="auto"/>
        <w:rPr>
          <w:sz w:val="20"/>
          <w:lang w:val="fr-CA"/>
        </w:rPr>
      </w:pPr>
    </w:p>
    <w:p w:rsidR="003621B8" w:rsidRDefault="003621B8" w:rsidP="003621B8">
      <w:pPr>
        <w:pStyle w:val="SCCNormalDoubleSpacing"/>
        <w:spacing w:line="240" w:lineRule="auto"/>
        <w:rPr>
          <w:sz w:val="20"/>
          <w:lang w:val="fr-CA"/>
        </w:rPr>
      </w:pPr>
      <w:r w:rsidRPr="00FD6585">
        <w:rPr>
          <w:sz w:val="20"/>
          <w:lang w:val="fr-CA"/>
        </w:rPr>
        <w:tab/>
        <w:t>La production de l’avis relevait du pouvoir discrétionnaire en matière de poursuites</w:t>
      </w:r>
      <w:r w:rsidRPr="00FD6585">
        <w:rPr>
          <w:smallCaps/>
          <w:sz w:val="20"/>
          <w:lang w:val="fr-CA"/>
        </w:rPr>
        <w:t xml:space="preserve">. </w:t>
      </w:r>
      <w:r w:rsidRPr="00FD6585">
        <w:rPr>
          <w:sz w:val="20"/>
          <w:lang w:val="fr-CA"/>
        </w:rPr>
        <w:t>En l’absence totale de preuve pour l’étayer, l’argument de l’accusé fondé sur l’abus de procédure doit être rejeté.</w:t>
      </w:r>
    </w:p>
    <w:p w:rsidR="003621B8" w:rsidRDefault="003621B8" w:rsidP="003621B8">
      <w:pPr>
        <w:pStyle w:val="SCCNormalDoubleSpacing"/>
        <w:spacing w:line="240" w:lineRule="auto"/>
        <w:rPr>
          <w:sz w:val="20"/>
          <w:lang w:val="fr-CA"/>
        </w:rPr>
      </w:pPr>
    </w:p>
    <w:p w:rsidR="003621B8" w:rsidRPr="00FD6585" w:rsidRDefault="003621B8" w:rsidP="003621B8">
      <w:pPr>
        <w:pStyle w:val="SCCNormalDoubleSpacing"/>
        <w:spacing w:line="240" w:lineRule="auto"/>
        <w:rPr>
          <w:sz w:val="20"/>
          <w:lang w:val="fr-CA"/>
        </w:rPr>
      </w:pPr>
      <w:r w:rsidRPr="003621B8">
        <w:rPr>
          <w:sz w:val="20"/>
          <w:lang w:val="fr-CA"/>
        </w:rPr>
        <w:tab/>
      </w:r>
      <w:r w:rsidRPr="00FD6585">
        <w:rPr>
          <w:sz w:val="20"/>
          <w:lang w:val="fr-CA"/>
        </w:rPr>
        <w:t>POURVOI contre un arrêt de la Cour d’appel de Terre</w:t>
      </w:r>
      <w:r w:rsidRPr="00FD6585">
        <w:rPr>
          <w:sz w:val="20"/>
          <w:lang w:val="fr-CA"/>
        </w:rPr>
        <w:noBreakHyphen/>
        <w:t>Neuve</w:t>
      </w:r>
      <w:r w:rsidRPr="00FD6585">
        <w:rPr>
          <w:sz w:val="20"/>
          <w:lang w:val="fr-CA"/>
        </w:rPr>
        <w:noBreakHyphen/>
        <w:t>et</w:t>
      </w:r>
      <w:r w:rsidRPr="00FD6585">
        <w:rPr>
          <w:sz w:val="20"/>
          <w:lang w:val="fr-CA"/>
        </w:rPr>
        <w:noBreakHyphen/>
        <w:t>Labrador (le juge en chef Green et les juges Welsh and Rowe), 2013 NLCA 2, 331 Nfld. &amp; P.E.I.R. 308, 1027 A.P.R. 308, 41 M.V.R. (6th) 194, 275 C.R.R. (2d) 127, 295 C.C.C. (3d) 262, [2013] 4 C.N.L.R. 209, [2013] N.J. No. 13 (QL), 2013 CarswellNfld 11, qui a confirmé une décision du juge English, de la Cour provinciale, relative à la détermination de la peine, 2011 NLPC 1709A00569, 2 décembre 2011</w:t>
      </w:r>
      <w:r w:rsidRPr="00FD6585">
        <w:rPr>
          <w:smallCaps/>
          <w:sz w:val="20"/>
          <w:lang w:val="fr-CA"/>
        </w:rPr>
        <w:t xml:space="preserve">. </w:t>
      </w:r>
      <w:r w:rsidRPr="00FD6585">
        <w:rPr>
          <w:sz w:val="20"/>
          <w:lang w:val="fr-CA"/>
        </w:rPr>
        <w:t>Pourvoi accueilli.</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Iain R. W. Hollett</w:t>
      </w:r>
      <w:r w:rsidRPr="00FD6585">
        <w:rPr>
          <w:sz w:val="20"/>
          <w:lang w:val="fr-CA"/>
        </w:rPr>
        <w:t>, pour l’appelante.</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Derek Hogan</w:t>
      </w:r>
      <w:r w:rsidRPr="00FD6585">
        <w:rPr>
          <w:sz w:val="20"/>
          <w:lang w:val="fr-CA"/>
        </w:rPr>
        <w:t xml:space="preserve"> et </w:t>
      </w:r>
      <w:r w:rsidRPr="00FD6585">
        <w:rPr>
          <w:i/>
          <w:sz w:val="20"/>
          <w:lang w:val="fr-CA"/>
        </w:rPr>
        <w:t>Darlene Neville</w:t>
      </w:r>
      <w:r w:rsidRPr="00FD6585">
        <w:rPr>
          <w:sz w:val="20"/>
          <w:lang w:val="fr-CA"/>
        </w:rPr>
        <w:t>, pour l’intimé.</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David Schermbrucker</w:t>
      </w:r>
      <w:r w:rsidRPr="00FD6585">
        <w:rPr>
          <w:sz w:val="20"/>
          <w:lang w:val="fr-CA"/>
        </w:rPr>
        <w:t xml:space="preserve"> et </w:t>
      </w:r>
      <w:r w:rsidRPr="00FD6585">
        <w:rPr>
          <w:i/>
          <w:sz w:val="20"/>
          <w:lang w:val="fr-CA"/>
        </w:rPr>
        <w:t>Carole Sheppard</w:t>
      </w:r>
      <w:r w:rsidRPr="00FD6585">
        <w:rPr>
          <w:sz w:val="20"/>
          <w:lang w:val="fr-CA"/>
        </w:rPr>
        <w:t>, pour l’intervenant le directeur des poursuites pénales du Canada.</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Philip Perlmutter</w:t>
      </w:r>
      <w:r w:rsidRPr="00FD6585">
        <w:rPr>
          <w:sz w:val="20"/>
          <w:lang w:val="fr-CA"/>
        </w:rPr>
        <w:t xml:space="preserve"> et </w:t>
      </w:r>
      <w:r w:rsidRPr="00FD6585">
        <w:rPr>
          <w:i/>
          <w:sz w:val="20"/>
          <w:lang w:val="fr-CA"/>
        </w:rPr>
        <w:t>Lorna Bolton</w:t>
      </w:r>
      <w:r w:rsidRPr="00FD6585">
        <w:rPr>
          <w:sz w:val="20"/>
          <w:lang w:val="fr-CA"/>
        </w:rPr>
        <w:t>, pour l’intervenant le procureur général de l’Ontario.</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Kathryn A. Gregory</w:t>
      </w:r>
      <w:r w:rsidRPr="00FD6585">
        <w:rPr>
          <w:sz w:val="20"/>
          <w:lang w:val="fr-CA"/>
        </w:rPr>
        <w:t xml:space="preserve"> et </w:t>
      </w:r>
      <w:r w:rsidRPr="00FD6585">
        <w:rPr>
          <w:i/>
          <w:sz w:val="20"/>
          <w:lang w:val="fr-CA"/>
        </w:rPr>
        <w:t>Cameron Gunn</w:t>
      </w:r>
      <w:r w:rsidRPr="00FD6585">
        <w:rPr>
          <w:sz w:val="20"/>
          <w:lang w:val="fr-CA"/>
        </w:rPr>
        <w:t xml:space="preserve">, </w:t>
      </w:r>
      <w:r w:rsidRPr="00FD6585">
        <w:rPr>
          <w:i/>
          <w:sz w:val="20"/>
          <w:lang w:val="fr-CA"/>
        </w:rPr>
        <w:t>c.r.</w:t>
      </w:r>
      <w:r w:rsidRPr="00FD6585">
        <w:rPr>
          <w:sz w:val="20"/>
          <w:lang w:val="fr-CA"/>
        </w:rPr>
        <w:t>, pour l’intervenant le procureur général du Nouveau</w:t>
      </w:r>
      <w:r w:rsidRPr="00FD6585">
        <w:rPr>
          <w:sz w:val="20"/>
          <w:lang w:val="fr-CA"/>
        </w:rPr>
        <w:noBreakHyphen/>
        <w:t>Brunswick.</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Joyce DeWitt</w:t>
      </w:r>
      <w:r w:rsidRPr="00FD6585">
        <w:rPr>
          <w:i/>
          <w:sz w:val="20"/>
          <w:lang w:val="fr-CA"/>
        </w:rPr>
        <w:noBreakHyphen/>
        <w:t>Van Oosten</w:t>
      </w:r>
      <w:r w:rsidRPr="00FD6585">
        <w:rPr>
          <w:sz w:val="20"/>
          <w:lang w:val="fr-CA"/>
        </w:rPr>
        <w:t xml:space="preserve">, </w:t>
      </w:r>
      <w:r w:rsidRPr="00FD6585">
        <w:rPr>
          <w:i/>
          <w:sz w:val="20"/>
          <w:lang w:val="fr-CA"/>
        </w:rPr>
        <w:t>c.r.</w:t>
      </w:r>
      <w:r w:rsidRPr="00FD6585">
        <w:rPr>
          <w:sz w:val="20"/>
          <w:lang w:val="fr-CA"/>
        </w:rPr>
        <w:t>, pour l’intervenant le procureur général de la Colombie</w:t>
      </w:r>
      <w:r w:rsidRPr="00FD6585">
        <w:rPr>
          <w:sz w:val="20"/>
          <w:lang w:val="fr-CA"/>
        </w:rPr>
        <w:noBreakHyphen/>
        <w:t>Britannique.</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Kent Roach</w:t>
      </w:r>
      <w:r w:rsidRPr="00FD6585">
        <w:rPr>
          <w:sz w:val="20"/>
          <w:lang w:val="fr-CA"/>
        </w:rPr>
        <w:t xml:space="preserve"> et </w:t>
      </w:r>
      <w:r w:rsidRPr="00FD6585">
        <w:rPr>
          <w:i/>
          <w:sz w:val="20"/>
          <w:lang w:val="fr-CA"/>
        </w:rPr>
        <w:t>Cheryl Milne</w:t>
      </w:r>
      <w:r w:rsidRPr="00FD6585">
        <w:rPr>
          <w:sz w:val="20"/>
          <w:lang w:val="fr-CA"/>
        </w:rPr>
        <w:t>, pour l’intervenant David Asper Centre for Constitutional Rights.</w:t>
      </w:r>
    </w:p>
    <w:p w:rsidR="003621B8" w:rsidRDefault="003621B8" w:rsidP="003621B8">
      <w:pPr>
        <w:pStyle w:val="SCCNormalDoubleSpacing"/>
        <w:spacing w:line="240" w:lineRule="auto"/>
        <w:rPr>
          <w:i/>
          <w:sz w:val="20"/>
          <w:lang w:val="fr-CA"/>
        </w:rPr>
      </w:pPr>
    </w:p>
    <w:p w:rsidR="003621B8" w:rsidRPr="00FD6585" w:rsidRDefault="003621B8" w:rsidP="003621B8">
      <w:pPr>
        <w:pStyle w:val="SCCNormalDoubleSpacing"/>
        <w:spacing w:line="240" w:lineRule="auto"/>
        <w:rPr>
          <w:sz w:val="20"/>
          <w:lang w:val="fr-CA"/>
        </w:rPr>
      </w:pPr>
      <w:r w:rsidRPr="00FD6585">
        <w:rPr>
          <w:i/>
          <w:sz w:val="20"/>
          <w:lang w:val="fr-CA"/>
        </w:rPr>
        <w:tab/>
        <w:t>Jonathan Rudin</w:t>
      </w:r>
      <w:r w:rsidRPr="00FD6585">
        <w:rPr>
          <w:sz w:val="20"/>
          <w:lang w:val="fr-CA"/>
        </w:rPr>
        <w:t xml:space="preserve"> et </w:t>
      </w:r>
      <w:r w:rsidRPr="00FD6585">
        <w:rPr>
          <w:i/>
          <w:sz w:val="20"/>
          <w:lang w:val="fr-CA"/>
        </w:rPr>
        <w:t>Emily Hill</w:t>
      </w:r>
      <w:r w:rsidRPr="00FD6585">
        <w:rPr>
          <w:sz w:val="20"/>
          <w:lang w:val="fr-CA"/>
        </w:rPr>
        <w:t>, pour l’intervenante Aboriginal Legal Services of Toronto Inc.</w:t>
      </w:r>
    </w:p>
    <w:p w:rsidR="003621B8" w:rsidRDefault="003621B8" w:rsidP="003621B8">
      <w:pPr>
        <w:pStyle w:val="SCCLawFirm"/>
        <w:spacing w:line="240" w:lineRule="auto"/>
        <w:rPr>
          <w:sz w:val="20"/>
          <w:lang w:val="fr-CA"/>
        </w:rPr>
      </w:pPr>
    </w:p>
    <w:p w:rsidR="003621B8" w:rsidRPr="00FD6585" w:rsidRDefault="003621B8" w:rsidP="003621B8">
      <w:pPr>
        <w:pStyle w:val="SCCLawFirm"/>
        <w:spacing w:line="240" w:lineRule="auto"/>
        <w:rPr>
          <w:sz w:val="20"/>
          <w:lang w:val="fr-CA"/>
        </w:rPr>
      </w:pPr>
      <w:r w:rsidRPr="00FD6585">
        <w:rPr>
          <w:sz w:val="20"/>
          <w:lang w:val="fr-CA"/>
        </w:rPr>
        <w:tab/>
        <w:t>Procureur de l’appelante : Procureur général de Terre</w:t>
      </w:r>
      <w:r w:rsidRPr="00FD6585">
        <w:rPr>
          <w:sz w:val="20"/>
          <w:lang w:val="fr-CA"/>
        </w:rPr>
        <w:noBreakHyphen/>
        <w:t>Neuve</w:t>
      </w:r>
      <w:r w:rsidRPr="00FD6585">
        <w:rPr>
          <w:sz w:val="20"/>
          <w:lang w:val="fr-CA"/>
        </w:rPr>
        <w:noBreakHyphen/>
        <w:t>et</w:t>
      </w:r>
      <w:r w:rsidRPr="00FD6585">
        <w:rPr>
          <w:sz w:val="20"/>
          <w:lang w:val="fr-CA"/>
        </w:rPr>
        <w:noBreakHyphen/>
        <w:t>Labrador, St. John’s.</w:t>
      </w:r>
    </w:p>
    <w:p w:rsidR="003621B8" w:rsidRDefault="003621B8" w:rsidP="003621B8">
      <w:pPr>
        <w:pStyle w:val="SCCLawFirm"/>
        <w:spacing w:line="240" w:lineRule="auto"/>
        <w:rPr>
          <w:sz w:val="20"/>
          <w:lang w:val="fr-CA"/>
        </w:rPr>
      </w:pPr>
    </w:p>
    <w:p w:rsidR="003621B8" w:rsidRPr="00FD6585" w:rsidRDefault="003621B8" w:rsidP="003621B8">
      <w:pPr>
        <w:pStyle w:val="SCCLawFirm"/>
        <w:spacing w:line="240" w:lineRule="auto"/>
        <w:rPr>
          <w:sz w:val="20"/>
        </w:rPr>
      </w:pPr>
      <w:r w:rsidRPr="00FD6585">
        <w:rPr>
          <w:sz w:val="20"/>
          <w:lang w:val="fr-CA"/>
        </w:rPr>
        <w:tab/>
      </w:r>
      <w:r w:rsidRPr="00FD6585">
        <w:rPr>
          <w:sz w:val="20"/>
        </w:rPr>
        <w:t>Procureur de l’intimé : Newfoundland and Labrador Legal Aid Commission, St. John’s.</w:t>
      </w:r>
    </w:p>
    <w:p w:rsidR="003621B8" w:rsidRDefault="003621B8" w:rsidP="003621B8">
      <w:pPr>
        <w:pStyle w:val="SCCLawFirm"/>
        <w:spacing w:line="240" w:lineRule="auto"/>
        <w:rPr>
          <w:sz w:val="20"/>
          <w:lang w:val="en-US"/>
        </w:rPr>
      </w:pPr>
    </w:p>
    <w:p w:rsidR="003621B8" w:rsidRPr="00FD6585" w:rsidRDefault="003621B8" w:rsidP="003621B8">
      <w:pPr>
        <w:pStyle w:val="SCCLawFirm"/>
        <w:spacing w:line="240" w:lineRule="auto"/>
        <w:rPr>
          <w:sz w:val="20"/>
          <w:lang w:val="fr-CA"/>
        </w:rPr>
      </w:pPr>
      <w:r w:rsidRPr="00FD6585">
        <w:rPr>
          <w:sz w:val="20"/>
          <w:lang w:val="en-US"/>
        </w:rPr>
        <w:tab/>
      </w:r>
      <w:r w:rsidRPr="00FD6585">
        <w:rPr>
          <w:sz w:val="20"/>
          <w:lang w:val="fr-CA"/>
        </w:rPr>
        <w:t>Procureur de l’intervenant le directeur des poursuites pénales du Canada : Service des poursuites pénales du Canada, Halifax.</w:t>
      </w:r>
    </w:p>
    <w:p w:rsidR="003621B8" w:rsidRDefault="003621B8" w:rsidP="003621B8">
      <w:pPr>
        <w:pStyle w:val="SCCLawFirm"/>
        <w:spacing w:line="240" w:lineRule="auto"/>
        <w:rPr>
          <w:sz w:val="20"/>
          <w:lang w:val="fr-CA"/>
        </w:rPr>
      </w:pPr>
    </w:p>
    <w:p w:rsidR="003621B8" w:rsidRPr="00FD6585" w:rsidRDefault="003621B8" w:rsidP="003621B8">
      <w:pPr>
        <w:pStyle w:val="SCCLawFirm"/>
        <w:spacing w:line="240" w:lineRule="auto"/>
        <w:rPr>
          <w:sz w:val="20"/>
          <w:lang w:val="fr-CA"/>
        </w:rPr>
      </w:pPr>
      <w:r w:rsidRPr="00FD6585">
        <w:rPr>
          <w:sz w:val="20"/>
          <w:lang w:val="fr-CA"/>
        </w:rPr>
        <w:tab/>
        <w:t>Procureur de l’intervenant le procureur général de l’Ontario : Procureur général de l’Ontario, Toronto.</w:t>
      </w:r>
    </w:p>
    <w:p w:rsidR="003621B8" w:rsidRDefault="003621B8" w:rsidP="003621B8">
      <w:pPr>
        <w:pStyle w:val="SCCLawFirm"/>
        <w:spacing w:line="240" w:lineRule="auto"/>
        <w:rPr>
          <w:sz w:val="20"/>
          <w:lang w:val="fr-CA"/>
        </w:rPr>
      </w:pPr>
    </w:p>
    <w:p w:rsidR="003621B8" w:rsidRPr="00FD6585" w:rsidRDefault="003621B8" w:rsidP="003621B8">
      <w:pPr>
        <w:pStyle w:val="SCCLawFirm"/>
        <w:spacing w:line="240" w:lineRule="auto"/>
        <w:rPr>
          <w:sz w:val="20"/>
          <w:lang w:val="fr-CA"/>
        </w:rPr>
      </w:pPr>
      <w:r w:rsidRPr="00FD6585">
        <w:rPr>
          <w:sz w:val="20"/>
          <w:lang w:val="fr-CA"/>
        </w:rPr>
        <w:tab/>
        <w:t>Procureur de l’intervenant le procureur général du Nouveau</w:t>
      </w:r>
      <w:r w:rsidRPr="00FD6585">
        <w:rPr>
          <w:sz w:val="20"/>
          <w:lang w:val="fr-CA"/>
        </w:rPr>
        <w:noBreakHyphen/>
        <w:t>Brunswick : Procureur général du Nouveau</w:t>
      </w:r>
      <w:r w:rsidRPr="00FD6585">
        <w:rPr>
          <w:sz w:val="20"/>
          <w:lang w:val="fr-CA"/>
        </w:rPr>
        <w:noBreakHyphen/>
        <w:t>Brunswick, Fredericton.</w:t>
      </w:r>
    </w:p>
    <w:p w:rsidR="003621B8" w:rsidRDefault="003621B8" w:rsidP="003621B8">
      <w:pPr>
        <w:pStyle w:val="SCCLawFirm"/>
        <w:spacing w:line="240" w:lineRule="auto"/>
        <w:rPr>
          <w:sz w:val="20"/>
          <w:lang w:val="fr-CA"/>
        </w:rPr>
      </w:pPr>
    </w:p>
    <w:p w:rsidR="003621B8" w:rsidRPr="00FD6585" w:rsidRDefault="003621B8" w:rsidP="003621B8">
      <w:pPr>
        <w:pStyle w:val="SCCLawFirm"/>
        <w:spacing w:line="240" w:lineRule="auto"/>
        <w:rPr>
          <w:sz w:val="20"/>
          <w:lang w:val="fr-CA"/>
        </w:rPr>
      </w:pPr>
      <w:r w:rsidRPr="00FD6585">
        <w:rPr>
          <w:sz w:val="20"/>
          <w:lang w:val="fr-CA"/>
        </w:rPr>
        <w:tab/>
        <w:t>Procureur de l’intervenant le procureur général de la Colombie</w:t>
      </w:r>
      <w:r w:rsidRPr="00FD6585">
        <w:rPr>
          <w:sz w:val="20"/>
          <w:lang w:val="fr-CA"/>
        </w:rPr>
        <w:noBreakHyphen/>
        <w:t>Britannique : Procureur général de la Colombie</w:t>
      </w:r>
      <w:r w:rsidRPr="00FD6585">
        <w:rPr>
          <w:sz w:val="20"/>
          <w:lang w:val="fr-CA"/>
        </w:rPr>
        <w:noBreakHyphen/>
        <w:t>Britannique, Vancouver.</w:t>
      </w:r>
    </w:p>
    <w:p w:rsidR="003621B8" w:rsidRDefault="003621B8" w:rsidP="003621B8">
      <w:pPr>
        <w:pStyle w:val="SCCLawFirm"/>
        <w:spacing w:line="240" w:lineRule="auto"/>
        <w:rPr>
          <w:sz w:val="20"/>
          <w:lang w:val="fr-CA"/>
        </w:rPr>
      </w:pPr>
    </w:p>
    <w:p w:rsidR="003621B8" w:rsidRPr="00FD6585" w:rsidRDefault="003621B8" w:rsidP="003621B8">
      <w:pPr>
        <w:pStyle w:val="SCCLawFirm"/>
        <w:spacing w:line="240" w:lineRule="auto"/>
        <w:rPr>
          <w:sz w:val="20"/>
          <w:lang w:val="fr-CA"/>
        </w:rPr>
      </w:pPr>
      <w:r w:rsidRPr="00FD6585">
        <w:rPr>
          <w:sz w:val="20"/>
          <w:lang w:val="fr-CA"/>
        </w:rPr>
        <w:tab/>
        <w:t>Procureur de l’intervenant David Asper Centre for Constitutional Rights : Université de Toronto, Toronto.</w:t>
      </w:r>
    </w:p>
    <w:p w:rsidR="003621B8" w:rsidRDefault="003621B8" w:rsidP="003621B8">
      <w:pPr>
        <w:pStyle w:val="SCCNormalDoubleSpacing"/>
        <w:spacing w:line="240" w:lineRule="auto"/>
        <w:rPr>
          <w:i/>
          <w:sz w:val="20"/>
          <w:lang w:val="fr-CA"/>
        </w:rPr>
      </w:pPr>
    </w:p>
    <w:p w:rsidR="003621B8" w:rsidRDefault="003621B8" w:rsidP="003621B8">
      <w:pPr>
        <w:pStyle w:val="SCCNormalDoubleSpacing"/>
        <w:spacing w:line="240" w:lineRule="auto"/>
        <w:rPr>
          <w:i/>
          <w:sz w:val="20"/>
        </w:rPr>
      </w:pPr>
      <w:r w:rsidRPr="00FD6585">
        <w:rPr>
          <w:i/>
          <w:sz w:val="20"/>
          <w:lang w:val="fr-CA"/>
        </w:rPr>
        <w:tab/>
      </w:r>
      <w:r w:rsidRPr="00FD6585">
        <w:rPr>
          <w:i/>
          <w:sz w:val="20"/>
        </w:rPr>
        <w:t>Procureur de l’intervenante Aboriginal Legal Services of Toronto Inc. : Aboriginal Legal Services of Toronto Legal Clinic, Toronto.</w:t>
      </w:r>
    </w:p>
    <w:p w:rsidR="003B3977" w:rsidRPr="0052229C" w:rsidRDefault="003B3977" w:rsidP="005C6840">
      <w:pPr>
        <w:rPr>
          <w:rFonts w:cs="Times New Roman"/>
          <w:sz w:val="20"/>
          <w:szCs w:val="20"/>
        </w:rPr>
      </w:pPr>
    </w:p>
    <w:p w:rsidR="0052229C" w:rsidRDefault="005E19D3" w:rsidP="00E23A48">
      <w:pPr>
        <w:rPr>
          <w:sz w:val="20"/>
          <w:lang w:val="fr-CA"/>
        </w:rPr>
      </w:pPr>
      <w:r>
        <w:rPr>
          <w:rFonts w:cs="Times New Roman"/>
          <w:sz w:val="20"/>
          <w:szCs w:val="20"/>
          <w:lang w:val="fr-CA"/>
        </w:rPr>
        <w:pict>
          <v:rect id="_x0000_i1080" style="width:144.3pt;height:1pt" o:hrpct="300" o:hralign="center" o:hrstd="t" o:hrnoshade="t" o:hr="t" fillcolor="black [3213]" stroked="f"/>
        </w:pict>
      </w:r>
    </w:p>
    <w:p w:rsidR="00902E51" w:rsidRPr="00352A49" w:rsidRDefault="00902E51" w:rsidP="00902E51">
      <w:pPr>
        <w:rPr>
          <w:sz w:val="20"/>
          <w:szCs w:val="20"/>
          <w:lang w:val="fr-CA"/>
        </w:rPr>
      </w:pP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576" w:footer="960" w:gutter="0"/>
          <w:cols w:space="720"/>
          <w:titlePg/>
          <w:docGrid w:linePitch="272"/>
        </w:sectPr>
      </w:pPr>
    </w:p>
    <w:p w:rsidR="0081610A" w:rsidRPr="002E0C7E" w:rsidRDefault="00EE415D"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0"/>
      <w:footerReference w:type="default" r:id="rId9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B7" w:rsidRDefault="00EE08B7" w:rsidP="00A87207">
      <w:r>
        <w:separator/>
      </w:r>
    </w:p>
  </w:endnote>
  <w:endnote w:type="continuationSeparator" w:id="0">
    <w:p w:rsidR="00EE08B7" w:rsidRDefault="00EE08B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pPr>
      <w:pStyle w:val="Footer"/>
      <w:rPr>
        <w:lang w:val="fr-CA"/>
      </w:rPr>
    </w:pPr>
    <w:r>
      <w:rPr>
        <w:lang w:val="fr-CA"/>
      </w:rPr>
      <w:pict>
        <v:rect id="_x0000_i1065" style="width:480.95pt;height:1pt" o:hralign="center" o:hrstd="t" o:hrnoshade="t" o:hr="t" fillcolor="black [3213]" stroked="f"/>
      </w:pict>
    </w:r>
  </w:p>
  <w:p w:rsidR="00EE08B7" w:rsidRDefault="00EE08B7" w:rsidP="00245129">
    <w:pPr>
      <w:tabs>
        <w:tab w:val="center" w:pos="4680"/>
      </w:tabs>
    </w:pPr>
    <w:r>
      <w:tab/>
    </w:r>
    <w:r w:rsidRPr="0009648D">
      <w:t xml:space="preserve">- </w:t>
    </w:r>
    <w:r w:rsidR="005E19D3">
      <w:fldChar w:fldCharType="begin"/>
    </w:r>
    <w:r w:rsidR="005E19D3">
      <w:instrText xml:space="preserve"> PAGE   \* MERGEFORMAT </w:instrText>
    </w:r>
    <w:r w:rsidR="005E19D3">
      <w:fldChar w:fldCharType="separate"/>
    </w:r>
    <w:r w:rsidR="005E19D3">
      <w:rPr>
        <w:noProof/>
      </w:rPr>
      <w:t>965</w:t>
    </w:r>
    <w:r w:rsidR="005E19D3">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08B7" w:rsidRDefault="00EE08B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755F22">
    <w:pPr>
      <w:tabs>
        <w:tab w:val="left" w:pos="-1440"/>
        <w:tab w:val="left" w:pos="-720"/>
      </w:tabs>
    </w:pPr>
    <w:r>
      <w:pict>
        <v:rect id="_x0000_i1070" style="width:480.95pt;height:1pt" o:hralign="center" o:hrstd="t" o:hrnoshade="t" o:hr="t" fillcolor="black [3213]" stroked="f"/>
      </w:pict>
    </w:r>
  </w:p>
  <w:p w:rsidR="00EE08B7" w:rsidRDefault="00EE08B7" w:rsidP="00EB2B90">
    <w:pPr>
      <w:tabs>
        <w:tab w:val="center" w:pos="4680"/>
      </w:tabs>
    </w:pPr>
    <w:r>
      <w:tab/>
      <w:t xml:space="preserve">- </w:t>
    </w:r>
    <w:r w:rsidR="005E19D3">
      <w:fldChar w:fldCharType="begin"/>
    </w:r>
    <w:r w:rsidR="005E19D3">
      <w:instrText xml:space="preserve"> PAGE   \* MERGEFORMAT </w:instrText>
    </w:r>
    <w:r w:rsidR="005E19D3">
      <w:fldChar w:fldCharType="separate"/>
    </w:r>
    <w:r w:rsidR="005E19D3">
      <w:rPr>
        <w:noProof/>
      </w:rPr>
      <w:t>988</w:t>
    </w:r>
    <w:r w:rsidR="005E19D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EB2B90">
    <w:pPr>
      <w:tabs>
        <w:tab w:val="center" w:pos="4680"/>
      </w:tabs>
    </w:pPr>
    <w:r>
      <w:pict>
        <v:rect id="_x0000_i1071" style="width:480.95pt;height:1pt" o:hralign="center" o:hrstd="t" o:hrnoshade="t" o:hr="t" fillcolor="black [3213]" stroked="f"/>
      </w:pict>
    </w:r>
  </w:p>
  <w:p w:rsidR="00EE08B7" w:rsidRPr="0031432F" w:rsidRDefault="00EE08B7" w:rsidP="00EB2B90">
    <w:pPr>
      <w:tabs>
        <w:tab w:val="center" w:pos="4680"/>
      </w:tabs>
    </w:pPr>
    <w:r>
      <w:tab/>
      <w:t xml:space="preserve">- </w:t>
    </w:r>
    <w:r w:rsidR="005E19D3">
      <w:fldChar w:fldCharType="begin"/>
    </w:r>
    <w:r w:rsidR="005E19D3">
      <w:instrText xml:space="preserve"> PAGE   \* MERGEFORMAT </w:instrText>
    </w:r>
    <w:r w:rsidR="005E19D3">
      <w:fldChar w:fldCharType="separate"/>
    </w:r>
    <w:r w:rsidR="005E19D3">
      <w:rPr>
        <w:noProof/>
      </w:rPr>
      <w:t>985</w:t>
    </w:r>
    <w:r w:rsidR="005E19D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08B7" w:rsidRDefault="00EE08B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EE08B7" w:rsidRDefault="00EE08B7" w:rsidP="00EB2B90">
    <w:pPr>
      <w:tabs>
        <w:tab w:val="center" w:pos="4680"/>
      </w:tabs>
    </w:pPr>
    <w:r>
      <w:tab/>
      <w:t xml:space="preserve">- </w:t>
    </w:r>
    <w:r w:rsidR="005E19D3">
      <w:fldChar w:fldCharType="begin"/>
    </w:r>
    <w:r w:rsidR="005E19D3">
      <w:instrText xml:space="preserve"> PAGE   \* MERGEFORMAT </w:instrText>
    </w:r>
    <w:r w:rsidR="005E19D3">
      <w:fldChar w:fldCharType="separate"/>
    </w:r>
    <w:r>
      <w:rPr>
        <w:noProof/>
      </w:rPr>
      <w:t>524</w:t>
    </w:r>
    <w:r w:rsidR="005E19D3">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pPr>
      <w:pStyle w:val="Footer"/>
      <w:rPr>
        <w:lang w:val="fr-CA"/>
      </w:rPr>
    </w:pPr>
    <w:r>
      <w:rPr>
        <w:lang w:val="fr-CA"/>
      </w:rPr>
      <w:pict>
        <v:rect id="_x0000_i1075" style="width:480.95pt;height:1pt" o:hralign="center" o:hrstd="t" o:hrnoshade="t" o:hr="t" fillcolor="black [3213]" stroked="f"/>
      </w:pict>
    </w:r>
  </w:p>
  <w:p w:rsidR="00EE08B7" w:rsidRDefault="00EE08B7" w:rsidP="00EB2B90">
    <w:pPr>
      <w:tabs>
        <w:tab w:val="center" w:pos="4680"/>
      </w:tabs>
    </w:pPr>
    <w:r>
      <w:tab/>
      <w:t xml:space="preserve">- </w:t>
    </w:r>
    <w:r w:rsidR="005E19D3">
      <w:fldChar w:fldCharType="begin"/>
    </w:r>
    <w:r w:rsidR="005E19D3">
      <w:instrText xml:space="preserve"> PAGE   \* MERGEFORMAT </w:instrText>
    </w:r>
    <w:r w:rsidR="005E19D3">
      <w:fldChar w:fldCharType="separate"/>
    </w:r>
    <w:r w:rsidR="005E19D3">
      <w:rPr>
        <w:noProof/>
      </w:rPr>
      <w:t>989</w:t>
    </w:r>
    <w:r w:rsidR="005E19D3">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08B7" w:rsidRDefault="00EE08B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732DB7">
    <w:r>
      <w:pict>
        <v:rect id="_x0000_i1077" style="width:480.95pt;height:1pt" o:hralign="center" o:hrstd="t" o:hrnoshade="t" o:hr="t" fillcolor="black" stroked="f"/>
      </w:pict>
    </w:r>
  </w:p>
  <w:p w:rsidR="00EE08B7" w:rsidRDefault="00EE08B7">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pPr>
      <w:pStyle w:val="Footer"/>
    </w:pPr>
    <w:r>
      <w:pict>
        <v:rect id="_x0000_i1078" style="width:480.95pt;height:1pt" o:hralign="center" o:hrstd="t" o:hrnoshade="t" o:hr="t" fillcolor="black [3213]" stroked="f"/>
      </w:pict>
    </w:r>
  </w:p>
  <w:p w:rsidR="00EE08B7" w:rsidRPr="003C2C0F" w:rsidRDefault="00EE08B7" w:rsidP="00697C62">
    <w:pPr>
      <w:tabs>
        <w:tab w:val="center" w:pos="4680"/>
      </w:tabs>
    </w:pPr>
    <w:r>
      <w:tab/>
      <w:t xml:space="preserve">- </w:t>
    </w:r>
    <w:r w:rsidR="005E19D3">
      <w:fldChar w:fldCharType="begin"/>
    </w:r>
    <w:r w:rsidR="005E19D3">
      <w:instrText xml:space="preserve"> PAGE   \* MERGEFORMAT </w:instrText>
    </w:r>
    <w:r w:rsidR="005E19D3">
      <w:fldChar w:fldCharType="separate"/>
    </w:r>
    <w:r w:rsidR="005E19D3">
      <w:rPr>
        <w:noProof/>
      </w:rPr>
      <w:t>990</w:t>
    </w:r>
    <w:r w:rsidR="005E19D3">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08B7" w:rsidRDefault="00EE08B7">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08B7" w:rsidRDefault="005E1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EE08B7" w:rsidRDefault="00EE08B7" w:rsidP="00782AE4">
    <w:pPr>
      <w:tabs>
        <w:tab w:val="center" w:pos="4680"/>
      </w:tabs>
    </w:pPr>
    <w:r>
      <w:tab/>
      <w:t xml:space="preserve">- </w:t>
    </w:r>
    <w:r w:rsidR="00EE415D" w:rsidRPr="001775C1">
      <w:rPr>
        <w:szCs w:val="24"/>
      </w:rPr>
      <w:fldChar w:fldCharType="begin"/>
    </w:r>
    <w:r w:rsidRPr="001775C1">
      <w:rPr>
        <w:szCs w:val="24"/>
      </w:rPr>
      <w:instrText xml:space="preserve"> PAGE   \* MERGEFORMAT </w:instrText>
    </w:r>
    <w:r w:rsidR="00EE415D" w:rsidRPr="001775C1">
      <w:rPr>
        <w:szCs w:val="24"/>
      </w:rPr>
      <w:fldChar w:fldCharType="separate"/>
    </w:r>
    <w:r w:rsidR="005E19D3">
      <w:rPr>
        <w:noProof/>
        <w:szCs w:val="24"/>
      </w:rPr>
      <w:t>995</w:t>
    </w:r>
    <w:r w:rsidR="00EE415D"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782AE4">
    <w:pPr>
      <w:tabs>
        <w:tab w:val="center" w:pos="4680"/>
      </w:tabs>
    </w:pPr>
    <w:r>
      <w:pict>
        <v:rect id="_x0000_i1082" style="width:480.95pt;height:1pt" o:hralign="center" o:hrstd="t" o:hrnoshade="t" o:hr="t" fillcolor="black [3213]" stroked="f"/>
      </w:pict>
    </w:r>
  </w:p>
  <w:p w:rsidR="00EE08B7" w:rsidRDefault="00EE08B7" w:rsidP="00782AE4">
    <w:pPr>
      <w:tabs>
        <w:tab w:val="center" w:pos="4680"/>
      </w:tabs>
    </w:pPr>
    <w:r>
      <w:tab/>
      <w:t xml:space="preserve">- </w:t>
    </w:r>
    <w:r w:rsidR="00EE415D" w:rsidRPr="001775C1">
      <w:rPr>
        <w:szCs w:val="24"/>
      </w:rPr>
      <w:fldChar w:fldCharType="begin"/>
    </w:r>
    <w:r w:rsidRPr="001775C1">
      <w:rPr>
        <w:szCs w:val="24"/>
      </w:rPr>
      <w:instrText xml:space="preserve"> PAGE   \* MERGEFORMAT </w:instrText>
    </w:r>
    <w:r w:rsidR="00EE415D" w:rsidRPr="001775C1">
      <w:rPr>
        <w:szCs w:val="24"/>
      </w:rPr>
      <w:fldChar w:fldCharType="separate"/>
    </w:r>
    <w:r w:rsidR="005E19D3">
      <w:rPr>
        <w:noProof/>
        <w:szCs w:val="24"/>
      </w:rPr>
      <w:t>991</w:t>
    </w:r>
    <w:r w:rsidR="00EE415D"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Pr="00924065" w:rsidRDefault="00EE08B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A87207">
    <w:pPr>
      <w:pStyle w:val="Footer"/>
    </w:pPr>
    <w:r>
      <w:pict>
        <v:rect id="_x0000_i1041" style="width:480.95pt;height:1pt" o:hralign="center" o:hrstd="t" o:hrnoshade="t" o:hr="t" fillcolor="black [3213]" stroked="f"/>
      </w:pict>
    </w:r>
  </w:p>
  <w:p w:rsidR="00EE08B7" w:rsidRPr="00B7374B" w:rsidRDefault="00EE08B7" w:rsidP="00B7374B">
    <w:pPr>
      <w:tabs>
        <w:tab w:val="center" w:pos="4680"/>
      </w:tabs>
      <w:rPr>
        <w:szCs w:val="24"/>
      </w:rPr>
    </w:pPr>
    <w:r w:rsidRPr="00954D22">
      <w:rPr>
        <w:szCs w:val="24"/>
      </w:rPr>
      <w:tab/>
      <w:t xml:space="preserve">- </w:t>
    </w:r>
    <w:r w:rsidR="00EE415D" w:rsidRPr="00954D22">
      <w:rPr>
        <w:szCs w:val="24"/>
      </w:rPr>
      <w:fldChar w:fldCharType="begin"/>
    </w:r>
    <w:r w:rsidRPr="00954D22">
      <w:rPr>
        <w:szCs w:val="24"/>
      </w:rPr>
      <w:instrText xml:space="preserve"> PAGE   \* MERGEFORMAT </w:instrText>
    </w:r>
    <w:r w:rsidR="00EE415D" w:rsidRPr="00954D22">
      <w:rPr>
        <w:szCs w:val="24"/>
      </w:rPr>
      <w:fldChar w:fldCharType="separate"/>
    </w:r>
    <w:r w:rsidR="005E19D3">
      <w:rPr>
        <w:noProof/>
        <w:szCs w:val="24"/>
      </w:rPr>
      <w:t>963</w:t>
    </w:r>
    <w:r w:rsidR="00EE415D"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755F22">
    <w:pPr>
      <w:tabs>
        <w:tab w:val="left" w:pos="-1440"/>
        <w:tab w:val="left" w:pos="-720"/>
      </w:tabs>
    </w:pPr>
    <w:r>
      <w:pict>
        <v:rect id="_x0000_i1042" style="width:480.95pt;height:1pt" o:hralign="center" o:hrstd="t" o:hrnoshade="t" o:hr="t" fillcolor="black [3213]" stroked="f"/>
      </w:pict>
    </w:r>
  </w:p>
  <w:p w:rsidR="00EE08B7" w:rsidRPr="00954D22" w:rsidRDefault="00EE08B7" w:rsidP="00B7374B">
    <w:pPr>
      <w:tabs>
        <w:tab w:val="center" w:pos="4680"/>
      </w:tabs>
      <w:rPr>
        <w:szCs w:val="24"/>
      </w:rPr>
    </w:pPr>
    <w:r w:rsidRPr="00954D22">
      <w:rPr>
        <w:szCs w:val="24"/>
      </w:rPr>
      <w:tab/>
      <w:t xml:space="preserve">- </w:t>
    </w:r>
    <w:r w:rsidR="00EE415D">
      <w:rPr>
        <w:szCs w:val="24"/>
      </w:rPr>
      <w:fldChar w:fldCharType="begin"/>
    </w:r>
    <w:r>
      <w:rPr>
        <w:szCs w:val="24"/>
      </w:rPr>
      <w:instrText xml:space="preserve"> PAGE   \* MERGEFORMAT </w:instrText>
    </w:r>
    <w:r w:rsidR="00EE415D">
      <w:rPr>
        <w:szCs w:val="24"/>
      </w:rPr>
      <w:fldChar w:fldCharType="separate"/>
    </w:r>
    <w:r w:rsidR="005E19D3">
      <w:rPr>
        <w:noProof/>
        <w:szCs w:val="24"/>
      </w:rPr>
      <w:t>962</w:t>
    </w:r>
    <w:r w:rsidR="00EE415D">
      <w:rPr>
        <w:szCs w:val="24"/>
      </w:rPr>
      <w:fldChar w:fldCharType="end"/>
    </w:r>
    <w:r w:rsidRPr="00954D22">
      <w:rPr>
        <w:szCs w:val="24"/>
      </w:rPr>
      <w:t xml:space="preserve"> -</w:t>
    </w:r>
  </w:p>
  <w:p w:rsidR="00EE08B7" w:rsidRDefault="00EE08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A87207">
    <w:pPr>
      <w:pStyle w:val="Footer"/>
    </w:pPr>
    <w:r>
      <w:pict>
        <v:rect id="_x0000_i1044" style="width:480.95pt;height:1pt" o:hralign="center" o:hrstd="t" o:hrnoshade="t" o:hr="t" fillcolor="black [3213]" stroked="f"/>
      </w:pict>
    </w:r>
  </w:p>
  <w:p w:rsidR="00EE08B7" w:rsidRPr="00B7374B" w:rsidRDefault="00EE08B7" w:rsidP="00B7374B">
    <w:pPr>
      <w:tabs>
        <w:tab w:val="center" w:pos="4680"/>
      </w:tabs>
      <w:rPr>
        <w:szCs w:val="24"/>
      </w:rPr>
    </w:pPr>
    <w:r w:rsidRPr="00954D22">
      <w:rPr>
        <w:szCs w:val="24"/>
      </w:rPr>
      <w:tab/>
      <w:t xml:space="preserve">- </w:t>
    </w:r>
    <w:r w:rsidR="00EE415D" w:rsidRPr="00954D22">
      <w:rPr>
        <w:szCs w:val="24"/>
      </w:rPr>
      <w:fldChar w:fldCharType="begin"/>
    </w:r>
    <w:r w:rsidRPr="00954D22">
      <w:rPr>
        <w:szCs w:val="24"/>
      </w:rPr>
      <w:instrText xml:space="preserve"> PAGE   \* MERGEFORMAT </w:instrText>
    </w:r>
    <w:r w:rsidR="00EE415D" w:rsidRPr="00954D22">
      <w:rPr>
        <w:szCs w:val="24"/>
      </w:rPr>
      <w:fldChar w:fldCharType="separate"/>
    </w:r>
    <w:r>
      <w:rPr>
        <w:noProof/>
        <w:szCs w:val="24"/>
      </w:rPr>
      <w:t>965</w:t>
    </w:r>
    <w:r w:rsidR="00EE415D"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EE08B7" w:rsidRPr="00954D22" w:rsidRDefault="00EE08B7" w:rsidP="00B7374B">
    <w:pPr>
      <w:tabs>
        <w:tab w:val="center" w:pos="4680"/>
      </w:tabs>
      <w:rPr>
        <w:szCs w:val="24"/>
      </w:rPr>
    </w:pPr>
    <w:r w:rsidRPr="00954D22">
      <w:rPr>
        <w:szCs w:val="24"/>
      </w:rPr>
      <w:tab/>
      <w:t xml:space="preserve">- </w:t>
    </w:r>
    <w:r w:rsidR="00EE415D" w:rsidRPr="00954D22">
      <w:rPr>
        <w:szCs w:val="24"/>
      </w:rPr>
      <w:fldChar w:fldCharType="begin"/>
    </w:r>
    <w:r w:rsidRPr="00954D22">
      <w:rPr>
        <w:szCs w:val="24"/>
      </w:rPr>
      <w:instrText xml:space="preserve"> PAGE   \* MERGEFORMAT </w:instrText>
    </w:r>
    <w:r w:rsidR="00EE415D" w:rsidRPr="00954D22">
      <w:rPr>
        <w:szCs w:val="24"/>
      </w:rPr>
      <w:fldChar w:fldCharType="separate"/>
    </w:r>
    <w:r w:rsidR="005E19D3">
      <w:rPr>
        <w:noProof/>
        <w:szCs w:val="24"/>
      </w:rPr>
      <w:t>964</w:t>
    </w:r>
    <w:r w:rsidR="00EE415D"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08B7" w:rsidRDefault="00EE08B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5E1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EE08B7" w:rsidRPr="0009648D" w:rsidRDefault="00EE08B7" w:rsidP="00ED7E83">
    <w:pPr>
      <w:tabs>
        <w:tab w:val="center" w:pos="4680"/>
      </w:tabs>
    </w:pPr>
    <w:r>
      <w:tab/>
    </w:r>
    <w:r w:rsidRPr="0009648D">
      <w:t xml:space="preserve">- </w:t>
    </w:r>
    <w:r w:rsidR="005E19D3">
      <w:fldChar w:fldCharType="begin"/>
    </w:r>
    <w:r w:rsidR="005E19D3">
      <w:instrText xml:space="preserve"> PAGE   \* MERGEFORMAT </w:instrText>
    </w:r>
    <w:r w:rsidR="005E19D3">
      <w:fldChar w:fldCharType="separate"/>
    </w:r>
    <w:r w:rsidR="005E19D3">
      <w:rPr>
        <w:noProof/>
      </w:rPr>
      <w:t>984</w:t>
    </w:r>
    <w:r w:rsidR="005E19D3">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B7" w:rsidRDefault="00EE08B7" w:rsidP="00A87207">
      <w:r>
        <w:separator/>
      </w:r>
    </w:p>
  </w:footnote>
  <w:footnote w:type="continuationSeparator" w:id="0">
    <w:p w:rsidR="00EE08B7" w:rsidRDefault="00EE08B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E08B7">
      <w:tc>
        <w:tcPr>
          <w:tcW w:w="423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E08B7"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08B7"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E08B7">
      <w:trPr>
        <w:gridAfter w:val="2"/>
        <w:wAfter w:w="5250" w:type="dxa"/>
      </w:trPr>
      <w:tc>
        <w:tcPr>
          <w:tcW w:w="4230" w:type="dxa"/>
          <w:tcMar>
            <w:left w:w="0" w:type="dxa"/>
            <w:right w:w="0" w:type="dxa"/>
          </w:tcMar>
        </w:tcPr>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E08B7" w:rsidRPr="00755F22" w:rsidTr="00245129">
      <w:tc>
        <w:tcPr>
          <w:tcW w:w="4230" w:type="dxa"/>
          <w:tcMar>
            <w:left w:w="0" w:type="dxa"/>
            <w:right w:w="0" w:type="dxa"/>
          </w:tcMar>
        </w:tcPr>
        <w:p w:rsidR="00EE08B7" w:rsidRPr="00755F22" w:rsidRDefault="00EE08B7" w:rsidP="00831CA9">
          <w:pPr>
            <w:keepNext/>
            <w:keepLines/>
            <w:rPr>
              <w:sz w:val="20"/>
              <w:szCs w:val="20"/>
            </w:rPr>
          </w:pPr>
          <w:r w:rsidRPr="00755F22">
            <w:rPr>
              <w:sz w:val="20"/>
              <w:szCs w:val="20"/>
            </w:rPr>
            <w:t>MOTIONS</w:t>
          </w:r>
        </w:p>
      </w:tc>
      <w:tc>
        <w:tcPr>
          <w:tcW w:w="1170" w:type="dxa"/>
          <w:tcMar>
            <w:left w:w="0" w:type="dxa"/>
            <w:right w:w="0" w:type="dxa"/>
          </w:tcMar>
        </w:tcPr>
        <w:p w:rsidR="00EE08B7" w:rsidRPr="00755F22" w:rsidRDefault="00EE08B7" w:rsidP="00831CA9">
          <w:pPr>
            <w:keepLines/>
            <w:jc w:val="center"/>
            <w:rPr>
              <w:sz w:val="20"/>
              <w:szCs w:val="20"/>
            </w:rPr>
          </w:pPr>
        </w:p>
        <w:p w:rsidR="00EE08B7" w:rsidRPr="00755F22" w:rsidRDefault="00EE08B7" w:rsidP="00831CA9">
          <w:pPr>
            <w:keepLines/>
            <w:tabs>
              <w:tab w:val="left" w:pos="-1440"/>
              <w:tab w:val="left" w:pos="-720"/>
            </w:tabs>
            <w:jc w:val="center"/>
            <w:rPr>
              <w:sz w:val="20"/>
              <w:szCs w:val="20"/>
            </w:rPr>
          </w:pPr>
        </w:p>
      </w:tc>
      <w:tc>
        <w:tcPr>
          <w:tcW w:w="4080" w:type="dxa"/>
          <w:tcMar>
            <w:left w:w="0" w:type="dxa"/>
            <w:right w:w="0" w:type="dxa"/>
          </w:tcMar>
        </w:tcPr>
        <w:p w:rsidR="00EE08B7" w:rsidRPr="00BA6468" w:rsidRDefault="00EE08B7" w:rsidP="00BA6468">
          <w:pPr>
            <w:keepLines/>
            <w:rPr>
              <w:sz w:val="20"/>
              <w:szCs w:val="20"/>
              <w:lang w:val="fr-CA"/>
            </w:rPr>
          </w:pPr>
          <w:r w:rsidRPr="00BA6468">
            <w:rPr>
              <w:sz w:val="20"/>
              <w:szCs w:val="20"/>
              <w:lang w:val="fr-CA"/>
            </w:rPr>
            <w:t>REQUÊTES</w:t>
          </w:r>
        </w:p>
      </w:tc>
    </w:tr>
  </w:tbl>
  <w:p w:rsidR="00EE08B7" w:rsidRDefault="00EE08B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E08B7" w:rsidRPr="005E19D3">
      <w:tc>
        <w:tcPr>
          <w:tcW w:w="420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08B7" w:rsidRPr="00B01A03"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E08B7" w:rsidRPr="00B01A03"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E08B7" w:rsidRPr="00B01A03"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E08B7" w:rsidRPr="005E19D3" w:rsidTr="00245129">
      <w:tc>
        <w:tcPr>
          <w:tcW w:w="4200" w:type="dxa"/>
          <w:tcMar>
            <w:left w:w="0" w:type="dxa"/>
            <w:right w:w="0" w:type="dxa"/>
          </w:tcMar>
        </w:tcPr>
        <w:p w:rsidR="00EE08B7" w:rsidRPr="00F40249" w:rsidRDefault="00EE08B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E08B7" w:rsidRDefault="00EE08B7" w:rsidP="00102926">
          <w:pPr>
            <w:keepNext/>
            <w:keepLines/>
            <w:tabs>
              <w:tab w:val="left" w:pos="-1440"/>
              <w:tab w:val="left" w:pos="-720"/>
            </w:tabs>
            <w:jc w:val="center"/>
            <w:rPr>
              <w:sz w:val="20"/>
              <w:szCs w:val="20"/>
            </w:rPr>
          </w:pPr>
        </w:p>
        <w:p w:rsidR="00EE08B7" w:rsidRDefault="00EE08B7" w:rsidP="00102926">
          <w:pPr>
            <w:keepNext/>
            <w:keepLines/>
            <w:tabs>
              <w:tab w:val="left" w:pos="-1440"/>
              <w:tab w:val="left" w:pos="-720"/>
            </w:tabs>
            <w:jc w:val="center"/>
            <w:rPr>
              <w:sz w:val="20"/>
              <w:szCs w:val="20"/>
            </w:rPr>
          </w:pPr>
        </w:p>
        <w:p w:rsidR="00EE08B7" w:rsidRPr="00F40249" w:rsidRDefault="00EE08B7" w:rsidP="00102926">
          <w:pPr>
            <w:keepNext/>
            <w:keepLines/>
            <w:tabs>
              <w:tab w:val="left" w:pos="-1440"/>
              <w:tab w:val="left" w:pos="-720"/>
            </w:tabs>
            <w:jc w:val="center"/>
            <w:rPr>
              <w:sz w:val="20"/>
              <w:szCs w:val="20"/>
            </w:rPr>
          </w:pPr>
        </w:p>
      </w:tc>
      <w:tc>
        <w:tcPr>
          <w:tcW w:w="4230" w:type="dxa"/>
          <w:tcMar>
            <w:left w:w="0" w:type="dxa"/>
            <w:right w:w="0" w:type="dxa"/>
          </w:tcMar>
        </w:tcPr>
        <w:p w:rsidR="00EE08B7" w:rsidRPr="00F40249" w:rsidRDefault="00EE08B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E08B7" w:rsidRPr="00B01A03" w:rsidRDefault="00EE08B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E08B7" w:rsidRPr="005E19D3">
      <w:tc>
        <w:tcPr>
          <w:tcW w:w="420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E08B7" w:rsidRPr="003C2C0F"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E08B7" w:rsidRPr="003C2C0F"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E08B7" w:rsidRPr="003C2C0F"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E08B7" w:rsidRPr="005E19D3" w:rsidTr="00245129">
      <w:tc>
        <w:tcPr>
          <w:tcW w:w="4200" w:type="dxa"/>
          <w:tcMar>
            <w:left w:w="0" w:type="dxa"/>
            <w:right w:w="0" w:type="dxa"/>
          </w:tcMar>
        </w:tcPr>
        <w:p w:rsidR="00EE08B7" w:rsidRPr="00FF6EEC" w:rsidRDefault="00EE08B7" w:rsidP="00FF6EEC">
          <w:pPr>
            <w:rPr>
              <w:sz w:val="20"/>
              <w:szCs w:val="20"/>
            </w:rPr>
          </w:pPr>
          <w:r w:rsidRPr="00FF6EEC">
            <w:rPr>
              <w:sz w:val="20"/>
              <w:szCs w:val="20"/>
            </w:rPr>
            <w:t>PRONOUNCEMENTS OF APPEALS RESERVED</w:t>
          </w:r>
        </w:p>
      </w:tc>
      <w:tc>
        <w:tcPr>
          <w:tcW w:w="1200" w:type="dxa"/>
          <w:tcMar>
            <w:left w:w="0" w:type="dxa"/>
            <w:right w:w="0" w:type="dxa"/>
          </w:tcMar>
        </w:tcPr>
        <w:p w:rsidR="00EE08B7" w:rsidRPr="00FF6EEC" w:rsidRDefault="00EE08B7" w:rsidP="00FF6EEC">
          <w:pPr>
            <w:jc w:val="center"/>
            <w:rPr>
              <w:sz w:val="20"/>
              <w:szCs w:val="20"/>
            </w:rPr>
          </w:pPr>
        </w:p>
        <w:p w:rsidR="00EE08B7" w:rsidRPr="00FF6EEC" w:rsidRDefault="00EE08B7" w:rsidP="00FF6EEC">
          <w:pPr>
            <w:jc w:val="center"/>
            <w:rPr>
              <w:sz w:val="20"/>
              <w:szCs w:val="20"/>
            </w:rPr>
          </w:pPr>
        </w:p>
        <w:p w:rsidR="00EE08B7" w:rsidRPr="00FF6EEC" w:rsidRDefault="00EE08B7" w:rsidP="00FF6EEC">
          <w:pPr>
            <w:jc w:val="center"/>
            <w:rPr>
              <w:sz w:val="20"/>
              <w:szCs w:val="20"/>
            </w:rPr>
          </w:pPr>
        </w:p>
      </w:tc>
      <w:tc>
        <w:tcPr>
          <w:tcW w:w="4080" w:type="dxa"/>
          <w:tcMar>
            <w:left w:w="0" w:type="dxa"/>
            <w:right w:w="0" w:type="dxa"/>
          </w:tcMar>
        </w:tcPr>
        <w:p w:rsidR="00EE08B7" w:rsidRPr="00FF6EEC" w:rsidRDefault="00EE08B7" w:rsidP="00FF6EEC">
          <w:pPr>
            <w:rPr>
              <w:sz w:val="20"/>
              <w:szCs w:val="20"/>
              <w:lang w:val="fr-CA"/>
            </w:rPr>
          </w:pPr>
          <w:r w:rsidRPr="00FF6EEC">
            <w:rPr>
              <w:sz w:val="20"/>
              <w:szCs w:val="20"/>
              <w:lang w:val="fr-CA"/>
            </w:rPr>
            <w:t>JUGEMENTS RENDUS SUR LES APPELS EN DÉLIBÉRÉ</w:t>
          </w:r>
        </w:p>
      </w:tc>
    </w:tr>
  </w:tbl>
  <w:p w:rsidR="00EE08B7" w:rsidRPr="003C2C0F" w:rsidRDefault="00EE08B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E08B7">
      <w:tc>
        <w:tcPr>
          <w:tcW w:w="423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E08B7"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E08B7"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E08B7" w:rsidRPr="00782AE4" w:rsidTr="00245129">
      <w:tc>
        <w:tcPr>
          <w:tcW w:w="4230" w:type="dxa"/>
          <w:tcMar>
            <w:left w:w="0" w:type="dxa"/>
            <w:right w:w="0" w:type="dxa"/>
          </w:tcMar>
        </w:tcPr>
        <w:p w:rsidR="00EE08B7" w:rsidRPr="00782AE4" w:rsidRDefault="00EE08B7" w:rsidP="00102926">
          <w:pPr>
            <w:keepNext/>
            <w:keepLines/>
            <w:tabs>
              <w:tab w:val="left" w:pos="-1440"/>
              <w:tab w:val="left" w:pos="-720"/>
            </w:tabs>
            <w:rPr>
              <w:sz w:val="20"/>
              <w:szCs w:val="20"/>
            </w:rPr>
          </w:pPr>
          <w:r w:rsidRPr="00782AE4">
            <w:rPr>
              <w:sz w:val="20"/>
              <w:szCs w:val="20"/>
            </w:rPr>
            <w:t xml:space="preserve">HEADNOTES OF RECENT </w:t>
          </w:r>
        </w:p>
        <w:p w:rsidR="00EE08B7" w:rsidRPr="00782AE4"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E08B7" w:rsidRDefault="00EE08B7" w:rsidP="00102926">
          <w:pPr>
            <w:keepNext/>
            <w:keepLines/>
            <w:tabs>
              <w:tab w:val="left" w:pos="-1440"/>
              <w:tab w:val="left" w:pos="-720"/>
            </w:tabs>
            <w:jc w:val="center"/>
            <w:rPr>
              <w:sz w:val="20"/>
              <w:szCs w:val="20"/>
            </w:rPr>
          </w:pPr>
        </w:p>
        <w:p w:rsidR="00EE08B7" w:rsidRDefault="00EE08B7" w:rsidP="00102926">
          <w:pPr>
            <w:keepNext/>
            <w:keepLines/>
            <w:tabs>
              <w:tab w:val="left" w:pos="-1440"/>
              <w:tab w:val="left" w:pos="-720"/>
            </w:tabs>
            <w:jc w:val="center"/>
            <w:rPr>
              <w:sz w:val="20"/>
              <w:szCs w:val="20"/>
            </w:rPr>
          </w:pPr>
        </w:p>
        <w:p w:rsidR="00EE08B7" w:rsidRPr="00782AE4" w:rsidRDefault="00EE08B7" w:rsidP="00102926">
          <w:pPr>
            <w:keepNext/>
            <w:keepLines/>
            <w:tabs>
              <w:tab w:val="left" w:pos="-1440"/>
              <w:tab w:val="left" w:pos="-720"/>
            </w:tabs>
            <w:jc w:val="center"/>
            <w:rPr>
              <w:sz w:val="20"/>
              <w:szCs w:val="20"/>
            </w:rPr>
          </w:pPr>
        </w:p>
      </w:tc>
      <w:tc>
        <w:tcPr>
          <w:tcW w:w="4080" w:type="dxa"/>
          <w:tcMar>
            <w:left w:w="0" w:type="dxa"/>
            <w:right w:w="0" w:type="dxa"/>
          </w:tcMar>
        </w:tcPr>
        <w:p w:rsidR="00EE08B7" w:rsidRPr="00102926"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E08B7" w:rsidRPr="00782AE4" w:rsidRDefault="00EE08B7" w:rsidP="00102926">
          <w:pPr>
            <w:keepLines/>
            <w:tabs>
              <w:tab w:val="left" w:pos="-1440"/>
              <w:tab w:val="left" w:pos="-720"/>
            </w:tabs>
            <w:rPr>
              <w:sz w:val="20"/>
              <w:szCs w:val="20"/>
            </w:rPr>
          </w:pPr>
          <w:r w:rsidRPr="00102926">
            <w:rPr>
              <w:sz w:val="20"/>
              <w:szCs w:val="20"/>
              <w:lang w:val="fr-CA"/>
            </w:rPr>
            <w:t>RÉCENTS</w:t>
          </w:r>
        </w:p>
      </w:tc>
    </w:tr>
  </w:tbl>
  <w:p w:rsidR="00EE08B7" w:rsidRDefault="00EE08B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E08B7" w:rsidRPr="0044776A" w:rsidTr="00245129">
      <w:tc>
        <w:tcPr>
          <w:tcW w:w="4290" w:type="dxa"/>
          <w:tcMar>
            <w:left w:w="0" w:type="dxa"/>
            <w:right w:w="0" w:type="dxa"/>
          </w:tcMar>
        </w:tcPr>
        <w:p w:rsidR="00EE08B7" w:rsidRPr="0044776A" w:rsidRDefault="00EE08B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E08B7" w:rsidRPr="0044776A" w:rsidRDefault="00EE08B7" w:rsidP="002E2327">
          <w:pPr>
            <w:keepNext/>
            <w:keepLines/>
            <w:tabs>
              <w:tab w:val="left" w:pos="-1440"/>
              <w:tab w:val="left" w:pos="-720"/>
            </w:tabs>
            <w:jc w:val="center"/>
            <w:rPr>
              <w:sz w:val="20"/>
              <w:szCs w:val="20"/>
            </w:rPr>
          </w:pPr>
        </w:p>
        <w:p w:rsidR="00EE08B7" w:rsidRPr="0044776A" w:rsidRDefault="00EE08B7" w:rsidP="002E2327">
          <w:pPr>
            <w:keepNext/>
            <w:keepLines/>
            <w:tabs>
              <w:tab w:val="left" w:pos="-1440"/>
              <w:tab w:val="left" w:pos="-720"/>
            </w:tabs>
            <w:jc w:val="center"/>
            <w:rPr>
              <w:sz w:val="20"/>
              <w:szCs w:val="20"/>
            </w:rPr>
          </w:pPr>
        </w:p>
        <w:p w:rsidR="00EE08B7" w:rsidRPr="0044776A" w:rsidRDefault="00EE08B7" w:rsidP="002E2327">
          <w:pPr>
            <w:keepNext/>
            <w:keepLines/>
            <w:tabs>
              <w:tab w:val="left" w:pos="-1440"/>
              <w:tab w:val="left" w:pos="-720"/>
            </w:tabs>
            <w:jc w:val="center"/>
            <w:rPr>
              <w:sz w:val="20"/>
              <w:szCs w:val="20"/>
            </w:rPr>
          </w:pPr>
        </w:p>
      </w:tc>
      <w:tc>
        <w:tcPr>
          <w:tcW w:w="4320" w:type="dxa"/>
          <w:tcMar>
            <w:left w:w="0" w:type="dxa"/>
            <w:right w:w="0" w:type="dxa"/>
          </w:tcMar>
        </w:tcPr>
        <w:p w:rsidR="00EE08B7" w:rsidRPr="0044776A" w:rsidRDefault="00EE08B7" w:rsidP="002E2327">
          <w:pPr>
            <w:keepLines/>
            <w:rPr>
              <w:sz w:val="20"/>
              <w:szCs w:val="20"/>
              <w:lang w:val="fr-CA"/>
            </w:rPr>
          </w:pPr>
          <w:r w:rsidRPr="0044776A">
            <w:rPr>
              <w:sz w:val="20"/>
              <w:szCs w:val="20"/>
              <w:lang w:val="fr-CA"/>
            </w:rPr>
            <w:t>DEMANDES D'AUTORISATION D'APPEL DÉPOSÉES</w:t>
          </w:r>
        </w:p>
      </w:tc>
    </w:tr>
  </w:tbl>
  <w:p w:rsidR="00EE08B7" w:rsidRDefault="00EE08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E08B7" w:rsidRPr="005E19D3" w:rsidTr="00245129">
      <w:tc>
        <w:tcPr>
          <w:tcW w:w="4200" w:type="dxa"/>
          <w:tcMar>
            <w:left w:w="0" w:type="dxa"/>
            <w:right w:w="0" w:type="dxa"/>
          </w:tcMar>
        </w:tcPr>
        <w:p w:rsidR="00EE08B7" w:rsidRPr="0044776A" w:rsidRDefault="00EE08B7" w:rsidP="0044776A">
          <w:pPr>
            <w:keepNext/>
            <w:keepLines/>
            <w:widowControl w:val="0"/>
            <w:rPr>
              <w:sz w:val="20"/>
              <w:szCs w:val="20"/>
            </w:rPr>
          </w:pPr>
          <w:r>
            <w:rPr>
              <w:sz w:val="20"/>
              <w:szCs w:val="20"/>
            </w:rPr>
            <w:t>APPLICATIONS FOR LEAVE</w:t>
          </w:r>
        </w:p>
        <w:p w:rsidR="00EE08B7" w:rsidRPr="0044776A" w:rsidRDefault="00EE08B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E08B7" w:rsidRPr="0044776A" w:rsidRDefault="00EE08B7" w:rsidP="0044776A">
          <w:pPr>
            <w:keepNext/>
            <w:keepLines/>
            <w:widowControl w:val="0"/>
            <w:jc w:val="center"/>
            <w:rPr>
              <w:sz w:val="20"/>
              <w:szCs w:val="20"/>
            </w:rPr>
          </w:pPr>
        </w:p>
        <w:p w:rsidR="00EE08B7" w:rsidRPr="0044776A" w:rsidRDefault="00EE08B7" w:rsidP="0044776A">
          <w:pPr>
            <w:keepNext/>
            <w:keepLines/>
            <w:widowControl w:val="0"/>
            <w:jc w:val="center"/>
            <w:rPr>
              <w:sz w:val="20"/>
              <w:szCs w:val="20"/>
            </w:rPr>
          </w:pPr>
        </w:p>
        <w:p w:rsidR="00EE08B7" w:rsidRPr="0044776A" w:rsidRDefault="00EE08B7" w:rsidP="0044776A">
          <w:pPr>
            <w:keepNext/>
            <w:keepLines/>
            <w:widowControl w:val="0"/>
            <w:jc w:val="center"/>
            <w:rPr>
              <w:sz w:val="20"/>
              <w:szCs w:val="20"/>
            </w:rPr>
          </w:pPr>
        </w:p>
      </w:tc>
      <w:tc>
        <w:tcPr>
          <w:tcW w:w="4080" w:type="dxa"/>
          <w:tcMar>
            <w:left w:w="0" w:type="dxa"/>
            <w:right w:w="0" w:type="dxa"/>
          </w:tcMar>
        </w:tcPr>
        <w:p w:rsidR="00EE08B7" w:rsidRPr="0044776A" w:rsidRDefault="00EE08B7" w:rsidP="0044776A">
          <w:pPr>
            <w:keepLines/>
            <w:widowControl w:val="0"/>
            <w:rPr>
              <w:sz w:val="20"/>
              <w:szCs w:val="20"/>
              <w:lang w:val="fr-CA"/>
            </w:rPr>
          </w:pPr>
          <w:r w:rsidRPr="0044776A">
            <w:rPr>
              <w:sz w:val="20"/>
              <w:szCs w:val="20"/>
              <w:lang w:val="fr-CA"/>
            </w:rPr>
            <w:t>DEMANDES SOUMISES À LA COUR DEPUIS LA DERNIÈRE PARUTION</w:t>
          </w:r>
        </w:p>
        <w:p w:rsidR="00EE08B7" w:rsidRPr="0044776A" w:rsidRDefault="00EE08B7" w:rsidP="0044776A">
          <w:pPr>
            <w:widowControl w:val="0"/>
            <w:rPr>
              <w:sz w:val="20"/>
              <w:szCs w:val="20"/>
              <w:lang w:val="fr-CA"/>
            </w:rPr>
          </w:pPr>
        </w:p>
      </w:tc>
    </w:tr>
  </w:tbl>
  <w:p w:rsidR="00EE08B7" w:rsidRPr="002E2327" w:rsidRDefault="00EE08B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B7" w:rsidRDefault="00EE08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E08B7" w:rsidRPr="005E19D3">
      <w:tc>
        <w:tcPr>
          <w:tcW w:w="4200" w:type="dxa"/>
          <w:tcMar>
            <w:left w:w="0" w:type="dxa"/>
            <w:right w:w="0" w:type="dxa"/>
          </w:tcMar>
        </w:tcPr>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E08B7"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E08B7"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08B7" w:rsidRPr="00FF6BA5"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E08B7" w:rsidRPr="00FF6BA5"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E08B7" w:rsidRPr="00FF6BA5"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E08B7" w:rsidRPr="00FF6BA5" w:rsidRDefault="00EE0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E08B7" w:rsidRPr="005E19D3" w:rsidTr="00245129">
      <w:tc>
        <w:tcPr>
          <w:tcW w:w="4200" w:type="dxa"/>
          <w:tcMar>
            <w:left w:w="0" w:type="dxa"/>
            <w:right w:w="0" w:type="dxa"/>
          </w:tcMar>
        </w:tcPr>
        <w:p w:rsidR="00EE08B7" w:rsidRPr="00755F22"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E08B7" w:rsidRPr="00755F22" w:rsidRDefault="00EE08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E08B7" w:rsidRPr="00755F22" w:rsidRDefault="00EE08B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E08B7" w:rsidRPr="00755F22" w:rsidRDefault="00EE08B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E08B7" w:rsidRPr="00755F22" w:rsidRDefault="00EE08B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E08B7" w:rsidRPr="00755F22" w:rsidRDefault="00EE08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E08B7" w:rsidRPr="00FF6BA5" w:rsidRDefault="00EE08B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D00BB"/>
    <w:multiLevelType w:val="hybridMultilevel"/>
    <w:tmpl w:val="BD72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207D1E"/>
    <w:multiLevelType w:val="hybridMultilevel"/>
    <w:tmpl w:val="BD72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9647"/>
  </w:hdrShapeDefaults>
  <w:footnotePr>
    <w:footnote w:id="-1"/>
    <w:footnote w:id="0"/>
  </w:footnotePr>
  <w:endnotePr>
    <w:endnote w:id="-1"/>
    <w:endnote w:id="0"/>
  </w:endnotePr>
  <w:compat>
    <w:compatSetting w:name="compatibilityMode" w:uri="http://schemas.microsoft.com/office/word" w:val="12"/>
  </w:compat>
  <w:rsids>
    <w:rsidRoot w:val="00544C72"/>
    <w:rsid w:val="000174D5"/>
    <w:rsid w:val="0003223B"/>
    <w:rsid w:val="000327B2"/>
    <w:rsid w:val="0004528B"/>
    <w:rsid w:val="00091FA6"/>
    <w:rsid w:val="00096BD9"/>
    <w:rsid w:val="000975A8"/>
    <w:rsid w:val="000B3C9A"/>
    <w:rsid w:val="000B40A2"/>
    <w:rsid w:val="000B4624"/>
    <w:rsid w:val="000B6416"/>
    <w:rsid w:val="000C0ACD"/>
    <w:rsid w:val="000C0D2A"/>
    <w:rsid w:val="000C18F1"/>
    <w:rsid w:val="000C551F"/>
    <w:rsid w:val="000C5CE8"/>
    <w:rsid w:val="000E2959"/>
    <w:rsid w:val="000F0B60"/>
    <w:rsid w:val="00102926"/>
    <w:rsid w:val="0010587F"/>
    <w:rsid w:val="00111C6B"/>
    <w:rsid w:val="001161A7"/>
    <w:rsid w:val="0012102B"/>
    <w:rsid w:val="001243F9"/>
    <w:rsid w:val="00130F30"/>
    <w:rsid w:val="0013369E"/>
    <w:rsid w:val="0014454A"/>
    <w:rsid w:val="00164E6D"/>
    <w:rsid w:val="00183454"/>
    <w:rsid w:val="001B157C"/>
    <w:rsid w:val="001B4006"/>
    <w:rsid w:val="001B5C23"/>
    <w:rsid w:val="001D0D5F"/>
    <w:rsid w:val="001D6B8C"/>
    <w:rsid w:val="001F1F83"/>
    <w:rsid w:val="001F2510"/>
    <w:rsid w:val="001F40DF"/>
    <w:rsid w:val="002021A9"/>
    <w:rsid w:val="002139A7"/>
    <w:rsid w:val="00215F7C"/>
    <w:rsid w:val="0022323B"/>
    <w:rsid w:val="002347DB"/>
    <w:rsid w:val="002410B8"/>
    <w:rsid w:val="00242AEE"/>
    <w:rsid w:val="00245129"/>
    <w:rsid w:val="00245879"/>
    <w:rsid w:val="00267FD5"/>
    <w:rsid w:val="00274D34"/>
    <w:rsid w:val="002809ED"/>
    <w:rsid w:val="00283ED8"/>
    <w:rsid w:val="002868D0"/>
    <w:rsid w:val="00296AC9"/>
    <w:rsid w:val="002A008C"/>
    <w:rsid w:val="002A27D1"/>
    <w:rsid w:val="002A4AFA"/>
    <w:rsid w:val="002B516C"/>
    <w:rsid w:val="002C4483"/>
    <w:rsid w:val="002D72EB"/>
    <w:rsid w:val="002E2327"/>
    <w:rsid w:val="002E3583"/>
    <w:rsid w:val="002E5576"/>
    <w:rsid w:val="00323325"/>
    <w:rsid w:val="00331B52"/>
    <w:rsid w:val="00335133"/>
    <w:rsid w:val="003359D3"/>
    <w:rsid w:val="00351AA2"/>
    <w:rsid w:val="00355967"/>
    <w:rsid w:val="003621B8"/>
    <w:rsid w:val="00382C47"/>
    <w:rsid w:val="00384384"/>
    <w:rsid w:val="003866AE"/>
    <w:rsid w:val="003B3977"/>
    <w:rsid w:val="003C7CCE"/>
    <w:rsid w:val="003E1D4C"/>
    <w:rsid w:val="004037E1"/>
    <w:rsid w:val="00432989"/>
    <w:rsid w:val="00440E24"/>
    <w:rsid w:val="0044776A"/>
    <w:rsid w:val="00460AFC"/>
    <w:rsid w:val="0047471F"/>
    <w:rsid w:val="00480963"/>
    <w:rsid w:val="004B195E"/>
    <w:rsid w:val="004B66B4"/>
    <w:rsid w:val="004B7F60"/>
    <w:rsid w:val="004C1AAC"/>
    <w:rsid w:val="004E1E0A"/>
    <w:rsid w:val="004F090E"/>
    <w:rsid w:val="004F3470"/>
    <w:rsid w:val="00501F3C"/>
    <w:rsid w:val="0052229C"/>
    <w:rsid w:val="00527CC7"/>
    <w:rsid w:val="00544C72"/>
    <w:rsid w:val="00571CA4"/>
    <w:rsid w:val="00575BD5"/>
    <w:rsid w:val="00582136"/>
    <w:rsid w:val="005C6840"/>
    <w:rsid w:val="005C6E55"/>
    <w:rsid w:val="005E19D3"/>
    <w:rsid w:val="005F013E"/>
    <w:rsid w:val="005F1ED8"/>
    <w:rsid w:val="005F263E"/>
    <w:rsid w:val="00600252"/>
    <w:rsid w:val="00612A40"/>
    <w:rsid w:val="00613307"/>
    <w:rsid w:val="0061708C"/>
    <w:rsid w:val="0062714A"/>
    <w:rsid w:val="00675479"/>
    <w:rsid w:val="00680709"/>
    <w:rsid w:val="0068566D"/>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C47C2"/>
    <w:rsid w:val="007D3E0F"/>
    <w:rsid w:val="007E4282"/>
    <w:rsid w:val="007F387B"/>
    <w:rsid w:val="00802863"/>
    <w:rsid w:val="00815B3C"/>
    <w:rsid w:val="0081610A"/>
    <w:rsid w:val="0082783A"/>
    <w:rsid w:val="00831CA9"/>
    <w:rsid w:val="00835270"/>
    <w:rsid w:val="00850E1F"/>
    <w:rsid w:val="0085476B"/>
    <w:rsid w:val="0086340B"/>
    <w:rsid w:val="00890FEB"/>
    <w:rsid w:val="00891E9A"/>
    <w:rsid w:val="00895E7E"/>
    <w:rsid w:val="008A5C1A"/>
    <w:rsid w:val="008B2EA0"/>
    <w:rsid w:val="008D292F"/>
    <w:rsid w:val="008E03DC"/>
    <w:rsid w:val="008F453D"/>
    <w:rsid w:val="00902E51"/>
    <w:rsid w:val="00924065"/>
    <w:rsid w:val="00930D68"/>
    <w:rsid w:val="00932DB4"/>
    <w:rsid w:val="00941A4B"/>
    <w:rsid w:val="00946242"/>
    <w:rsid w:val="0095096B"/>
    <w:rsid w:val="00951023"/>
    <w:rsid w:val="00970CD3"/>
    <w:rsid w:val="009723FA"/>
    <w:rsid w:val="00984546"/>
    <w:rsid w:val="00996510"/>
    <w:rsid w:val="009C1DF8"/>
    <w:rsid w:val="009D1F15"/>
    <w:rsid w:val="009D555E"/>
    <w:rsid w:val="009F3024"/>
    <w:rsid w:val="00A0355E"/>
    <w:rsid w:val="00A068C0"/>
    <w:rsid w:val="00A07072"/>
    <w:rsid w:val="00A375D1"/>
    <w:rsid w:val="00A51D10"/>
    <w:rsid w:val="00A52A83"/>
    <w:rsid w:val="00A6552C"/>
    <w:rsid w:val="00A67ADB"/>
    <w:rsid w:val="00A86ECA"/>
    <w:rsid w:val="00A87207"/>
    <w:rsid w:val="00A935AA"/>
    <w:rsid w:val="00A956D3"/>
    <w:rsid w:val="00AB2201"/>
    <w:rsid w:val="00AC6C08"/>
    <w:rsid w:val="00AD3259"/>
    <w:rsid w:val="00AE045B"/>
    <w:rsid w:val="00AF1715"/>
    <w:rsid w:val="00AF3904"/>
    <w:rsid w:val="00B010C0"/>
    <w:rsid w:val="00B16F8D"/>
    <w:rsid w:val="00B4180A"/>
    <w:rsid w:val="00B4740D"/>
    <w:rsid w:val="00B50812"/>
    <w:rsid w:val="00B52AC5"/>
    <w:rsid w:val="00B61629"/>
    <w:rsid w:val="00B7374B"/>
    <w:rsid w:val="00B90CEB"/>
    <w:rsid w:val="00B90DC0"/>
    <w:rsid w:val="00BA116A"/>
    <w:rsid w:val="00BA5582"/>
    <w:rsid w:val="00BA6468"/>
    <w:rsid w:val="00BB0208"/>
    <w:rsid w:val="00BB10A4"/>
    <w:rsid w:val="00BB1D44"/>
    <w:rsid w:val="00BB5312"/>
    <w:rsid w:val="00BD06DA"/>
    <w:rsid w:val="00BD4217"/>
    <w:rsid w:val="00BF25F3"/>
    <w:rsid w:val="00C1697B"/>
    <w:rsid w:val="00C21644"/>
    <w:rsid w:val="00C21CB5"/>
    <w:rsid w:val="00C50A5C"/>
    <w:rsid w:val="00C50FDF"/>
    <w:rsid w:val="00C63381"/>
    <w:rsid w:val="00C73D06"/>
    <w:rsid w:val="00C73E1B"/>
    <w:rsid w:val="00C759B4"/>
    <w:rsid w:val="00C77713"/>
    <w:rsid w:val="00C85BB7"/>
    <w:rsid w:val="00CA2202"/>
    <w:rsid w:val="00CA2DEA"/>
    <w:rsid w:val="00CB3520"/>
    <w:rsid w:val="00CB43D5"/>
    <w:rsid w:val="00CB5917"/>
    <w:rsid w:val="00CC4D84"/>
    <w:rsid w:val="00CE198A"/>
    <w:rsid w:val="00CF08C8"/>
    <w:rsid w:val="00D004FC"/>
    <w:rsid w:val="00D257B0"/>
    <w:rsid w:val="00D64901"/>
    <w:rsid w:val="00D76BDF"/>
    <w:rsid w:val="00D862C1"/>
    <w:rsid w:val="00D904BF"/>
    <w:rsid w:val="00D9109B"/>
    <w:rsid w:val="00D93B50"/>
    <w:rsid w:val="00D94028"/>
    <w:rsid w:val="00D94670"/>
    <w:rsid w:val="00DA0C5E"/>
    <w:rsid w:val="00DA46F6"/>
    <w:rsid w:val="00DB209E"/>
    <w:rsid w:val="00DD0B49"/>
    <w:rsid w:val="00DD1807"/>
    <w:rsid w:val="00DE0502"/>
    <w:rsid w:val="00DE349D"/>
    <w:rsid w:val="00DE64EF"/>
    <w:rsid w:val="00E06DFA"/>
    <w:rsid w:val="00E20A0A"/>
    <w:rsid w:val="00E23A48"/>
    <w:rsid w:val="00E25FFE"/>
    <w:rsid w:val="00E356C7"/>
    <w:rsid w:val="00E41A5A"/>
    <w:rsid w:val="00E45FE4"/>
    <w:rsid w:val="00E64FA7"/>
    <w:rsid w:val="00E656A8"/>
    <w:rsid w:val="00E75638"/>
    <w:rsid w:val="00E770CB"/>
    <w:rsid w:val="00E77312"/>
    <w:rsid w:val="00E843B4"/>
    <w:rsid w:val="00E903A1"/>
    <w:rsid w:val="00E940EB"/>
    <w:rsid w:val="00E9703F"/>
    <w:rsid w:val="00EB2B90"/>
    <w:rsid w:val="00ED7E83"/>
    <w:rsid w:val="00EE08B7"/>
    <w:rsid w:val="00EE091F"/>
    <w:rsid w:val="00EE415D"/>
    <w:rsid w:val="00EF4B63"/>
    <w:rsid w:val="00F0068D"/>
    <w:rsid w:val="00F0576D"/>
    <w:rsid w:val="00F14E6D"/>
    <w:rsid w:val="00F15EA8"/>
    <w:rsid w:val="00F16C8D"/>
    <w:rsid w:val="00F26C61"/>
    <w:rsid w:val="00F33CCE"/>
    <w:rsid w:val="00F40249"/>
    <w:rsid w:val="00F4408A"/>
    <w:rsid w:val="00F526C8"/>
    <w:rsid w:val="00F727D4"/>
    <w:rsid w:val="00F7346A"/>
    <w:rsid w:val="00F761A3"/>
    <w:rsid w:val="00F9272D"/>
    <w:rsid w:val="00F9518C"/>
    <w:rsid w:val="00FA316E"/>
    <w:rsid w:val="00FA5809"/>
    <w:rsid w:val="00FA59EF"/>
    <w:rsid w:val="00FB19A2"/>
    <w:rsid w:val="00FF08B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A67AD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F453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8F453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CA220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CA220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CA220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E25FF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130F3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0C551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0C551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on/onca/doc/2011/2011onca628/2011onca628.html" TargetMode="External"/><Relationship Id="rId39" Type="http://schemas.openxmlformats.org/officeDocument/2006/relationships/hyperlink" Target="http://canlii.ca/t/g2s6t" TargetMode="External"/><Relationship Id="rId21" Type="http://schemas.openxmlformats.org/officeDocument/2006/relationships/header" Target="header6.xml"/><Relationship Id="rId34" Type="http://schemas.openxmlformats.org/officeDocument/2006/relationships/hyperlink" Target="http://www.canlii.org/en/on/onca/doc/2013/2013onca724/2013onca724.html?searchUrlHash=AAAAAAAAAAEAFjIwMTEgT05DQSA2MjggKENhbkxJSSkAAAABADEvZW4vb24vb2http://www.canlii.org/en/on/onca/doc/2013/2013onca724/2013onca724.html" TargetMode="External"/><Relationship Id="rId42" Type="http://schemas.openxmlformats.org/officeDocument/2006/relationships/hyperlink" Target="http://canlii.ca/t/g2s6t" TargetMode="External"/><Relationship Id="rId47" Type="http://schemas.openxmlformats.org/officeDocument/2006/relationships/hyperlink" Target="http://canlii.ca/t/g1pgq" TargetMode="External"/><Relationship Id="rId50" Type="http://schemas.openxmlformats.org/officeDocument/2006/relationships/hyperlink" Target="http://canlii.ca/t/g61xh" TargetMode="External"/><Relationship Id="rId55" Type="http://schemas.openxmlformats.org/officeDocument/2006/relationships/hyperlink" Target="http://www.canlii.org/en/bc/bcca/doc/2013/2013bcca522/2013bcca522.html?searchUrlHash=AAAAAQANMjAxMyBCQ0NBIDUyMgAAAAAB" TargetMode="External"/><Relationship Id="rId63" Type="http://schemas.openxmlformats.org/officeDocument/2006/relationships/header" Target="header10.xml"/><Relationship Id="rId68" Type="http://schemas.openxmlformats.org/officeDocument/2006/relationships/footer" Target="footer12.xml"/><Relationship Id="rId76" Type="http://schemas.openxmlformats.org/officeDocument/2006/relationships/footer" Target="footer16.xml"/><Relationship Id="rId84" Type="http://schemas.openxmlformats.org/officeDocument/2006/relationships/header" Target="header20.xml"/><Relationship Id="rId89"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on/onca/doc/2013/2013onca724/2013onca724.html?searchUrlHash=AAAAAAAAAAEAFjIwMTEgT05DQSA2MjggKENhbkxJSSkAAAABADEvZW4vb24vb2http://www.canlii.org/en/on/onca/doc/2013/2013onca724/2013onca724.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ca/scc-l/doc/2012/2012canlii22100/2012canlii22100.html" TargetMode="External"/><Relationship Id="rId37" Type="http://schemas.openxmlformats.org/officeDocument/2006/relationships/hyperlink" Target="http://canlii.ca/en/sk/skqb/doc/2011/2011skqb477/2011skqb477.html" TargetMode="External"/><Relationship Id="rId40" Type="http://schemas.openxmlformats.org/officeDocument/2006/relationships/hyperlink" Target="http://canlii.ca/t/g2s6t" TargetMode="External"/><Relationship Id="rId45" Type="http://schemas.openxmlformats.org/officeDocument/2006/relationships/hyperlink" Target="http://canlii.ca/t/fv5h9" TargetMode="External"/><Relationship Id="rId53" Type="http://schemas.openxmlformats.org/officeDocument/2006/relationships/hyperlink" Target="http://www.canlii.org/en/bc/bcsc/doc/2011/2011bcsc1225/2011bcsc1225.html?searchUrlHash=AAAAAQAOMjAxMSBCQ1NDIDEyMjUAAAAAAQ" TargetMode="External"/><Relationship Id="rId58" Type="http://schemas.openxmlformats.org/officeDocument/2006/relationships/hyperlink" Target="http://www.canlii.org/en/bc/bcca/doc/2013/2013bcca522/2013bcca522.html?searchUrlHash=AAAAAQANMjAxMyBCQ0NBIDUyMgAAAAAB" TargetMode="External"/><Relationship Id="rId66" Type="http://schemas.openxmlformats.org/officeDocument/2006/relationships/header" Target="header12.xml"/><Relationship Id="rId74" Type="http://schemas.openxmlformats.org/officeDocument/2006/relationships/footer" Target="footer15.xml"/><Relationship Id="rId79" Type="http://schemas.openxmlformats.org/officeDocument/2006/relationships/footer" Target="footer17.xml"/><Relationship Id="rId87"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footer" Target="footer19.xml"/><Relationship Id="rId90" Type="http://schemas.openxmlformats.org/officeDocument/2006/relationships/header" Target="header2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ca/scc-l/doc/2012/2012canlii22100/2012canlii22100.html" TargetMode="External"/><Relationship Id="rId30" Type="http://schemas.openxmlformats.org/officeDocument/2006/relationships/hyperlink" Target="http://www.canlii.org/en/on/onsc/doc/2010/2010onsc3790/2010onsc3790.html" TargetMode="External"/><Relationship Id="rId35" Type="http://schemas.openxmlformats.org/officeDocument/2006/relationships/hyperlink" Target="http://canlii.ca/en/sk/skqb/doc/2011/2011skqb477/2011skqb477.html" TargetMode="External"/><Relationship Id="rId43" Type="http://schemas.openxmlformats.org/officeDocument/2006/relationships/hyperlink" Target="http://canlii.ca/t/fv5h9" TargetMode="External"/><Relationship Id="rId48" Type="http://schemas.openxmlformats.org/officeDocument/2006/relationships/hyperlink" Target="http://canlii.ca/t/g1pgq" TargetMode="External"/><Relationship Id="rId56" Type="http://schemas.openxmlformats.org/officeDocument/2006/relationships/hyperlink" Target="http://www.canlii.org/en/bc/bcsc/doc/2011/2011bcsc1225/2011bcsc1225.html?searchUrlHash=AAAAAQAOMjAxMSBCQ1NDIDEyMjUAAAAAAQ" TargetMode="External"/><Relationship Id="rId64" Type="http://schemas.openxmlformats.org/officeDocument/2006/relationships/footer" Target="footer10.xml"/><Relationship Id="rId69" Type="http://schemas.openxmlformats.org/officeDocument/2006/relationships/header" Target="header13.xml"/><Relationship Id="rId77"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hyperlink" Target="http://canlii.ca/t/g2tpq" TargetMode="External"/><Relationship Id="rId72" Type="http://schemas.openxmlformats.org/officeDocument/2006/relationships/header" Target="header15.xml"/><Relationship Id="rId80" Type="http://schemas.openxmlformats.org/officeDocument/2006/relationships/footer" Target="footer18.xml"/><Relationship Id="rId85" Type="http://schemas.openxmlformats.org/officeDocument/2006/relationships/header" Target="header2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0/2010onsc3790/2010onsc3790.html" TargetMode="External"/><Relationship Id="rId33" Type="http://schemas.openxmlformats.org/officeDocument/2006/relationships/hyperlink" Target="http://www.canlii.org/en/on/onsc/doc/2012/2012onsc5094/2012onsc5094.html" TargetMode="External"/><Relationship Id="rId38" Type="http://schemas.openxmlformats.org/officeDocument/2006/relationships/hyperlink" Target="http://canlii.ca/en/sk/skca/doc/2013/2013skca141/2013skca141.html" TargetMode="External"/><Relationship Id="rId46" Type="http://schemas.openxmlformats.org/officeDocument/2006/relationships/hyperlink" Target="http://canlii.ca/t/fz779"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footer" Target="footer5.xml"/><Relationship Id="rId41" Type="http://schemas.openxmlformats.org/officeDocument/2006/relationships/hyperlink" Target="http://canlii.ca/t/g2s6t" TargetMode="External"/><Relationship Id="rId54" Type="http://schemas.openxmlformats.org/officeDocument/2006/relationships/hyperlink" Target="http://www.canlii.org/en/bc/bcsc/doc/2012/2012bcsc630/2012bcsc630.html?searchUrlHash=AAAAAQANMjAxMiBiY3NjIDYzMAAAAAAB" TargetMode="External"/><Relationship Id="rId62" Type="http://schemas.openxmlformats.org/officeDocument/2006/relationships/footer" Target="footer9.xml"/><Relationship Id="rId70" Type="http://schemas.openxmlformats.org/officeDocument/2006/relationships/footer" Target="footer13.xml"/><Relationship Id="rId75" Type="http://schemas.openxmlformats.org/officeDocument/2006/relationships/header" Target="header16.xml"/><Relationship Id="rId83" Type="http://schemas.openxmlformats.org/officeDocument/2006/relationships/hyperlink" Target="http://www.scc-csc.ca/case-dossier/info/sum-som-eng.aspx?cas=35246" TargetMode="External"/><Relationship Id="rId88" Type="http://schemas.openxmlformats.org/officeDocument/2006/relationships/header" Target="header22.xml"/><Relationship Id="rId9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sc/doc/2012/2012onsc5094/2012onsc5094.html" TargetMode="External"/><Relationship Id="rId36" Type="http://schemas.openxmlformats.org/officeDocument/2006/relationships/hyperlink" Target="http://canlii.ca/en/sk/skca/doc/2013/2013skca141/2013skca141.html" TargetMode="External"/><Relationship Id="rId49" Type="http://schemas.openxmlformats.org/officeDocument/2006/relationships/hyperlink" Target="http://canlii.ca/t/g2tpq" TargetMode="External"/><Relationship Id="rId57" Type="http://schemas.openxmlformats.org/officeDocument/2006/relationships/hyperlink" Target="http://www.canlii.org/en/bc/bcsc/doc/2012/2012bcsc630/2012bcsc630.html?searchUrlHash=AAAAAQANMjAxMiBiY3NjIDYzMAAAAAAB" TargetMode="External"/><Relationship Id="rId10" Type="http://schemas.openxmlformats.org/officeDocument/2006/relationships/hyperlink" Target="http://www.scc-csc.ca" TargetMode="External"/><Relationship Id="rId31" Type="http://schemas.openxmlformats.org/officeDocument/2006/relationships/hyperlink" Target="http://www.canlii.org/en/on/onca/doc/2011/2011onca628/2011onca628.html" TargetMode="External"/><Relationship Id="rId44" Type="http://schemas.openxmlformats.org/officeDocument/2006/relationships/hyperlink" Target="http://canlii.ca/t/fz779" TargetMode="External"/><Relationship Id="rId52" Type="http://schemas.openxmlformats.org/officeDocument/2006/relationships/hyperlink" Target="http://canlii.ca/t/g61xh" TargetMode="External"/><Relationship Id="rId60" Type="http://schemas.openxmlformats.org/officeDocument/2006/relationships/header" Target="header9.xml"/><Relationship Id="rId65" Type="http://schemas.openxmlformats.org/officeDocument/2006/relationships/header" Target="header11.xml"/><Relationship Id="rId73" Type="http://schemas.openxmlformats.org/officeDocument/2006/relationships/footer" Target="footer14.xml"/><Relationship Id="rId78" Type="http://schemas.openxmlformats.org/officeDocument/2006/relationships/header" Target="header18.xml"/><Relationship Id="rId81" Type="http://schemas.openxmlformats.org/officeDocument/2006/relationships/header" Target="header19.xml"/><Relationship Id="rId86"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4F878-DD42-4661-9AD6-664ED73E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14171</Words>
  <Characters>80780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2014-05-30T14:40:00Z</dcterms:created>
  <dcterms:modified xsi:type="dcterms:W3CDTF">2015-12-04T16:15:00Z</dcterms:modified>
</cp:coreProperties>
</file>